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8511B">
      <w:pPr>
        <w:keepNext/>
        <w:keepLines/>
        <w:spacing w:line="600" w:lineRule="exact"/>
        <w:jc w:val="center"/>
        <w:outlineLvl w:val="0"/>
        <w:rPr>
          <w:rFonts w:ascii="方正小标宋简体" w:hAnsi="Calibri" w:eastAsia="方正小标宋简体" w:cs="宋体"/>
          <w:kern w:val="44"/>
          <w:szCs w:val="21"/>
          <w:highlight w:val="yellow"/>
        </w:rPr>
      </w:pPr>
      <w:r>
        <w:rPr>
          <w:rFonts w:hint="eastAsia" w:ascii="方正小标宋简体" w:hAnsi="宋体" w:eastAsia="方正小标宋简体" w:cs="宋体"/>
          <w:kern w:val="44"/>
          <w:sz w:val="44"/>
        </w:rPr>
        <w:t>镇江海纳川公铁运输有限公司</w:t>
      </w:r>
    </w:p>
    <w:p w14:paraId="379B19B3">
      <w:pPr>
        <w:keepNext/>
        <w:keepLines/>
        <w:spacing w:line="600" w:lineRule="exact"/>
        <w:jc w:val="center"/>
        <w:outlineLvl w:val="0"/>
        <w:rPr>
          <w:rFonts w:ascii="方正小标宋简体" w:hAnsi="Calibri" w:eastAsia="方正小标宋简体" w:cs="宋体"/>
          <w:kern w:val="44"/>
          <w:sz w:val="44"/>
        </w:rPr>
      </w:pPr>
      <w:r>
        <w:rPr>
          <w:rFonts w:hint="eastAsia" w:ascii="方正小标宋简体" w:hAnsi="宋体" w:eastAsia="方正小标宋简体" w:cs="宋体"/>
          <w:kern w:val="44"/>
          <w:sz w:val="44"/>
        </w:rPr>
        <w:t>比选文件</w:t>
      </w:r>
    </w:p>
    <w:p w14:paraId="0385C3B2"/>
    <w:p w14:paraId="423E8FD7">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采用自主公开采购的方式选定供应商，</w:t>
      </w:r>
      <w:r>
        <w:rPr>
          <w:rFonts w:hint="eastAsia" w:ascii="方正仿宋_GBK" w:hAnsi="方正仿宋_GBK" w:eastAsia="方正仿宋_GBK" w:cs="方正仿宋_GBK"/>
          <w:sz w:val="32"/>
          <w:szCs w:val="32"/>
        </w:rPr>
        <w:t>欢迎具有相关资质的厂商前来报价。</w:t>
      </w:r>
    </w:p>
    <w:p w14:paraId="72BCD7EB">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62A545C5">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海纳川公铁</w:t>
      </w:r>
      <w:r>
        <w:rPr>
          <w:rFonts w:ascii="方正仿宋简体" w:hAnsi="仿宋_GB2312" w:eastAsia="方正仿宋简体" w:cs="仿宋_GB2312"/>
          <w:kern w:val="32"/>
          <w:sz w:val="32"/>
          <w:szCs w:val="32"/>
          <w:u w:val="single"/>
        </w:rPr>
        <w:t>门吊</w:t>
      </w:r>
      <w:r>
        <w:rPr>
          <w:rFonts w:hint="eastAsia" w:ascii="方正仿宋简体" w:hAnsi="仿宋_GB2312" w:eastAsia="方正仿宋简体" w:cs="仿宋_GB2312"/>
          <w:kern w:val="32"/>
          <w:sz w:val="32"/>
          <w:szCs w:val="32"/>
          <w:u w:val="single"/>
        </w:rPr>
        <w:t>变频器年度维保服务（服务期限为</w:t>
      </w:r>
      <w:r>
        <w:rPr>
          <w:rFonts w:ascii="方正仿宋简体" w:hAnsi="仿宋_GB2312" w:eastAsia="方正仿宋简体" w:cs="仿宋_GB2312"/>
          <w:kern w:val="32"/>
          <w:sz w:val="32"/>
          <w:szCs w:val="32"/>
          <w:u w:val="single"/>
        </w:rPr>
        <w:t>2年</w:t>
      </w:r>
      <w:r>
        <w:rPr>
          <w:rFonts w:hint="eastAsia" w:ascii="方正仿宋简体" w:hAnsi="仿宋_GB2312" w:eastAsia="方正仿宋简体" w:cs="仿宋_GB2312"/>
          <w:kern w:val="32"/>
          <w:sz w:val="32"/>
          <w:szCs w:val="32"/>
          <w:u w:val="single"/>
        </w:rPr>
        <w:t>）</w:t>
      </w:r>
      <w:r>
        <w:rPr>
          <w:rFonts w:hint="eastAsia" w:ascii="方正仿宋简体" w:hAnsi="方正仿宋简体" w:eastAsia="方正仿宋简体" w:cs="方正仿宋简体"/>
          <w:bCs/>
          <w:sz w:val="32"/>
          <w:szCs w:val="32"/>
        </w:rPr>
        <w:t>；</w:t>
      </w:r>
    </w:p>
    <w:p w14:paraId="161FB6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维保服务时间：</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5</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-2028年4月30</w:t>
      </w:r>
      <w:r>
        <w:rPr>
          <w:rFonts w:hint="eastAsia" w:ascii="方正仿宋简体" w:hAnsi="仿宋_GB2312" w:eastAsia="方正仿宋简体" w:cs="仿宋_GB2312"/>
          <w:kern w:val="1"/>
          <w:sz w:val="32"/>
          <w:szCs w:val="32"/>
          <w:u w:val="single"/>
        </w:rPr>
        <w:t>日</w:t>
      </w:r>
      <w:r>
        <w:rPr>
          <w:rFonts w:hint="eastAsia" w:ascii="方正仿宋简体" w:hAnsi="方正仿宋简体" w:eastAsia="方正仿宋简体" w:cs="方正仿宋简体"/>
          <w:sz w:val="32"/>
          <w:szCs w:val="32"/>
        </w:rPr>
        <w:t>；</w:t>
      </w:r>
    </w:p>
    <w:p w14:paraId="2C8F2E5D">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镇江海纳川公铁运输有限责任公司；</w:t>
      </w:r>
    </w:p>
    <w:p w14:paraId="4D7E85E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rPr>
        <w:t>2026年4月16日下午14:00</w:t>
      </w:r>
      <w:r>
        <w:rPr>
          <w:rFonts w:hint="eastAsia" w:ascii="方正仿宋简体" w:hAnsi="方正仿宋简体" w:eastAsia="方正仿宋简体" w:cs="方正仿宋简体"/>
          <w:sz w:val="32"/>
          <w:szCs w:val="32"/>
        </w:rPr>
        <w:t>；</w:t>
      </w:r>
    </w:p>
    <w:p w14:paraId="51100DB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 xml:space="preserve">评审时间： </w:t>
      </w:r>
      <w:r>
        <w:rPr>
          <w:rFonts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u w:val="single"/>
        </w:rPr>
        <w:t>2026年4月16日下午14:00</w:t>
      </w:r>
      <w:bookmarkStart w:id="14" w:name="_GoBack"/>
      <w:bookmarkEnd w:id="14"/>
      <w:r>
        <w:rPr>
          <w:rFonts w:hint="eastAsia" w:ascii="方正仿宋简体" w:hAnsi="方正仿宋简体" w:eastAsia="方正仿宋简体" w:cs="方正仿宋简体"/>
          <w:sz w:val="32"/>
          <w:szCs w:val="32"/>
        </w:rPr>
        <w:t>；</w:t>
      </w:r>
    </w:p>
    <w:p w14:paraId="66D9F37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bookmarkStart w:id="0" w:name="OLE_LINK16"/>
      <w:bookmarkStart w:id="1" w:name="OLE_LINK17"/>
      <w:bookmarkStart w:id="2" w:name="OLE_LINK2"/>
      <w:bookmarkStart w:id="3" w:name="OLE_LINK5"/>
      <w:r>
        <w:rPr>
          <w:rFonts w:hint="eastAsia" w:ascii="方正仿宋简体" w:hAnsi="方正仿宋简体" w:eastAsia="方正仿宋简体" w:cs="方正仿宋简体"/>
          <w:sz w:val="32"/>
          <w:szCs w:val="32"/>
          <w:u w:val="single"/>
        </w:rPr>
        <w:t>镇江海纳川物流产业发展有限责任公司210</w:t>
      </w:r>
      <w:bookmarkEnd w:id="0"/>
      <w:bookmarkEnd w:id="1"/>
      <w:bookmarkEnd w:id="2"/>
      <w:bookmarkEnd w:id="3"/>
      <w:r>
        <w:rPr>
          <w:rFonts w:hint="eastAsia" w:ascii="方正仿宋简体" w:hAnsi="方正仿宋简体" w:eastAsia="方正仿宋简体" w:cs="方正仿宋简体"/>
          <w:sz w:val="32"/>
          <w:szCs w:val="32"/>
        </w:rPr>
        <w:t>；</w:t>
      </w:r>
    </w:p>
    <w:p w14:paraId="3A7B8E24">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960F87D">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66A27FA3">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标的物内容</w:t>
      </w:r>
    </w:p>
    <w:p w14:paraId="6108BFAE">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海纳川港口集装箱门吊变频器年度维保服务（2</w:t>
      </w:r>
      <w:r>
        <w:rPr>
          <w:rFonts w:ascii="方正仿宋简体" w:hAnsi="方正仿宋简体" w:eastAsia="方正仿宋简体" w:cs="方正仿宋简体"/>
          <w:sz w:val="32"/>
          <w:szCs w:val="32"/>
        </w:rPr>
        <w:t>026</w:t>
      </w:r>
      <w:r>
        <w:rPr>
          <w:rFonts w:hint="eastAsia" w:ascii="方正仿宋简体" w:hAnsi="方正仿宋简体" w:eastAsia="方正仿宋简体" w:cs="方正仿宋简体"/>
          <w:sz w:val="32"/>
          <w:szCs w:val="32"/>
        </w:rPr>
        <w:t>年</w:t>
      </w: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月</w:t>
      </w: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日</w:t>
      </w:r>
      <w:r>
        <w:rPr>
          <w:rFonts w:ascii="方正仿宋简体" w:hAnsi="方正仿宋简体" w:eastAsia="方正仿宋简体" w:cs="方正仿宋简体"/>
          <w:sz w:val="32"/>
          <w:szCs w:val="32"/>
        </w:rPr>
        <w:t>-2028</w:t>
      </w:r>
      <w:r>
        <w:rPr>
          <w:rFonts w:hint="eastAsia" w:ascii="方正仿宋简体" w:hAnsi="方正仿宋简体" w:eastAsia="方正仿宋简体" w:cs="方正仿宋简体"/>
          <w:sz w:val="32"/>
          <w:szCs w:val="32"/>
        </w:rPr>
        <w:t>年</w:t>
      </w:r>
      <w:r>
        <w:rPr>
          <w:rFonts w:ascii="方正仿宋简体" w:hAnsi="方正仿宋简体" w:eastAsia="方正仿宋简体" w:cs="方正仿宋简体"/>
          <w:sz w:val="32"/>
          <w:szCs w:val="32"/>
        </w:rPr>
        <w:t>4月30</w:t>
      </w:r>
      <w:r>
        <w:rPr>
          <w:rFonts w:hint="eastAsia" w:ascii="方正仿宋简体" w:hAnsi="方正仿宋简体" w:eastAsia="方正仿宋简体" w:cs="方正仿宋简体"/>
          <w:sz w:val="32"/>
          <w:szCs w:val="32"/>
        </w:rPr>
        <w:t>日）。</w:t>
      </w:r>
    </w:p>
    <w:p w14:paraId="412D5D27">
      <w:pPr>
        <w:pStyle w:val="20"/>
        <w:numPr>
          <w:ilvl w:val="0"/>
          <w:numId w:val="1"/>
        </w:numPr>
        <w:spacing w:line="360" w:lineRule="auto"/>
        <w:ind w:firstLineChars="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技术要求</w:t>
      </w:r>
      <w:bookmarkStart w:id="4" w:name="OLE_LINK4"/>
      <w:bookmarkStart w:id="5" w:name="OLE_LINK3"/>
    </w:p>
    <w:p w14:paraId="00FA2F94">
      <w:pPr>
        <w:spacing w:line="360" w:lineRule="auto"/>
        <w:ind w:left="64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工作量清单</w:t>
      </w:r>
    </w:p>
    <w:bookmarkEnd w:id="4"/>
    <w:bookmarkEnd w:id="5"/>
    <w:tbl>
      <w:tblPr>
        <w:tblStyle w:val="15"/>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80"/>
        <w:gridCol w:w="1335"/>
        <w:gridCol w:w="1626"/>
        <w:gridCol w:w="1134"/>
      </w:tblGrid>
      <w:tr w14:paraId="3BF0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4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D26C8D">
            <w:pPr>
              <w:widowControl/>
              <w:jc w:val="center"/>
              <w:textAlignment w:val="top"/>
              <w:rPr>
                <w:rFonts w:ascii="宋体" w:hAnsi="宋体" w:cs="宋体"/>
                <w:b/>
                <w:bCs/>
                <w:sz w:val="24"/>
                <w:szCs w:val="24"/>
                <w:lang w:bidi="ar"/>
              </w:rPr>
            </w:pPr>
            <w:r>
              <w:rPr>
                <w:rFonts w:hint="eastAsia" w:ascii="宋体" w:hAnsi="宋体" w:cs="宋体"/>
                <w:b/>
                <w:bCs/>
                <w:sz w:val="24"/>
                <w:szCs w:val="24"/>
                <w:lang w:bidi="ar"/>
              </w:rPr>
              <w:t>变频器型号</w:t>
            </w:r>
          </w:p>
        </w:tc>
        <w:tc>
          <w:tcPr>
            <w:tcW w:w="13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69D7AA">
            <w:pPr>
              <w:widowControl/>
              <w:jc w:val="center"/>
              <w:textAlignment w:val="top"/>
              <w:rPr>
                <w:rFonts w:ascii="宋体" w:hAnsi="宋体" w:cs="宋体"/>
                <w:b/>
                <w:bCs/>
                <w:sz w:val="24"/>
                <w:szCs w:val="24"/>
                <w:lang w:bidi="ar"/>
              </w:rPr>
            </w:pPr>
            <w:r>
              <w:rPr>
                <w:rFonts w:hint="eastAsia" w:ascii="宋体" w:hAnsi="宋体" w:cs="宋体"/>
                <w:b/>
                <w:bCs/>
                <w:sz w:val="24"/>
                <w:szCs w:val="24"/>
                <w:lang w:bidi="ar"/>
              </w:rPr>
              <w:t>品牌</w:t>
            </w:r>
          </w:p>
        </w:tc>
        <w:tc>
          <w:tcPr>
            <w:tcW w:w="1626" w:type="dxa"/>
            <w:tcBorders>
              <w:top w:val="single" w:color="auto" w:sz="4" w:space="0"/>
              <w:left w:val="single" w:color="auto" w:sz="4" w:space="0"/>
              <w:bottom w:val="single" w:color="auto" w:sz="4" w:space="0"/>
              <w:right w:val="single" w:color="auto" w:sz="4" w:space="0"/>
            </w:tcBorders>
            <w:vAlign w:val="center"/>
          </w:tcPr>
          <w:p w14:paraId="44A9D6F6">
            <w:pPr>
              <w:widowControl/>
              <w:jc w:val="center"/>
              <w:textAlignment w:val="top"/>
              <w:rPr>
                <w:rFonts w:ascii="宋体" w:hAnsi="宋体" w:cs="宋体"/>
                <w:b/>
                <w:bCs/>
                <w:sz w:val="24"/>
                <w:szCs w:val="24"/>
                <w:lang w:bidi="ar"/>
              </w:rPr>
            </w:pPr>
            <w:r>
              <w:rPr>
                <w:rFonts w:hint="eastAsia" w:ascii="宋体" w:hAnsi="宋体" w:cs="宋体"/>
                <w:b/>
                <w:bCs/>
                <w:sz w:val="24"/>
                <w:szCs w:val="24"/>
                <w:lang w:bidi="ar"/>
              </w:rPr>
              <w:t>功率（kVA）</w:t>
            </w:r>
          </w:p>
        </w:tc>
        <w:tc>
          <w:tcPr>
            <w:tcW w:w="1134" w:type="dxa"/>
            <w:tcBorders>
              <w:top w:val="single" w:color="auto" w:sz="4" w:space="0"/>
              <w:left w:val="single" w:color="auto" w:sz="4" w:space="0"/>
              <w:bottom w:val="single" w:color="auto" w:sz="4" w:space="0"/>
              <w:right w:val="single" w:color="auto" w:sz="4" w:space="0"/>
            </w:tcBorders>
            <w:vAlign w:val="center"/>
          </w:tcPr>
          <w:p w14:paraId="7BE1AAB2">
            <w:pPr>
              <w:widowControl/>
              <w:jc w:val="center"/>
              <w:textAlignment w:val="top"/>
              <w:rPr>
                <w:rFonts w:ascii="宋体" w:hAnsi="宋体" w:cs="宋体"/>
                <w:b/>
                <w:bCs/>
                <w:sz w:val="24"/>
                <w:szCs w:val="24"/>
                <w:lang w:bidi="ar"/>
              </w:rPr>
            </w:pPr>
            <w:r>
              <w:rPr>
                <w:rFonts w:hint="eastAsia" w:ascii="宋体" w:hAnsi="宋体" w:cs="宋体"/>
                <w:b/>
                <w:bCs/>
                <w:sz w:val="24"/>
                <w:szCs w:val="24"/>
                <w:lang w:bidi="ar"/>
              </w:rPr>
              <w:t>数量</w:t>
            </w:r>
          </w:p>
        </w:tc>
      </w:tr>
      <w:tr w14:paraId="5EB2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36583517">
            <w:pPr>
              <w:widowControl/>
              <w:jc w:val="center"/>
              <w:textAlignment w:val="top"/>
              <w:rPr>
                <w:rFonts w:ascii="宋体" w:hAnsi="宋体" w:cs="宋体"/>
                <w:sz w:val="24"/>
                <w:szCs w:val="24"/>
                <w:lang w:bidi="ar"/>
              </w:rPr>
            </w:pPr>
            <w:r>
              <w:rPr>
                <w:rFonts w:hint="eastAsia" w:ascii="宋体" w:hAnsi="宋体" w:cs="宋体"/>
                <w:sz w:val="24"/>
                <w:szCs w:val="24"/>
                <w:lang w:bidi="ar"/>
              </w:rPr>
              <w:t>CIMR-HB4A018ABC(起升1)</w:t>
            </w:r>
          </w:p>
        </w:tc>
        <w:tc>
          <w:tcPr>
            <w:tcW w:w="13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40933B48">
            <w:pPr>
              <w:widowControl/>
              <w:jc w:val="center"/>
              <w:textAlignment w:val="top"/>
              <w:rPr>
                <w:rFonts w:ascii="宋体" w:hAnsi="宋体" w:cs="宋体"/>
                <w:sz w:val="24"/>
                <w:szCs w:val="24"/>
                <w:lang w:bidi="ar"/>
              </w:rPr>
            </w:pPr>
            <w:r>
              <w:rPr>
                <w:rFonts w:hint="eastAsia" w:ascii="宋体" w:hAnsi="宋体" w:cs="宋体"/>
                <w:sz w:val="24"/>
                <w:szCs w:val="24"/>
                <w:lang w:bidi="ar"/>
              </w:rPr>
              <w:t>安川</w:t>
            </w:r>
          </w:p>
        </w:tc>
        <w:tc>
          <w:tcPr>
            <w:tcW w:w="1626" w:type="dxa"/>
            <w:tcBorders>
              <w:top w:val="single" w:color="auto" w:sz="4" w:space="0"/>
              <w:left w:val="single" w:color="auto" w:sz="4" w:space="0"/>
              <w:bottom w:val="single" w:color="auto" w:sz="4" w:space="0"/>
              <w:right w:val="single" w:color="auto" w:sz="4" w:space="0"/>
            </w:tcBorders>
            <w:vAlign w:val="center"/>
          </w:tcPr>
          <w:p w14:paraId="0DF04629">
            <w:pPr>
              <w:widowControl/>
              <w:jc w:val="center"/>
              <w:textAlignment w:val="top"/>
              <w:rPr>
                <w:rFonts w:ascii="宋体" w:hAnsi="宋体" w:cs="宋体"/>
                <w:sz w:val="24"/>
                <w:szCs w:val="24"/>
                <w:lang w:bidi="ar"/>
              </w:rPr>
            </w:pPr>
            <w:r>
              <w:rPr>
                <w:rFonts w:hint="eastAsia" w:ascii="宋体" w:hAnsi="宋体" w:cs="宋体"/>
                <w:sz w:val="24"/>
                <w:szCs w:val="24"/>
                <w:lang w:bidi="ar"/>
              </w:rPr>
              <w:t>90</w:t>
            </w:r>
          </w:p>
        </w:tc>
        <w:tc>
          <w:tcPr>
            <w:tcW w:w="1134" w:type="dxa"/>
            <w:tcBorders>
              <w:top w:val="single" w:color="auto" w:sz="4" w:space="0"/>
              <w:left w:val="single" w:color="auto" w:sz="4" w:space="0"/>
              <w:bottom w:val="single" w:color="auto" w:sz="4" w:space="0"/>
              <w:right w:val="single" w:color="auto" w:sz="4" w:space="0"/>
            </w:tcBorders>
            <w:vAlign w:val="center"/>
          </w:tcPr>
          <w:p w14:paraId="52546C3A">
            <w:pPr>
              <w:widowControl/>
              <w:jc w:val="center"/>
              <w:textAlignment w:val="top"/>
              <w:rPr>
                <w:rFonts w:ascii="宋体" w:hAnsi="宋体" w:cs="宋体"/>
                <w:sz w:val="24"/>
                <w:szCs w:val="24"/>
              </w:rPr>
            </w:pPr>
            <w:r>
              <w:rPr>
                <w:rFonts w:hint="eastAsia" w:ascii="宋体" w:hAnsi="宋体" w:cs="宋体"/>
                <w:sz w:val="24"/>
                <w:szCs w:val="24"/>
              </w:rPr>
              <w:t>1台</w:t>
            </w:r>
          </w:p>
        </w:tc>
      </w:tr>
      <w:tr w14:paraId="16CB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036F5684">
            <w:pPr>
              <w:widowControl/>
              <w:jc w:val="center"/>
              <w:textAlignment w:val="top"/>
              <w:rPr>
                <w:rFonts w:ascii="宋体" w:hAnsi="宋体" w:cs="宋体"/>
                <w:sz w:val="24"/>
                <w:szCs w:val="24"/>
                <w:lang w:bidi="ar"/>
              </w:rPr>
            </w:pPr>
            <w:r>
              <w:rPr>
                <w:rFonts w:hint="eastAsia" w:ascii="宋体" w:hAnsi="宋体" w:cs="宋体"/>
                <w:sz w:val="24"/>
                <w:szCs w:val="24"/>
                <w:lang w:bidi="ar"/>
              </w:rPr>
              <w:t>CIMR-HB4A0180ABC(起升2)</w:t>
            </w:r>
          </w:p>
        </w:tc>
        <w:tc>
          <w:tcPr>
            <w:tcW w:w="13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5B80DF6A">
            <w:pPr>
              <w:widowControl/>
              <w:jc w:val="center"/>
              <w:textAlignment w:val="top"/>
              <w:rPr>
                <w:rFonts w:ascii="宋体" w:hAnsi="宋体" w:cs="宋体"/>
                <w:sz w:val="24"/>
                <w:szCs w:val="24"/>
                <w:lang w:bidi="ar"/>
              </w:rPr>
            </w:pPr>
            <w:r>
              <w:rPr>
                <w:rFonts w:hint="eastAsia" w:ascii="宋体" w:hAnsi="宋体" w:cs="宋体"/>
                <w:sz w:val="24"/>
                <w:szCs w:val="24"/>
                <w:lang w:bidi="ar"/>
              </w:rPr>
              <w:t>安川</w:t>
            </w:r>
          </w:p>
        </w:tc>
        <w:tc>
          <w:tcPr>
            <w:tcW w:w="1626" w:type="dxa"/>
            <w:tcBorders>
              <w:top w:val="single" w:color="auto" w:sz="4" w:space="0"/>
              <w:left w:val="single" w:color="auto" w:sz="4" w:space="0"/>
              <w:bottom w:val="single" w:color="auto" w:sz="4" w:space="0"/>
              <w:right w:val="single" w:color="auto" w:sz="4" w:space="0"/>
            </w:tcBorders>
          </w:tcPr>
          <w:p w14:paraId="1123EC13">
            <w:pPr>
              <w:widowControl/>
              <w:jc w:val="center"/>
              <w:textAlignment w:val="top"/>
              <w:rPr>
                <w:rFonts w:ascii="宋体" w:hAnsi="宋体" w:cs="宋体"/>
                <w:sz w:val="24"/>
                <w:szCs w:val="24"/>
                <w:lang w:bidi="ar"/>
              </w:rPr>
            </w:pPr>
            <w:r>
              <w:rPr>
                <w:rFonts w:hint="eastAsia" w:ascii="宋体" w:hAnsi="宋体" w:cs="宋体"/>
                <w:sz w:val="24"/>
                <w:szCs w:val="24"/>
                <w:lang w:bidi="ar"/>
              </w:rPr>
              <w:t>90</w:t>
            </w:r>
          </w:p>
        </w:tc>
        <w:tc>
          <w:tcPr>
            <w:tcW w:w="1134" w:type="dxa"/>
            <w:tcBorders>
              <w:top w:val="single" w:color="auto" w:sz="4" w:space="0"/>
              <w:left w:val="single" w:color="auto" w:sz="4" w:space="0"/>
              <w:bottom w:val="single" w:color="auto" w:sz="4" w:space="0"/>
              <w:right w:val="single" w:color="auto" w:sz="4" w:space="0"/>
            </w:tcBorders>
            <w:vAlign w:val="center"/>
          </w:tcPr>
          <w:p w14:paraId="7DBF9E32">
            <w:pPr>
              <w:widowControl/>
              <w:jc w:val="center"/>
              <w:textAlignment w:val="top"/>
              <w:rPr>
                <w:rFonts w:ascii="宋体" w:hAnsi="宋体" w:cs="宋体"/>
                <w:sz w:val="24"/>
                <w:szCs w:val="24"/>
              </w:rPr>
            </w:pPr>
            <w:r>
              <w:rPr>
                <w:rFonts w:hint="eastAsia" w:ascii="宋体" w:hAnsi="宋体" w:cs="宋体"/>
                <w:sz w:val="24"/>
                <w:szCs w:val="24"/>
              </w:rPr>
              <w:t>1台</w:t>
            </w:r>
          </w:p>
        </w:tc>
      </w:tr>
      <w:tr w14:paraId="62CB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5EE4E727">
            <w:pPr>
              <w:widowControl/>
              <w:jc w:val="center"/>
              <w:textAlignment w:val="top"/>
              <w:rPr>
                <w:rFonts w:ascii="宋体" w:hAnsi="宋体" w:cs="宋体"/>
                <w:sz w:val="24"/>
                <w:szCs w:val="24"/>
                <w:lang w:bidi="ar"/>
              </w:rPr>
            </w:pPr>
            <w:r>
              <w:rPr>
                <w:rFonts w:hint="eastAsia" w:ascii="宋体" w:hAnsi="宋体" w:cs="宋体"/>
                <w:sz w:val="24"/>
                <w:szCs w:val="24"/>
                <w:lang w:bidi="ar"/>
              </w:rPr>
              <w:t>CIMR-AB4A0165ABA（大车）</w:t>
            </w:r>
          </w:p>
        </w:tc>
        <w:tc>
          <w:tcPr>
            <w:tcW w:w="13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5C4BBBD8">
            <w:pPr>
              <w:widowControl/>
              <w:jc w:val="center"/>
              <w:textAlignment w:val="top"/>
              <w:rPr>
                <w:rFonts w:ascii="宋体" w:hAnsi="宋体" w:cs="宋体"/>
                <w:sz w:val="24"/>
                <w:szCs w:val="24"/>
                <w:lang w:bidi="ar"/>
              </w:rPr>
            </w:pPr>
            <w:r>
              <w:rPr>
                <w:rFonts w:hint="eastAsia" w:ascii="宋体" w:hAnsi="宋体" w:cs="宋体"/>
                <w:sz w:val="24"/>
                <w:szCs w:val="24"/>
                <w:lang w:bidi="ar"/>
              </w:rPr>
              <w:t>安川</w:t>
            </w:r>
          </w:p>
        </w:tc>
        <w:tc>
          <w:tcPr>
            <w:tcW w:w="1626" w:type="dxa"/>
            <w:tcBorders>
              <w:top w:val="single" w:color="auto" w:sz="4" w:space="0"/>
              <w:left w:val="single" w:color="auto" w:sz="4" w:space="0"/>
              <w:bottom w:val="single" w:color="auto" w:sz="4" w:space="0"/>
              <w:right w:val="single" w:color="auto" w:sz="4" w:space="0"/>
            </w:tcBorders>
            <w:vAlign w:val="center"/>
          </w:tcPr>
          <w:p w14:paraId="45F34F8B">
            <w:pPr>
              <w:widowControl/>
              <w:jc w:val="center"/>
              <w:textAlignment w:val="top"/>
              <w:rPr>
                <w:rFonts w:ascii="宋体" w:hAnsi="宋体" w:cs="宋体"/>
                <w:sz w:val="24"/>
                <w:szCs w:val="24"/>
                <w:lang w:bidi="ar"/>
              </w:rPr>
            </w:pPr>
            <w:r>
              <w:rPr>
                <w:rFonts w:hint="eastAsia" w:ascii="宋体" w:hAnsi="宋体" w:cs="宋体"/>
                <w:sz w:val="24"/>
                <w:szCs w:val="24"/>
                <w:lang w:bidi="ar"/>
              </w:rPr>
              <w:t>75</w:t>
            </w:r>
          </w:p>
        </w:tc>
        <w:tc>
          <w:tcPr>
            <w:tcW w:w="1134" w:type="dxa"/>
            <w:tcBorders>
              <w:top w:val="single" w:color="auto" w:sz="4" w:space="0"/>
              <w:left w:val="single" w:color="auto" w:sz="4" w:space="0"/>
              <w:bottom w:val="single" w:color="auto" w:sz="4" w:space="0"/>
              <w:right w:val="single" w:color="auto" w:sz="4" w:space="0"/>
            </w:tcBorders>
            <w:vAlign w:val="center"/>
          </w:tcPr>
          <w:p w14:paraId="2CE5A0D6">
            <w:pPr>
              <w:widowControl/>
              <w:jc w:val="center"/>
              <w:textAlignment w:val="top"/>
              <w:rPr>
                <w:rFonts w:ascii="宋体" w:hAnsi="宋体" w:cs="宋体"/>
                <w:sz w:val="24"/>
                <w:szCs w:val="24"/>
                <w:lang w:bidi="ar"/>
              </w:rPr>
            </w:pPr>
            <w:r>
              <w:rPr>
                <w:rFonts w:hint="eastAsia" w:ascii="宋体" w:hAnsi="宋体" w:cs="宋体"/>
                <w:sz w:val="24"/>
                <w:szCs w:val="24"/>
                <w:lang w:bidi="ar"/>
              </w:rPr>
              <w:t>1台</w:t>
            </w:r>
          </w:p>
        </w:tc>
      </w:tr>
      <w:tr w14:paraId="2F38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3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4D6E95D3">
            <w:pPr>
              <w:ind w:firstLine="720" w:firstLineChars="300"/>
              <w:rPr>
                <w:rFonts w:ascii="宋体" w:hAnsi="宋体" w:cs="宋体"/>
                <w:sz w:val="24"/>
                <w:szCs w:val="24"/>
                <w:lang w:bidi="ar"/>
              </w:rPr>
            </w:pPr>
            <w:r>
              <w:rPr>
                <w:rFonts w:hint="eastAsia" w:ascii="宋体" w:hAnsi="宋体" w:cs="宋体"/>
                <w:sz w:val="24"/>
                <w:szCs w:val="24"/>
                <w:lang w:bidi="ar"/>
              </w:rPr>
              <w:t>CIMR-AB4A0088ABA（小车）</w:t>
            </w:r>
          </w:p>
        </w:tc>
        <w:tc>
          <w:tcPr>
            <w:tcW w:w="13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65A17F90">
            <w:pPr>
              <w:widowControl/>
              <w:jc w:val="center"/>
              <w:textAlignment w:val="top"/>
              <w:rPr>
                <w:rFonts w:ascii="宋体" w:hAnsi="宋体" w:cs="宋体"/>
                <w:sz w:val="24"/>
                <w:szCs w:val="24"/>
                <w:lang w:bidi="ar"/>
              </w:rPr>
            </w:pPr>
            <w:r>
              <w:rPr>
                <w:rFonts w:hint="eastAsia" w:ascii="宋体" w:hAnsi="宋体" w:cs="宋体"/>
                <w:sz w:val="24"/>
                <w:szCs w:val="24"/>
                <w:lang w:bidi="ar"/>
              </w:rPr>
              <w:t>安川</w:t>
            </w:r>
          </w:p>
        </w:tc>
        <w:tc>
          <w:tcPr>
            <w:tcW w:w="1626" w:type="dxa"/>
            <w:tcBorders>
              <w:top w:val="single" w:color="auto" w:sz="4" w:space="0"/>
              <w:left w:val="single" w:color="auto" w:sz="4" w:space="0"/>
              <w:bottom w:val="single" w:color="auto" w:sz="4" w:space="0"/>
              <w:right w:val="single" w:color="auto" w:sz="4" w:space="0"/>
            </w:tcBorders>
          </w:tcPr>
          <w:p w14:paraId="79DE470A">
            <w:pPr>
              <w:widowControl/>
              <w:jc w:val="center"/>
              <w:textAlignment w:val="top"/>
              <w:rPr>
                <w:rFonts w:ascii="宋体" w:hAnsi="宋体" w:cs="宋体"/>
                <w:sz w:val="24"/>
                <w:szCs w:val="24"/>
                <w:lang w:bidi="ar"/>
              </w:rPr>
            </w:pPr>
            <w:r>
              <w:rPr>
                <w:rFonts w:hint="eastAsia" w:ascii="宋体" w:hAnsi="宋体" w:cs="宋体"/>
                <w:sz w:val="24"/>
                <w:szCs w:val="24"/>
                <w:lang w:bidi="ar"/>
              </w:rPr>
              <w:t>45</w:t>
            </w:r>
          </w:p>
        </w:tc>
        <w:tc>
          <w:tcPr>
            <w:tcW w:w="1134" w:type="dxa"/>
            <w:tcBorders>
              <w:top w:val="single" w:color="auto" w:sz="4" w:space="0"/>
              <w:left w:val="single" w:color="auto" w:sz="4" w:space="0"/>
              <w:bottom w:val="single" w:color="auto" w:sz="4" w:space="0"/>
              <w:right w:val="single" w:color="auto" w:sz="4" w:space="0"/>
            </w:tcBorders>
            <w:vAlign w:val="center"/>
          </w:tcPr>
          <w:p w14:paraId="2CBB1C12">
            <w:pPr>
              <w:widowControl/>
              <w:jc w:val="center"/>
              <w:textAlignment w:val="top"/>
              <w:rPr>
                <w:rFonts w:ascii="宋体" w:hAnsi="宋体" w:cs="宋体"/>
                <w:sz w:val="24"/>
                <w:szCs w:val="24"/>
                <w:lang w:bidi="ar"/>
              </w:rPr>
            </w:pPr>
            <w:r>
              <w:rPr>
                <w:rFonts w:hint="eastAsia" w:ascii="宋体" w:hAnsi="宋体" w:cs="宋体"/>
                <w:sz w:val="24"/>
                <w:szCs w:val="24"/>
                <w:lang w:bidi="ar"/>
              </w:rPr>
              <w:t>1台</w:t>
            </w:r>
          </w:p>
        </w:tc>
      </w:tr>
    </w:tbl>
    <w:p w14:paraId="7957B329">
      <w:pPr>
        <w:rPr>
          <w:rFonts w:ascii="方正仿宋简体" w:hAnsi="仿宋_GB2312" w:eastAsia="方正仿宋简体" w:cs="仿宋_GB2312"/>
          <w:kern w:val="1"/>
          <w:sz w:val="32"/>
          <w:szCs w:val="32"/>
        </w:rPr>
      </w:pPr>
    </w:p>
    <w:p w14:paraId="084EFE5F">
      <w:pPr>
        <w:ind w:firstLine="640" w:firstLineChars="200"/>
        <w:rPr>
          <w:rFonts w:ascii="方正仿宋简体" w:hAnsi="仿宋_GB2312" w:eastAsia="方正仿宋简体" w:cs="仿宋_GB2312"/>
          <w:color w:val="FF0000"/>
          <w:kern w:val="1"/>
          <w:sz w:val="32"/>
          <w:szCs w:val="32"/>
        </w:rPr>
      </w:pPr>
      <w:r>
        <w:rPr>
          <w:rFonts w:hint="eastAsia" w:ascii="方正仿宋简体" w:hAnsi="仿宋_GB2312" w:eastAsia="方正仿宋简体" w:cs="仿宋_GB2312"/>
          <w:kern w:val="1"/>
          <w:sz w:val="32"/>
          <w:szCs w:val="32"/>
        </w:rPr>
        <w:t>2. 中选方每半</w:t>
      </w:r>
      <w:r>
        <w:rPr>
          <w:rFonts w:hint="eastAsia" w:ascii="方正仿宋简体" w:hAnsi="方正仿宋简体" w:eastAsia="方正仿宋简体" w:cs="方正仿宋简体"/>
          <w:sz w:val="32"/>
          <w:szCs w:val="32"/>
        </w:rPr>
        <w:t>年对集装箱门吊变频器进行一次现场保养(现场维保要求详见附件</w:t>
      </w: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)，采购方提前一周通知中选方，中选方接到采购方保养变频器通知后，用</w:t>
      </w:r>
      <w:r>
        <w:rPr>
          <w:rFonts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rPr>
        <w:t>天时间完成全部变频器等</w:t>
      </w:r>
      <w:r>
        <w:rPr>
          <w:rFonts w:ascii="方正仿宋简体" w:hAnsi="方正仿宋简体" w:eastAsia="方正仿宋简体" w:cs="方正仿宋简体"/>
          <w:sz w:val="32"/>
          <w:szCs w:val="32"/>
        </w:rPr>
        <w:t>设备</w:t>
      </w:r>
      <w:r>
        <w:rPr>
          <w:rFonts w:hint="eastAsia" w:ascii="方正仿宋简体" w:hAnsi="方正仿宋简体" w:eastAsia="方正仿宋简体" w:cs="方正仿宋简体"/>
          <w:sz w:val="32"/>
          <w:szCs w:val="32"/>
        </w:rPr>
        <w:t>保养，</w:t>
      </w:r>
      <w:r>
        <w:rPr>
          <w:rFonts w:ascii="方正仿宋简体" w:hAnsi="方正仿宋简体" w:eastAsia="方正仿宋简体" w:cs="方正仿宋简体"/>
          <w:sz w:val="32"/>
          <w:szCs w:val="32"/>
        </w:rPr>
        <w:t>并出具保养报告</w:t>
      </w:r>
      <w:r>
        <w:rPr>
          <w:rFonts w:hint="eastAsia" w:ascii="方正仿宋简体" w:hAnsi="方正仿宋简体" w:eastAsia="方正仿宋简体" w:cs="方正仿宋简体"/>
          <w:sz w:val="32"/>
          <w:szCs w:val="32"/>
        </w:rPr>
        <w:t>；采购方变频器等</w:t>
      </w:r>
      <w:r>
        <w:rPr>
          <w:rFonts w:ascii="方正仿宋简体" w:hAnsi="方正仿宋简体" w:eastAsia="方正仿宋简体" w:cs="方正仿宋简体"/>
          <w:sz w:val="32"/>
          <w:szCs w:val="32"/>
        </w:rPr>
        <w:t>设备</w:t>
      </w:r>
      <w:r>
        <w:rPr>
          <w:rFonts w:hint="eastAsia" w:ascii="方正仿宋简体" w:hAnsi="方正仿宋简体" w:eastAsia="方正仿宋简体" w:cs="方正仿宋简体"/>
          <w:sz w:val="32"/>
          <w:szCs w:val="32"/>
        </w:rPr>
        <w:t>出现故障，中选方必须在接到通知后</w:t>
      </w:r>
      <w:r>
        <w:rPr>
          <w:rFonts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rPr>
        <w:t>小时内赶到采购方现场判断故障并现场维修，如变频器等</w:t>
      </w:r>
      <w:r>
        <w:rPr>
          <w:rFonts w:ascii="方正仿宋简体" w:hAnsi="方正仿宋简体" w:eastAsia="方正仿宋简体" w:cs="方正仿宋简体"/>
          <w:sz w:val="32"/>
          <w:szCs w:val="32"/>
        </w:rPr>
        <w:t>设备</w:t>
      </w:r>
      <w:r>
        <w:rPr>
          <w:rFonts w:hint="eastAsia" w:ascii="方正仿宋简体" w:hAnsi="方正仿宋简体" w:eastAsia="方正仿宋简体" w:cs="方正仿宋简体"/>
          <w:sz w:val="32"/>
          <w:szCs w:val="32"/>
        </w:rPr>
        <w:t>需运至中选方维修工厂进行维修和保养（维修要求详见附件</w:t>
      </w:r>
      <w:r>
        <w:rPr>
          <w:rFonts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rPr>
        <w:t>），变频器往返由中选方负责，现场拆卸、安装、叉车由采购方负责，维修时间不超过72小时</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 xml:space="preserve"> </w:t>
      </w:r>
      <w:r>
        <w:rPr>
          <w:rFonts w:hint="eastAsia" w:ascii="方正仿宋简体" w:hAnsi="仿宋_GB2312" w:eastAsia="方正仿宋简体" w:cs="仿宋_GB2312"/>
          <w:color w:val="FF0000"/>
          <w:kern w:val="1"/>
          <w:sz w:val="32"/>
          <w:szCs w:val="32"/>
        </w:rPr>
        <w:t xml:space="preserve">                               </w:t>
      </w:r>
    </w:p>
    <w:p w14:paraId="14E95C69">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仿宋_GB2312" w:eastAsia="方正仿宋简体" w:cs="仿宋_GB2312"/>
          <w:kern w:val="1"/>
          <w:sz w:val="32"/>
          <w:szCs w:val="32"/>
        </w:rPr>
        <w:t>3.</w:t>
      </w:r>
      <w:r>
        <w:rPr>
          <w:rFonts w:ascii="方正仿宋简体" w:hAnsi="方正仿宋简体" w:eastAsia="方正仿宋简体" w:cs="方正仿宋简体"/>
          <w:sz w:val="32"/>
          <w:szCs w:val="32"/>
        </w:rPr>
        <w:t xml:space="preserve"> 维保</w:t>
      </w:r>
      <w:r>
        <w:rPr>
          <w:rFonts w:ascii="方正仿宋简体" w:hAnsi="方正仿宋简体" w:eastAsia="方正仿宋简体" w:cs="方正仿宋简体"/>
          <w:kern w:val="2"/>
          <w:sz w:val="32"/>
          <w:szCs w:val="32"/>
        </w:rPr>
        <w:t>施工所需的其它</w:t>
      </w:r>
      <w:r>
        <w:rPr>
          <w:rFonts w:ascii="方正仿宋简体" w:hAnsi="方正仿宋简体" w:eastAsia="方正仿宋简体" w:cs="方正仿宋简体"/>
          <w:sz w:val="32"/>
          <w:szCs w:val="32"/>
        </w:rPr>
        <w:t>机械辅助设施须在符合安全规范及安全性能的前提下全部由中选方自行解决（比选文件注明由采购方提供的除外），其它在施工中任何可能发生的费用，如拆除费、赶工加班费、设备材料保管费、短途运输搬运费、施工垃圾清理费、围挡搭设费等都应包含在报价总价中。</w:t>
      </w:r>
    </w:p>
    <w:p w14:paraId="6D0C31F8">
      <w:pPr>
        <w:ind w:firstLine="640"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rPr>
        <w:t>.质量要求及技术标准：应满足附件</w:t>
      </w: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《变频器现场维保工作内容》附件</w:t>
      </w:r>
      <w:r>
        <w:rPr>
          <w:rFonts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rPr>
        <w:t>《变频器维修技术标准》。</w:t>
      </w:r>
    </w:p>
    <w:p w14:paraId="71EE1A53">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5</w:t>
      </w:r>
      <w:r>
        <w:rPr>
          <w:rFonts w:ascii="方正仿宋简体" w:hAnsi="方正仿宋简体" w:eastAsia="方正仿宋简体" w:cs="方正仿宋简体"/>
          <w:kern w:val="2"/>
          <w:sz w:val="32"/>
          <w:szCs w:val="32"/>
        </w:rPr>
        <w:t>.维保服务报价为含税价，请注明税率。</w:t>
      </w:r>
    </w:p>
    <w:p w14:paraId="26775933">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6</w:t>
      </w:r>
      <w:r>
        <w:rPr>
          <w:rFonts w:ascii="方正仿宋简体" w:hAnsi="方正仿宋简体" w:eastAsia="方正仿宋简体" w:cs="方正仿宋简体"/>
          <w:kern w:val="2"/>
          <w:sz w:val="32"/>
          <w:szCs w:val="32"/>
        </w:rPr>
        <w:t>.如涉及防爆区域作业，中选单位应使用具备防爆功能的工器具。</w:t>
      </w:r>
    </w:p>
    <w:p w14:paraId="180B612F">
      <w:pPr>
        <w:pStyle w:val="12"/>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7</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6623941A">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53F6E69B">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（一）报价人必须具备中华人民共和国境内生产或经营应具备的合法资质。</w:t>
      </w:r>
    </w:p>
    <w:p w14:paraId="5664EB8C">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1D743A13">
      <w:pPr>
        <w:adjustRightInd w:val="0"/>
        <w:snapToGrid w:val="0"/>
        <w:spacing w:line="600" w:lineRule="exact"/>
        <w:ind w:firstLine="640"/>
        <w:rPr>
          <w:rFonts w:ascii="方正仿宋简体" w:eastAsia="方正仿宋简体" w:cs="仿宋_GB2312"/>
          <w:sz w:val="32"/>
          <w:szCs w:val="32"/>
        </w:rPr>
      </w:pP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 xml:space="preserve"> 报价时需提供</w:t>
      </w:r>
      <w:r>
        <w:rPr>
          <w:rFonts w:hint="eastAsia" w:ascii="方正仿宋简体" w:hAnsi="仿宋_GB2312" w:eastAsia="方正仿宋简体" w:cs="仿宋_GB2312"/>
          <w:sz w:val="32"/>
          <w:szCs w:val="32"/>
        </w:rPr>
        <w:t>营业执</w:t>
      </w:r>
      <w:r>
        <w:rPr>
          <w:rFonts w:hint="eastAsia" w:ascii="方正仿宋简体" w:hAnsi="仿宋_GB2312" w:eastAsia="方正仿宋简体" w:cs="仿宋_GB2312"/>
          <w:color w:val="000000" w:themeColor="text1"/>
          <w:sz w:val="32"/>
          <w:szCs w:val="32"/>
          <w14:textFill>
            <w14:solidFill>
              <w14:schemeClr w14:val="tx1"/>
            </w14:solidFill>
          </w14:textFill>
        </w:rPr>
        <w:t>照、</w:t>
      </w:r>
      <w:r>
        <w:rPr>
          <w:rFonts w:hint="eastAsia" w:ascii="方正仿宋简体" w:eastAsia="方正仿宋简体" w:cs="仿宋_GB2312"/>
          <w:color w:val="000000" w:themeColor="text1"/>
          <w:sz w:val="32"/>
          <w:szCs w:val="32"/>
          <w14:textFill>
            <w14:solidFill>
              <w14:schemeClr w14:val="tx1"/>
            </w14:solidFill>
          </w14:textFill>
        </w:rPr>
        <w:t>《税务登记证》、《组织机构代码证》（</w:t>
      </w:r>
      <w:r>
        <w:rPr>
          <w:rFonts w:hint="eastAsia" w:ascii="方正仿宋简体" w:hAnsi="方正仿宋简体" w:eastAsia="方正仿宋简体" w:cs="方正仿宋简体"/>
          <w:sz w:val="32"/>
          <w:szCs w:val="32"/>
        </w:rPr>
        <w:t>或三证合一）（含：电气或电子设备</w:t>
      </w:r>
      <w:r>
        <w:rPr>
          <w:rFonts w:ascii="方正仿宋简体" w:hAnsi="方正仿宋简体" w:eastAsia="方正仿宋简体" w:cs="方正仿宋简体"/>
          <w:sz w:val="32"/>
          <w:szCs w:val="32"/>
        </w:rPr>
        <w:t>维护</w:t>
      </w:r>
      <w:r>
        <w:rPr>
          <w:rFonts w:hint="eastAsia" w:ascii="方正仿宋简体" w:hAnsi="方正仿宋简体" w:eastAsia="方正仿宋简体" w:cs="方正仿宋简体"/>
          <w:sz w:val="32"/>
          <w:szCs w:val="32"/>
        </w:rPr>
        <w:t>维修或变频器等</w:t>
      </w:r>
      <w:r>
        <w:rPr>
          <w:rFonts w:ascii="方正仿宋简体" w:hAnsi="方正仿宋简体" w:eastAsia="方正仿宋简体" w:cs="方正仿宋简体"/>
          <w:sz w:val="32"/>
          <w:szCs w:val="32"/>
        </w:rPr>
        <w:t>电气设备维护</w:t>
      </w:r>
      <w:r>
        <w:rPr>
          <w:rFonts w:hint="eastAsia" w:ascii="方正仿宋简体" w:hAnsi="方正仿宋简体" w:eastAsia="方正仿宋简体" w:cs="方正仿宋简体"/>
          <w:sz w:val="32"/>
          <w:szCs w:val="32"/>
        </w:rPr>
        <w:t>维修或</w:t>
      </w:r>
      <w:r>
        <w:rPr>
          <w:rFonts w:ascii="方正仿宋简体" w:hAnsi="方正仿宋简体" w:eastAsia="方正仿宋简体" w:cs="方正仿宋简体"/>
          <w:sz w:val="32"/>
          <w:szCs w:val="32"/>
        </w:rPr>
        <w:t>自动化控制设备维护维修项目</w:t>
      </w:r>
      <w:r>
        <w:rPr>
          <w:rFonts w:hint="eastAsia" w:ascii="方正仿宋简体" w:hAnsi="方正仿宋简体" w:eastAsia="方正仿宋简体" w:cs="方正仿宋简体"/>
          <w:sz w:val="32"/>
          <w:szCs w:val="32"/>
        </w:rPr>
        <w:t>），</w:t>
      </w:r>
      <w:r>
        <w:rPr>
          <w:rFonts w:hint="eastAsia" w:ascii="方正仿宋简体" w:eastAsia="方正仿宋简体" w:cs="仿宋_GB2312"/>
          <w:color w:val="FF0000"/>
          <w:sz w:val="32"/>
          <w:szCs w:val="32"/>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（以上资格证明文件均可提供复印件，但需加盖公章。</w:t>
      </w:r>
    </w:p>
    <w:p w14:paraId="7B8136DA">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在采购单位1年内有同类型业绩且以上资格证明文件均合法有效的企业可不提供以上资格证明文件）</w:t>
      </w:r>
      <w:r>
        <w:rPr>
          <w:rFonts w:hint="eastAsia" w:ascii="方正仿宋简体" w:hAnsi="方正仿宋简体" w:eastAsia="方正仿宋简体" w:cs="方正仿宋简体"/>
          <w:sz w:val="32"/>
          <w:szCs w:val="32"/>
        </w:rPr>
        <w:t>。</w:t>
      </w:r>
    </w:p>
    <w:p w14:paraId="7A62E6D7">
      <w:pPr>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确定中选后，在签订合同前，</w:t>
      </w:r>
      <w:r>
        <w:rPr>
          <w:rFonts w:hint="eastAsia" w:ascii="方正仿宋简体" w:hAnsi="方正仿宋简体" w:eastAsia="方正仿宋简体" w:cs="方正仿宋简体"/>
          <w:color w:val="FF0000"/>
          <w:kern w:val="1"/>
          <w:sz w:val="32"/>
          <w:szCs w:val="32"/>
        </w:rPr>
        <w:t>需提供</w:t>
      </w:r>
      <w:r>
        <w:rPr>
          <w:rFonts w:hint="eastAsia" w:ascii="方正仿宋简体" w:eastAsia="方正仿宋简体" w:cs="仿宋_GB2312"/>
          <w:color w:val="FF0000"/>
          <w:sz w:val="32"/>
          <w:szCs w:val="32"/>
        </w:rPr>
        <w:t>一般纳税人证明材料、承包单位与派遣作业人员的劳务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、作业人员工伤保险证明或人身意外伤害保险缴纳证明。根据施工工期要求，至少提供本单位2位工人的缴纳证明，同时须提供本公司安全生产责任险缴纳证明。</w:t>
      </w:r>
      <w:r>
        <w:rPr>
          <w:rFonts w:hint="eastAsia" w:ascii="方正仿宋简体" w:eastAsia="方正仿宋简体" w:cs="仿宋_GB2312"/>
          <w:sz w:val="32"/>
          <w:szCs w:val="32"/>
        </w:rPr>
        <w:t xml:space="preserve"> (以上资格证明证件均可提供复印件，但需加盖公章)。</w:t>
      </w:r>
    </w:p>
    <w:p w14:paraId="6BFA2B7F">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2.中选单位与采购单位签订合同时，须按照海纳川相关安全管理规定签订或提供《外包项目(工程)安全生产管理协议书》并依照《海纳川承包商安全环保管理制度》管理；检测前，采购方安全管理部门对中选</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4099781D">
      <w:pPr>
        <w:pStyle w:val="12"/>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3.作业过程中，若涉及特种作业（如电工等）的需提供相应的特种作业证，必须人证一致，且在有效期内。</w:t>
      </w:r>
    </w:p>
    <w:p w14:paraId="69B71F2E">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4.不接受被列入失信被执行人、重大违法案件当事人报价。</w:t>
      </w:r>
    </w:p>
    <w:p w14:paraId="1833638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5.报价人应具备良好的售后服务能力，要求电话联系后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4F0249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276A1809">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1.报价方必须到现场进行实地考察，并详细了解现场变频器使用情况，为保证公平性，采购方在现场对报价单位进行介绍，报价方在比选文件发布之日起至</w:t>
      </w:r>
      <w:r>
        <w:rPr>
          <w:rFonts w:hint="eastAsia" w:ascii="方正仿宋_GBK" w:hAnsi="方正仿宋_GBK" w:eastAsia="方正仿宋_GBK" w:cs="方正仿宋_GBK"/>
          <w:bCs/>
          <w:color w:val="FF0000"/>
          <w:sz w:val="32"/>
          <w:szCs w:val="32"/>
        </w:rPr>
        <w:t>报价截止日前2天上午12点前</w:t>
      </w:r>
      <w:r>
        <w:rPr>
          <w:rFonts w:hint="eastAsia" w:ascii="方正仿宋_GBK" w:hAnsi="方正仿宋_GBK" w:eastAsia="方正仿宋_GBK" w:cs="方正仿宋_GBK"/>
          <w:bCs/>
          <w:sz w:val="32"/>
          <w:szCs w:val="32"/>
        </w:rPr>
        <w:t>都可与技术部门联系人卞骏联系，确定现场踏勘具体时间，电话：15306107162。对于参加现场踏勘的报价单位采购方将做好记录，对于未现场踏勘的报价单位，采购方将不接受其报价。</w:t>
      </w:r>
      <w:r>
        <w:rPr>
          <w:rFonts w:hint="eastAsia" w:ascii="方正仿宋简体" w:hAnsi="方正仿宋简体" w:eastAsia="方正仿宋简体" w:cs="方正仿宋简体"/>
          <w:kern w:val="1"/>
          <w:sz w:val="32"/>
          <w:szCs w:val="32"/>
        </w:rPr>
        <w:t>见附件</w:t>
      </w:r>
      <w:r>
        <w:rPr>
          <w:rFonts w:ascii="方正仿宋简体" w:hAnsi="方正仿宋简体" w:eastAsia="方正仿宋简体" w:cs="方正仿宋简体"/>
          <w:kern w:val="1"/>
          <w:sz w:val="32"/>
          <w:szCs w:val="32"/>
        </w:rPr>
        <w:t>7</w:t>
      </w:r>
      <w:r>
        <w:rPr>
          <w:rFonts w:hint="eastAsia" w:ascii="方正仿宋简体" w:hAnsi="方正仿宋简体" w:eastAsia="方正仿宋简体" w:cs="方正仿宋简体"/>
          <w:kern w:val="1"/>
          <w:sz w:val="32"/>
          <w:szCs w:val="32"/>
        </w:rPr>
        <w:t>：现场踏勘证明书</w:t>
      </w:r>
    </w:p>
    <w:p w14:paraId="3BF33CB7">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2.采购人在踏勘现场中介绍的情况，供报价人在编制报价文件时参考，采购人不对报价人据此作出的判断和决策负责。</w:t>
      </w:r>
    </w:p>
    <w:p w14:paraId="5D277AC8">
      <w:pPr>
        <w:pStyle w:val="8"/>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3.现场踏勘后对报价人所提问题的澄清（如果有），采购人应在报价截止时间前</w:t>
      </w:r>
      <w:r>
        <w:rPr>
          <w:rFonts w:ascii="方正仿宋_GBK" w:hAnsi="方正仿宋_GBK" w:eastAsia="方正仿宋_GBK" w:cs="方正仿宋_GBK"/>
          <w:bCs/>
          <w:sz w:val="32"/>
          <w:szCs w:val="32"/>
        </w:rPr>
        <w:t>2</w:t>
      </w:r>
      <w:r>
        <w:rPr>
          <w:rFonts w:hint="eastAsia" w:ascii="方正仿宋_GBK" w:hAnsi="方正仿宋_GBK" w:eastAsia="方正仿宋_GBK" w:cs="方正仿宋_GBK"/>
          <w:bCs/>
          <w:sz w:val="32"/>
          <w:szCs w:val="32"/>
        </w:rPr>
        <w:t>天以书面形式通知所有报名的报价人。该澄清内容为比选文件的组成部分。</w:t>
      </w:r>
    </w:p>
    <w:p w14:paraId="12F65041">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五、报价</w:t>
      </w:r>
    </w:p>
    <w:p w14:paraId="5A7C4420">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报价为含增值税送到价。合同期内如国家税率进行调整，则本合同不含增值税单价不变，按照调整后的增值税税率进行结算调整含税总价；</w:t>
      </w:r>
    </w:p>
    <w:p w14:paraId="1FF7D4E7">
      <w:pPr>
        <w:pStyle w:val="8"/>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4CF1D01F">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bookmarkStart w:id="6" w:name="OLE_LINK20"/>
      <w:r>
        <w:rPr>
          <w:rFonts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rPr>
        <w:t xml:space="preserve"> 合同签订后，维保服务每年结算一次（共2次），服务满一年，中选方开具1年的现场维保费增值税专用发票后30日内，采购方以网银付款方式支付费用。如发生变频器维修，不更换</w:t>
      </w:r>
      <w:r>
        <w:rPr>
          <w:rFonts w:ascii="方正仿宋简体" w:hAnsi="方正仿宋简体" w:eastAsia="方正仿宋简体" w:cs="方正仿宋简体"/>
          <w:bCs/>
          <w:kern w:val="1"/>
          <w:sz w:val="32"/>
          <w:szCs w:val="32"/>
        </w:rPr>
        <w:t>配件</w:t>
      </w:r>
      <w:r>
        <w:rPr>
          <w:rFonts w:hint="eastAsia" w:ascii="方正仿宋简体" w:hAnsi="方正仿宋简体" w:eastAsia="方正仿宋简体" w:cs="方正仿宋简体"/>
          <w:bCs/>
          <w:kern w:val="1"/>
          <w:sz w:val="32"/>
          <w:szCs w:val="32"/>
        </w:rPr>
        <w:t>中选</w:t>
      </w:r>
      <w:r>
        <w:rPr>
          <w:rFonts w:ascii="方正仿宋简体" w:hAnsi="方正仿宋简体" w:eastAsia="方正仿宋简体" w:cs="方正仿宋简体"/>
          <w:bCs/>
          <w:kern w:val="1"/>
          <w:sz w:val="32"/>
          <w:szCs w:val="32"/>
        </w:rPr>
        <w:t>方不收费，如需更换配件，</w:t>
      </w:r>
      <w:r>
        <w:rPr>
          <w:rFonts w:hint="eastAsia" w:ascii="方正仿宋简体" w:hAnsi="方正仿宋简体" w:eastAsia="方正仿宋简体" w:cs="方正仿宋简体"/>
          <w:bCs/>
          <w:kern w:val="1"/>
          <w:sz w:val="32"/>
          <w:szCs w:val="32"/>
        </w:rPr>
        <w:t>中选方根据采购方提供的审计认定单价格开具增值税专用发票，采购方收到发票后30 日内以网银付款方式支付配件费。（</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bookmarkEnd w:id="6"/>
    <w:p w14:paraId="76046BED">
      <w:pPr>
        <w:adjustRightInd w:val="0"/>
        <w:snapToGrid w:val="0"/>
        <w:spacing w:line="600" w:lineRule="exact"/>
        <w:ind w:firstLine="640" w:firstLineChars="200"/>
        <w:jc w:val="left"/>
        <w:rPr>
          <w:rFonts w:ascii="方正仿宋简体" w:hAnsi="方正仿宋简体" w:eastAsia="方正仿宋简体" w:cs="方正仿宋简体"/>
          <w:bCs/>
          <w:color w:val="FF0000"/>
          <w:kern w:val="0"/>
          <w:sz w:val="32"/>
          <w:szCs w:val="32"/>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rPr>
        <w:t>竣工结算按实际工作量结算，按2014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1C67A88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44BCB43D">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将报价书及相关资料以密封袋形式送达并加盖公章；在密封袋封面上需注明报价项目名称、报价方名称、联系人、联系电话等；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r>
        <w:rPr>
          <w:rFonts w:hint="eastAsia" w:ascii="方正仿宋简体" w:hAnsi="方正仿宋简体" w:eastAsia="方正仿宋简体" w:cs="方正仿宋简体"/>
          <w:bCs/>
          <w:kern w:val="1"/>
          <w:sz w:val="32"/>
          <w:szCs w:val="32"/>
        </w:rPr>
        <w:t>。</w:t>
      </w:r>
    </w:p>
    <w:p w14:paraId="5F7FAAF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47AC54C8">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DBACB8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46F63D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57141A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EB2C57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A70437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凡对比选文书条款有疑义的，请在评审前按以下方式联系：</w:t>
      </w:r>
    </w:p>
    <w:p w14:paraId="41AB01D4">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8DF13B3">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4AD714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采购部门联系人：卞骏      电话：15306107162</w:t>
      </w:r>
      <w:r>
        <w:rPr>
          <w:rFonts w:hint="eastAsia" w:ascii="方正仿宋简体" w:hAnsi="方正仿宋简体" w:eastAsia="方正仿宋简体" w:cs="方正仿宋简体"/>
          <w:bCs/>
          <w:color w:val="FF0000"/>
          <w:kern w:val="1"/>
          <w:sz w:val="32"/>
          <w:szCs w:val="32"/>
        </w:rPr>
        <w:t xml:space="preserve"> </w:t>
      </w:r>
    </w:p>
    <w:p w14:paraId="289A5BE8">
      <w:pPr>
        <w:pStyle w:val="8"/>
        <w:spacing w:line="600" w:lineRule="exact"/>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评审流程：</w:t>
      </w:r>
    </w:p>
    <w:p w14:paraId="5BA7029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34C9FDF1">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本项目由采购人组织评审小组负责评审工作，对各供应商报价进行评审，确定最终中选人。</w:t>
      </w:r>
    </w:p>
    <w:p w14:paraId="4D25BFFF">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简体" w:hAnsi="方正仿宋简体" w:eastAsia="方正仿宋简体" w:cs="方正仿宋简体"/>
          <w:bCs/>
          <w:kern w:val="1"/>
          <w:sz w:val="32"/>
          <w:szCs w:val="32"/>
        </w:rPr>
        <w:t>。</w:t>
      </w:r>
    </w:p>
    <w:p w14:paraId="5B8F379A">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051FAB3B">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19C1B37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307C9D1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采取综合评审方法进行打分，具体按价格得分、技术得分、商务得分（得分比例根据货物内容确定）三个方面进行评审，并按综合得分由高到低顺序推选一名中选人。</w:t>
      </w:r>
    </w:p>
    <w:p w14:paraId="2C1514E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75FECEC8">
      <w:pPr>
        <w:spacing w:line="600" w:lineRule="exact"/>
        <w:ind w:firstLine="640" w:firstLineChars="200"/>
        <w:jc w:val="left"/>
        <w:rPr>
          <w:rFonts w:ascii="方正仿宋简体" w:hAnsi="方正仿宋简体" w:eastAsia="方正仿宋简体" w:cs="方正仿宋简体"/>
          <w:bCs/>
          <w:kern w:val="1"/>
          <w:sz w:val="32"/>
          <w:szCs w:val="32"/>
        </w:rPr>
      </w:pPr>
      <w:bookmarkStart w:id="7" w:name="OLE_LINK6"/>
      <w:bookmarkStart w:id="8" w:name="OLE_LINK39"/>
      <w:bookmarkStart w:id="9" w:name="OLE_LINK38"/>
      <w:r>
        <w:rPr>
          <w:rFonts w:hint="eastAsia" w:ascii="方正仿宋简体" w:hAnsi="方正仿宋简体" w:eastAsia="方正仿宋简体" w:cs="方正仿宋简体"/>
          <w:bCs/>
          <w:kern w:val="1"/>
          <w:sz w:val="32"/>
          <w:szCs w:val="32"/>
        </w:rPr>
        <w:t xml:space="preserve"> 在能够满足采购人技术要求及供货期要求的供应商中选择总价最低的一家供应商作为中选人。</w:t>
      </w:r>
    </w:p>
    <w:bookmarkEnd w:id="7"/>
    <w:bookmarkEnd w:id="8"/>
    <w:bookmarkEnd w:id="9"/>
    <w:p w14:paraId="5F7118E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30AEECC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1.采购人如发现询比价过程中有串通报价、陪同报价等扰乱采购人经营秩序的恶劣情况，经采购人评审小组评定可作询价废止处理，并可将相关供应商列入供应商负面清单，一年内不再接受参与报价工作。</w:t>
      </w:r>
    </w:p>
    <w:p w14:paraId="18D9F9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1879F831">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774FF424">
      <w:pPr>
        <w:pStyle w:val="8"/>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4112700D">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未经采购人允许,报价人不得以任何方式将本项目分包给第三方，否则按本合同总价的10%作为违约金，同时采购人有权终止本合同。　　</w:t>
      </w:r>
    </w:p>
    <w:p w14:paraId="75E932F2">
      <w:pPr>
        <w:adjustRightInd w:val="0"/>
        <w:snapToGrid w:val="0"/>
        <w:spacing w:line="600" w:lineRule="exact"/>
        <w:ind w:firstLine="640" w:firstLineChars="200"/>
        <w:jc w:val="left"/>
        <w:rPr>
          <w:color w:val="000000" w:themeColor="text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（二）</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中选人中选以后应严格按照比选文书约定与采购方签定供需合同，并按合同约定做好物资供应和服务工作。对中选人所有违背比选文书及合同约定的行为，采购人均可持续保留与成交方中止合作的一切权利。</w:t>
      </w:r>
    </w:p>
    <w:p w14:paraId="0E3EA12D">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（三）</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对需检验的品种，经采购人检验部门检验合格后方能收货，否则做退、换货处理；长期合约的中选人如出现三次产品质量不合格的情况，视为中选人无能力保障产品质量，采购人有权终止此次采购合同的执行。</w:t>
      </w:r>
    </w:p>
    <w:p w14:paraId="56FC0EE9">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（四）</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如因中选人不能正常履约，对采购人生产经营活动造成影响的，报价人除承担合同总价20%的违约金外，由此产生的营运损失由报价人另行承担。</w:t>
      </w:r>
    </w:p>
    <w:p w14:paraId="75824A62">
      <w:pPr>
        <w:adjustRightInd w:val="0"/>
        <w:snapToGrid w:val="0"/>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（五）</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因中选人原因，工作不能按比选文书规定的期限完成，违约金从本项目款中扣除，每延迟一天按本项目款的1%计收违约金，违约金从本合同款中扣除，不足部分由报价人另行支付（如有异议请在报价时注明）。不能在规定的期限完成本项目，延期20日内（含20天），采购人有权解除合同，并按合同总额20%追究报价人违约责任（如有异议请在报价时注明）。因报价人违约给采购人造成的损失违约金不足以弥补的，由报价人另行补足。</w:t>
      </w:r>
    </w:p>
    <w:p w14:paraId="1F9DED57">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（六）</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中选人项目完成后，经验收不合格的，采购人可选择以下处理方式：</w:t>
      </w:r>
    </w:p>
    <w:p w14:paraId="164CC178">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1.采购人选择重新维修的，重新维修过程中产生的费用由中选人全部承担，且需在采购人第一次验收不合格之日起1日内完成，逾期未完成的，违约责任参照（五）执行。如果出现两次验收不合格的情况，采购人有权解除合同，并有权要求中选人赔偿合同总价款的20%违约金给采购人（如有异议请在报价时注明）。中选人造成的损失违约金不足以弥补的，由中选人另行补足。</w:t>
      </w:r>
    </w:p>
    <w:p w14:paraId="5DF5F456">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2.采购人选择解除合同的，中选人需无条件返还本项目采购人提供的所有物品，并按采购人要求的时间运输至采购人指定地点，采购人有权要求中选人赔偿合同总价款的20%违约金给采购人（如有异议请在报价时注明）。</w:t>
      </w:r>
    </w:p>
    <w:p w14:paraId="63C49F31">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3.因中选人的项目质量、逾期完成等原因给采购人造成直接和间接经济损失的，由中选人承担全部责任（如有异议请在报价时注明）。</w:t>
      </w:r>
    </w:p>
    <w:p w14:paraId="331568DC">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（七）</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中选人应严格按照比选文书约定与采购方签定供需合同，并按合同约定做好物资供应和服务工作。对中选人所有违背比选文书及合同约定的行为，采购人均可持续保留与成交方中止合作的一切权利。　</w:t>
      </w:r>
    </w:p>
    <w:p w14:paraId="4B153895">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（八）</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报价人在中选后无正当理由不与采购人签订合同的，将承担违约责任，列入采购人供应商负面清单。</w:t>
      </w:r>
    </w:p>
    <w:p w14:paraId="221A98AB">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（九）</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报价人应详细阅读本招比选文书，参与报价即视为对本比选文书所列之条款均表示接受。</w:t>
      </w:r>
    </w:p>
    <w:p w14:paraId="5CA0E538">
      <w:pPr>
        <w:adjustRightInd w:val="0"/>
        <w:snapToGrid w:val="0"/>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（十）</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采购人对违反约定的报价人或中选人将按《</w:t>
      </w:r>
      <w:r>
        <w:rPr>
          <w:rFonts w:ascii="方正仿宋简体" w:hAnsi="方正仿宋简体" w:eastAsia="方正仿宋简体" w:cs="方正仿宋简体"/>
          <w:bCs/>
          <w:color w:val="000000" w:themeColor="text1"/>
          <w:kern w:val="1"/>
          <w:sz w:val="32"/>
          <w:szCs w:val="32"/>
          <w14:textFill>
            <w14:solidFill>
              <w14:schemeClr w14:val="tx1"/>
            </w14:solidFill>
          </w14:textFill>
        </w:rPr>
        <w:t>镇江</w:t>
      </w:r>
    </w:p>
    <w:p w14:paraId="0389B579">
      <w:pPr>
        <w:spacing w:line="600" w:lineRule="exac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ascii="方正仿宋简体" w:hAnsi="方正仿宋简体" w:eastAsia="方正仿宋简体" w:cs="方正仿宋简体"/>
          <w:bCs/>
          <w:color w:val="000000" w:themeColor="text1"/>
          <w:kern w:val="1"/>
          <w:sz w:val="32"/>
          <w:szCs w:val="32"/>
          <w14:textFill>
            <w14:solidFill>
              <w14:schemeClr w14:val="tx1"/>
            </w14:solidFill>
          </w14:textFill>
        </w:rPr>
        <w:t>海纳川采购管理规定</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》中供应商管理对报价人进行管理考核（详见附件1）。</w:t>
      </w:r>
    </w:p>
    <w:p w14:paraId="1C611187">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（十一）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外协作业人员需先进行安全教育培训。</w:t>
      </w:r>
    </w:p>
    <w:p w14:paraId="55125BF7">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68D262C8">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4C472EE4">
      <w:pPr>
        <w:rPr>
          <w:rFonts w:ascii="方正小标宋简体" w:hAnsi="方正小标宋简体" w:eastAsia="方正小标宋简体" w:cs="方正小标宋简体"/>
          <w:sz w:val="44"/>
          <w:szCs w:val="44"/>
        </w:rPr>
      </w:pPr>
    </w:p>
    <w:p w14:paraId="526081FC">
      <w:pPr>
        <w:pStyle w:val="7"/>
      </w:pPr>
    </w:p>
    <w:p w14:paraId="76FC3F8B"/>
    <w:p w14:paraId="30CECAE4">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2625E43">
      <w:pPr>
        <w:tabs>
          <w:tab w:val="left" w:pos="180"/>
        </w:tabs>
        <w:spacing w:line="600" w:lineRule="exact"/>
        <w:rPr>
          <w:rFonts w:ascii="方正仿宋简体" w:hAnsi="方正仿宋简体" w:eastAsia="方正仿宋简体" w:cs="方正仿宋简体"/>
          <w:sz w:val="32"/>
          <w:szCs w:val="32"/>
        </w:rPr>
      </w:pPr>
      <w:bookmarkStart w:id="10" w:name="OLE_LINK1"/>
      <w:r>
        <w:rPr>
          <w:rFonts w:hint="eastAsia" w:ascii="方正仿宋简体" w:hAnsi="方正仿宋简体" w:eastAsia="方正仿宋简体" w:cs="方正仿宋简体"/>
          <w:sz w:val="32"/>
          <w:szCs w:val="32"/>
        </w:rPr>
        <w:t>镇江海纳川公铁运输有限责任公司：</w:t>
      </w:r>
    </w:p>
    <w:p w14:paraId="77565D25">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报价单位全称：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；授权全权代表姓名、职务、职称：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为全权代表，参加贵方组织的采购有关活动，并对该项目进行报价。</w:t>
      </w:r>
    </w:p>
    <w:p w14:paraId="2566F620">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一、报价项目的总报价（含税）为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(大写)                                           </w:t>
      </w:r>
    </w:p>
    <w:p w14:paraId="674ADEA4">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元人民币；不含税价款：</w:t>
      </w:r>
      <w:r>
        <w:rPr>
          <w:rFonts w:hint="eastAsia" w:ascii="方正仿宋_GBK" w:hAnsi="方正仿宋_GBK" w:eastAsia="方正仿宋_GBK" w:cs="方正仿宋_GBK"/>
          <w:sz w:val="32"/>
          <w:szCs w:val="32"/>
          <w:u w:val="single"/>
        </w:rPr>
        <w:t xml:space="preserve">       元 </w:t>
      </w:r>
      <w:r>
        <w:rPr>
          <w:rFonts w:hint="eastAsia" w:ascii="方正仿宋_GBK" w:hAnsi="方正仿宋_GBK" w:eastAsia="方正仿宋_GBK" w:cs="方正仿宋_GBK"/>
          <w:sz w:val="32"/>
          <w:szCs w:val="32"/>
        </w:rPr>
        <w:t>，税额：</w:t>
      </w:r>
      <w:r>
        <w:rPr>
          <w:rFonts w:hint="eastAsia" w:ascii="方正仿宋_GBK" w:hAnsi="方正仿宋_GBK" w:eastAsia="方正仿宋_GBK" w:cs="方正仿宋_GBK"/>
          <w:sz w:val="32"/>
          <w:szCs w:val="32"/>
          <w:u w:val="single"/>
        </w:rPr>
        <w:t xml:space="preserve">      元</w:t>
      </w:r>
      <w:r>
        <w:rPr>
          <w:rFonts w:hint="eastAsia" w:ascii="方正仿宋_GBK" w:hAnsi="方正仿宋_GBK" w:eastAsia="方正仿宋_GBK" w:cs="方正仿宋_GBK"/>
          <w:sz w:val="32"/>
          <w:szCs w:val="32"/>
        </w:rPr>
        <w:t>，税率</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%；（若存在小数点，最多保留2位。）</w:t>
      </w:r>
      <w:bookmarkEnd w:id="10"/>
    </w:p>
    <w:p w14:paraId="07DA371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4942BFE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W w:w="9888" w:type="dxa"/>
        <w:jc w:val="center"/>
        <w:tblLayout w:type="fixed"/>
        <w:tblCellMar>
          <w:top w:w="0" w:type="dxa"/>
          <w:left w:w="108" w:type="dxa"/>
          <w:bottom w:w="0" w:type="dxa"/>
          <w:right w:w="108" w:type="dxa"/>
        </w:tblCellMar>
      </w:tblPr>
      <w:tblGrid>
        <w:gridCol w:w="2039"/>
        <w:gridCol w:w="761"/>
        <w:gridCol w:w="939"/>
        <w:gridCol w:w="950"/>
        <w:gridCol w:w="922"/>
        <w:gridCol w:w="873"/>
        <w:gridCol w:w="709"/>
        <w:gridCol w:w="709"/>
        <w:gridCol w:w="1253"/>
        <w:gridCol w:w="733"/>
      </w:tblGrid>
      <w:tr w14:paraId="0C52B59C">
        <w:tblPrEx>
          <w:tblCellMar>
            <w:top w:w="0" w:type="dxa"/>
            <w:left w:w="108" w:type="dxa"/>
            <w:bottom w:w="0" w:type="dxa"/>
            <w:right w:w="108" w:type="dxa"/>
          </w:tblCellMar>
        </w:tblPrEx>
        <w:trPr>
          <w:trHeight w:val="802" w:hRule="exact"/>
          <w:jc w:val="center"/>
        </w:trPr>
        <w:tc>
          <w:tcPr>
            <w:tcW w:w="2039" w:type="dxa"/>
            <w:tcBorders>
              <w:top w:val="single" w:color="000000" w:sz="4" w:space="0"/>
              <w:left w:val="single" w:color="000000" w:sz="4" w:space="0"/>
              <w:bottom w:val="single" w:color="000000" w:sz="4" w:space="0"/>
              <w:right w:val="single" w:color="000000" w:sz="4" w:space="0"/>
            </w:tcBorders>
            <w:vAlign w:val="center"/>
          </w:tcPr>
          <w:p w14:paraId="69F462A2">
            <w:pPr>
              <w:spacing w:line="360" w:lineRule="auto"/>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规格型号</w:t>
            </w:r>
          </w:p>
        </w:tc>
        <w:tc>
          <w:tcPr>
            <w:tcW w:w="761" w:type="dxa"/>
            <w:tcBorders>
              <w:top w:val="single" w:color="000000" w:sz="4" w:space="0"/>
              <w:left w:val="single" w:color="000000" w:sz="4" w:space="0"/>
              <w:bottom w:val="single" w:color="000000" w:sz="4" w:space="0"/>
              <w:right w:val="single" w:color="000000" w:sz="4" w:space="0"/>
            </w:tcBorders>
            <w:vAlign w:val="center"/>
          </w:tcPr>
          <w:p w14:paraId="68D34C91">
            <w:pPr>
              <w:spacing w:line="360" w:lineRule="auto"/>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数量</w:t>
            </w:r>
          </w:p>
        </w:tc>
        <w:tc>
          <w:tcPr>
            <w:tcW w:w="5102" w:type="dxa"/>
            <w:gridSpan w:val="6"/>
            <w:tcBorders>
              <w:top w:val="single" w:color="000000" w:sz="4" w:space="0"/>
              <w:left w:val="single" w:color="000000" w:sz="4" w:space="0"/>
              <w:bottom w:val="single" w:color="000000" w:sz="4" w:space="0"/>
              <w:right w:val="single" w:color="auto" w:sz="4" w:space="0"/>
            </w:tcBorders>
            <w:vAlign w:val="center"/>
          </w:tcPr>
          <w:p w14:paraId="254A88D9">
            <w:pPr>
              <w:spacing w:line="360" w:lineRule="auto"/>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24"/>
                <w:szCs w:val="24"/>
              </w:rPr>
              <w:t>配件</w:t>
            </w:r>
            <w:r>
              <w:rPr>
                <w:rFonts w:ascii="方正仿宋简体" w:hAnsi="方正仿宋简体" w:eastAsia="方正仿宋简体" w:cs="方正仿宋简体"/>
                <w:sz w:val="24"/>
                <w:szCs w:val="24"/>
              </w:rPr>
              <w:t>名称和</w:t>
            </w:r>
            <w:r>
              <w:rPr>
                <w:rFonts w:hint="eastAsia" w:ascii="方正仿宋简体" w:hAnsi="方正仿宋简体" w:eastAsia="方正仿宋简体" w:cs="方正仿宋简体"/>
                <w:sz w:val="24"/>
                <w:szCs w:val="24"/>
              </w:rPr>
              <w:t>单价（含税）</w:t>
            </w:r>
          </w:p>
        </w:tc>
        <w:tc>
          <w:tcPr>
            <w:tcW w:w="1253" w:type="dxa"/>
            <w:tcBorders>
              <w:top w:val="single" w:color="000000" w:sz="4" w:space="0"/>
              <w:left w:val="single" w:color="auto" w:sz="4" w:space="0"/>
              <w:bottom w:val="single" w:color="000000" w:sz="4" w:space="0"/>
              <w:right w:val="single" w:color="auto" w:sz="4" w:space="0"/>
            </w:tcBorders>
            <w:vAlign w:val="center"/>
          </w:tcPr>
          <w:p w14:paraId="60F2ABA9">
            <w:pP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2年4次</w:t>
            </w:r>
            <w:r>
              <w:rPr>
                <w:rFonts w:ascii="方正仿宋简体" w:hAnsi="方正仿宋简体" w:eastAsia="方正仿宋简体" w:cs="方正仿宋简体"/>
                <w:sz w:val="18"/>
                <w:szCs w:val="18"/>
              </w:rPr>
              <w:t>维</w:t>
            </w:r>
            <w:r>
              <w:rPr>
                <w:rFonts w:hint="eastAsia" w:ascii="方正仿宋简体" w:hAnsi="方正仿宋简体" w:eastAsia="方正仿宋简体" w:cs="方正仿宋简体"/>
                <w:sz w:val="18"/>
                <w:szCs w:val="18"/>
              </w:rPr>
              <w:t>保</w:t>
            </w:r>
            <w:r>
              <w:rPr>
                <w:rFonts w:ascii="方正仿宋简体" w:hAnsi="方正仿宋简体" w:eastAsia="方正仿宋简体" w:cs="方正仿宋简体"/>
                <w:sz w:val="18"/>
                <w:szCs w:val="18"/>
              </w:rPr>
              <w:t>费</w:t>
            </w:r>
            <w:r>
              <w:rPr>
                <w:rFonts w:hint="eastAsia" w:ascii="方正仿宋简体" w:hAnsi="方正仿宋简体" w:eastAsia="方正仿宋简体" w:cs="方正仿宋简体"/>
                <w:sz w:val="18"/>
                <w:szCs w:val="18"/>
              </w:rPr>
              <w:t>（含税）</w:t>
            </w:r>
          </w:p>
        </w:tc>
        <w:tc>
          <w:tcPr>
            <w:tcW w:w="733" w:type="dxa"/>
            <w:tcBorders>
              <w:top w:val="single" w:color="000000" w:sz="4" w:space="0"/>
              <w:left w:val="single" w:color="auto" w:sz="4" w:space="0"/>
              <w:bottom w:val="single" w:color="000000" w:sz="4" w:space="0"/>
              <w:right w:val="single" w:color="auto" w:sz="4" w:space="0"/>
            </w:tcBorders>
            <w:vAlign w:val="center"/>
          </w:tcPr>
          <w:p w14:paraId="334EBD0C">
            <w:pPr>
              <w:spacing w:line="360" w:lineRule="auto"/>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合计</w:t>
            </w:r>
          </w:p>
        </w:tc>
      </w:tr>
      <w:tr w14:paraId="57967861">
        <w:tblPrEx>
          <w:tblCellMar>
            <w:top w:w="0" w:type="dxa"/>
            <w:left w:w="108" w:type="dxa"/>
            <w:bottom w:w="0" w:type="dxa"/>
            <w:right w:w="108" w:type="dxa"/>
          </w:tblCellMar>
        </w:tblPrEx>
        <w:trPr>
          <w:trHeight w:val="709" w:hRule="exact"/>
          <w:jc w:val="center"/>
        </w:trPr>
        <w:tc>
          <w:tcPr>
            <w:tcW w:w="2039" w:type="dxa"/>
            <w:tcBorders>
              <w:top w:val="single" w:color="000000" w:sz="4" w:space="0"/>
              <w:left w:val="single" w:color="000000" w:sz="4" w:space="0"/>
              <w:bottom w:val="single" w:color="000000" w:sz="4" w:space="0"/>
              <w:right w:val="single" w:color="000000" w:sz="4" w:space="0"/>
            </w:tcBorders>
            <w:vAlign w:val="center"/>
          </w:tcPr>
          <w:p w14:paraId="610F67B9">
            <w:pPr>
              <w:spacing w:line="360" w:lineRule="auto"/>
              <w:jc w:val="center"/>
              <w:rPr>
                <w:rFonts w:ascii="黑体" w:hAnsi="黑体" w:eastAsia="黑体" w:cs="仿宋_GB2312"/>
                <w:b/>
                <w:bCs/>
                <w:kern w:val="1"/>
                <w:sz w:val="24"/>
                <w:szCs w:val="24"/>
              </w:rPr>
            </w:pPr>
            <w:r>
              <w:rPr>
                <w:rFonts w:hint="eastAsia" w:ascii="黑体" w:hAnsi="黑体" w:eastAsia="黑体" w:cs="仿宋_GB2312"/>
                <w:kern w:val="0"/>
                <w:szCs w:val="21"/>
              </w:rPr>
              <w:t>变频器型号</w:t>
            </w:r>
          </w:p>
        </w:tc>
        <w:tc>
          <w:tcPr>
            <w:tcW w:w="761" w:type="dxa"/>
            <w:tcBorders>
              <w:top w:val="single" w:color="000000" w:sz="4" w:space="0"/>
              <w:left w:val="single" w:color="000000" w:sz="4" w:space="0"/>
              <w:bottom w:val="single" w:color="000000" w:sz="4" w:space="0"/>
              <w:right w:val="single" w:color="000000" w:sz="4" w:space="0"/>
            </w:tcBorders>
            <w:vAlign w:val="center"/>
          </w:tcPr>
          <w:p w14:paraId="688777D1">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w:t>
            </w:r>
          </w:p>
        </w:tc>
        <w:tc>
          <w:tcPr>
            <w:tcW w:w="939" w:type="dxa"/>
            <w:tcBorders>
              <w:top w:val="single" w:color="000000" w:sz="4" w:space="0"/>
              <w:left w:val="single" w:color="000000" w:sz="4" w:space="0"/>
              <w:bottom w:val="single" w:color="000000" w:sz="4" w:space="0"/>
              <w:right w:val="single" w:color="000000" w:sz="4" w:space="0"/>
            </w:tcBorders>
            <w:vAlign w:val="center"/>
          </w:tcPr>
          <w:p w14:paraId="06811157">
            <w:pPr>
              <w:widowControl/>
              <w:jc w:val="center"/>
              <w:rPr>
                <w:rFonts w:ascii="仿宋_GB2312" w:hAnsi="仿宋_GB2312" w:eastAsia="仿宋_GB2312" w:cs="仿宋_GB2312"/>
                <w:kern w:val="0"/>
                <w:sz w:val="24"/>
                <w:szCs w:val="24"/>
              </w:rPr>
            </w:pPr>
            <w:r>
              <w:rPr>
                <w:rFonts w:hint="eastAsia" w:ascii="宋体" w:hAnsi="宋体" w:cs="宋体"/>
                <w:color w:val="000000"/>
                <w:kern w:val="0"/>
                <w:sz w:val="18"/>
                <w:szCs w:val="18"/>
              </w:rPr>
              <w:t>整流模块</w:t>
            </w:r>
          </w:p>
        </w:tc>
        <w:tc>
          <w:tcPr>
            <w:tcW w:w="950" w:type="dxa"/>
            <w:tcBorders>
              <w:top w:val="single" w:color="000000" w:sz="4" w:space="0"/>
              <w:left w:val="single" w:color="000000" w:sz="4" w:space="0"/>
              <w:bottom w:val="single" w:color="000000" w:sz="4" w:space="0"/>
              <w:right w:val="single" w:color="auto" w:sz="4" w:space="0"/>
            </w:tcBorders>
            <w:vAlign w:val="center"/>
          </w:tcPr>
          <w:p w14:paraId="4764706F">
            <w:pPr>
              <w:widowControl/>
              <w:jc w:val="center"/>
              <w:rPr>
                <w:rFonts w:ascii="仿宋_GB2312" w:hAnsi="仿宋_GB2312" w:eastAsia="仿宋_GB2312" w:cs="仿宋_GB2312"/>
                <w:kern w:val="0"/>
                <w:sz w:val="24"/>
                <w:szCs w:val="24"/>
              </w:rPr>
            </w:pPr>
            <w:r>
              <w:rPr>
                <w:rFonts w:hint="eastAsia" w:ascii="宋体" w:hAnsi="宋体" w:cs="宋体"/>
                <w:color w:val="000000"/>
                <w:kern w:val="0"/>
                <w:sz w:val="18"/>
                <w:szCs w:val="18"/>
              </w:rPr>
              <w:t>IGBT（逆变模块）</w:t>
            </w:r>
          </w:p>
        </w:tc>
        <w:tc>
          <w:tcPr>
            <w:tcW w:w="922" w:type="dxa"/>
            <w:tcBorders>
              <w:top w:val="single" w:color="000000" w:sz="4" w:space="0"/>
              <w:left w:val="single" w:color="auto" w:sz="4" w:space="0"/>
              <w:bottom w:val="single" w:color="000000" w:sz="4" w:space="0"/>
              <w:right w:val="single" w:color="auto" w:sz="4" w:space="0"/>
            </w:tcBorders>
            <w:vAlign w:val="center"/>
          </w:tcPr>
          <w:p w14:paraId="5CB66FB9">
            <w:pPr>
              <w:widowControl/>
              <w:jc w:val="center"/>
              <w:rPr>
                <w:rFonts w:ascii="仿宋_GB2312" w:hAnsi="仿宋_GB2312" w:eastAsia="仿宋_GB2312" w:cs="仿宋_GB2312"/>
                <w:kern w:val="0"/>
                <w:sz w:val="24"/>
                <w:szCs w:val="24"/>
              </w:rPr>
            </w:pPr>
            <w:r>
              <w:rPr>
                <w:rFonts w:hint="eastAsia" w:ascii="宋体" w:hAnsi="宋体" w:cs="宋体"/>
                <w:color w:val="000000"/>
                <w:kern w:val="0"/>
                <w:sz w:val="18"/>
                <w:szCs w:val="18"/>
              </w:rPr>
              <w:t>控制板</w:t>
            </w:r>
          </w:p>
        </w:tc>
        <w:tc>
          <w:tcPr>
            <w:tcW w:w="873" w:type="dxa"/>
            <w:tcBorders>
              <w:top w:val="single" w:color="000000" w:sz="4" w:space="0"/>
              <w:left w:val="single" w:color="auto" w:sz="4" w:space="0"/>
              <w:bottom w:val="single" w:color="000000" w:sz="4" w:space="0"/>
              <w:right w:val="single" w:color="auto" w:sz="4" w:space="0"/>
            </w:tcBorders>
            <w:vAlign w:val="center"/>
          </w:tcPr>
          <w:p w14:paraId="3127D1B9">
            <w:pPr>
              <w:widowControl/>
              <w:jc w:val="center"/>
              <w:rPr>
                <w:rFonts w:ascii="仿宋_GB2312" w:hAnsi="仿宋_GB2312" w:eastAsia="仿宋_GB2312" w:cs="仿宋_GB2312"/>
                <w:kern w:val="0"/>
                <w:sz w:val="24"/>
                <w:szCs w:val="24"/>
              </w:rPr>
            </w:pPr>
            <w:r>
              <w:rPr>
                <w:rFonts w:hint="eastAsia" w:ascii="宋体" w:hAnsi="宋体" w:cs="宋体"/>
                <w:color w:val="000000"/>
                <w:kern w:val="0"/>
                <w:sz w:val="18"/>
                <w:szCs w:val="18"/>
              </w:rPr>
              <w:t>CPU板</w:t>
            </w:r>
          </w:p>
        </w:tc>
        <w:tc>
          <w:tcPr>
            <w:tcW w:w="709" w:type="dxa"/>
            <w:tcBorders>
              <w:top w:val="single" w:color="000000" w:sz="4" w:space="0"/>
              <w:left w:val="single" w:color="auto" w:sz="4" w:space="0"/>
              <w:bottom w:val="single" w:color="000000" w:sz="4" w:space="0"/>
              <w:right w:val="single" w:color="000000" w:sz="4" w:space="0"/>
            </w:tcBorders>
            <w:vAlign w:val="center"/>
          </w:tcPr>
          <w:p w14:paraId="2BA30AAE">
            <w:pPr>
              <w:widowControl/>
              <w:jc w:val="center"/>
              <w:rPr>
                <w:rFonts w:ascii="仿宋_GB2312" w:hAnsi="仿宋_GB2312" w:eastAsia="仿宋_GB2312" w:cs="仿宋_GB2312"/>
                <w:kern w:val="0"/>
                <w:sz w:val="24"/>
                <w:szCs w:val="24"/>
              </w:rPr>
            </w:pPr>
            <w:r>
              <w:rPr>
                <w:rFonts w:hint="eastAsia" w:ascii="宋体" w:hAnsi="宋体" w:cs="宋体"/>
                <w:color w:val="000000"/>
                <w:kern w:val="0"/>
                <w:sz w:val="18"/>
                <w:szCs w:val="18"/>
              </w:rPr>
              <w:t>散热风机</w:t>
            </w:r>
          </w:p>
        </w:tc>
        <w:tc>
          <w:tcPr>
            <w:tcW w:w="709" w:type="dxa"/>
            <w:tcBorders>
              <w:top w:val="single" w:color="000000" w:sz="4" w:space="0"/>
              <w:left w:val="single" w:color="000000" w:sz="4" w:space="0"/>
              <w:bottom w:val="single" w:color="000000" w:sz="4" w:space="0"/>
              <w:right w:val="single" w:color="000000" w:sz="4" w:space="0"/>
            </w:tcBorders>
            <w:vAlign w:val="center"/>
          </w:tcPr>
          <w:p w14:paraId="1898EAEF">
            <w:pPr>
              <w:widowControl/>
              <w:jc w:val="center"/>
              <w:rPr>
                <w:rFonts w:ascii="仿宋_GB2312" w:hAnsi="仿宋_GB2312" w:eastAsia="仿宋_GB2312" w:cs="仿宋_GB2312"/>
                <w:kern w:val="0"/>
                <w:sz w:val="24"/>
                <w:szCs w:val="24"/>
              </w:rPr>
            </w:pPr>
            <w:r>
              <w:rPr>
                <w:rFonts w:hint="eastAsia" w:ascii="宋体" w:hAnsi="宋体" w:cs="宋体"/>
                <w:color w:val="000000"/>
                <w:kern w:val="0"/>
                <w:sz w:val="18"/>
                <w:szCs w:val="18"/>
              </w:rPr>
              <w:t>电容</w:t>
            </w:r>
          </w:p>
        </w:tc>
        <w:tc>
          <w:tcPr>
            <w:tcW w:w="1253" w:type="dxa"/>
            <w:tcBorders>
              <w:top w:val="single" w:color="000000" w:sz="4" w:space="0"/>
              <w:left w:val="single" w:color="000000" w:sz="4" w:space="0"/>
              <w:bottom w:val="single" w:color="000000" w:sz="4" w:space="0"/>
              <w:right w:val="single" w:color="auto" w:sz="4" w:space="0"/>
            </w:tcBorders>
            <w:vAlign w:val="center"/>
          </w:tcPr>
          <w:p w14:paraId="43B70D53">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w:t>
            </w:r>
          </w:p>
        </w:tc>
        <w:tc>
          <w:tcPr>
            <w:tcW w:w="733" w:type="dxa"/>
            <w:tcBorders>
              <w:top w:val="single" w:color="000000" w:sz="4" w:space="0"/>
              <w:left w:val="single" w:color="auto" w:sz="4" w:space="0"/>
              <w:bottom w:val="single" w:color="000000" w:sz="4" w:space="0"/>
              <w:right w:val="single" w:color="auto" w:sz="4" w:space="0"/>
            </w:tcBorders>
            <w:vAlign w:val="center"/>
          </w:tcPr>
          <w:p w14:paraId="7B29A658">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w:t>
            </w:r>
          </w:p>
        </w:tc>
      </w:tr>
      <w:tr w14:paraId="5893AF17">
        <w:tblPrEx>
          <w:tblCellMar>
            <w:top w:w="0" w:type="dxa"/>
            <w:left w:w="108" w:type="dxa"/>
            <w:bottom w:w="0" w:type="dxa"/>
            <w:right w:w="108" w:type="dxa"/>
          </w:tblCellMar>
        </w:tblPrEx>
        <w:trPr>
          <w:trHeight w:val="445" w:hRule="exact"/>
          <w:jc w:val="center"/>
        </w:trPr>
        <w:tc>
          <w:tcPr>
            <w:tcW w:w="2039" w:type="dxa"/>
            <w:tcBorders>
              <w:top w:val="single" w:color="000000" w:sz="4" w:space="0"/>
              <w:left w:val="single" w:color="000000" w:sz="4" w:space="0"/>
              <w:bottom w:val="single" w:color="000000" w:sz="4" w:space="0"/>
              <w:right w:val="single" w:color="000000" w:sz="4" w:space="0"/>
            </w:tcBorders>
          </w:tcPr>
          <w:p w14:paraId="7DF780EB">
            <w:pPr>
              <w:widowControl/>
              <w:textAlignment w:val="top"/>
              <w:rPr>
                <w:rFonts w:ascii="宋体" w:hAnsi="宋体" w:cs="宋体"/>
                <w:sz w:val="15"/>
                <w:szCs w:val="15"/>
                <w:lang w:bidi="ar"/>
              </w:rPr>
            </w:pPr>
            <w:r>
              <w:rPr>
                <w:rFonts w:hint="eastAsia" w:ascii="宋体" w:hAnsi="宋体" w:cs="宋体"/>
                <w:sz w:val="15"/>
                <w:szCs w:val="15"/>
                <w:lang w:bidi="ar"/>
              </w:rPr>
              <w:t>CIMR-HB4A018</w:t>
            </w:r>
            <w:r>
              <w:rPr>
                <w:rFonts w:ascii="宋体" w:hAnsi="宋体" w:cs="宋体"/>
                <w:sz w:val="15"/>
                <w:szCs w:val="15"/>
                <w:lang w:bidi="ar"/>
              </w:rPr>
              <w:t>ABC(</w:t>
            </w:r>
            <w:r>
              <w:rPr>
                <w:rFonts w:hint="eastAsia" w:ascii="宋体" w:hAnsi="宋体" w:cs="宋体"/>
                <w:sz w:val="15"/>
                <w:szCs w:val="15"/>
                <w:lang w:bidi="ar"/>
              </w:rPr>
              <w:t>起升1</w:t>
            </w:r>
            <w:r>
              <w:rPr>
                <w:rFonts w:ascii="宋体" w:hAnsi="宋体" w:cs="宋体"/>
                <w:sz w:val="15"/>
                <w:szCs w:val="15"/>
                <w:lang w:bidi="ar"/>
              </w:rPr>
              <w:t>)</w:t>
            </w:r>
          </w:p>
        </w:tc>
        <w:tc>
          <w:tcPr>
            <w:tcW w:w="761" w:type="dxa"/>
            <w:tcBorders>
              <w:bottom w:val="single" w:color="auto" w:sz="4" w:space="0"/>
            </w:tcBorders>
          </w:tcPr>
          <w:p w14:paraId="154000A3">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1台</w:t>
            </w:r>
          </w:p>
        </w:tc>
        <w:tc>
          <w:tcPr>
            <w:tcW w:w="939" w:type="dxa"/>
            <w:tcBorders>
              <w:top w:val="single" w:color="000000" w:sz="4" w:space="0"/>
              <w:left w:val="single" w:color="000000" w:sz="4" w:space="0"/>
              <w:bottom w:val="single" w:color="000000" w:sz="4" w:space="0"/>
              <w:right w:val="single" w:color="000000" w:sz="4" w:space="0"/>
            </w:tcBorders>
            <w:vAlign w:val="center"/>
          </w:tcPr>
          <w:p w14:paraId="229C69F8">
            <w:pPr>
              <w:widowControl/>
              <w:jc w:val="center"/>
              <w:rPr>
                <w:rFonts w:ascii="仿宋_GB2312" w:hAnsi="仿宋_GB2312" w:eastAsia="仿宋_GB2312" w:cs="仿宋_GB2312"/>
                <w:kern w:val="0"/>
                <w:sz w:val="24"/>
                <w:szCs w:val="24"/>
              </w:rPr>
            </w:pPr>
          </w:p>
        </w:tc>
        <w:tc>
          <w:tcPr>
            <w:tcW w:w="950" w:type="dxa"/>
            <w:tcBorders>
              <w:top w:val="single" w:color="000000" w:sz="4" w:space="0"/>
              <w:left w:val="single" w:color="000000" w:sz="4" w:space="0"/>
              <w:bottom w:val="single" w:color="000000" w:sz="4" w:space="0"/>
              <w:right w:val="single" w:color="auto" w:sz="4" w:space="0"/>
            </w:tcBorders>
            <w:vAlign w:val="center"/>
          </w:tcPr>
          <w:p w14:paraId="70407F73">
            <w:pPr>
              <w:spacing w:line="360" w:lineRule="auto"/>
              <w:ind w:firstLine="480" w:firstLineChars="200"/>
              <w:jc w:val="center"/>
              <w:rPr>
                <w:rFonts w:ascii="仿宋_GB2312" w:hAnsi="仿宋_GB2312" w:eastAsia="仿宋_GB2312" w:cs="仿宋_GB2312"/>
                <w:kern w:val="0"/>
                <w:sz w:val="24"/>
                <w:szCs w:val="24"/>
              </w:rPr>
            </w:pPr>
          </w:p>
        </w:tc>
        <w:tc>
          <w:tcPr>
            <w:tcW w:w="922" w:type="dxa"/>
            <w:tcBorders>
              <w:top w:val="single" w:color="000000" w:sz="4" w:space="0"/>
              <w:left w:val="single" w:color="auto" w:sz="4" w:space="0"/>
              <w:bottom w:val="single" w:color="000000" w:sz="4" w:space="0"/>
              <w:right w:val="single" w:color="auto" w:sz="4" w:space="0"/>
            </w:tcBorders>
            <w:vAlign w:val="center"/>
          </w:tcPr>
          <w:p w14:paraId="2804DA13">
            <w:pPr>
              <w:spacing w:line="360" w:lineRule="auto"/>
              <w:ind w:firstLine="480" w:firstLineChars="200"/>
              <w:jc w:val="center"/>
              <w:rPr>
                <w:rFonts w:ascii="仿宋_GB2312" w:hAnsi="仿宋_GB2312" w:eastAsia="仿宋_GB2312" w:cs="仿宋_GB2312"/>
                <w:kern w:val="0"/>
                <w:sz w:val="24"/>
                <w:szCs w:val="24"/>
              </w:rPr>
            </w:pPr>
          </w:p>
        </w:tc>
        <w:tc>
          <w:tcPr>
            <w:tcW w:w="873" w:type="dxa"/>
            <w:tcBorders>
              <w:top w:val="single" w:color="000000" w:sz="4" w:space="0"/>
              <w:left w:val="single" w:color="auto" w:sz="4" w:space="0"/>
              <w:bottom w:val="single" w:color="000000" w:sz="4" w:space="0"/>
              <w:right w:val="single" w:color="auto" w:sz="4" w:space="0"/>
            </w:tcBorders>
            <w:vAlign w:val="center"/>
          </w:tcPr>
          <w:p w14:paraId="44532EAB">
            <w:pPr>
              <w:spacing w:line="360" w:lineRule="auto"/>
              <w:ind w:firstLine="480" w:firstLineChars="200"/>
              <w:jc w:val="center"/>
              <w:rPr>
                <w:rFonts w:ascii="仿宋_GB2312" w:hAnsi="仿宋_GB2312" w:eastAsia="仿宋_GB2312" w:cs="仿宋_GB2312"/>
                <w:kern w:val="0"/>
                <w:sz w:val="24"/>
                <w:szCs w:val="24"/>
              </w:rPr>
            </w:pPr>
          </w:p>
        </w:tc>
        <w:tc>
          <w:tcPr>
            <w:tcW w:w="709" w:type="dxa"/>
            <w:tcBorders>
              <w:top w:val="single" w:color="000000" w:sz="4" w:space="0"/>
              <w:left w:val="single" w:color="auto" w:sz="4" w:space="0"/>
              <w:bottom w:val="single" w:color="000000" w:sz="4" w:space="0"/>
              <w:right w:val="single" w:color="000000" w:sz="4" w:space="0"/>
            </w:tcBorders>
            <w:vAlign w:val="center"/>
          </w:tcPr>
          <w:p w14:paraId="6F8590A9">
            <w:pPr>
              <w:spacing w:line="360" w:lineRule="auto"/>
              <w:ind w:firstLine="480" w:firstLineChars="200"/>
              <w:jc w:val="center"/>
              <w:rPr>
                <w:rFonts w:ascii="仿宋_GB2312" w:hAnsi="仿宋_GB2312" w:eastAsia="仿宋_GB2312" w:cs="仿宋_GB2312"/>
                <w:kern w:val="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8ED1DE3">
            <w:pPr>
              <w:spacing w:line="360" w:lineRule="auto"/>
              <w:ind w:firstLine="480" w:firstLineChars="200"/>
              <w:jc w:val="center"/>
              <w:rPr>
                <w:rFonts w:ascii="仿宋_GB2312" w:hAnsi="仿宋_GB2312" w:eastAsia="仿宋_GB2312" w:cs="仿宋_GB2312"/>
                <w:kern w:val="0"/>
                <w:sz w:val="24"/>
                <w:szCs w:val="24"/>
              </w:rPr>
            </w:pPr>
          </w:p>
        </w:tc>
        <w:tc>
          <w:tcPr>
            <w:tcW w:w="1253" w:type="dxa"/>
            <w:tcBorders>
              <w:top w:val="single" w:color="000000" w:sz="4" w:space="0"/>
              <w:left w:val="single" w:color="000000" w:sz="4" w:space="0"/>
              <w:bottom w:val="single" w:color="000000" w:sz="4" w:space="0"/>
              <w:right w:val="single" w:color="auto" w:sz="4" w:space="0"/>
            </w:tcBorders>
            <w:vAlign w:val="center"/>
          </w:tcPr>
          <w:p w14:paraId="1576B52B">
            <w:pPr>
              <w:spacing w:line="360" w:lineRule="auto"/>
              <w:jc w:val="center"/>
              <w:rPr>
                <w:rFonts w:ascii="仿宋_GB2312" w:hAnsi="仿宋_GB2312" w:eastAsia="仿宋_GB2312" w:cs="仿宋_GB2312"/>
                <w:b/>
                <w:bCs/>
                <w:kern w:val="1"/>
                <w:sz w:val="24"/>
                <w:szCs w:val="24"/>
              </w:rPr>
            </w:pPr>
          </w:p>
        </w:tc>
        <w:tc>
          <w:tcPr>
            <w:tcW w:w="733" w:type="dxa"/>
            <w:tcBorders>
              <w:top w:val="single" w:color="000000" w:sz="4" w:space="0"/>
              <w:left w:val="single" w:color="auto" w:sz="4" w:space="0"/>
              <w:bottom w:val="single" w:color="000000" w:sz="4" w:space="0"/>
              <w:right w:val="single" w:color="auto" w:sz="4" w:space="0"/>
            </w:tcBorders>
            <w:vAlign w:val="center"/>
          </w:tcPr>
          <w:p w14:paraId="598C34DD">
            <w:pPr>
              <w:spacing w:line="360" w:lineRule="auto"/>
              <w:jc w:val="center"/>
              <w:rPr>
                <w:rFonts w:ascii="仿宋_GB2312" w:hAnsi="仿宋_GB2312" w:eastAsia="仿宋_GB2312" w:cs="仿宋_GB2312"/>
                <w:b/>
                <w:bCs/>
                <w:kern w:val="1"/>
                <w:sz w:val="24"/>
                <w:szCs w:val="24"/>
              </w:rPr>
            </w:pPr>
          </w:p>
        </w:tc>
      </w:tr>
      <w:tr w14:paraId="12F6F2D7">
        <w:tblPrEx>
          <w:tblCellMar>
            <w:top w:w="0" w:type="dxa"/>
            <w:left w:w="108" w:type="dxa"/>
            <w:bottom w:w="0" w:type="dxa"/>
            <w:right w:w="108" w:type="dxa"/>
          </w:tblCellMar>
        </w:tblPrEx>
        <w:trPr>
          <w:trHeight w:val="468" w:hRule="exact"/>
          <w:jc w:val="center"/>
        </w:trPr>
        <w:tc>
          <w:tcPr>
            <w:tcW w:w="2039" w:type="dxa"/>
            <w:tcBorders>
              <w:top w:val="single" w:color="000000" w:sz="4" w:space="0"/>
              <w:left w:val="single" w:color="000000" w:sz="4" w:space="0"/>
              <w:bottom w:val="single" w:color="000000" w:sz="4" w:space="0"/>
              <w:right w:val="single" w:color="000000" w:sz="4" w:space="0"/>
            </w:tcBorders>
          </w:tcPr>
          <w:p w14:paraId="01226768">
            <w:pPr>
              <w:widowControl/>
              <w:textAlignment w:val="top"/>
              <w:rPr>
                <w:rFonts w:ascii="宋体" w:hAnsi="宋体" w:cs="宋体"/>
                <w:sz w:val="15"/>
                <w:szCs w:val="15"/>
                <w:lang w:bidi="ar"/>
              </w:rPr>
            </w:pPr>
            <w:r>
              <w:rPr>
                <w:rFonts w:hint="eastAsia" w:ascii="宋体" w:hAnsi="宋体" w:cs="宋体"/>
                <w:sz w:val="15"/>
                <w:szCs w:val="15"/>
                <w:lang w:bidi="ar"/>
              </w:rPr>
              <w:t>CIMR-HB4A0180</w:t>
            </w:r>
            <w:r>
              <w:rPr>
                <w:rFonts w:ascii="宋体" w:hAnsi="宋体" w:cs="宋体"/>
                <w:sz w:val="15"/>
                <w:szCs w:val="15"/>
                <w:lang w:bidi="ar"/>
              </w:rPr>
              <w:t>ABC(</w:t>
            </w:r>
            <w:r>
              <w:rPr>
                <w:rFonts w:hint="eastAsia" w:ascii="宋体" w:hAnsi="宋体" w:cs="宋体"/>
                <w:sz w:val="15"/>
                <w:szCs w:val="15"/>
                <w:lang w:bidi="ar"/>
              </w:rPr>
              <w:t>起升</w:t>
            </w:r>
            <w:r>
              <w:rPr>
                <w:rFonts w:ascii="宋体" w:hAnsi="宋体" w:cs="宋体"/>
                <w:sz w:val="15"/>
                <w:szCs w:val="15"/>
                <w:lang w:bidi="ar"/>
              </w:rPr>
              <w:t>2)</w:t>
            </w:r>
          </w:p>
        </w:tc>
        <w:tc>
          <w:tcPr>
            <w:tcW w:w="761" w:type="dxa"/>
            <w:tcBorders>
              <w:top w:val="single" w:color="auto" w:sz="4" w:space="0"/>
              <w:bottom w:val="single" w:color="auto" w:sz="4" w:space="0"/>
            </w:tcBorders>
          </w:tcPr>
          <w:p w14:paraId="06BF1AA5">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w:t>
            </w:r>
            <w:r>
              <w:rPr>
                <w:rFonts w:hint="eastAsia" w:ascii="仿宋_GB2312" w:hAnsi="仿宋_GB2312" w:eastAsia="仿宋_GB2312" w:cs="仿宋_GB2312"/>
                <w:kern w:val="0"/>
                <w:szCs w:val="21"/>
              </w:rPr>
              <w:t>台</w:t>
            </w:r>
          </w:p>
        </w:tc>
        <w:tc>
          <w:tcPr>
            <w:tcW w:w="939" w:type="dxa"/>
            <w:tcBorders>
              <w:top w:val="single" w:color="000000" w:sz="4" w:space="0"/>
              <w:left w:val="single" w:color="000000" w:sz="4" w:space="0"/>
              <w:bottom w:val="single" w:color="000000" w:sz="4" w:space="0"/>
              <w:right w:val="single" w:color="000000" w:sz="4" w:space="0"/>
            </w:tcBorders>
            <w:vAlign w:val="center"/>
          </w:tcPr>
          <w:p w14:paraId="7F1EBAEC">
            <w:pPr>
              <w:widowControl/>
              <w:jc w:val="center"/>
              <w:rPr>
                <w:rFonts w:ascii="仿宋_GB2312" w:hAnsi="仿宋_GB2312" w:eastAsia="仿宋_GB2312" w:cs="仿宋_GB2312"/>
                <w:kern w:val="0"/>
                <w:sz w:val="24"/>
                <w:szCs w:val="24"/>
              </w:rPr>
            </w:pPr>
          </w:p>
        </w:tc>
        <w:tc>
          <w:tcPr>
            <w:tcW w:w="950" w:type="dxa"/>
            <w:tcBorders>
              <w:top w:val="single" w:color="000000" w:sz="4" w:space="0"/>
              <w:left w:val="single" w:color="000000" w:sz="4" w:space="0"/>
              <w:bottom w:val="single" w:color="000000" w:sz="4" w:space="0"/>
              <w:right w:val="single" w:color="auto" w:sz="4" w:space="0"/>
            </w:tcBorders>
            <w:vAlign w:val="center"/>
          </w:tcPr>
          <w:p w14:paraId="77459B18">
            <w:pPr>
              <w:spacing w:line="360" w:lineRule="auto"/>
              <w:ind w:firstLine="480" w:firstLineChars="200"/>
              <w:jc w:val="center"/>
              <w:rPr>
                <w:rFonts w:ascii="仿宋_GB2312" w:hAnsi="仿宋_GB2312" w:eastAsia="仿宋_GB2312" w:cs="仿宋_GB2312"/>
                <w:kern w:val="0"/>
                <w:sz w:val="24"/>
                <w:szCs w:val="24"/>
              </w:rPr>
            </w:pPr>
          </w:p>
        </w:tc>
        <w:tc>
          <w:tcPr>
            <w:tcW w:w="922" w:type="dxa"/>
            <w:tcBorders>
              <w:top w:val="single" w:color="000000" w:sz="4" w:space="0"/>
              <w:left w:val="single" w:color="auto" w:sz="4" w:space="0"/>
              <w:bottom w:val="single" w:color="000000" w:sz="4" w:space="0"/>
              <w:right w:val="single" w:color="auto" w:sz="4" w:space="0"/>
            </w:tcBorders>
            <w:vAlign w:val="center"/>
          </w:tcPr>
          <w:p w14:paraId="6C2CCD08">
            <w:pPr>
              <w:spacing w:line="360" w:lineRule="auto"/>
              <w:ind w:firstLine="480" w:firstLineChars="200"/>
              <w:jc w:val="center"/>
              <w:rPr>
                <w:rFonts w:ascii="仿宋_GB2312" w:hAnsi="仿宋_GB2312" w:eastAsia="仿宋_GB2312" w:cs="仿宋_GB2312"/>
                <w:kern w:val="0"/>
                <w:sz w:val="24"/>
                <w:szCs w:val="24"/>
              </w:rPr>
            </w:pPr>
          </w:p>
        </w:tc>
        <w:tc>
          <w:tcPr>
            <w:tcW w:w="873" w:type="dxa"/>
            <w:tcBorders>
              <w:top w:val="single" w:color="000000" w:sz="4" w:space="0"/>
              <w:left w:val="single" w:color="auto" w:sz="4" w:space="0"/>
              <w:bottom w:val="single" w:color="000000" w:sz="4" w:space="0"/>
              <w:right w:val="single" w:color="auto" w:sz="4" w:space="0"/>
            </w:tcBorders>
            <w:vAlign w:val="center"/>
          </w:tcPr>
          <w:p w14:paraId="4F3471DA">
            <w:pPr>
              <w:spacing w:line="360" w:lineRule="auto"/>
              <w:ind w:firstLine="480" w:firstLineChars="200"/>
              <w:jc w:val="center"/>
              <w:rPr>
                <w:rFonts w:ascii="仿宋_GB2312" w:hAnsi="仿宋_GB2312" w:eastAsia="仿宋_GB2312" w:cs="仿宋_GB2312"/>
                <w:kern w:val="0"/>
                <w:sz w:val="24"/>
                <w:szCs w:val="24"/>
              </w:rPr>
            </w:pPr>
          </w:p>
        </w:tc>
        <w:tc>
          <w:tcPr>
            <w:tcW w:w="709" w:type="dxa"/>
            <w:tcBorders>
              <w:top w:val="single" w:color="000000" w:sz="4" w:space="0"/>
              <w:left w:val="single" w:color="auto" w:sz="4" w:space="0"/>
              <w:bottom w:val="single" w:color="000000" w:sz="4" w:space="0"/>
              <w:right w:val="single" w:color="000000" w:sz="4" w:space="0"/>
            </w:tcBorders>
            <w:vAlign w:val="center"/>
          </w:tcPr>
          <w:p w14:paraId="3C3F2E8F">
            <w:pPr>
              <w:spacing w:line="360" w:lineRule="auto"/>
              <w:ind w:firstLine="480" w:firstLineChars="200"/>
              <w:jc w:val="center"/>
              <w:rPr>
                <w:rFonts w:ascii="仿宋_GB2312" w:hAnsi="仿宋_GB2312" w:eastAsia="仿宋_GB2312" w:cs="仿宋_GB2312"/>
                <w:kern w:val="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5EB58A1">
            <w:pPr>
              <w:spacing w:line="360" w:lineRule="auto"/>
              <w:ind w:firstLine="480" w:firstLineChars="200"/>
              <w:jc w:val="center"/>
              <w:rPr>
                <w:rFonts w:ascii="仿宋_GB2312" w:hAnsi="仿宋_GB2312" w:eastAsia="仿宋_GB2312" w:cs="仿宋_GB2312"/>
                <w:kern w:val="0"/>
                <w:sz w:val="24"/>
                <w:szCs w:val="24"/>
              </w:rPr>
            </w:pPr>
          </w:p>
        </w:tc>
        <w:tc>
          <w:tcPr>
            <w:tcW w:w="1253" w:type="dxa"/>
            <w:tcBorders>
              <w:top w:val="single" w:color="000000" w:sz="4" w:space="0"/>
              <w:left w:val="single" w:color="000000" w:sz="4" w:space="0"/>
              <w:bottom w:val="single" w:color="000000" w:sz="4" w:space="0"/>
              <w:right w:val="single" w:color="auto" w:sz="4" w:space="0"/>
            </w:tcBorders>
            <w:vAlign w:val="center"/>
          </w:tcPr>
          <w:p w14:paraId="3D443859">
            <w:pPr>
              <w:spacing w:line="360" w:lineRule="auto"/>
              <w:jc w:val="center"/>
              <w:rPr>
                <w:rFonts w:ascii="仿宋_GB2312" w:hAnsi="仿宋_GB2312" w:eastAsia="仿宋_GB2312" w:cs="仿宋_GB2312"/>
                <w:b/>
                <w:bCs/>
                <w:kern w:val="1"/>
                <w:sz w:val="24"/>
                <w:szCs w:val="24"/>
              </w:rPr>
            </w:pPr>
          </w:p>
        </w:tc>
        <w:tc>
          <w:tcPr>
            <w:tcW w:w="733" w:type="dxa"/>
            <w:tcBorders>
              <w:top w:val="single" w:color="000000" w:sz="4" w:space="0"/>
              <w:left w:val="single" w:color="auto" w:sz="4" w:space="0"/>
              <w:bottom w:val="single" w:color="000000" w:sz="4" w:space="0"/>
              <w:right w:val="single" w:color="auto" w:sz="4" w:space="0"/>
            </w:tcBorders>
            <w:vAlign w:val="center"/>
          </w:tcPr>
          <w:p w14:paraId="10D90E35">
            <w:pPr>
              <w:spacing w:line="360" w:lineRule="auto"/>
              <w:jc w:val="center"/>
              <w:rPr>
                <w:rFonts w:ascii="仿宋_GB2312" w:hAnsi="仿宋_GB2312" w:eastAsia="仿宋_GB2312" w:cs="仿宋_GB2312"/>
                <w:b/>
                <w:bCs/>
                <w:kern w:val="1"/>
                <w:sz w:val="24"/>
                <w:szCs w:val="24"/>
              </w:rPr>
            </w:pPr>
          </w:p>
        </w:tc>
      </w:tr>
      <w:tr w14:paraId="2BC819F8">
        <w:tblPrEx>
          <w:tblCellMar>
            <w:top w:w="0" w:type="dxa"/>
            <w:left w:w="108" w:type="dxa"/>
            <w:bottom w:w="0" w:type="dxa"/>
            <w:right w:w="108" w:type="dxa"/>
          </w:tblCellMar>
        </w:tblPrEx>
        <w:trPr>
          <w:trHeight w:val="468" w:hRule="exact"/>
          <w:jc w:val="center"/>
        </w:trPr>
        <w:tc>
          <w:tcPr>
            <w:tcW w:w="2039" w:type="dxa"/>
            <w:tcBorders>
              <w:top w:val="single" w:color="000000" w:sz="4" w:space="0"/>
              <w:left w:val="single" w:color="000000" w:sz="4" w:space="0"/>
              <w:bottom w:val="single" w:color="000000" w:sz="4" w:space="0"/>
              <w:right w:val="single" w:color="000000" w:sz="4" w:space="0"/>
            </w:tcBorders>
          </w:tcPr>
          <w:p w14:paraId="45DD3A67">
            <w:pPr>
              <w:widowControl/>
              <w:jc w:val="center"/>
              <w:textAlignment w:val="top"/>
              <w:rPr>
                <w:rFonts w:ascii="宋体" w:hAnsi="宋体" w:cs="宋体"/>
                <w:sz w:val="15"/>
                <w:szCs w:val="15"/>
                <w:lang w:bidi="ar"/>
              </w:rPr>
            </w:pPr>
            <w:r>
              <w:rPr>
                <w:rFonts w:hint="eastAsia" w:ascii="宋体" w:hAnsi="宋体" w:cs="宋体"/>
                <w:sz w:val="15"/>
                <w:szCs w:val="15"/>
                <w:lang w:bidi="ar"/>
              </w:rPr>
              <w:t>CIMR-AB4A0165</w:t>
            </w:r>
            <w:r>
              <w:rPr>
                <w:rFonts w:ascii="宋体" w:hAnsi="宋体" w:cs="宋体"/>
                <w:sz w:val="15"/>
                <w:szCs w:val="15"/>
                <w:lang w:bidi="ar"/>
              </w:rPr>
              <w:t>ABA</w:t>
            </w:r>
            <w:r>
              <w:rPr>
                <w:rFonts w:hint="eastAsia" w:ascii="宋体" w:hAnsi="宋体" w:cs="宋体"/>
                <w:sz w:val="15"/>
                <w:szCs w:val="15"/>
                <w:lang w:bidi="ar"/>
              </w:rPr>
              <w:t>（大车）</w:t>
            </w:r>
          </w:p>
        </w:tc>
        <w:tc>
          <w:tcPr>
            <w:tcW w:w="761" w:type="dxa"/>
            <w:tcBorders>
              <w:top w:val="single" w:color="auto" w:sz="4" w:space="0"/>
            </w:tcBorders>
          </w:tcPr>
          <w:p w14:paraId="63996938">
            <w:pPr>
              <w:widowControl/>
              <w:jc w:val="center"/>
              <w:rPr>
                <w:rFonts w:ascii="仿宋_GB2312" w:hAnsi="仿宋_GB2312" w:eastAsia="仿宋_GB2312" w:cs="仿宋_GB2312"/>
                <w:kern w:val="0"/>
                <w:szCs w:val="21"/>
              </w:rPr>
            </w:pPr>
            <w:r>
              <w:rPr>
                <w:rFonts w:ascii="仿宋_GB2312" w:hAnsi="仿宋_GB2312" w:eastAsia="仿宋_GB2312" w:cs="仿宋_GB2312"/>
                <w:kern w:val="0"/>
                <w:szCs w:val="21"/>
              </w:rPr>
              <w:t>1</w:t>
            </w:r>
            <w:r>
              <w:rPr>
                <w:rFonts w:hint="eastAsia" w:ascii="仿宋_GB2312" w:hAnsi="仿宋_GB2312" w:eastAsia="仿宋_GB2312" w:cs="仿宋_GB2312"/>
                <w:kern w:val="0"/>
                <w:szCs w:val="21"/>
              </w:rPr>
              <w:t>台</w:t>
            </w:r>
          </w:p>
        </w:tc>
        <w:tc>
          <w:tcPr>
            <w:tcW w:w="939" w:type="dxa"/>
            <w:tcBorders>
              <w:top w:val="single" w:color="000000" w:sz="4" w:space="0"/>
              <w:left w:val="single" w:color="000000" w:sz="4" w:space="0"/>
              <w:bottom w:val="single" w:color="000000" w:sz="4" w:space="0"/>
              <w:right w:val="single" w:color="000000" w:sz="4" w:space="0"/>
            </w:tcBorders>
            <w:vAlign w:val="center"/>
          </w:tcPr>
          <w:p w14:paraId="70D06595">
            <w:pPr>
              <w:widowControl/>
              <w:jc w:val="center"/>
              <w:rPr>
                <w:rFonts w:ascii="仿宋_GB2312" w:hAnsi="仿宋_GB2312" w:eastAsia="仿宋_GB2312" w:cs="仿宋_GB2312"/>
                <w:kern w:val="0"/>
                <w:sz w:val="24"/>
                <w:szCs w:val="24"/>
              </w:rPr>
            </w:pPr>
          </w:p>
        </w:tc>
        <w:tc>
          <w:tcPr>
            <w:tcW w:w="950" w:type="dxa"/>
            <w:tcBorders>
              <w:top w:val="single" w:color="000000" w:sz="4" w:space="0"/>
              <w:left w:val="single" w:color="000000" w:sz="4" w:space="0"/>
              <w:bottom w:val="single" w:color="000000" w:sz="4" w:space="0"/>
              <w:right w:val="single" w:color="auto" w:sz="4" w:space="0"/>
            </w:tcBorders>
            <w:vAlign w:val="center"/>
          </w:tcPr>
          <w:p w14:paraId="0DA26D80">
            <w:pPr>
              <w:spacing w:line="360" w:lineRule="auto"/>
              <w:ind w:firstLine="480" w:firstLineChars="200"/>
              <w:jc w:val="center"/>
              <w:rPr>
                <w:rFonts w:ascii="仿宋_GB2312" w:hAnsi="仿宋_GB2312" w:eastAsia="仿宋_GB2312" w:cs="仿宋_GB2312"/>
                <w:kern w:val="0"/>
                <w:sz w:val="24"/>
                <w:szCs w:val="24"/>
              </w:rPr>
            </w:pPr>
          </w:p>
        </w:tc>
        <w:tc>
          <w:tcPr>
            <w:tcW w:w="922" w:type="dxa"/>
            <w:tcBorders>
              <w:top w:val="single" w:color="000000" w:sz="4" w:space="0"/>
              <w:left w:val="single" w:color="auto" w:sz="4" w:space="0"/>
              <w:bottom w:val="single" w:color="000000" w:sz="4" w:space="0"/>
              <w:right w:val="single" w:color="auto" w:sz="4" w:space="0"/>
            </w:tcBorders>
            <w:vAlign w:val="center"/>
          </w:tcPr>
          <w:p w14:paraId="700E6793">
            <w:pPr>
              <w:spacing w:line="360" w:lineRule="auto"/>
              <w:ind w:firstLine="480" w:firstLineChars="200"/>
              <w:jc w:val="center"/>
              <w:rPr>
                <w:rFonts w:ascii="仿宋_GB2312" w:hAnsi="仿宋_GB2312" w:eastAsia="仿宋_GB2312" w:cs="仿宋_GB2312"/>
                <w:kern w:val="0"/>
                <w:sz w:val="24"/>
                <w:szCs w:val="24"/>
              </w:rPr>
            </w:pPr>
          </w:p>
        </w:tc>
        <w:tc>
          <w:tcPr>
            <w:tcW w:w="873" w:type="dxa"/>
            <w:tcBorders>
              <w:top w:val="single" w:color="000000" w:sz="4" w:space="0"/>
              <w:left w:val="single" w:color="auto" w:sz="4" w:space="0"/>
              <w:bottom w:val="single" w:color="000000" w:sz="4" w:space="0"/>
              <w:right w:val="single" w:color="auto" w:sz="4" w:space="0"/>
            </w:tcBorders>
            <w:vAlign w:val="center"/>
          </w:tcPr>
          <w:p w14:paraId="42024A14">
            <w:pPr>
              <w:spacing w:line="360" w:lineRule="auto"/>
              <w:ind w:firstLine="480" w:firstLineChars="200"/>
              <w:jc w:val="center"/>
              <w:rPr>
                <w:rFonts w:ascii="仿宋_GB2312" w:hAnsi="仿宋_GB2312" w:eastAsia="仿宋_GB2312" w:cs="仿宋_GB2312"/>
                <w:kern w:val="0"/>
                <w:sz w:val="24"/>
                <w:szCs w:val="24"/>
              </w:rPr>
            </w:pPr>
          </w:p>
        </w:tc>
        <w:tc>
          <w:tcPr>
            <w:tcW w:w="709" w:type="dxa"/>
            <w:tcBorders>
              <w:top w:val="single" w:color="000000" w:sz="4" w:space="0"/>
              <w:left w:val="single" w:color="auto" w:sz="4" w:space="0"/>
              <w:bottom w:val="single" w:color="000000" w:sz="4" w:space="0"/>
              <w:right w:val="single" w:color="000000" w:sz="4" w:space="0"/>
            </w:tcBorders>
            <w:vAlign w:val="center"/>
          </w:tcPr>
          <w:p w14:paraId="56B8DA31">
            <w:pPr>
              <w:spacing w:line="360" w:lineRule="auto"/>
              <w:ind w:firstLine="480" w:firstLineChars="200"/>
              <w:jc w:val="center"/>
              <w:rPr>
                <w:rFonts w:ascii="仿宋_GB2312" w:hAnsi="仿宋_GB2312" w:eastAsia="仿宋_GB2312" w:cs="仿宋_GB2312"/>
                <w:kern w:val="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62C6F41">
            <w:pPr>
              <w:spacing w:line="360" w:lineRule="auto"/>
              <w:ind w:firstLine="480" w:firstLineChars="200"/>
              <w:jc w:val="center"/>
              <w:rPr>
                <w:rFonts w:ascii="仿宋_GB2312" w:hAnsi="仿宋_GB2312" w:eastAsia="仿宋_GB2312" w:cs="仿宋_GB2312"/>
                <w:kern w:val="0"/>
                <w:sz w:val="24"/>
                <w:szCs w:val="24"/>
              </w:rPr>
            </w:pPr>
          </w:p>
        </w:tc>
        <w:tc>
          <w:tcPr>
            <w:tcW w:w="1253" w:type="dxa"/>
            <w:tcBorders>
              <w:top w:val="single" w:color="000000" w:sz="4" w:space="0"/>
              <w:left w:val="single" w:color="000000" w:sz="4" w:space="0"/>
              <w:bottom w:val="single" w:color="000000" w:sz="4" w:space="0"/>
              <w:right w:val="single" w:color="auto" w:sz="4" w:space="0"/>
            </w:tcBorders>
            <w:vAlign w:val="center"/>
          </w:tcPr>
          <w:p w14:paraId="444AC303">
            <w:pPr>
              <w:spacing w:line="360" w:lineRule="auto"/>
              <w:jc w:val="center"/>
              <w:rPr>
                <w:rFonts w:ascii="仿宋_GB2312" w:hAnsi="仿宋_GB2312" w:eastAsia="仿宋_GB2312" w:cs="仿宋_GB2312"/>
                <w:b/>
                <w:bCs/>
                <w:kern w:val="1"/>
                <w:sz w:val="24"/>
                <w:szCs w:val="24"/>
              </w:rPr>
            </w:pPr>
          </w:p>
        </w:tc>
        <w:tc>
          <w:tcPr>
            <w:tcW w:w="733" w:type="dxa"/>
            <w:tcBorders>
              <w:top w:val="single" w:color="000000" w:sz="4" w:space="0"/>
              <w:left w:val="single" w:color="auto" w:sz="4" w:space="0"/>
              <w:bottom w:val="single" w:color="000000" w:sz="4" w:space="0"/>
              <w:right w:val="single" w:color="auto" w:sz="4" w:space="0"/>
            </w:tcBorders>
            <w:vAlign w:val="center"/>
          </w:tcPr>
          <w:p w14:paraId="23F5ED16">
            <w:pPr>
              <w:spacing w:line="360" w:lineRule="auto"/>
              <w:jc w:val="center"/>
              <w:rPr>
                <w:rFonts w:ascii="仿宋_GB2312" w:hAnsi="仿宋_GB2312" w:eastAsia="仿宋_GB2312" w:cs="仿宋_GB2312"/>
                <w:b/>
                <w:bCs/>
                <w:kern w:val="1"/>
                <w:sz w:val="24"/>
                <w:szCs w:val="24"/>
              </w:rPr>
            </w:pPr>
          </w:p>
        </w:tc>
      </w:tr>
      <w:tr w14:paraId="0209E16B">
        <w:tblPrEx>
          <w:tblCellMar>
            <w:top w:w="0" w:type="dxa"/>
            <w:left w:w="108" w:type="dxa"/>
            <w:bottom w:w="0" w:type="dxa"/>
            <w:right w:w="108" w:type="dxa"/>
          </w:tblCellMar>
        </w:tblPrEx>
        <w:trPr>
          <w:trHeight w:val="468" w:hRule="exact"/>
          <w:jc w:val="center"/>
        </w:trPr>
        <w:tc>
          <w:tcPr>
            <w:tcW w:w="2039" w:type="dxa"/>
            <w:tcBorders>
              <w:top w:val="single" w:color="000000" w:sz="4" w:space="0"/>
              <w:left w:val="single" w:color="000000" w:sz="4" w:space="0"/>
              <w:bottom w:val="single" w:color="000000" w:sz="4" w:space="0"/>
              <w:right w:val="single" w:color="000000" w:sz="4" w:space="0"/>
            </w:tcBorders>
          </w:tcPr>
          <w:p w14:paraId="3BBDD3B2">
            <w:pPr>
              <w:rPr>
                <w:rFonts w:ascii="宋体" w:hAnsi="宋体" w:cs="宋体"/>
                <w:sz w:val="15"/>
                <w:szCs w:val="15"/>
                <w:lang w:bidi="ar"/>
              </w:rPr>
            </w:pPr>
            <w:r>
              <w:rPr>
                <w:rFonts w:hint="eastAsia" w:ascii="宋体" w:hAnsi="宋体" w:cs="宋体"/>
                <w:sz w:val="15"/>
                <w:szCs w:val="15"/>
                <w:lang w:bidi="ar"/>
              </w:rPr>
              <w:t>CIMR-AB4A0088</w:t>
            </w:r>
            <w:r>
              <w:rPr>
                <w:rFonts w:ascii="宋体" w:hAnsi="宋体" w:cs="宋体"/>
                <w:sz w:val="15"/>
                <w:szCs w:val="15"/>
                <w:lang w:bidi="ar"/>
              </w:rPr>
              <w:t>ABA</w:t>
            </w:r>
            <w:r>
              <w:rPr>
                <w:rFonts w:hint="eastAsia" w:ascii="宋体" w:hAnsi="宋体" w:cs="宋体"/>
                <w:sz w:val="15"/>
                <w:szCs w:val="15"/>
                <w:lang w:bidi="ar"/>
              </w:rPr>
              <w:t>（小</w:t>
            </w:r>
            <w:r>
              <w:rPr>
                <w:rFonts w:ascii="宋体" w:hAnsi="宋体" w:cs="宋体"/>
                <w:sz w:val="15"/>
                <w:szCs w:val="15"/>
                <w:lang w:bidi="ar"/>
              </w:rPr>
              <w:t>车</w:t>
            </w:r>
            <w:r>
              <w:rPr>
                <w:rFonts w:hint="eastAsia" w:ascii="宋体" w:hAnsi="宋体" w:cs="宋体"/>
                <w:sz w:val="15"/>
                <w:szCs w:val="15"/>
                <w:lang w:bidi="ar"/>
              </w:rPr>
              <w:t>）</w:t>
            </w:r>
          </w:p>
        </w:tc>
        <w:tc>
          <w:tcPr>
            <w:tcW w:w="761" w:type="dxa"/>
            <w:tcBorders>
              <w:top w:val="single" w:color="auto" w:sz="4" w:space="0"/>
            </w:tcBorders>
          </w:tcPr>
          <w:p w14:paraId="6EDC9AD1">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1台</w:t>
            </w:r>
          </w:p>
        </w:tc>
        <w:tc>
          <w:tcPr>
            <w:tcW w:w="939" w:type="dxa"/>
            <w:tcBorders>
              <w:top w:val="single" w:color="000000" w:sz="4" w:space="0"/>
              <w:left w:val="single" w:color="000000" w:sz="4" w:space="0"/>
              <w:bottom w:val="single" w:color="000000" w:sz="4" w:space="0"/>
              <w:right w:val="single" w:color="000000" w:sz="4" w:space="0"/>
            </w:tcBorders>
            <w:vAlign w:val="center"/>
          </w:tcPr>
          <w:p w14:paraId="468A11EF">
            <w:pPr>
              <w:widowControl/>
              <w:jc w:val="center"/>
              <w:rPr>
                <w:rFonts w:ascii="仿宋_GB2312" w:hAnsi="仿宋_GB2312" w:eastAsia="仿宋_GB2312" w:cs="仿宋_GB2312"/>
                <w:kern w:val="0"/>
                <w:sz w:val="24"/>
                <w:szCs w:val="24"/>
              </w:rPr>
            </w:pPr>
          </w:p>
        </w:tc>
        <w:tc>
          <w:tcPr>
            <w:tcW w:w="950" w:type="dxa"/>
            <w:tcBorders>
              <w:top w:val="single" w:color="000000" w:sz="4" w:space="0"/>
              <w:left w:val="single" w:color="000000" w:sz="4" w:space="0"/>
              <w:bottom w:val="single" w:color="000000" w:sz="4" w:space="0"/>
              <w:right w:val="single" w:color="auto" w:sz="4" w:space="0"/>
            </w:tcBorders>
            <w:vAlign w:val="center"/>
          </w:tcPr>
          <w:p w14:paraId="62ED8CB4">
            <w:pPr>
              <w:spacing w:line="360" w:lineRule="auto"/>
              <w:ind w:firstLine="480" w:firstLineChars="200"/>
              <w:jc w:val="center"/>
              <w:rPr>
                <w:rFonts w:ascii="仿宋_GB2312" w:hAnsi="仿宋_GB2312" w:eastAsia="仿宋_GB2312" w:cs="仿宋_GB2312"/>
                <w:kern w:val="0"/>
                <w:sz w:val="24"/>
                <w:szCs w:val="24"/>
              </w:rPr>
            </w:pPr>
          </w:p>
        </w:tc>
        <w:tc>
          <w:tcPr>
            <w:tcW w:w="922" w:type="dxa"/>
            <w:tcBorders>
              <w:top w:val="single" w:color="000000" w:sz="4" w:space="0"/>
              <w:left w:val="single" w:color="auto" w:sz="4" w:space="0"/>
              <w:bottom w:val="single" w:color="000000" w:sz="4" w:space="0"/>
              <w:right w:val="single" w:color="auto" w:sz="4" w:space="0"/>
            </w:tcBorders>
            <w:vAlign w:val="center"/>
          </w:tcPr>
          <w:p w14:paraId="7AB52E35">
            <w:pPr>
              <w:spacing w:line="360" w:lineRule="auto"/>
              <w:ind w:firstLine="480" w:firstLineChars="200"/>
              <w:jc w:val="center"/>
              <w:rPr>
                <w:rFonts w:ascii="仿宋_GB2312" w:hAnsi="仿宋_GB2312" w:eastAsia="仿宋_GB2312" w:cs="仿宋_GB2312"/>
                <w:kern w:val="0"/>
                <w:sz w:val="24"/>
                <w:szCs w:val="24"/>
              </w:rPr>
            </w:pPr>
          </w:p>
        </w:tc>
        <w:tc>
          <w:tcPr>
            <w:tcW w:w="873" w:type="dxa"/>
            <w:tcBorders>
              <w:top w:val="single" w:color="000000" w:sz="4" w:space="0"/>
              <w:left w:val="single" w:color="auto" w:sz="4" w:space="0"/>
              <w:bottom w:val="single" w:color="000000" w:sz="4" w:space="0"/>
              <w:right w:val="single" w:color="auto" w:sz="4" w:space="0"/>
            </w:tcBorders>
            <w:vAlign w:val="center"/>
          </w:tcPr>
          <w:p w14:paraId="3E91404D">
            <w:pPr>
              <w:spacing w:line="360" w:lineRule="auto"/>
              <w:ind w:firstLine="480" w:firstLineChars="200"/>
              <w:jc w:val="center"/>
              <w:rPr>
                <w:rFonts w:ascii="仿宋_GB2312" w:hAnsi="仿宋_GB2312" w:eastAsia="仿宋_GB2312" w:cs="仿宋_GB2312"/>
                <w:kern w:val="0"/>
                <w:sz w:val="24"/>
                <w:szCs w:val="24"/>
              </w:rPr>
            </w:pPr>
          </w:p>
        </w:tc>
        <w:tc>
          <w:tcPr>
            <w:tcW w:w="709" w:type="dxa"/>
            <w:tcBorders>
              <w:top w:val="single" w:color="000000" w:sz="4" w:space="0"/>
              <w:left w:val="single" w:color="auto" w:sz="4" w:space="0"/>
              <w:bottom w:val="single" w:color="000000" w:sz="4" w:space="0"/>
              <w:right w:val="single" w:color="000000" w:sz="4" w:space="0"/>
            </w:tcBorders>
            <w:vAlign w:val="center"/>
          </w:tcPr>
          <w:p w14:paraId="465D0F50">
            <w:pPr>
              <w:spacing w:line="360" w:lineRule="auto"/>
              <w:ind w:firstLine="480" w:firstLineChars="200"/>
              <w:jc w:val="center"/>
              <w:rPr>
                <w:rFonts w:ascii="仿宋_GB2312" w:hAnsi="仿宋_GB2312" w:eastAsia="仿宋_GB2312" w:cs="仿宋_GB2312"/>
                <w:kern w:val="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881881D">
            <w:pPr>
              <w:spacing w:line="360" w:lineRule="auto"/>
              <w:ind w:firstLine="480" w:firstLineChars="200"/>
              <w:jc w:val="center"/>
              <w:rPr>
                <w:rFonts w:ascii="仿宋_GB2312" w:hAnsi="仿宋_GB2312" w:eastAsia="仿宋_GB2312" w:cs="仿宋_GB2312"/>
                <w:kern w:val="0"/>
                <w:sz w:val="24"/>
                <w:szCs w:val="24"/>
              </w:rPr>
            </w:pPr>
          </w:p>
        </w:tc>
        <w:tc>
          <w:tcPr>
            <w:tcW w:w="1253" w:type="dxa"/>
            <w:tcBorders>
              <w:top w:val="single" w:color="000000" w:sz="4" w:space="0"/>
              <w:left w:val="single" w:color="000000" w:sz="4" w:space="0"/>
              <w:bottom w:val="single" w:color="000000" w:sz="4" w:space="0"/>
              <w:right w:val="single" w:color="auto" w:sz="4" w:space="0"/>
            </w:tcBorders>
            <w:vAlign w:val="center"/>
          </w:tcPr>
          <w:p w14:paraId="1D8A90D0">
            <w:pPr>
              <w:spacing w:line="360" w:lineRule="auto"/>
              <w:jc w:val="center"/>
              <w:rPr>
                <w:rFonts w:ascii="仿宋_GB2312" w:hAnsi="仿宋_GB2312" w:eastAsia="仿宋_GB2312" w:cs="仿宋_GB2312"/>
                <w:b/>
                <w:bCs/>
                <w:kern w:val="1"/>
                <w:sz w:val="24"/>
                <w:szCs w:val="24"/>
              </w:rPr>
            </w:pPr>
          </w:p>
        </w:tc>
        <w:tc>
          <w:tcPr>
            <w:tcW w:w="733" w:type="dxa"/>
            <w:tcBorders>
              <w:top w:val="single" w:color="000000" w:sz="4" w:space="0"/>
              <w:left w:val="single" w:color="auto" w:sz="4" w:space="0"/>
              <w:bottom w:val="single" w:color="000000" w:sz="4" w:space="0"/>
              <w:right w:val="single" w:color="auto" w:sz="4" w:space="0"/>
            </w:tcBorders>
            <w:vAlign w:val="center"/>
          </w:tcPr>
          <w:p w14:paraId="62640E54">
            <w:pPr>
              <w:spacing w:line="360" w:lineRule="auto"/>
              <w:jc w:val="center"/>
              <w:rPr>
                <w:rFonts w:ascii="仿宋_GB2312" w:hAnsi="仿宋_GB2312" w:eastAsia="仿宋_GB2312" w:cs="仿宋_GB2312"/>
                <w:b/>
                <w:bCs/>
                <w:kern w:val="1"/>
                <w:sz w:val="24"/>
                <w:szCs w:val="24"/>
              </w:rPr>
            </w:pPr>
          </w:p>
        </w:tc>
      </w:tr>
      <w:tr w14:paraId="73577DDC">
        <w:tblPrEx>
          <w:tblCellMar>
            <w:top w:w="0" w:type="dxa"/>
            <w:left w:w="108" w:type="dxa"/>
            <w:bottom w:w="0" w:type="dxa"/>
            <w:right w:w="108" w:type="dxa"/>
          </w:tblCellMar>
        </w:tblPrEx>
        <w:trPr>
          <w:trHeight w:val="567" w:hRule="exact"/>
          <w:jc w:val="center"/>
        </w:trPr>
        <w:tc>
          <w:tcPr>
            <w:tcW w:w="7193" w:type="dxa"/>
            <w:gridSpan w:val="7"/>
            <w:tcBorders>
              <w:top w:val="single" w:color="000000" w:sz="4" w:space="0"/>
              <w:left w:val="single" w:color="000000" w:sz="4" w:space="0"/>
              <w:bottom w:val="single" w:color="000000" w:sz="4" w:space="0"/>
              <w:right w:val="single" w:color="auto" w:sz="4" w:space="0"/>
            </w:tcBorders>
            <w:vAlign w:val="center"/>
          </w:tcPr>
          <w:p w14:paraId="75316F34">
            <w:pPr>
              <w:widowControl/>
              <w:rPr>
                <w:color w:val="000000"/>
                <w:kern w:val="0"/>
                <w:szCs w:val="24"/>
              </w:rPr>
            </w:pPr>
            <w:r>
              <w:rPr>
                <w:rFonts w:hint="eastAsia" w:ascii="仿宋" w:hAnsi="仿宋" w:eastAsia="仿宋"/>
                <w:color w:val="000000"/>
                <w:kern w:val="0"/>
                <w:sz w:val="28"/>
                <w:szCs w:val="28"/>
              </w:rPr>
              <w:t>以上总价为（小写）：</w:t>
            </w:r>
          </w:p>
        </w:tc>
        <w:tc>
          <w:tcPr>
            <w:tcW w:w="2695" w:type="dxa"/>
            <w:gridSpan w:val="3"/>
            <w:tcBorders>
              <w:top w:val="single" w:color="000000" w:sz="4" w:space="0"/>
              <w:left w:val="single" w:color="000000" w:sz="4" w:space="0"/>
              <w:bottom w:val="single" w:color="000000" w:sz="4" w:space="0"/>
              <w:right w:val="single" w:color="auto" w:sz="4" w:space="0"/>
            </w:tcBorders>
            <w:vAlign w:val="center"/>
          </w:tcPr>
          <w:p w14:paraId="109E5320">
            <w:pPr>
              <w:widowControl/>
              <w:rPr>
                <w:color w:val="000000"/>
                <w:kern w:val="0"/>
                <w:szCs w:val="24"/>
              </w:rPr>
            </w:pPr>
          </w:p>
        </w:tc>
      </w:tr>
    </w:tbl>
    <w:p w14:paraId="16E2F47D">
      <w:pPr>
        <w:spacing w:line="360" w:lineRule="auto"/>
        <w:jc w:val="left"/>
        <w:rPr>
          <w:rFonts w:ascii="仿宋_GB2312" w:hAnsi="仿宋_GB2312" w:eastAsia="仿宋_GB2312" w:cs="仿宋_GB2312"/>
          <w:b/>
          <w:bCs/>
          <w:kern w:val="1"/>
          <w:sz w:val="24"/>
          <w:szCs w:val="24"/>
        </w:rPr>
      </w:pPr>
    </w:p>
    <w:p w14:paraId="722A730F">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77391EDD">
      <w:pPr>
        <w:pStyle w:val="7"/>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color w:val="FF0000"/>
          <w:sz w:val="32"/>
          <w:szCs w:val="32"/>
          <w:u w:val="single"/>
        </w:rPr>
        <w:t>接到维修</w:t>
      </w:r>
      <w:r>
        <w:rPr>
          <w:rFonts w:ascii="方正仿宋简体" w:hAnsi="方正仿宋简体" w:eastAsia="方正仿宋简体" w:cs="方正仿宋简体"/>
          <w:color w:val="FF0000"/>
          <w:sz w:val="32"/>
          <w:szCs w:val="32"/>
          <w:u w:val="single"/>
        </w:rPr>
        <w:t>电话后3</w:t>
      </w:r>
      <w:r>
        <w:rPr>
          <w:rFonts w:hint="eastAsia" w:ascii="方正仿宋简体" w:hAnsi="方正仿宋简体" w:eastAsia="方正仿宋简体" w:cs="方正仿宋简体"/>
          <w:color w:val="FF0000"/>
          <w:sz w:val="32"/>
          <w:szCs w:val="32"/>
          <w:u w:val="single"/>
        </w:rPr>
        <w:t>小</w:t>
      </w:r>
      <w:r>
        <w:rPr>
          <w:rFonts w:ascii="方正仿宋简体" w:hAnsi="方正仿宋简体" w:eastAsia="方正仿宋简体" w:cs="方正仿宋简体"/>
          <w:color w:val="FF0000"/>
          <w:sz w:val="32"/>
          <w:szCs w:val="32"/>
          <w:u w:val="single"/>
        </w:rPr>
        <w:t>时内赶到现场</w:t>
      </w:r>
      <w:r>
        <w:rPr>
          <w:rFonts w:hint="eastAsia" w:ascii="方正仿宋简体" w:hAnsi="方正仿宋简体" w:eastAsia="方正仿宋简体" w:cs="方正仿宋简体"/>
          <w:color w:val="FF0000"/>
          <w:sz w:val="32"/>
          <w:szCs w:val="32"/>
          <w:u w:val="single"/>
        </w:rPr>
        <w:t>判断故障并现场维修。</w:t>
      </w:r>
      <w:r>
        <w:rPr>
          <w:rFonts w:ascii="方正仿宋简体" w:hAnsi="方正仿宋简体" w:eastAsia="方正仿宋简体" w:cs="方正仿宋简体"/>
          <w:sz w:val="32"/>
          <w:szCs w:val="32"/>
          <w:u w:val="single"/>
        </w:rPr>
        <w:t>。</w:t>
      </w:r>
    </w:p>
    <w:p w14:paraId="25AFBD9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四、我方承诺遵守采购文件中的全部规定。</w:t>
      </w:r>
    </w:p>
    <w:p w14:paraId="73289CF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7743619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采购文件，包括采购文件的补充文件（如有）。我方完全理解并同意放弃对这方面有不明及误解的权力，同时完全接受采购文件所有条款。如果采购文件有相互矛盾之处，我方同意按采购方的解释处理。</w:t>
      </w:r>
    </w:p>
    <w:p w14:paraId="39ADD6B3">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C664F1B">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E4EACC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1A372E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4946439">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6EE2DCF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178AD32">
      <w:pPr>
        <w:rPr>
          <w:rFonts w:ascii="方正小标宋简体" w:hAnsi="宋体" w:eastAsia="方正小标宋简体" w:cs="宋体"/>
          <w:b/>
          <w:bCs/>
          <w:sz w:val="32"/>
          <w:szCs w:val="32"/>
        </w:rPr>
      </w:pPr>
    </w:p>
    <w:p w14:paraId="7CB044EA">
      <w:pPr>
        <w:pStyle w:val="13"/>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6E687CF2">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4E7E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A4C0C3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8A9C34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47BDD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289BB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41A02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9DB05F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71F6632C">
      <w:pPr>
        <w:tabs>
          <w:tab w:val="left" w:pos="2565"/>
        </w:tabs>
        <w:spacing w:line="600" w:lineRule="exact"/>
        <w:rPr>
          <w:rFonts w:ascii="方正仿宋简体" w:hAnsi="方正仿宋简体" w:eastAsia="方正仿宋简体" w:cs="方正仿宋简体"/>
          <w:sz w:val="32"/>
          <w:szCs w:val="32"/>
        </w:rPr>
      </w:pPr>
    </w:p>
    <w:p w14:paraId="3EF61670">
      <w:pPr>
        <w:tabs>
          <w:tab w:val="left" w:pos="2565"/>
        </w:tabs>
        <w:spacing w:line="600" w:lineRule="exact"/>
        <w:rPr>
          <w:rFonts w:ascii="方正仿宋简体" w:hAnsi="方正仿宋简体" w:eastAsia="方正仿宋简体" w:cs="方正仿宋简体"/>
          <w:sz w:val="32"/>
          <w:szCs w:val="32"/>
        </w:rPr>
      </w:pPr>
    </w:p>
    <w:p w14:paraId="125AEA08">
      <w:pPr>
        <w:tabs>
          <w:tab w:val="left" w:pos="2565"/>
        </w:tabs>
        <w:spacing w:line="600" w:lineRule="exact"/>
        <w:rPr>
          <w:rFonts w:ascii="方正仿宋简体" w:hAnsi="方正仿宋简体" w:eastAsia="方正仿宋简体" w:cs="方正仿宋简体"/>
          <w:sz w:val="32"/>
          <w:szCs w:val="32"/>
        </w:rPr>
      </w:pPr>
    </w:p>
    <w:p w14:paraId="20499BF7">
      <w:pPr>
        <w:pStyle w:val="7"/>
      </w:pPr>
    </w:p>
    <w:p w14:paraId="48B0E0F1">
      <w:pPr>
        <w:tabs>
          <w:tab w:val="left" w:pos="2565"/>
        </w:tabs>
        <w:spacing w:line="600" w:lineRule="exact"/>
        <w:rPr>
          <w:rFonts w:ascii="方正仿宋简体" w:hAnsi="方正仿宋简体" w:eastAsia="方正仿宋简体" w:cs="方正仿宋简体"/>
          <w:sz w:val="32"/>
          <w:szCs w:val="32"/>
        </w:rPr>
      </w:pPr>
    </w:p>
    <w:p w14:paraId="536BD063">
      <w:pPr>
        <w:tabs>
          <w:tab w:val="left" w:pos="2565"/>
        </w:tabs>
        <w:spacing w:line="600" w:lineRule="exact"/>
        <w:rPr>
          <w:rFonts w:ascii="方正仿宋简体" w:hAnsi="方正仿宋简体" w:eastAsia="方正仿宋简体" w:cs="方正仿宋简体"/>
          <w:sz w:val="32"/>
          <w:szCs w:val="32"/>
        </w:rPr>
      </w:pPr>
    </w:p>
    <w:p w14:paraId="6BD424EF">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3"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YYQ/招投标工作文件/制度/负面清单流程图.png负面清单流程图"/>
                    <pic:cNvPicPr>
                      <a:picLocks noChangeAspect="1" noChangeArrowheads="1"/>
                    </pic:cNvPicPr>
                  </pic:nvPicPr>
                  <pic:blipFill>
                    <a:blip r:embed="rId5">
                      <a:extLst>
                        <a:ext uri="{28A0092B-C50C-407E-A947-70E740481C1C}">
                          <a14:useLocalDpi xmlns:a14="http://schemas.microsoft.com/office/drawing/2010/main" val="0"/>
                        </a:ext>
                      </a:extLst>
                    </a:blip>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0BD5FB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3385E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270FB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68B4AB9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7DD8C2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4C4317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8FDCF6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6D87580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6F5B9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8BE670C">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A209F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6FBB13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95CB4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A9656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D976CF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2CD23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489D92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D796B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CDC79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60CA1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7C202F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37867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906D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DFA28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B0AA8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E0B8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2ACDF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C3CA9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6EFDEA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40FCC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76DA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366C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E9520B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0DB8B6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7FF57F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ACB2C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367E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47FE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ED3C1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15704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8427F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F579C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DA28F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5BCFF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467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72EF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3E54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1B96B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6252557">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280F15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CEEA18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49D31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81DAA8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BF6F1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2C82E4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005A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3219E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E8D1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155183">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7F319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5FB028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31B923A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80EC7C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36093E9">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ABD534E">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57F350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6415BB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29940A2">
      <w:pPr>
        <w:pStyle w:val="7"/>
      </w:pPr>
    </w:p>
    <w:p w14:paraId="2B95C3E6">
      <w:pPr>
        <w:spacing w:line="600" w:lineRule="exact"/>
        <w:ind w:firstLine="675"/>
        <w:rPr>
          <w:rFonts w:ascii="方正仿宋简体" w:hAnsi="方正仿宋简体" w:eastAsia="方正仿宋简体" w:cs="方正仿宋简体"/>
          <w:sz w:val="32"/>
          <w:szCs w:val="32"/>
        </w:rPr>
      </w:pPr>
    </w:p>
    <w:p w14:paraId="438F316D">
      <w:pPr>
        <w:spacing w:line="600" w:lineRule="exact"/>
        <w:ind w:firstLine="675"/>
        <w:rPr>
          <w:rFonts w:ascii="方正仿宋简体" w:hAnsi="方正仿宋简体" w:eastAsia="方正仿宋简体" w:cs="方正仿宋简体"/>
          <w:sz w:val="32"/>
          <w:szCs w:val="32"/>
        </w:rPr>
      </w:pPr>
    </w:p>
    <w:p w14:paraId="5B341825">
      <w:pPr>
        <w:spacing w:line="600" w:lineRule="exact"/>
        <w:ind w:firstLine="675"/>
        <w:rPr>
          <w:rFonts w:ascii="方正仿宋简体" w:hAnsi="方正仿宋简体" w:eastAsia="方正仿宋简体" w:cs="方正仿宋简体"/>
          <w:sz w:val="32"/>
          <w:szCs w:val="32"/>
        </w:rPr>
      </w:pPr>
    </w:p>
    <w:p w14:paraId="1875E91D">
      <w:pPr>
        <w:spacing w:line="600" w:lineRule="exact"/>
        <w:ind w:firstLine="675"/>
        <w:rPr>
          <w:rFonts w:ascii="方正仿宋简体" w:hAnsi="方正仿宋简体" w:eastAsia="方正仿宋简体" w:cs="方正仿宋简体"/>
          <w:sz w:val="32"/>
          <w:szCs w:val="32"/>
        </w:rPr>
      </w:pPr>
    </w:p>
    <w:p w14:paraId="24DDD565">
      <w:pPr>
        <w:pStyle w:val="7"/>
      </w:pPr>
    </w:p>
    <w:p w14:paraId="1D8A2887">
      <w:pPr>
        <w:pStyle w:val="8"/>
      </w:pPr>
    </w:p>
    <w:p w14:paraId="68ED8403">
      <w:pPr>
        <w:pStyle w:val="8"/>
      </w:pPr>
    </w:p>
    <w:p w14:paraId="2F417AD0">
      <w:pPr>
        <w:pStyle w:val="8"/>
      </w:pPr>
    </w:p>
    <w:p w14:paraId="7F54A309">
      <w:pPr>
        <w:pStyle w:val="8"/>
      </w:pPr>
    </w:p>
    <w:p w14:paraId="73F2E216">
      <w:pPr>
        <w:pStyle w:val="8"/>
      </w:pPr>
    </w:p>
    <w:p w14:paraId="6CD28280">
      <w:pPr>
        <w:pStyle w:val="8"/>
      </w:pPr>
    </w:p>
    <w:p w14:paraId="418162DA">
      <w:pPr>
        <w:pStyle w:val="8"/>
      </w:pPr>
    </w:p>
    <w:p w14:paraId="31CD21E6">
      <w:pPr>
        <w:pStyle w:val="8"/>
      </w:pPr>
    </w:p>
    <w:p w14:paraId="0970ABF2">
      <w:pPr>
        <w:pStyle w:val="8"/>
      </w:pPr>
    </w:p>
    <w:p w14:paraId="2C5B910A">
      <w:pPr>
        <w:pStyle w:val="8"/>
      </w:pPr>
    </w:p>
    <w:p w14:paraId="6755FD6D">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附件2</w:t>
      </w:r>
    </w:p>
    <w:p w14:paraId="114F7452"/>
    <w:p w14:paraId="3A955336">
      <w:pPr>
        <w:pStyle w:val="4"/>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rPr>
        <w:t>具备履行合同所必需的设备和专业技术能力的书面声明</w:t>
      </w:r>
    </w:p>
    <w:p w14:paraId="14295675">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6BF2B573">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755C4252">
      <w:pPr>
        <w:spacing w:line="440" w:lineRule="exact"/>
        <w:rPr>
          <w:rFonts w:ascii="宋体" w:hAnsi="宋体"/>
          <w:bCs/>
          <w:sz w:val="24"/>
          <w:szCs w:val="24"/>
        </w:rPr>
      </w:pPr>
      <w:r>
        <w:rPr>
          <w:rFonts w:hint="eastAsia" w:ascii="宋体" w:hAnsi="宋体"/>
          <w:bCs/>
          <w:sz w:val="24"/>
          <w:szCs w:val="24"/>
        </w:rPr>
        <w:t xml:space="preserve">                                     </w:t>
      </w:r>
    </w:p>
    <w:p w14:paraId="3CDBF825">
      <w:pPr>
        <w:pStyle w:val="4"/>
        <w:spacing w:line="440" w:lineRule="exact"/>
        <w:jc w:val="center"/>
        <w:rPr>
          <w:rFonts w:ascii="宋体" w:hAnsi="宋体"/>
          <w:b w:val="0"/>
          <w:sz w:val="24"/>
          <w:szCs w:val="21"/>
        </w:rPr>
      </w:pPr>
    </w:p>
    <w:p w14:paraId="5B37F9E2">
      <w:pPr>
        <w:pStyle w:val="13"/>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附件3</w:t>
      </w:r>
    </w:p>
    <w:p w14:paraId="196F5207">
      <w:pPr>
        <w:pStyle w:val="4"/>
        <w:spacing w:line="440" w:lineRule="exact"/>
        <w:jc w:val="center"/>
        <w:rPr>
          <w:rFonts w:ascii="宋体" w:hAnsi="宋体"/>
          <w:szCs w:val="21"/>
        </w:rPr>
      </w:pPr>
    </w:p>
    <w:p w14:paraId="6946D6E9">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76CAF471">
      <w:pPr>
        <w:pStyle w:val="5"/>
      </w:pPr>
    </w:p>
    <w:p w14:paraId="0852FCAB">
      <w:pPr>
        <w:pStyle w:val="27"/>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72FA777E">
      <w:pPr>
        <w:pStyle w:val="27"/>
        <w:ind w:firstLine="560" w:firstLineChars="200"/>
        <w:rPr>
          <w:color w:val="auto"/>
          <w:sz w:val="28"/>
          <w:szCs w:val="28"/>
        </w:rPr>
      </w:pPr>
      <w:r>
        <w:rPr>
          <w:rFonts w:hint="eastAsia"/>
          <w:color w:val="auto"/>
          <w:sz w:val="28"/>
          <w:szCs w:val="28"/>
        </w:rPr>
        <w:t>本授权书于______年____月____日起生效，特此声明。</w:t>
      </w:r>
    </w:p>
    <w:p w14:paraId="6B934D52">
      <w:pPr>
        <w:pStyle w:val="27"/>
        <w:ind w:firstLine="560"/>
        <w:rPr>
          <w:color w:val="auto"/>
          <w:sz w:val="28"/>
          <w:szCs w:val="28"/>
        </w:rPr>
      </w:pPr>
      <w:r>
        <w:rPr>
          <w:rFonts w:hint="eastAsia"/>
          <w:color w:val="auto"/>
          <w:sz w:val="28"/>
          <w:szCs w:val="28"/>
        </w:rPr>
        <w:t xml:space="preserve">    代理人（被授权人）签字：_______________________</w:t>
      </w:r>
    </w:p>
    <w:p w14:paraId="2343069C">
      <w:pPr>
        <w:pStyle w:val="27"/>
        <w:ind w:firstLine="560"/>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72C0DFCD">
      <w:pPr>
        <w:pStyle w:val="27"/>
        <w:ind w:firstLine="560"/>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3C0BAC">
      <w:pPr>
        <w:pStyle w:val="27"/>
        <w:ind w:firstLine="560" w:firstLineChars="200"/>
        <w:rPr>
          <w:color w:val="auto"/>
          <w:sz w:val="28"/>
          <w:szCs w:val="28"/>
        </w:rPr>
      </w:pPr>
      <w:r>
        <w:rPr>
          <w:rFonts w:hint="eastAsia"/>
          <w:color w:val="auto"/>
          <w:sz w:val="28"/>
          <w:szCs w:val="28"/>
        </w:rPr>
        <w:t>单位名称：_____________________________________</w:t>
      </w:r>
    </w:p>
    <w:p w14:paraId="79CEDF9C">
      <w:pPr>
        <w:pStyle w:val="27"/>
        <w:ind w:firstLine="560"/>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37492840">
      <w:pPr>
        <w:pStyle w:val="27"/>
        <w:ind w:firstLine="560"/>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557A212D">
      <w:pPr>
        <w:pStyle w:val="27"/>
        <w:ind w:firstLine="560"/>
        <w:rPr>
          <w:color w:val="auto"/>
          <w:sz w:val="28"/>
          <w:szCs w:val="28"/>
        </w:rPr>
      </w:pPr>
      <w:r>
        <w:rPr>
          <w:rFonts w:hint="eastAsia"/>
          <w:color w:val="auto"/>
          <w:sz w:val="28"/>
          <w:szCs w:val="28"/>
        </w:rPr>
        <w:t xml:space="preserve">    日期：   年   月   日</w:t>
      </w:r>
    </w:p>
    <w:p w14:paraId="0EDA04D8">
      <w:pPr>
        <w:pStyle w:val="27"/>
        <w:spacing w:line="440" w:lineRule="exact"/>
        <w:ind w:firstLine="560"/>
        <w:rPr>
          <w:color w:val="auto"/>
          <w:sz w:val="28"/>
          <w:szCs w:val="28"/>
        </w:rPr>
      </w:pPr>
      <w:r>
        <w:rPr>
          <w:rFonts w:hint="eastAsia"/>
          <w:color w:val="auto"/>
          <w:sz w:val="28"/>
          <w:szCs w:val="28"/>
        </w:rPr>
        <w:t xml:space="preserve">                </w:t>
      </w:r>
      <w:bookmarkStart w:id="11" w:name="_Hlt26671380"/>
      <w:bookmarkEnd w:id="11"/>
      <w:bookmarkStart w:id="12" w:name="_Hlt26955070"/>
      <w:bookmarkEnd w:id="12"/>
      <w:bookmarkStart w:id="13" w:name="_格式3__银行出具的资信证明"/>
      <w:bookmarkEnd w:id="13"/>
    </w:p>
    <w:p w14:paraId="202817E2">
      <w:pPr>
        <w:pStyle w:val="5"/>
        <w:spacing w:line="440" w:lineRule="exact"/>
      </w:pPr>
    </w:p>
    <w:p w14:paraId="552D16BD">
      <w:pPr>
        <w:pStyle w:val="5"/>
        <w:spacing w:line="440" w:lineRule="exact"/>
      </w:pPr>
    </w:p>
    <w:p w14:paraId="31462F68">
      <w:pPr>
        <w:pStyle w:val="13"/>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附件4</w:t>
      </w:r>
    </w:p>
    <w:p w14:paraId="2A2BD5B1">
      <w:pPr>
        <w:pStyle w:val="4"/>
        <w:spacing w:line="440" w:lineRule="exact"/>
        <w:jc w:val="center"/>
        <w:rPr>
          <w:rFonts w:ascii="宋体" w:hAnsi="宋体"/>
          <w:szCs w:val="21"/>
        </w:rPr>
      </w:pPr>
    </w:p>
    <w:p w14:paraId="056E876A">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51A13263">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34D3A1FF">
      <w:pPr>
        <w:spacing w:line="440" w:lineRule="exact"/>
        <w:rPr>
          <w:rFonts w:ascii="宋体" w:hAnsi="宋体"/>
          <w:b/>
          <w:bCs/>
          <w:sz w:val="44"/>
          <w:szCs w:val="44"/>
        </w:rPr>
      </w:pPr>
      <w:r>
        <w:rPr>
          <w:rFonts w:hint="eastAsia" w:ascii="宋体" w:hAnsi="宋体"/>
          <w:b/>
          <w:bCs/>
          <w:sz w:val="44"/>
          <w:szCs w:val="44"/>
        </w:rPr>
        <w:t xml:space="preserve">              声  明</w:t>
      </w:r>
    </w:p>
    <w:p w14:paraId="6987E697">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53F2D7C6">
      <w:pPr>
        <w:spacing w:line="440" w:lineRule="exact"/>
        <w:rPr>
          <w:rFonts w:ascii="宋体" w:hAnsi="宋体"/>
          <w:bCs/>
          <w:sz w:val="24"/>
          <w:szCs w:val="24"/>
        </w:rPr>
      </w:pPr>
      <w:r>
        <w:rPr>
          <w:rFonts w:hint="eastAsia" w:ascii="宋体" w:hAnsi="宋体"/>
          <w:bCs/>
          <w:sz w:val="24"/>
          <w:szCs w:val="24"/>
        </w:rPr>
        <w:t xml:space="preserve">                                      </w:t>
      </w:r>
    </w:p>
    <w:p w14:paraId="198181E6">
      <w:pPr>
        <w:rPr>
          <w:rFonts w:ascii="方正黑体_GBK" w:hAnsi="方正黑体_GBK" w:eastAsia="方正黑体_GBK" w:cs="方正黑体_GBK"/>
          <w:b/>
          <w:bCs/>
          <w:kern w:val="0"/>
          <w:sz w:val="32"/>
          <w:szCs w:val="32"/>
        </w:rPr>
      </w:pPr>
    </w:p>
    <w:p w14:paraId="077A9570">
      <w:pPr>
        <w:rPr>
          <w:rFonts w:ascii="方正黑体_GBK" w:hAnsi="方正黑体_GBK" w:eastAsia="方正黑体_GBK" w:cs="方正黑体_GBK"/>
          <w:b/>
          <w:bCs/>
          <w:kern w:val="0"/>
          <w:sz w:val="32"/>
          <w:szCs w:val="32"/>
        </w:rPr>
      </w:pPr>
    </w:p>
    <w:p w14:paraId="52AE26B2">
      <w:pPr>
        <w:rPr>
          <w:rFonts w:ascii="方正黑体_GBK" w:hAnsi="方正黑体_GBK" w:eastAsia="方正黑体_GBK" w:cs="方正黑体_GBK"/>
          <w:b/>
          <w:bCs/>
          <w:kern w:val="0"/>
          <w:sz w:val="32"/>
          <w:szCs w:val="32"/>
        </w:rPr>
      </w:pPr>
    </w:p>
    <w:p w14:paraId="5C0E0B63">
      <w:pPr>
        <w:rPr>
          <w:rFonts w:ascii="方正黑体_GBK" w:hAnsi="方正黑体_GBK" w:eastAsia="方正黑体_GBK" w:cs="方正黑体_GBK"/>
          <w:b/>
          <w:bCs/>
          <w:kern w:val="0"/>
          <w:sz w:val="32"/>
          <w:szCs w:val="32"/>
        </w:rPr>
      </w:pPr>
    </w:p>
    <w:p w14:paraId="47072B3C">
      <w:pPr>
        <w:rPr>
          <w:rFonts w:ascii="方正黑体_GBK" w:hAnsi="方正黑体_GBK" w:eastAsia="方正黑体_GBK" w:cs="方正黑体_GBK"/>
          <w:b/>
          <w:bCs/>
          <w:kern w:val="0"/>
          <w:sz w:val="32"/>
          <w:szCs w:val="32"/>
        </w:rPr>
      </w:pPr>
    </w:p>
    <w:p w14:paraId="6197949D">
      <w:pPr>
        <w:rPr>
          <w:rFonts w:ascii="方正黑体_GBK" w:hAnsi="方正黑体_GBK" w:eastAsia="方正黑体_GBK" w:cs="方正黑体_GBK"/>
          <w:b/>
          <w:bCs/>
          <w:kern w:val="0"/>
          <w:sz w:val="32"/>
          <w:szCs w:val="32"/>
        </w:rPr>
      </w:pPr>
    </w:p>
    <w:p w14:paraId="353F9EC2">
      <w:pPr>
        <w:rPr>
          <w:rFonts w:ascii="方正黑体_GBK" w:hAnsi="方正黑体_GBK" w:eastAsia="方正黑体_GBK" w:cs="方正黑体_GBK"/>
          <w:b/>
          <w:bCs/>
          <w:kern w:val="0"/>
          <w:sz w:val="32"/>
          <w:szCs w:val="32"/>
        </w:rPr>
      </w:pPr>
    </w:p>
    <w:p w14:paraId="0D3A23D1">
      <w:pPr>
        <w:rPr>
          <w:rFonts w:ascii="方正黑体_GBK" w:hAnsi="方正黑体_GBK" w:eastAsia="方正黑体_GBK" w:cs="方正黑体_GBK"/>
          <w:b/>
          <w:bCs/>
          <w:kern w:val="0"/>
          <w:sz w:val="32"/>
          <w:szCs w:val="32"/>
        </w:rPr>
      </w:pPr>
    </w:p>
    <w:p w14:paraId="2D6CC780">
      <w:pPr>
        <w:rPr>
          <w:rFonts w:ascii="方正黑体_GBK" w:hAnsi="方正黑体_GBK" w:eastAsia="方正黑体_GBK" w:cs="方正黑体_GBK"/>
          <w:b/>
          <w:bCs/>
          <w:kern w:val="0"/>
          <w:sz w:val="32"/>
          <w:szCs w:val="32"/>
        </w:rPr>
      </w:pPr>
    </w:p>
    <w:p w14:paraId="058ECBAB">
      <w:pPr>
        <w:rPr>
          <w:rFonts w:ascii="方正黑体_GBK" w:hAnsi="方正黑体_GBK" w:eastAsia="方正黑体_GBK" w:cs="方正黑体_GBK"/>
          <w:b/>
          <w:bCs/>
          <w:kern w:val="0"/>
          <w:sz w:val="32"/>
          <w:szCs w:val="32"/>
        </w:rPr>
      </w:pPr>
    </w:p>
    <w:p w14:paraId="1106B597">
      <w:pPr>
        <w:rPr>
          <w:rFonts w:ascii="方正黑体_GBK" w:hAnsi="方正黑体_GBK" w:eastAsia="方正黑体_GBK" w:cs="方正黑体_GBK"/>
          <w:b/>
          <w:bCs/>
          <w:kern w:val="0"/>
          <w:sz w:val="32"/>
          <w:szCs w:val="32"/>
        </w:rPr>
      </w:pPr>
    </w:p>
    <w:p w14:paraId="71C6A1B4">
      <w:pPr>
        <w:pStyle w:val="2"/>
      </w:pPr>
    </w:p>
    <w:p w14:paraId="7FE810C4">
      <w:pPr>
        <w:pStyle w:val="2"/>
        <w:rPr>
          <w:rFonts w:ascii="方正黑体_GBK" w:hAnsi="方正黑体_GBK" w:eastAsia="方正黑体_GBK" w:cs="方正黑体_GBK"/>
          <w:b w:val="0"/>
          <w:bCs/>
        </w:rPr>
      </w:pPr>
      <w:r>
        <w:rPr>
          <w:rFonts w:hint="eastAsia" w:ascii="方正黑体_GBK" w:hAnsi="方正黑体_GBK" w:eastAsia="方正黑体_GBK" w:cs="方正黑体_GBK"/>
          <w:b w:val="0"/>
          <w:bCs/>
        </w:rPr>
        <w:t>附件</w:t>
      </w:r>
      <w:r>
        <w:rPr>
          <w:rFonts w:ascii="方正黑体_GBK" w:hAnsi="方正黑体_GBK" w:eastAsia="方正黑体_GBK" w:cs="方正黑体_GBK"/>
          <w:b w:val="0"/>
          <w:bCs/>
        </w:rPr>
        <w:t>5</w:t>
      </w:r>
      <w:r>
        <w:rPr>
          <w:rFonts w:hint="eastAsia" w:ascii="方正黑体_GBK" w:hAnsi="方正黑体_GBK" w:eastAsia="方正黑体_GBK" w:cs="方正黑体_GBK"/>
          <w:b w:val="0"/>
          <w:bCs/>
        </w:rPr>
        <w:t>：</w:t>
      </w:r>
    </w:p>
    <w:p w14:paraId="7E671547">
      <w:pPr>
        <w:ind w:firstLine="2168" w:firstLineChars="600"/>
        <w:rPr>
          <w:b/>
          <w:sz w:val="36"/>
          <w:szCs w:val="36"/>
        </w:rPr>
      </w:pPr>
      <w:r>
        <w:rPr>
          <w:rFonts w:hint="eastAsia"/>
          <w:b/>
          <w:sz w:val="36"/>
          <w:szCs w:val="36"/>
        </w:rPr>
        <w:t>变频器现场维保工作内容</w:t>
      </w:r>
    </w:p>
    <w:p w14:paraId="627419A1">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1.可编程控制器对外接线端子（包括接线端子）所连接的元器件。</w:t>
      </w:r>
    </w:p>
    <w:p w14:paraId="7C7760B4">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2.变频器对外接线端子所连接的元器件。</w:t>
      </w:r>
    </w:p>
    <w:p w14:paraId="59E3F8FE">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3.变频器及可编程控制器内部电路，元器件的检查以及其内部软件设定值的修改。</w:t>
      </w:r>
    </w:p>
    <w:p w14:paraId="4BCF6268">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4.清理内部灰尘，尘埃，异物等，导电粉尘（污染级别）情况检查。</w:t>
      </w:r>
    </w:p>
    <w:p w14:paraId="4957F0E1">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5.检查主回路电压是否正常。</w:t>
      </w:r>
    </w:p>
    <w:p w14:paraId="77FCC117">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6.异常振动，异常声音，异常气味的检查处理。</w:t>
      </w:r>
    </w:p>
    <w:p w14:paraId="13E24F18">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7.内部连接部分的松动，偏移，过热的检查处理。</w:t>
      </w:r>
    </w:p>
    <w:p w14:paraId="4E640B54">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8.内部元件损坏的检查，更换等维修。</w:t>
      </w:r>
    </w:p>
    <w:p w14:paraId="07540EFE">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9.其他异常情况的检查处理。</w:t>
      </w:r>
    </w:p>
    <w:p w14:paraId="5A6F6A51">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10.电容容量检查。</w:t>
      </w:r>
    </w:p>
    <w:p w14:paraId="5CBC71ED">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11.风扇轴承磨损情况检查。</w:t>
      </w:r>
    </w:p>
    <w:p w14:paraId="43B095AC">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12.IGBT单元隔热处理。</w:t>
      </w:r>
    </w:p>
    <w:p w14:paraId="54A9D7D9">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13.每次维保完成后，提供维保记录。</w:t>
      </w:r>
    </w:p>
    <w:p w14:paraId="708E2C1B">
      <w:pPr>
        <w:spacing w:line="360" w:lineRule="auto"/>
        <w:rPr>
          <w:rFonts w:eastAsia="方正仿宋简体"/>
          <w:color w:val="FF0000"/>
        </w:rPr>
      </w:pPr>
      <w:r>
        <w:rPr>
          <w:rFonts w:hint="eastAsia" w:ascii="方正仿宋简体" w:hAnsi="方正仿宋简体" w:eastAsia="方正仿宋简体" w:cs="方正仿宋简体"/>
          <w:color w:val="FF0000"/>
          <w:sz w:val="32"/>
          <w:szCs w:val="32"/>
        </w:rPr>
        <w:t>1</w:t>
      </w:r>
      <w:r>
        <w:rPr>
          <w:rFonts w:ascii="方正仿宋简体" w:hAnsi="方正仿宋简体" w:eastAsia="方正仿宋简体" w:cs="方正仿宋简体"/>
          <w:color w:val="FF0000"/>
          <w:sz w:val="32"/>
          <w:szCs w:val="32"/>
        </w:rPr>
        <w:t>4.</w:t>
      </w:r>
      <w:r>
        <w:rPr>
          <w:rFonts w:hint="eastAsia" w:ascii="方正仿宋简体" w:hAnsi="方正仿宋简体" w:eastAsia="方正仿宋简体" w:cs="方正仿宋简体"/>
          <w:color w:val="FF0000"/>
          <w:sz w:val="32"/>
          <w:szCs w:val="32"/>
        </w:rPr>
        <w:t>对制动电阻进行清灰紧固并在运行时进行红外热成像检测。</w:t>
      </w:r>
    </w:p>
    <w:p w14:paraId="0CB88897">
      <w:pPr>
        <w:rPr>
          <w:rFonts w:ascii="宋体" w:hAnsi="宋体" w:cs="Arial"/>
          <w:sz w:val="28"/>
          <w:szCs w:val="28"/>
        </w:rPr>
      </w:pPr>
    </w:p>
    <w:p w14:paraId="456C2D2E">
      <w:pPr>
        <w:pStyle w:val="2"/>
        <w:rPr>
          <w:rFonts w:ascii="方正黑体_GBK" w:hAnsi="方正黑体_GBK" w:eastAsia="方正黑体_GBK" w:cs="方正黑体_GBK"/>
          <w:b w:val="0"/>
          <w:bCs/>
        </w:rPr>
      </w:pPr>
      <w:r>
        <w:rPr>
          <w:rFonts w:hint="eastAsia" w:ascii="方正黑体_GBK" w:hAnsi="方正黑体_GBK" w:eastAsia="方正黑体_GBK" w:cs="方正黑体_GBK"/>
          <w:b w:val="0"/>
          <w:bCs/>
        </w:rPr>
        <w:t>附件</w:t>
      </w:r>
      <w:r>
        <w:rPr>
          <w:rFonts w:ascii="方正黑体_GBK" w:hAnsi="方正黑体_GBK" w:eastAsia="方正黑体_GBK" w:cs="方正黑体_GBK"/>
          <w:b w:val="0"/>
          <w:bCs/>
        </w:rPr>
        <w:t>6</w:t>
      </w:r>
      <w:r>
        <w:rPr>
          <w:rFonts w:hint="eastAsia" w:ascii="方正黑体_GBK" w:hAnsi="方正黑体_GBK" w:eastAsia="方正黑体_GBK" w:cs="方正黑体_GBK"/>
          <w:b w:val="0"/>
          <w:bCs/>
        </w:rPr>
        <w:t>：</w:t>
      </w:r>
    </w:p>
    <w:p w14:paraId="64A32DF2">
      <w:pPr>
        <w:ind w:firstLine="2530" w:firstLineChars="700"/>
        <w:rPr>
          <w:rFonts w:ascii="新宋体" w:hAnsi="新宋体" w:eastAsia="新宋体" w:cs="Arial"/>
          <w:sz w:val="28"/>
          <w:szCs w:val="28"/>
        </w:rPr>
      </w:pPr>
      <w:r>
        <w:rPr>
          <w:rFonts w:hint="eastAsia"/>
          <w:b/>
          <w:sz w:val="36"/>
          <w:szCs w:val="36"/>
        </w:rPr>
        <w:t>变频器维修技术标准</w:t>
      </w:r>
    </w:p>
    <w:p w14:paraId="2DF4F48C">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1.所维修变频器为ABB ACS800系列产品，维修完成后必须具备其原有功能。</w:t>
      </w:r>
    </w:p>
    <w:p w14:paraId="4E90E159">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2.须保证所使用的元器件为该元器件或变频器生产厂家的正品。如该元器件或该型号变频器已停止生产，维修方有责任使用同等质量的元器件或变频器以保证服务质量。</w:t>
      </w:r>
    </w:p>
    <w:p w14:paraId="52253CC4">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3.维修后其参数如：功率因素、效率、输出电压、电流、过载能力、负载能力、温升、频率分辨率等达到ABB变频器出厂标准。</w:t>
      </w:r>
    </w:p>
    <w:p w14:paraId="48B4C7B6">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外观应清洁，盘面应无脱漆、锈蚀，标志应正确、齐全；</w:t>
      </w:r>
    </w:p>
    <w:p w14:paraId="13E12102">
      <w:pPr>
        <w:tabs>
          <w:tab w:val="left" w:pos="720"/>
          <w:tab w:val="left" w:pos="900"/>
        </w:tabs>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所有接线应无过热，元器件、插件的固定螺栓应无松动和锈蚀；元器件、插件应清洁，无损伤和过热，插件及控制板上的电子元件应无脱焊、虚焊、过热、老化现象，功能参数符合变频器说明书要求；</w:t>
      </w:r>
    </w:p>
    <w:p w14:paraId="3E811715">
      <w:pPr>
        <w:tabs>
          <w:tab w:val="left" w:pos="720"/>
          <w:tab w:val="left" w:pos="900"/>
        </w:tabs>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rPr>
        <w:t>冷却风扇等辅助系统应完好，运行正常、无异常声音，振动在允许范围内；</w:t>
      </w:r>
    </w:p>
    <w:p w14:paraId="2E2A47BD">
      <w:pPr>
        <w:tabs>
          <w:tab w:val="left" w:pos="720"/>
          <w:tab w:val="left" w:pos="900"/>
        </w:tabs>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7</w:t>
      </w:r>
      <w:r>
        <w:rPr>
          <w:rFonts w:hint="eastAsia" w:ascii="方正仿宋简体" w:hAnsi="方正仿宋简体" w:eastAsia="方正仿宋简体" w:cs="方正仿宋简体"/>
          <w:sz w:val="32"/>
          <w:szCs w:val="32"/>
        </w:rPr>
        <w:t>.保护回路中的元器件应无损伤，运行参数整定值准确；</w:t>
      </w:r>
    </w:p>
    <w:p w14:paraId="024EF6AD">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8.各IGBT模块工作温度应正常；</w:t>
      </w:r>
    </w:p>
    <w:p w14:paraId="1BEAFADA">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9.主回路的绝缘电阻应大于5</w:t>
      </w:r>
      <w:r>
        <w:rPr>
          <w:rFonts w:hint="eastAsia" w:ascii="方正仿宋简体" w:hAnsi="方正仿宋简体" w:eastAsia="方正仿宋简体" w:cs="方正仿宋简体"/>
          <w:position w:val="-4"/>
          <w:sz w:val="32"/>
          <w:szCs w:val="32"/>
        </w:rPr>
        <w:object>
          <v:shape id="_x0000_i1025" o:spt="75" type="#_x0000_t75" style="height:17.25pt;width:33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方正仿宋简体" w:hAnsi="方正仿宋简体" w:eastAsia="方正仿宋简体" w:cs="方正仿宋简体"/>
          <w:sz w:val="32"/>
          <w:szCs w:val="32"/>
        </w:rPr>
        <w:t>；</w:t>
      </w:r>
    </w:p>
    <w:p w14:paraId="40005B4F">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10.模拟保护动作时，信号显示系统应显示正确，报警电路应可靠报警。</w:t>
      </w:r>
    </w:p>
    <w:p w14:paraId="1598546B">
      <w:pPr>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11.</w:t>
      </w:r>
      <w:r>
        <w:rPr>
          <w:rFonts w:hint="eastAsia" w:ascii="方正仿宋简体" w:hAnsi="方正仿宋简体" w:eastAsia="方正仿宋简体" w:cs="方正仿宋简体"/>
          <w:sz w:val="32"/>
          <w:szCs w:val="32"/>
        </w:rPr>
        <w:t>维修需更换部件时需向镇江海纳川物流产业发展有限责任公司计划运行部予以说明，提供故障分析报告及解决方案，并本着节约费用的原则向采购方提供最优维修方案并将旧部件退回。</w:t>
      </w:r>
    </w:p>
    <w:p w14:paraId="4D98B418">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12.变频器维修为整机检查、维修，经维修后整机需质保半年以上，所更换部件保修1年以上。</w:t>
      </w:r>
    </w:p>
    <w:p w14:paraId="3B302BAE">
      <w:pPr>
        <w:rPr>
          <w:rFonts w:ascii="方正黑体_GBK" w:hAnsi="方正黑体_GBK" w:eastAsia="方正黑体_GBK" w:cs="方正黑体_GBK"/>
          <w:b/>
          <w:bCs/>
          <w:kern w:val="0"/>
          <w:sz w:val="32"/>
          <w:szCs w:val="32"/>
        </w:rPr>
      </w:pPr>
    </w:p>
    <w:p w14:paraId="4BFAB95A">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附件7：现场踏勘证明书</w:t>
      </w:r>
    </w:p>
    <w:p w14:paraId="704185E7">
      <w:pPr>
        <w:rPr>
          <w:rFonts w:ascii="黑体" w:hAnsi="黑体" w:eastAsia="黑体" w:cs="黑体"/>
          <w:kern w:val="1"/>
          <w:sz w:val="32"/>
          <w:szCs w:val="32"/>
        </w:rPr>
      </w:pPr>
    </w:p>
    <w:p w14:paraId="3AD90AB5">
      <w:pPr>
        <w:jc w:val="center"/>
        <w:rPr>
          <w:rFonts w:ascii="方正黑体_GBK" w:hAnsi="方正黑体_GBK" w:eastAsia="方正黑体_GBK" w:cs="方正黑体_GBK"/>
          <w:kern w:val="0"/>
          <w:sz w:val="44"/>
          <w:szCs w:val="44"/>
        </w:rPr>
      </w:pPr>
      <w:r>
        <w:rPr>
          <w:rFonts w:hint="eastAsia" w:ascii="方正黑体_GBK" w:hAnsi="方正黑体_GBK" w:eastAsia="方正黑体_GBK" w:cs="方正黑体_GBK"/>
          <w:kern w:val="0"/>
          <w:sz w:val="44"/>
          <w:szCs w:val="44"/>
        </w:rPr>
        <w:t>现场踏勘证明书</w:t>
      </w:r>
    </w:p>
    <w:p w14:paraId="6D340726">
      <w:pPr>
        <w:ind w:firstLine="2420" w:firstLineChars="550"/>
        <w:rPr>
          <w:rFonts w:ascii="黑体" w:hAnsi="黑体" w:eastAsia="黑体"/>
          <w:sz w:val="44"/>
          <w:szCs w:val="44"/>
        </w:rPr>
      </w:pPr>
    </w:p>
    <w:p w14:paraId="039BEF7F">
      <w:pPr>
        <w:pStyle w:val="8"/>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u w:val="single"/>
        </w:rPr>
        <w:t>海纳川公铁集装箱门吊变频器年度维保服务</w:t>
      </w:r>
      <w:r>
        <w:rPr>
          <w:rFonts w:hint="eastAsia" w:ascii="方正仿宋_GBK" w:hAnsi="方正仿宋_GBK" w:eastAsia="方正仿宋_GBK" w:cs="方正仿宋_GBK"/>
          <w:sz w:val="32"/>
          <w:szCs w:val="32"/>
        </w:rPr>
        <w:t>比选文件要求，报价单位须对现场进行实地踏勘。</w:t>
      </w:r>
    </w:p>
    <w:p w14:paraId="68E2991B">
      <w:pPr>
        <w:spacing w:line="60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报价单位结合采购单位相关比选文件内容，已于</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日进行实地踏勘。</w:t>
      </w:r>
    </w:p>
    <w:p w14:paraId="33C160BD">
      <w:pPr>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特此证明！</w:t>
      </w:r>
    </w:p>
    <w:p w14:paraId="62F74F77">
      <w:pPr>
        <w:rPr>
          <w:rFonts w:ascii="微软雅黑" w:hAnsi="仿宋_GB2312" w:eastAsia="微软雅黑" w:cs="仿宋_GB2312"/>
          <w:kern w:val="1"/>
          <w:sz w:val="32"/>
          <w:szCs w:val="32"/>
        </w:rPr>
      </w:pPr>
    </w:p>
    <w:tbl>
      <w:tblPr>
        <w:tblStyle w:val="15"/>
        <w:tblW w:w="10305"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680"/>
      </w:tblGrid>
      <w:tr w14:paraId="235D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shd w:val="clear" w:color="auto" w:fill="auto"/>
          </w:tcPr>
          <w:p w14:paraId="23AEFBCA">
            <w:pPr>
              <w:spacing w:line="60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现场踏勘企业名称</w:t>
            </w:r>
          </w:p>
        </w:tc>
        <w:tc>
          <w:tcPr>
            <w:tcW w:w="1890" w:type="dxa"/>
            <w:shd w:val="clear" w:color="auto" w:fill="auto"/>
          </w:tcPr>
          <w:p w14:paraId="0042C598">
            <w:pPr>
              <w:spacing w:line="600" w:lineRule="exact"/>
              <w:jc w:val="center"/>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踏勘人</w:t>
            </w:r>
          </w:p>
        </w:tc>
        <w:tc>
          <w:tcPr>
            <w:tcW w:w="1965" w:type="dxa"/>
            <w:shd w:val="clear" w:color="auto" w:fill="auto"/>
          </w:tcPr>
          <w:p w14:paraId="3AA5B67A">
            <w:pPr>
              <w:spacing w:line="600" w:lineRule="exact"/>
              <w:jc w:val="center"/>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联系方式</w:t>
            </w:r>
          </w:p>
        </w:tc>
        <w:tc>
          <w:tcPr>
            <w:tcW w:w="1680" w:type="dxa"/>
            <w:shd w:val="clear" w:color="auto" w:fill="auto"/>
          </w:tcPr>
          <w:p w14:paraId="3090C955">
            <w:pPr>
              <w:spacing w:line="600" w:lineRule="exact"/>
              <w:jc w:val="center"/>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踏勘时间</w:t>
            </w:r>
          </w:p>
        </w:tc>
      </w:tr>
      <w:tr w14:paraId="7D41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770" w:type="dxa"/>
            <w:shd w:val="clear" w:color="auto" w:fill="auto"/>
          </w:tcPr>
          <w:p w14:paraId="01271B4D">
            <w:pPr>
              <w:jc w:val="center"/>
              <w:rPr>
                <w:rFonts w:ascii="微软雅黑" w:hAnsi="仿宋_GB2312" w:eastAsia="微软雅黑" w:cs="仿宋_GB2312"/>
                <w:kern w:val="1"/>
                <w:sz w:val="32"/>
                <w:szCs w:val="32"/>
              </w:rPr>
            </w:pPr>
          </w:p>
        </w:tc>
        <w:tc>
          <w:tcPr>
            <w:tcW w:w="1890" w:type="dxa"/>
            <w:shd w:val="clear" w:color="auto" w:fill="auto"/>
          </w:tcPr>
          <w:p w14:paraId="5B3131E2">
            <w:pPr>
              <w:jc w:val="center"/>
              <w:rPr>
                <w:rFonts w:ascii="微软雅黑" w:hAnsi="仿宋_GB2312" w:eastAsia="微软雅黑" w:cs="仿宋_GB2312"/>
                <w:kern w:val="1"/>
                <w:sz w:val="32"/>
                <w:szCs w:val="32"/>
              </w:rPr>
            </w:pPr>
          </w:p>
        </w:tc>
        <w:tc>
          <w:tcPr>
            <w:tcW w:w="1965" w:type="dxa"/>
            <w:shd w:val="clear" w:color="auto" w:fill="auto"/>
          </w:tcPr>
          <w:p w14:paraId="0480E464">
            <w:pPr>
              <w:jc w:val="center"/>
              <w:rPr>
                <w:rFonts w:ascii="微软雅黑" w:hAnsi="仿宋_GB2312" w:eastAsia="微软雅黑" w:cs="仿宋_GB2312"/>
                <w:kern w:val="1"/>
                <w:sz w:val="32"/>
                <w:szCs w:val="32"/>
              </w:rPr>
            </w:pPr>
          </w:p>
        </w:tc>
        <w:tc>
          <w:tcPr>
            <w:tcW w:w="1680" w:type="dxa"/>
            <w:shd w:val="clear" w:color="auto" w:fill="auto"/>
          </w:tcPr>
          <w:p w14:paraId="42654ECA">
            <w:pPr>
              <w:jc w:val="center"/>
              <w:rPr>
                <w:rFonts w:ascii="微软雅黑" w:hAnsi="仿宋_GB2312" w:eastAsia="微软雅黑" w:cs="仿宋_GB2312"/>
                <w:kern w:val="1"/>
                <w:sz w:val="32"/>
                <w:szCs w:val="32"/>
              </w:rPr>
            </w:pPr>
          </w:p>
        </w:tc>
      </w:tr>
    </w:tbl>
    <w:p w14:paraId="527EDEEA">
      <w:pPr>
        <w:rPr>
          <w:rFonts w:ascii="微软雅黑" w:hAnsi="仿宋_GB2312" w:eastAsia="微软雅黑" w:cs="仿宋_GB2312"/>
          <w:kern w:val="1"/>
          <w:sz w:val="32"/>
          <w:szCs w:val="32"/>
        </w:rPr>
      </w:pPr>
    </w:p>
    <w:p w14:paraId="4A4BE98B">
      <w:pPr>
        <w:spacing w:line="600"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采购单位现场陪同人（双人）：</w:t>
      </w:r>
    </w:p>
    <w:p w14:paraId="0231D4DD">
      <w:pPr>
        <w:spacing w:line="440" w:lineRule="exact"/>
        <w:rPr>
          <w:rFonts w:ascii="宋体" w:hAnsi="宋体"/>
          <w:bCs/>
          <w:sz w:val="24"/>
          <w:szCs w:val="24"/>
        </w:rPr>
      </w:pPr>
    </w:p>
    <w:p w14:paraId="6F7D3939">
      <w:pPr>
        <w:spacing w:line="440" w:lineRule="exact"/>
        <w:rPr>
          <w:rFonts w:ascii="宋体" w:hAnsi="宋体"/>
          <w:bCs/>
          <w:sz w:val="24"/>
          <w:szCs w:val="24"/>
        </w:rPr>
      </w:pPr>
    </w:p>
    <w:p w14:paraId="4DCC2481">
      <w:pPr>
        <w:pStyle w:val="4"/>
        <w:spacing w:line="440" w:lineRule="exact"/>
        <w:jc w:val="center"/>
        <w:rPr>
          <w:rFonts w:ascii="宋体" w:hAnsi="宋体"/>
          <w:b w:val="0"/>
          <w:sz w:val="24"/>
          <w:szCs w:val="21"/>
        </w:rPr>
      </w:pPr>
    </w:p>
    <w:p w14:paraId="102E8307">
      <w:pPr>
        <w:pStyle w:val="14"/>
        <w:ind w:left="420"/>
        <w:rPr>
          <w:rFonts w:ascii="方正仿宋简体" w:hAnsi="方正仿宋简体" w:eastAsia="方正仿宋简体" w:cs="方正仿宋简体"/>
          <w:color w:val="000000"/>
          <w:szCs w:val="32"/>
        </w:rPr>
      </w:pPr>
    </w:p>
    <w:p w14:paraId="2B78B40B">
      <w:pPr>
        <w:pStyle w:val="8"/>
      </w:pPr>
    </w:p>
    <w:p w14:paraId="0C923FA5">
      <w:pPr>
        <w:pStyle w:val="2"/>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script"/>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FE5AD">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7DB374B">
                          <w:pPr>
                            <w:pStyle w:val="10"/>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17DB374B">
                    <w:pPr>
                      <w:pStyle w:val="10"/>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B4C8C"/>
    <w:multiLevelType w:val="multilevel"/>
    <w:tmpl w:val="1C2B4C8C"/>
    <w:lvl w:ilvl="0" w:tentative="0">
      <w:start w:val="2"/>
      <w:numFmt w:val="japaneseCounting"/>
      <w:lvlText w:val="（%1）"/>
      <w:lvlJc w:val="left"/>
      <w:pPr>
        <w:ind w:left="1720" w:hanging="1080"/>
      </w:pPr>
      <w:rPr>
        <w:rFonts w:hint="default" w:ascii="方正楷体_GBK" w:hAnsi="方正楷体_GBK" w:eastAsia="方正楷体_GBK" w:cs="方正楷体_GBK"/>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039DD"/>
    <w:rsid w:val="000116AC"/>
    <w:rsid w:val="000141C3"/>
    <w:rsid w:val="00026798"/>
    <w:rsid w:val="0003014A"/>
    <w:rsid w:val="00030F87"/>
    <w:rsid w:val="000506B4"/>
    <w:rsid w:val="00053782"/>
    <w:rsid w:val="00057564"/>
    <w:rsid w:val="00070A9E"/>
    <w:rsid w:val="00084A83"/>
    <w:rsid w:val="000874B6"/>
    <w:rsid w:val="00097D54"/>
    <w:rsid w:val="000A22DB"/>
    <w:rsid w:val="000A4392"/>
    <w:rsid w:val="000B05C2"/>
    <w:rsid w:val="000B224F"/>
    <w:rsid w:val="000B240D"/>
    <w:rsid w:val="000B2822"/>
    <w:rsid w:val="000C0FB0"/>
    <w:rsid w:val="000C1845"/>
    <w:rsid w:val="000D6A23"/>
    <w:rsid w:val="000D7239"/>
    <w:rsid w:val="0010553B"/>
    <w:rsid w:val="00111107"/>
    <w:rsid w:val="00112DAE"/>
    <w:rsid w:val="00115A7F"/>
    <w:rsid w:val="00116BCA"/>
    <w:rsid w:val="00117215"/>
    <w:rsid w:val="00124336"/>
    <w:rsid w:val="00124702"/>
    <w:rsid w:val="001251C4"/>
    <w:rsid w:val="001260B7"/>
    <w:rsid w:val="00135692"/>
    <w:rsid w:val="001401C1"/>
    <w:rsid w:val="00144D94"/>
    <w:rsid w:val="0014713C"/>
    <w:rsid w:val="00147EA3"/>
    <w:rsid w:val="00160290"/>
    <w:rsid w:val="0016088A"/>
    <w:rsid w:val="0016245E"/>
    <w:rsid w:val="00162DF0"/>
    <w:rsid w:val="00166793"/>
    <w:rsid w:val="00182662"/>
    <w:rsid w:val="00185F84"/>
    <w:rsid w:val="00193418"/>
    <w:rsid w:val="001A7FE6"/>
    <w:rsid w:val="001C2ED9"/>
    <w:rsid w:val="001C703B"/>
    <w:rsid w:val="001D0026"/>
    <w:rsid w:val="001D1E3B"/>
    <w:rsid w:val="001D34C0"/>
    <w:rsid w:val="001D749A"/>
    <w:rsid w:val="001E269B"/>
    <w:rsid w:val="001E5294"/>
    <w:rsid w:val="001F0841"/>
    <w:rsid w:val="001F16BE"/>
    <w:rsid w:val="00204BA6"/>
    <w:rsid w:val="002055DD"/>
    <w:rsid w:val="00210C67"/>
    <w:rsid w:val="00212B94"/>
    <w:rsid w:val="002133E5"/>
    <w:rsid w:val="00221960"/>
    <w:rsid w:val="00225723"/>
    <w:rsid w:val="0024403B"/>
    <w:rsid w:val="00244277"/>
    <w:rsid w:val="0025137B"/>
    <w:rsid w:val="00260440"/>
    <w:rsid w:val="00260A65"/>
    <w:rsid w:val="002628A1"/>
    <w:rsid w:val="00265553"/>
    <w:rsid w:val="00265AFA"/>
    <w:rsid w:val="002663C8"/>
    <w:rsid w:val="00273295"/>
    <w:rsid w:val="002740E5"/>
    <w:rsid w:val="0027458E"/>
    <w:rsid w:val="00276605"/>
    <w:rsid w:val="00285646"/>
    <w:rsid w:val="002923B9"/>
    <w:rsid w:val="002A4FEF"/>
    <w:rsid w:val="002B4CCC"/>
    <w:rsid w:val="002C0271"/>
    <w:rsid w:val="002C7D82"/>
    <w:rsid w:val="002D08DB"/>
    <w:rsid w:val="002E0755"/>
    <w:rsid w:val="002E2777"/>
    <w:rsid w:val="002E2DE5"/>
    <w:rsid w:val="002E6868"/>
    <w:rsid w:val="002F66BD"/>
    <w:rsid w:val="002F7B74"/>
    <w:rsid w:val="00300959"/>
    <w:rsid w:val="00304955"/>
    <w:rsid w:val="00307E8B"/>
    <w:rsid w:val="003130E5"/>
    <w:rsid w:val="003134B3"/>
    <w:rsid w:val="00317FD9"/>
    <w:rsid w:val="00331F42"/>
    <w:rsid w:val="003338E5"/>
    <w:rsid w:val="00354787"/>
    <w:rsid w:val="00354DF6"/>
    <w:rsid w:val="00355E41"/>
    <w:rsid w:val="0035637E"/>
    <w:rsid w:val="00372C3A"/>
    <w:rsid w:val="003732C8"/>
    <w:rsid w:val="00375FE1"/>
    <w:rsid w:val="00383DDD"/>
    <w:rsid w:val="00390DC1"/>
    <w:rsid w:val="003C384A"/>
    <w:rsid w:val="003C5E49"/>
    <w:rsid w:val="003C7784"/>
    <w:rsid w:val="003D3B18"/>
    <w:rsid w:val="003D508A"/>
    <w:rsid w:val="003D5480"/>
    <w:rsid w:val="003E6139"/>
    <w:rsid w:val="003E6C64"/>
    <w:rsid w:val="00404F98"/>
    <w:rsid w:val="004061CF"/>
    <w:rsid w:val="0040655C"/>
    <w:rsid w:val="00407A92"/>
    <w:rsid w:val="00407E4D"/>
    <w:rsid w:val="00407F8E"/>
    <w:rsid w:val="00413897"/>
    <w:rsid w:val="0041612A"/>
    <w:rsid w:val="004206F3"/>
    <w:rsid w:val="00431CA1"/>
    <w:rsid w:val="004336E2"/>
    <w:rsid w:val="00447115"/>
    <w:rsid w:val="00455075"/>
    <w:rsid w:val="004553E5"/>
    <w:rsid w:val="00457B46"/>
    <w:rsid w:val="0046219D"/>
    <w:rsid w:val="00466243"/>
    <w:rsid w:val="004679B5"/>
    <w:rsid w:val="004715DF"/>
    <w:rsid w:val="004720A8"/>
    <w:rsid w:val="00472110"/>
    <w:rsid w:val="0047342F"/>
    <w:rsid w:val="00483A5E"/>
    <w:rsid w:val="0048431D"/>
    <w:rsid w:val="004875EB"/>
    <w:rsid w:val="0049120A"/>
    <w:rsid w:val="004975D5"/>
    <w:rsid w:val="004B0B03"/>
    <w:rsid w:val="004B2644"/>
    <w:rsid w:val="004C1280"/>
    <w:rsid w:val="004C289D"/>
    <w:rsid w:val="004D4FFE"/>
    <w:rsid w:val="004D6198"/>
    <w:rsid w:val="004D6ADA"/>
    <w:rsid w:val="004E3C2D"/>
    <w:rsid w:val="004E5302"/>
    <w:rsid w:val="004E7A4B"/>
    <w:rsid w:val="004F039F"/>
    <w:rsid w:val="004F353E"/>
    <w:rsid w:val="004F4F62"/>
    <w:rsid w:val="004F5E27"/>
    <w:rsid w:val="004F6AB8"/>
    <w:rsid w:val="005024EE"/>
    <w:rsid w:val="00513F2B"/>
    <w:rsid w:val="005208B5"/>
    <w:rsid w:val="00520D81"/>
    <w:rsid w:val="00531951"/>
    <w:rsid w:val="00541A3D"/>
    <w:rsid w:val="0054684F"/>
    <w:rsid w:val="0055014B"/>
    <w:rsid w:val="005516DC"/>
    <w:rsid w:val="00554526"/>
    <w:rsid w:val="005644E0"/>
    <w:rsid w:val="00571705"/>
    <w:rsid w:val="0057788C"/>
    <w:rsid w:val="00581D3E"/>
    <w:rsid w:val="005967CF"/>
    <w:rsid w:val="005A6BB0"/>
    <w:rsid w:val="005B18A0"/>
    <w:rsid w:val="005B240E"/>
    <w:rsid w:val="005C3E95"/>
    <w:rsid w:val="005C6D13"/>
    <w:rsid w:val="005E70BE"/>
    <w:rsid w:val="005F0E9B"/>
    <w:rsid w:val="005F48FA"/>
    <w:rsid w:val="006168FD"/>
    <w:rsid w:val="006218AD"/>
    <w:rsid w:val="00622A8D"/>
    <w:rsid w:val="00623E95"/>
    <w:rsid w:val="006253B4"/>
    <w:rsid w:val="006362FD"/>
    <w:rsid w:val="006469EB"/>
    <w:rsid w:val="00650CA2"/>
    <w:rsid w:val="00652B4B"/>
    <w:rsid w:val="00655BBC"/>
    <w:rsid w:val="00675CA6"/>
    <w:rsid w:val="006775EA"/>
    <w:rsid w:val="00681437"/>
    <w:rsid w:val="006835A9"/>
    <w:rsid w:val="00687600"/>
    <w:rsid w:val="00690E70"/>
    <w:rsid w:val="0069284B"/>
    <w:rsid w:val="006A12A5"/>
    <w:rsid w:val="006A57D5"/>
    <w:rsid w:val="006B2011"/>
    <w:rsid w:val="006B2243"/>
    <w:rsid w:val="006B372B"/>
    <w:rsid w:val="006D00BD"/>
    <w:rsid w:val="006D12A4"/>
    <w:rsid w:val="006D3CEC"/>
    <w:rsid w:val="006E07FF"/>
    <w:rsid w:val="006E0809"/>
    <w:rsid w:val="006F1C93"/>
    <w:rsid w:val="0071260C"/>
    <w:rsid w:val="0072104A"/>
    <w:rsid w:val="007230BB"/>
    <w:rsid w:val="0072494C"/>
    <w:rsid w:val="007254B5"/>
    <w:rsid w:val="00736EC3"/>
    <w:rsid w:val="00740615"/>
    <w:rsid w:val="00743B28"/>
    <w:rsid w:val="00750CD3"/>
    <w:rsid w:val="00752F58"/>
    <w:rsid w:val="00753CD1"/>
    <w:rsid w:val="00756CEF"/>
    <w:rsid w:val="007573D6"/>
    <w:rsid w:val="00760136"/>
    <w:rsid w:val="00772261"/>
    <w:rsid w:val="007801D7"/>
    <w:rsid w:val="007820F5"/>
    <w:rsid w:val="0078321F"/>
    <w:rsid w:val="007856FB"/>
    <w:rsid w:val="00785ABB"/>
    <w:rsid w:val="007875CD"/>
    <w:rsid w:val="0079121E"/>
    <w:rsid w:val="0079231D"/>
    <w:rsid w:val="00793220"/>
    <w:rsid w:val="007B14D2"/>
    <w:rsid w:val="007C772C"/>
    <w:rsid w:val="007D630F"/>
    <w:rsid w:val="007E03B7"/>
    <w:rsid w:val="007E6E47"/>
    <w:rsid w:val="007F0E1D"/>
    <w:rsid w:val="007F3814"/>
    <w:rsid w:val="007F50F6"/>
    <w:rsid w:val="00805708"/>
    <w:rsid w:val="00813574"/>
    <w:rsid w:val="00814842"/>
    <w:rsid w:val="0081719E"/>
    <w:rsid w:val="00823DBA"/>
    <w:rsid w:val="008249E2"/>
    <w:rsid w:val="008414F2"/>
    <w:rsid w:val="00842B41"/>
    <w:rsid w:val="00856599"/>
    <w:rsid w:val="00860206"/>
    <w:rsid w:val="008620FD"/>
    <w:rsid w:val="00864561"/>
    <w:rsid w:val="00864F71"/>
    <w:rsid w:val="00871571"/>
    <w:rsid w:val="008767C0"/>
    <w:rsid w:val="0087770F"/>
    <w:rsid w:val="00882A3F"/>
    <w:rsid w:val="0088400F"/>
    <w:rsid w:val="00887DB8"/>
    <w:rsid w:val="00892E49"/>
    <w:rsid w:val="008A7CF5"/>
    <w:rsid w:val="008B6E7D"/>
    <w:rsid w:val="008C15BB"/>
    <w:rsid w:val="008C35D6"/>
    <w:rsid w:val="008C785B"/>
    <w:rsid w:val="008D2F65"/>
    <w:rsid w:val="008D5377"/>
    <w:rsid w:val="0090232E"/>
    <w:rsid w:val="00906CED"/>
    <w:rsid w:val="0091028A"/>
    <w:rsid w:val="0091114C"/>
    <w:rsid w:val="009119A9"/>
    <w:rsid w:val="0091252B"/>
    <w:rsid w:val="00933AFA"/>
    <w:rsid w:val="0093613E"/>
    <w:rsid w:val="00937F3A"/>
    <w:rsid w:val="00975ECA"/>
    <w:rsid w:val="0099001A"/>
    <w:rsid w:val="009A2D04"/>
    <w:rsid w:val="009A7843"/>
    <w:rsid w:val="009B5752"/>
    <w:rsid w:val="009C1B9D"/>
    <w:rsid w:val="009D135B"/>
    <w:rsid w:val="009D1883"/>
    <w:rsid w:val="009E2975"/>
    <w:rsid w:val="00A07372"/>
    <w:rsid w:val="00A158CE"/>
    <w:rsid w:val="00A17421"/>
    <w:rsid w:val="00A303BA"/>
    <w:rsid w:val="00A34408"/>
    <w:rsid w:val="00A54DF7"/>
    <w:rsid w:val="00A62208"/>
    <w:rsid w:val="00A63D7F"/>
    <w:rsid w:val="00A64586"/>
    <w:rsid w:val="00A707C3"/>
    <w:rsid w:val="00A7381A"/>
    <w:rsid w:val="00A86910"/>
    <w:rsid w:val="00A934E7"/>
    <w:rsid w:val="00A97749"/>
    <w:rsid w:val="00AA0514"/>
    <w:rsid w:val="00AA72D8"/>
    <w:rsid w:val="00AA7C48"/>
    <w:rsid w:val="00AB1284"/>
    <w:rsid w:val="00AB6095"/>
    <w:rsid w:val="00AC569D"/>
    <w:rsid w:val="00AC7DD3"/>
    <w:rsid w:val="00AD1B32"/>
    <w:rsid w:val="00AD4931"/>
    <w:rsid w:val="00AD59AF"/>
    <w:rsid w:val="00AD749D"/>
    <w:rsid w:val="00AD769C"/>
    <w:rsid w:val="00AE40D9"/>
    <w:rsid w:val="00AE6678"/>
    <w:rsid w:val="00AF3655"/>
    <w:rsid w:val="00AF3E1F"/>
    <w:rsid w:val="00AF4431"/>
    <w:rsid w:val="00B05EF4"/>
    <w:rsid w:val="00B07264"/>
    <w:rsid w:val="00B13AB6"/>
    <w:rsid w:val="00B1496E"/>
    <w:rsid w:val="00B157BD"/>
    <w:rsid w:val="00B17FFA"/>
    <w:rsid w:val="00B353E5"/>
    <w:rsid w:val="00B51C96"/>
    <w:rsid w:val="00B56A1F"/>
    <w:rsid w:val="00B65356"/>
    <w:rsid w:val="00B67207"/>
    <w:rsid w:val="00B74619"/>
    <w:rsid w:val="00B7550F"/>
    <w:rsid w:val="00B82CED"/>
    <w:rsid w:val="00B92F7B"/>
    <w:rsid w:val="00B96B2D"/>
    <w:rsid w:val="00BA268F"/>
    <w:rsid w:val="00BB5940"/>
    <w:rsid w:val="00BD2777"/>
    <w:rsid w:val="00BD442B"/>
    <w:rsid w:val="00BD5DA8"/>
    <w:rsid w:val="00BD78FB"/>
    <w:rsid w:val="00BF2809"/>
    <w:rsid w:val="00BF6208"/>
    <w:rsid w:val="00C00E34"/>
    <w:rsid w:val="00C05471"/>
    <w:rsid w:val="00C13EC3"/>
    <w:rsid w:val="00C1662A"/>
    <w:rsid w:val="00C21131"/>
    <w:rsid w:val="00C258E8"/>
    <w:rsid w:val="00C266AB"/>
    <w:rsid w:val="00C372AD"/>
    <w:rsid w:val="00C56465"/>
    <w:rsid w:val="00C56960"/>
    <w:rsid w:val="00C95CDE"/>
    <w:rsid w:val="00C97E7F"/>
    <w:rsid w:val="00CB48F7"/>
    <w:rsid w:val="00CB763F"/>
    <w:rsid w:val="00CC0ED7"/>
    <w:rsid w:val="00CC1DC6"/>
    <w:rsid w:val="00CC3EB8"/>
    <w:rsid w:val="00CD234B"/>
    <w:rsid w:val="00CD7A4A"/>
    <w:rsid w:val="00CE291C"/>
    <w:rsid w:val="00D0225B"/>
    <w:rsid w:val="00D24639"/>
    <w:rsid w:val="00D2551B"/>
    <w:rsid w:val="00D32CC0"/>
    <w:rsid w:val="00D35BFF"/>
    <w:rsid w:val="00D4103A"/>
    <w:rsid w:val="00D50EF5"/>
    <w:rsid w:val="00D51C9C"/>
    <w:rsid w:val="00D55BF2"/>
    <w:rsid w:val="00D66E1E"/>
    <w:rsid w:val="00D67EF5"/>
    <w:rsid w:val="00D718D3"/>
    <w:rsid w:val="00D74619"/>
    <w:rsid w:val="00D7654B"/>
    <w:rsid w:val="00D82D6F"/>
    <w:rsid w:val="00D94759"/>
    <w:rsid w:val="00D96DDE"/>
    <w:rsid w:val="00DA57C1"/>
    <w:rsid w:val="00DB1367"/>
    <w:rsid w:val="00DB3725"/>
    <w:rsid w:val="00DC041C"/>
    <w:rsid w:val="00DC063D"/>
    <w:rsid w:val="00DD194E"/>
    <w:rsid w:val="00DE7ECE"/>
    <w:rsid w:val="00E1048D"/>
    <w:rsid w:val="00E14327"/>
    <w:rsid w:val="00E2048B"/>
    <w:rsid w:val="00E2141E"/>
    <w:rsid w:val="00E21B2E"/>
    <w:rsid w:val="00E41CB9"/>
    <w:rsid w:val="00E45A9C"/>
    <w:rsid w:val="00E4738E"/>
    <w:rsid w:val="00E50CF1"/>
    <w:rsid w:val="00E60EFF"/>
    <w:rsid w:val="00E65D0B"/>
    <w:rsid w:val="00E67779"/>
    <w:rsid w:val="00E74639"/>
    <w:rsid w:val="00E80713"/>
    <w:rsid w:val="00E85439"/>
    <w:rsid w:val="00E87D6A"/>
    <w:rsid w:val="00E91950"/>
    <w:rsid w:val="00E9339A"/>
    <w:rsid w:val="00E9659A"/>
    <w:rsid w:val="00EA1E9A"/>
    <w:rsid w:val="00ED1048"/>
    <w:rsid w:val="00ED47DB"/>
    <w:rsid w:val="00ED7B8D"/>
    <w:rsid w:val="00EE13B1"/>
    <w:rsid w:val="00EE408D"/>
    <w:rsid w:val="00EE5B50"/>
    <w:rsid w:val="00EE5E6B"/>
    <w:rsid w:val="00EF6E85"/>
    <w:rsid w:val="00F0591B"/>
    <w:rsid w:val="00F131D4"/>
    <w:rsid w:val="00F16E4B"/>
    <w:rsid w:val="00F171B2"/>
    <w:rsid w:val="00F24A12"/>
    <w:rsid w:val="00F31B4F"/>
    <w:rsid w:val="00F32DB5"/>
    <w:rsid w:val="00F40B91"/>
    <w:rsid w:val="00F41CBE"/>
    <w:rsid w:val="00F45B42"/>
    <w:rsid w:val="00F66334"/>
    <w:rsid w:val="00F702C6"/>
    <w:rsid w:val="00F73EB9"/>
    <w:rsid w:val="00F85547"/>
    <w:rsid w:val="00F9734B"/>
    <w:rsid w:val="00FA1385"/>
    <w:rsid w:val="00FA1409"/>
    <w:rsid w:val="00FA5A8B"/>
    <w:rsid w:val="00FB0B8A"/>
    <w:rsid w:val="00FB0D6C"/>
    <w:rsid w:val="00FC486E"/>
    <w:rsid w:val="00FD0583"/>
    <w:rsid w:val="00FD6560"/>
    <w:rsid w:val="00FE673F"/>
    <w:rsid w:val="00FF61CA"/>
    <w:rsid w:val="02056778"/>
    <w:rsid w:val="0355512A"/>
    <w:rsid w:val="04E42F38"/>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9C10D2B"/>
    <w:rsid w:val="4A434323"/>
    <w:rsid w:val="4B060719"/>
    <w:rsid w:val="4D185277"/>
    <w:rsid w:val="4DC0511E"/>
    <w:rsid w:val="4ED14A41"/>
    <w:rsid w:val="4FAC5BC3"/>
    <w:rsid w:val="4FC61FF0"/>
    <w:rsid w:val="50846203"/>
    <w:rsid w:val="50DD469C"/>
    <w:rsid w:val="51ED4DB3"/>
    <w:rsid w:val="538763B9"/>
    <w:rsid w:val="55D41D60"/>
    <w:rsid w:val="55DC546E"/>
    <w:rsid w:val="579C3951"/>
    <w:rsid w:val="596D6B7C"/>
    <w:rsid w:val="5CEC747F"/>
    <w:rsid w:val="5FC1162D"/>
    <w:rsid w:val="637238D8"/>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5"/>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unhideWhenUsed/>
    <w:qFormat/>
    <w:uiPriority w:val="99"/>
    <w:pPr>
      <w:jc w:val="left"/>
    </w:pPr>
  </w:style>
  <w:style w:type="paragraph" w:styleId="7">
    <w:name w:val="Body Text"/>
    <w:basedOn w:val="1"/>
    <w:next w:val="8"/>
    <w:link w:val="24"/>
    <w:autoRedefine/>
    <w:unhideWhenUsed/>
    <w:qFormat/>
    <w:uiPriority w:val="99"/>
    <w:pPr>
      <w:spacing w:after="120"/>
    </w:pPr>
  </w:style>
  <w:style w:type="paragraph" w:styleId="8">
    <w:name w:val="Plain Text"/>
    <w:basedOn w:val="1"/>
    <w:link w:val="23"/>
    <w:unhideWhenUsed/>
    <w:qFormat/>
    <w:uiPriority w:val="99"/>
    <w:rPr>
      <w:rFonts w:ascii="宋体" w:hAnsi="Courier New"/>
      <w:kern w:val="0"/>
      <w:sz w:val="20"/>
    </w:rPr>
  </w:style>
  <w:style w:type="paragraph" w:styleId="9">
    <w:name w:val="Body Text Indent"/>
    <w:basedOn w:val="1"/>
    <w:autoRedefine/>
    <w:unhideWhenUsed/>
    <w:qFormat/>
    <w:uiPriority w:val="0"/>
    <w:pPr>
      <w:spacing w:after="120"/>
      <w:ind w:left="420" w:leftChars="200"/>
    </w:p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2"/>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Title"/>
    <w:basedOn w:val="1"/>
    <w:next w:val="1"/>
    <w:link w:val="26"/>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paragraph" w:styleId="20">
    <w:name w:val="List Paragraph"/>
    <w:basedOn w:val="1"/>
    <w:qFormat/>
    <w:uiPriority w:val="99"/>
    <w:pPr>
      <w:ind w:firstLine="420" w:firstLineChars="200"/>
    </w:pPr>
  </w:style>
  <w:style w:type="character" w:customStyle="1" w:styleId="21">
    <w:name w:val="font11"/>
    <w:qFormat/>
    <w:uiPriority w:val="0"/>
    <w:rPr>
      <w:rFonts w:hint="eastAsia" w:ascii="宋体" w:hAnsi="宋体" w:eastAsia="宋体" w:cs="宋体"/>
      <w:color w:val="000000"/>
      <w:sz w:val="20"/>
      <w:szCs w:val="20"/>
      <w:u w:val="none"/>
    </w:rPr>
  </w:style>
  <w:style w:type="character" w:customStyle="1" w:styleId="22">
    <w:name w:val="HTML 预设格式 Char"/>
    <w:basedOn w:val="16"/>
    <w:link w:val="12"/>
    <w:uiPriority w:val="99"/>
    <w:rPr>
      <w:rFonts w:ascii="宋体" w:hAnsi="宋体"/>
      <w:sz w:val="24"/>
      <w:szCs w:val="24"/>
    </w:rPr>
  </w:style>
  <w:style w:type="character" w:customStyle="1" w:styleId="23">
    <w:name w:val="纯文本 Char"/>
    <w:basedOn w:val="16"/>
    <w:link w:val="8"/>
    <w:uiPriority w:val="99"/>
    <w:rPr>
      <w:rFonts w:ascii="宋体" w:hAnsi="Courier New"/>
    </w:rPr>
  </w:style>
  <w:style w:type="character" w:customStyle="1" w:styleId="24">
    <w:name w:val="正文文本 Char"/>
    <w:basedOn w:val="16"/>
    <w:link w:val="7"/>
    <w:qFormat/>
    <w:uiPriority w:val="99"/>
    <w:rPr>
      <w:kern w:val="2"/>
      <w:sz w:val="21"/>
    </w:rPr>
  </w:style>
  <w:style w:type="character" w:customStyle="1" w:styleId="25">
    <w:name w:val="标题 3 Char"/>
    <w:basedOn w:val="16"/>
    <w:link w:val="4"/>
    <w:semiHidden/>
    <w:uiPriority w:val="0"/>
    <w:rPr>
      <w:b/>
      <w:bCs/>
      <w:kern w:val="2"/>
      <w:sz w:val="32"/>
      <w:szCs w:val="32"/>
    </w:rPr>
  </w:style>
  <w:style w:type="character" w:customStyle="1" w:styleId="26">
    <w:name w:val="标题 Char"/>
    <w:basedOn w:val="16"/>
    <w:link w:val="13"/>
    <w:uiPriority w:val="0"/>
    <w:rPr>
      <w:rFonts w:ascii="Cambria" w:hAnsi="Cambria"/>
      <w:b/>
      <w:bCs/>
      <w:sz w:val="32"/>
      <w:szCs w:val="32"/>
    </w:rPr>
  </w:style>
  <w:style w:type="paragraph" w:customStyle="1" w:styleId="27">
    <w:name w:val="Char"/>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2D924-149D-42CB-A50F-61D43AC4C4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8267</Words>
  <Characters>8777</Characters>
  <Lines>68</Lines>
  <Paragraphs>19</Paragraphs>
  <TotalTime>4</TotalTime>
  <ScaleCrop>false</ScaleCrop>
  <LinksUpToDate>false</LinksUpToDate>
  <CharactersWithSpaces>9279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lr</cp:lastModifiedBy>
  <cp:lastPrinted>2023-03-16T00:26:00Z</cp:lastPrinted>
  <dcterms:modified xsi:type="dcterms:W3CDTF">2026-04-08T02:59:51Z</dcterms:modified>
  <dc:title>镇江海纳川物流产业发展有限责任公司</dc:title>
  <cp:revision>346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E695694EA80D48E1A54CF3A3083423BA_13</vt:lpwstr>
  </property>
  <property fmtid="{D5CDD505-2E9C-101B-9397-08002B2CF9AE}" pid="4" name="KSOTemplateDocerSaveRecord">
    <vt:lpwstr>eyJoZGlkIjoiMTU0M2ZmNzc2YmY1YWRjZGI2MWY1NzhmMzhkZTA1ZDcifQ==</vt:lpwstr>
  </property>
</Properties>
</file>