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6CDB4">
      <w:pPr>
        <w:pStyle w:val="2"/>
        <w:jc w:val="center"/>
      </w:pPr>
      <w:r>
        <w:rPr>
          <w:rFonts w:hint="eastAsia"/>
          <w:lang w:val="en-US" w:eastAsia="zh-CN"/>
        </w:rPr>
        <w:t>索普股份剧毒和</w:t>
      </w:r>
      <w:r>
        <w:rPr>
          <w:rFonts w:hint="eastAsia"/>
          <w:lang w:val="zh-CN" w:eastAsia="zh-CN"/>
        </w:rPr>
        <w:t>易制爆</w:t>
      </w:r>
      <w:r>
        <w:rPr>
          <w:rFonts w:hint="eastAsia"/>
          <w:lang w:val="en-US" w:eastAsia="zh-CN"/>
        </w:rPr>
        <w:t>危险</w:t>
      </w:r>
      <w:r>
        <w:rPr>
          <w:rFonts w:hint="eastAsia"/>
          <w:lang w:val="zh-CN" w:eastAsia="zh-CN"/>
        </w:rPr>
        <w:t>化学品储存场所治安防范安全评价</w:t>
      </w: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rFonts w:hint="eastAsia"/>
          <w:lang w:val="en-US" w:eastAsia="zh-CN"/>
        </w:rPr>
      </w:pPr>
      <w:r>
        <w:rPr>
          <w:b/>
        </w:rPr>
        <w:t>项目名称</w:t>
      </w:r>
      <w:r>
        <w:t>：</w:t>
      </w:r>
      <w:r>
        <w:rPr>
          <w:rFonts w:hint="eastAsia"/>
          <w:lang w:val="en-US" w:eastAsia="zh-CN"/>
        </w:rPr>
        <w:t>索普股份剧毒和</w:t>
      </w:r>
      <w:r>
        <w:rPr>
          <w:rFonts w:hint="eastAsia"/>
          <w:lang w:val="zh-CN" w:eastAsia="zh-CN"/>
        </w:rPr>
        <w:t>易制爆</w:t>
      </w:r>
      <w:r>
        <w:rPr>
          <w:rFonts w:hint="eastAsia"/>
          <w:lang w:val="en-US" w:eastAsia="zh-CN"/>
        </w:rPr>
        <w:t>危险</w:t>
      </w:r>
      <w:r>
        <w:rPr>
          <w:rFonts w:hint="eastAsia"/>
          <w:lang w:val="zh-CN" w:eastAsia="zh-CN"/>
        </w:rPr>
        <w:t>化学品储存场所治安防范安全评价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</w:t>
      </w:r>
      <w:r>
        <w:rPr>
          <w:rFonts w:hint="eastAsia"/>
          <w:lang w:val="en-US" w:eastAsia="zh-CN"/>
        </w:rPr>
        <w:t>安全环境</w:t>
      </w:r>
      <w:r>
        <w:t>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：2026年4月16日14：00（北京时间）</w:t>
      </w:r>
    </w:p>
    <w:p w14:paraId="12D29031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50A0F56E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lang w:val="en-US" w:eastAsia="zh-CN"/>
        </w:rPr>
        <w:t>签订合同后20日内提交</w:t>
      </w:r>
      <w:r>
        <w:rPr>
          <w:rFonts w:hint="eastAsia"/>
          <w:lang w:val="zh-CN" w:eastAsia="zh-CN"/>
        </w:rPr>
        <w:t>《</w:t>
      </w:r>
      <w:r>
        <w:rPr>
          <w:rFonts w:hint="eastAsia"/>
          <w:lang w:val="en-US" w:eastAsia="zh-CN"/>
        </w:rPr>
        <w:t>索普股份剧毒和</w:t>
      </w:r>
      <w:r>
        <w:rPr>
          <w:rFonts w:hint="eastAsia"/>
          <w:lang w:val="zh-CN" w:eastAsia="zh-CN"/>
        </w:rPr>
        <w:t>易制爆</w:t>
      </w:r>
      <w:r>
        <w:rPr>
          <w:rFonts w:hint="eastAsia"/>
          <w:lang w:val="en-US" w:eastAsia="zh-CN"/>
        </w:rPr>
        <w:t>危险</w:t>
      </w:r>
      <w:r>
        <w:rPr>
          <w:rFonts w:hint="eastAsia"/>
          <w:lang w:val="zh-CN" w:eastAsia="zh-CN"/>
        </w:rPr>
        <w:t>化学品储存场所治安防范安全评价报告》</w:t>
      </w:r>
      <w:r>
        <w:rPr>
          <w:rFonts w:hint="eastAsia"/>
          <w:lang w:val="en-US" w:eastAsia="zh-CN"/>
        </w:rPr>
        <w:t>文件的编制、并通过专家评审的时间计划表，2026年5月31日前按编制时间计划表完成上述安全评价的编制、并通过专家评审</w:t>
      </w:r>
      <w:r>
        <w:rPr>
          <w:rFonts w:hint="eastAsia"/>
          <w:lang w:val="zh-CN" w:eastAsia="zh-CN"/>
        </w:rPr>
        <w:t>。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（江苏省镇江市京口区求索路）</w:t>
      </w: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</w:t>
      </w:r>
      <w:r>
        <w:rPr>
          <w:rFonts w:hint="eastAsia"/>
          <w:lang w:val="en-US" w:eastAsia="zh-CN"/>
        </w:rPr>
        <w:t>服务</w:t>
      </w:r>
      <w:r>
        <w:t>内容及要求</w:t>
      </w:r>
    </w:p>
    <w:p w14:paraId="4FDA6E75">
      <w:pPr>
        <w:numPr>
          <w:ilvl w:val="0"/>
          <w:numId w:val="0"/>
        </w:numPr>
        <w:spacing w:before="0" w:beforeAutospacing="1" w:after="0" w:afterAutospacing="1"/>
        <w:ind w:left="360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（一）采购项目内容  </w:t>
      </w:r>
    </w:p>
    <w:p w14:paraId="5EDE3EF2">
      <w:pPr>
        <w:numPr>
          <w:ilvl w:val="0"/>
          <w:numId w:val="0"/>
        </w:numPr>
        <w:spacing w:before="0" w:beforeAutospacing="1" w:after="0" w:afterAutospacing="1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</w:t>
      </w:r>
      <w:bookmarkStart w:id="0" w:name="_Hlk31733480"/>
      <w:r>
        <w:rPr>
          <w:rFonts w:hint="eastAsia"/>
          <w:lang w:val="zh-CN" w:eastAsia="zh-CN"/>
        </w:rPr>
        <w:t>《</w:t>
      </w:r>
      <w:r>
        <w:rPr>
          <w:rFonts w:hint="eastAsia"/>
          <w:lang w:val="en-US" w:eastAsia="zh-CN"/>
        </w:rPr>
        <w:t>索普股份剧毒和</w:t>
      </w:r>
      <w:r>
        <w:rPr>
          <w:rFonts w:hint="eastAsia"/>
          <w:lang w:val="zh-CN" w:eastAsia="zh-CN"/>
        </w:rPr>
        <w:t>易制爆</w:t>
      </w:r>
      <w:r>
        <w:rPr>
          <w:rFonts w:hint="eastAsia"/>
          <w:lang w:val="en-US" w:eastAsia="zh-CN"/>
        </w:rPr>
        <w:t>危险</w:t>
      </w:r>
      <w:r>
        <w:rPr>
          <w:rFonts w:hint="eastAsia"/>
          <w:lang w:val="zh-CN" w:eastAsia="zh-CN"/>
        </w:rPr>
        <w:t>化学品储存场所治安防范安全评价报告》</w:t>
      </w:r>
      <w:r>
        <w:rPr>
          <w:rFonts w:hint="eastAsia"/>
          <w:lang w:val="en-US" w:eastAsia="zh-CN"/>
        </w:rPr>
        <w:t>编制</w:t>
      </w:r>
      <w:bookmarkEnd w:id="0"/>
      <w:r>
        <w:rPr>
          <w:rFonts w:hint="eastAsia"/>
          <w:lang w:val="en-US" w:eastAsia="zh-CN"/>
        </w:rPr>
        <w:t>工作，组织并通过专家评审。</w:t>
      </w:r>
    </w:p>
    <w:p w14:paraId="0E448A6E">
      <w:pPr>
        <w:numPr>
          <w:ilvl w:val="0"/>
          <w:numId w:val="0"/>
        </w:numPr>
        <w:spacing w:before="0" w:beforeAutospacing="1" w:after="0" w:afterAutospacing="1"/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2.服务期限一年。合同到期后，如合同双方无异议则合同顺延一年。如果因为国家法律、法规、制度、政策等的改变，以及我公司发生重大变更事项需要重新进行安全评价的，合同自行中止。</w:t>
      </w:r>
      <w:bookmarkStart w:id="1" w:name="_GoBack"/>
      <w:bookmarkEnd w:id="1"/>
    </w:p>
    <w:p w14:paraId="5267EE36">
      <w:pPr>
        <w:numPr>
          <w:ilvl w:val="0"/>
          <w:numId w:val="0"/>
        </w:numPr>
        <w:spacing w:before="0" w:beforeAutospacing="1" w:after="0" w:afterAutospacing="1"/>
        <w:ind w:left="360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（二）技术及资质要求</w:t>
      </w:r>
    </w:p>
    <w:p w14:paraId="33C02E0B">
      <w:pPr>
        <w:numPr>
          <w:ilvl w:val="0"/>
          <w:numId w:val="0"/>
        </w:numPr>
        <w:spacing w:before="0" w:beforeAutospacing="1" w:after="0" w:afterAutospacing="1"/>
        <w:ind w:firstLine="420" w:firstLineChars="200"/>
        <w:rPr>
          <w:rFonts w:hint="eastAsia"/>
          <w:lang w:val="zh-CN" w:eastAsia="zh-CN"/>
        </w:rPr>
      </w:pPr>
      <w:r>
        <w:rPr>
          <w:rFonts w:hint="eastAsia"/>
          <w:lang w:val="en-US" w:eastAsia="zh-CN"/>
        </w:rPr>
        <w:t>1.其他资质要求：供应商</w:t>
      </w:r>
      <w:r>
        <w:rPr>
          <w:rFonts w:hint="eastAsia"/>
          <w:lang w:val="zh-CN" w:eastAsia="zh-CN"/>
        </w:rPr>
        <w:t>必须具有</w:t>
      </w:r>
      <w:r>
        <w:rPr>
          <w:rFonts w:hint="eastAsia"/>
          <w:lang w:val="en-US" w:eastAsia="zh-CN"/>
        </w:rPr>
        <w:t>省级应急管理厅（局）</w:t>
      </w:r>
      <w:r>
        <w:rPr>
          <w:rFonts w:hint="eastAsia"/>
          <w:lang w:val="zh-CN" w:eastAsia="zh-CN"/>
        </w:rPr>
        <w:t>颁发的安全评价检测检验机构资质证书，</w:t>
      </w:r>
      <w:r>
        <w:rPr>
          <w:rFonts w:hint="eastAsia"/>
          <w:lang w:val="en-US" w:eastAsia="zh-CN"/>
        </w:rPr>
        <w:t>报价时请提供在有效期内的</w:t>
      </w:r>
      <w:r>
        <w:rPr>
          <w:rFonts w:hint="eastAsia"/>
          <w:lang w:val="zh-CN" w:eastAsia="zh-CN"/>
        </w:rPr>
        <w:t>营业执照</w:t>
      </w:r>
      <w:r>
        <w:rPr>
          <w:rFonts w:hint="eastAsia"/>
          <w:lang w:val="en-US" w:eastAsia="zh-CN"/>
        </w:rPr>
        <w:t>复印件</w:t>
      </w:r>
      <w:r>
        <w:rPr>
          <w:rFonts w:hint="eastAsia"/>
          <w:lang w:val="zh-CN" w:eastAsia="zh-CN"/>
        </w:rPr>
        <w:t>，经营范围须含有安全技术咨询</w:t>
      </w:r>
      <w:r>
        <w:rPr>
          <w:rFonts w:hint="eastAsia"/>
          <w:lang w:val="en-US" w:eastAsia="zh-CN"/>
        </w:rPr>
        <w:t>等</w:t>
      </w:r>
      <w:r>
        <w:rPr>
          <w:rFonts w:hint="eastAsia"/>
          <w:lang w:val="zh-CN" w:eastAsia="zh-CN"/>
        </w:rPr>
        <w:t>。</w:t>
      </w:r>
    </w:p>
    <w:p w14:paraId="7492E0B0">
      <w:pPr>
        <w:numPr>
          <w:ilvl w:val="0"/>
          <w:numId w:val="0"/>
        </w:numPr>
        <w:spacing w:before="0" w:beforeAutospacing="1" w:after="0" w:afterAutospacing="1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2.不接受被列入失信被执</w:t>
      </w:r>
      <w:r>
        <w:rPr>
          <w:rFonts w:hint="eastAsia"/>
          <w:lang w:val="zh-CN" w:eastAsia="zh-CN"/>
        </w:rPr>
        <w:t>行人、重大违法案件当事人</w:t>
      </w:r>
      <w:r>
        <w:rPr>
          <w:rFonts w:hint="eastAsia"/>
          <w:lang w:val="en-US" w:eastAsia="zh-CN"/>
        </w:rPr>
        <w:t>询价书</w:t>
      </w:r>
      <w:r>
        <w:rPr>
          <w:rFonts w:hint="eastAsia"/>
          <w:lang w:val="zh-CN" w:eastAsia="zh-CN"/>
        </w:rPr>
        <w:t>；</w:t>
      </w:r>
    </w:p>
    <w:p w14:paraId="2DFAA9DA">
      <w:pPr>
        <w:numPr>
          <w:ilvl w:val="0"/>
          <w:numId w:val="0"/>
        </w:numPr>
        <w:spacing w:before="0" w:beforeAutospacing="1" w:after="0" w:afterAutospacing="1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3.供应商应具备良好的售后服务能力，要求电话联系后 8小时内必须给予回复，明确解决方案；</w:t>
      </w:r>
    </w:p>
    <w:p w14:paraId="2D9CEE0B">
      <w:pPr>
        <w:numPr>
          <w:ilvl w:val="0"/>
          <w:numId w:val="0"/>
        </w:numPr>
        <w:spacing w:before="0" w:beforeAutospacing="1" w:after="0" w:afterAutospacing="1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4.供应商所供产品引起的知识产权方面的纠纷，由供应商承担一切后果，询价人不承担任何责任；</w:t>
      </w:r>
    </w:p>
    <w:p w14:paraId="6767D780">
      <w:pPr>
        <w:adjustRightInd w:val="0"/>
        <w:snapToGrid w:val="0"/>
        <w:spacing w:line="600" w:lineRule="exact"/>
        <w:ind w:firstLine="420" w:firstLineChars="200"/>
        <w:jc w:val="left"/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val="en-US" w:eastAsia="zh-CN"/>
        </w:rPr>
      </w:pPr>
      <w:r>
        <w:rPr>
          <w:rFonts w:hint="eastAsia"/>
          <w:lang w:val="en-US" w:eastAsia="zh-CN"/>
        </w:rPr>
        <w:t>5.</w:t>
      </w:r>
      <w:r>
        <w:rPr>
          <w:rFonts w:hint="eastAsia"/>
          <w:lang w:val="zh-CN" w:eastAsia="zh-CN"/>
        </w:rPr>
        <w:t>本项目以严格按照《剧毒化学品、放射源存放场所治安防范要求》（GA1002-2012）、《易制爆危险化学品储存场所治安防范要求》（GA1511—2018）等规范要求，逐项评价剧毒和易制爆化学品储存场所治安防范措施。结合江苏索普化工股份有限公司的生产安全管理、产业布局、经济发展等情况，</w:t>
      </w:r>
      <w:r>
        <w:rPr>
          <w:rFonts w:hint="eastAsia"/>
          <w:lang w:val="en-US" w:eastAsia="zh-CN"/>
        </w:rPr>
        <w:t>编制《索普股份剧毒和</w:t>
      </w:r>
      <w:r>
        <w:rPr>
          <w:rFonts w:hint="eastAsia"/>
          <w:lang w:val="zh-CN" w:eastAsia="zh-CN"/>
        </w:rPr>
        <w:t>易制爆</w:t>
      </w:r>
      <w:r>
        <w:rPr>
          <w:rFonts w:hint="eastAsia"/>
          <w:lang w:val="en-US" w:eastAsia="zh-CN"/>
        </w:rPr>
        <w:t>危险</w:t>
      </w:r>
      <w:r>
        <w:rPr>
          <w:rFonts w:hint="eastAsia"/>
          <w:lang w:val="zh-CN" w:eastAsia="zh-CN"/>
        </w:rPr>
        <w:t>化学品储存场所治安防范安全评价报告》</w:t>
      </w:r>
      <w:r>
        <w:rPr>
          <w:rFonts w:hint="eastAsia"/>
          <w:lang w:val="en-US" w:eastAsia="zh-CN"/>
        </w:rPr>
        <w:t>，评估范围索普化工股份有限公司（详见《索普股份剧毒和易制爆化学品一览表》）。</w:t>
      </w:r>
    </w:p>
    <w:p w14:paraId="21904F4D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索普股份剧毒和易制爆化学品一览表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6"/>
        <w:gridCol w:w="2895"/>
        <w:gridCol w:w="1560"/>
        <w:gridCol w:w="1621"/>
      </w:tblGrid>
      <w:tr w14:paraId="1A928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46" w:type="dxa"/>
            <w:noWrap w:val="0"/>
            <w:vAlign w:val="center"/>
          </w:tcPr>
          <w:p w14:paraId="016AA122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涉及部门</w:t>
            </w:r>
          </w:p>
        </w:tc>
        <w:tc>
          <w:tcPr>
            <w:tcW w:w="2895" w:type="dxa"/>
            <w:noWrap w:val="0"/>
            <w:vAlign w:val="center"/>
          </w:tcPr>
          <w:p w14:paraId="55B3B443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化学品名称/类别</w:t>
            </w:r>
          </w:p>
        </w:tc>
        <w:tc>
          <w:tcPr>
            <w:tcW w:w="1560" w:type="dxa"/>
            <w:noWrap w:val="0"/>
            <w:vAlign w:val="center"/>
          </w:tcPr>
          <w:p w14:paraId="24E34340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生产/使用</w:t>
            </w:r>
          </w:p>
        </w:tc>
        <w:tc>
          <w:tcPr>
            <w:tcW w:w="1621" w:type="dxa"/>
            <w:noWrap w:val="0"/>
            <w:vAlign w:val="center"/>
          </w:tcPr>
          <w:p w14:paraId="4D0AF055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14:paraId="31910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46" w:type="dxa"/>
            <w:vMerge w:val="restart"/>
            <w:noWrap w:val="0"/>
            <w:vAlign w:val="center"/>
          </w:tcPr>
          <w:p w14:paraId="2A6060E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硫化事业部</w:t>
            </w:r>
          </w:p>
          <w:p w14:paraId="6BC4E4B3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895" w:type="dxa"/>
            <w:noWrap w:val="0"/>
            <w:vAlign w:val="center"/>
          </w:tcPr>
          <w:p w14:paraId="6A48AB9D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液硫/易制爆</w:t>
            </w:r>
          </w:p>
        </w:tc>
        <w:tc>
          <w:tcPr>
            <w:tcW w:w="1560" w:type="dxa"/>
            <w:noWrap w:val="0"/>
            <w:vAlign w:val="center"/>
          </w:tcPr>
          <w:p w14:paraId="3C0C15E7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使用</w:t>
            </w:r>
          </w:p>
        </w:tc>
        <w:tc>
          <w:tcPr>
            <w:tcW w:w="1621" w:type="dxa"/>
            <w:noWrap w:val="0"/>
            <w:vAlign w:val="center"/>
          </w:tcPr>
          <w:p w14:paraId="4919655F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储罐</w:t>
            </w:r>
          </w:p>
        </w:tc>
      </w:tr>
      <w:tr w14:paraId="2A742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46" w:type="dxa"/>
            <w:vMerge w:val="continue"/>
            <w:noWrap w:val="0"/>
            <w:vAlign w:val="center"/>
          </w:tcPr>
          <w:p w14:paraId="5B09CBB3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895" w:type="dxa"/>
            <w:noWrap w:val="0"/>
            <w:vAlign w:val="center"/>
          </w:tcPr>
          <w:p w14:paraId="66B39FAA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双氧水/易制爆</w:t>
            </w:r>
          </w:p>
        </w:tc>
        <w:tc>
          <w:tcPr>
            <w:tcW w:w="1560" w:type="dxa"/>
            <w:noWrap w:val="0"/>
            <w:vAlign w:val="center"/>
          </w:tcPr>
          <w:p w14:paraId="184E2318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使用</w:t>
            </w:r>
          </w:p>
        </w:tc>
        <w:tc>
          <w:tcPr>
            <w:tcW w:w="1621" w:type="dxa"/>
            <w:noWrap w:val="0"/>
            <w:vAlign w:val="center"/>
          </w:tcPr>
          <w:p w14:paraId="6EACCAA4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储罐</w:t>
            </w:r>
          </w:p>
        </w:tc>
      </w:tr>
      <w:tr w14:paraId="22510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46" w:type="dxa"/>
            <w:vMerge w:val="continue"/>
            <w:noWrap w:val="0"/>
            <w:vAlign w:val="center"/>
          </w:tcPr>
          <w:p w14:paraId="7F3F9CA5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895" w:type="dxa"/>
            <w:noWrap w:val="0"/>
            <w:vAlign w:val="center"/>
          </w:tcPr>
          <w:p w14:paraId="7C08B994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六亚甲基四胺/易制爆</w:t>
            </w:r>
          </w:p>
        </w:tc>
        <w:tc>
          <w:tcPr>
            <w:tcW w:w="1560" w:type="dxa"/>
            <w:noWrap w:val="0"/>
            <w:vAlign w:val="center"/>
          </w:tcPr>
          <w:p w14:paraId="69CAC568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使用</w:t>
            </w:r>
          </w:p>
        </w:tc>
        <w:tc>
          <w:tcPr>
            <w:tcW w:w="1621" w:type="dxa"/>
            <w:noWrap w:val="0"/>
            <w:vAlign w:val="center"/>
          </w:tcPr>
          <w:p w14:paraId="050A16A1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仓库</w:t>
            </w:r>
          </w:p>
        </w:tc>
      </w:tr>
      <w:tr w14:paraId="47E98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46" w:type="dxa"/>
            <w:vMerge w:val="continue"/>
            <w:noWrap w:val="0"/>
            <w:vAlign w:val="center"/>
          </w:tcPr>
          <w:p w14:paraId="3AFFB90A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895" w:type="dxa"/>
            <w:noWrap w:val="0"/>
            <w:vAlign w:val="center"/>
          </w:tcPr>
          <w:p w14:paraId="00F62330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过氧化二异丙苯/易制爆</w:t>
            </w:r>
          </w:p>
        </w:tc>
        <w:tc>
          <w:tcPr>
            <w:tcW w:w="1560" w:type="dxa"/>
            <w:noWrap w:val="0"/>
            <w:vAlign w:val="center"/>
          </w:tcPr>
          <w:p w14:paraId="2B1A1AD5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使用</w:t>
            </w:r>
          </w:p>
        </w:tc>
        <w:tc>
          <w:tcPr>
            <w:tcW w:w="1621" w:type="dxa"/>
            <w:noWrap w:val="0"/>
            <w:vAlign w:val="center"/>
          </w:tcPr>
          <w:p w14:paraId="4ABAD12B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不储存</w:t>
            </w:r>
          </w:p>
        </w:tc>
      </w:tr>
      <w:tr w14:paraId="5D3EB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46" w:type="dxa"/>
            <w:vMerge w:val="restart"/>
            <w:noWrap w:val="0"/>
            <w:vAlign w:val="center"/>
          </w:tcPr>
          <w:p w14:paraId="63C617AF"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计划运行部</w:t>
            </w:r>
          </w:p>
        </w:tc>
        <w:tc>
          <w:tcPr>
            <w:tcW w:w="2895" w:type="dxa"/>
            <w:noWrap w:val="0"/>
            <w:vAlign w:val="center"/>
          </w:tcPr>
          <w:p w14:paraId="23FA9D16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三氧化二砷/剧毒</w:t>
            </w:r>
          </w:p>
        </w:tc>
        <w:tc>
          <w:tcPr>
            <w:tcW w:w="1560" w:type="dxa"/>
            <w:noWrap w:val="0"/>
            <w:vAlign w:val="center"/>
          </w:tcPr>
          <w:p w14:paraId="3710EE42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使用</w:t>
            </w:r>
          </w:p>
        </w:tc>
        <w:tc>
          <w:tcPr>
            <w:tcW w:w="1621" w:type="dxa"/>
            <w:noWrap w:val="0"/>
            <w:vAlign w:val="center"/>
          </w:tcPr>
          <w:p w14:paraId="5E3C30A9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试剂柜</w:t>
            </w:r>
          </w:p>
        </w:tc>
      </w:tr>
      <w:tr w14:paraId="4005B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46" w:type="dxa"/>
            <w:vMerge w:val="continue"/>
            <w:noWrap w:val="0"/>
            <w:vAlign w:val="center"/>
          </w:tcPr>
          <w:p w14:paraId="2DB13D1B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895" w:type="dxa"/>
            <w:noWrap w:val="0"/>
            <w:vAlign w:val="center"/>
          </w:tcPr>
          <w:p w14:paraId="35FDC501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硝酸银/易制爆</w:t>
            </w:r>
          </w:p>
        </w:tc>
        <w:tc>
          <w:tcPr>
            <w:tcW w:w="1560" w:type="dxa"/>
            <w:noWrap w:val="0"/>
            <w:vAlign w:val="center"/>
          </w:tcPr>
          <w:p w14:paraId="48ADCBD8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使用</w:t>
            </w:r>
          </w:p>
        </w:tc>
        <w:tc>
          <w:tcPr>
            <w:tcW w:w="1621" w:type="dxa"/>
            <w:noWrap w:val="0"/>
            <w:vAlign w:val="center"/>
          </w:tcPr>
          <w:p w14:paraId="03CF3C80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试剂柜</w:t>
            </w:r>
          </w:p>
        </w:tc>
      </w:tr>
      <w:tr w14:paraId="24F8B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46" w:type="dxa"/>
            <w:vMerge w:val="continue"/>
            <w:noWrap w:val="0"/>
            <w:vAlign w:val="center"/>
          </w:tcPr>
          <w:p w14:paraId="6424541B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895" w:type="dxa"/>
            <w:noWrap w:val="0"/>
            <w:vAlign w:val="center"/>
          </w:tcPr>
          <w:p w14:paraId="76B7ED25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硝酸钾/易制爆</w:t>
            </w:r>
          </w:p>
        </w:tc>
        <w:tc>
          <w:tcPr>
            <w:tcW w:w="1560" w:type="dxa"/>
            <w:noWrap w:val="0"/>
            <w:vAlign w:val="center"/>
          </w:tcPr>
          <w:p w14:paraId="79412017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使用</w:t>
            </w:r>
          </w:p>
        </w:tc>
        <w:tc>
          <w:tcPr>
            <w:tcW w:w="1621" w:type="dxa"/>
            <w:noWrap w:val="0"/>
            <w:vAlign w:val="center"/>
          </w:tcPr>
          <w:p w14:paraId="386DEDF8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试剂柜</w:t>
            </w:r>
          </w:p>
        </w:tc>
      </w:tr>
      <w:tr w14:paraId="3630A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46" w:type="dxa"/>
            <w:vMerge w:val="continue"/>
            <w:noWrap w:val="0"/>
            <w:vAlign w:val="center"/>
          </w:tcPr>
          <w:p w14:paraId="2C71363C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895" w:type="dxa"/>
            <w:noWrap w:val="0"/>
            <w:vAlign w:val="center"/>
          </w:tcPr>
          <w:p w14:paraId="48280917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硝酸/易制爆</w:t>
            </w:r>
          </w:p>
        </w:tc>
        <w:tc>
          <w:tcPr>
            <w:tcW w:w="1560" w:type="dxa"/>
            <w:noWrap w:val="0"/>
            <w:vAlign w:val="center"/>
          </w:tcPr>
          <w:p w14:paraId="758D8365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使用</w:t>
            </w:r>
          </w:p>
        </w:tc>
        <w:tc>
          <w:tcPr>
            <w:tcW w:w="1621" w:type="dxa"/>
            <w:noWrap w:val="0"/>
            <w:vAlign w:val="center"/>
          </w:tcPr>
          <w:p w14:paraId="586D30B0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试剂柜</w:t>
            </w:r>
          </w:p>
        </w:tc>
      </w:tr>
      <w:tr w14:paraId="6AA1F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46" w:type="dxa"/>
            <w:vMerge w:val="continue"/>
            <w:noWrap w:val="0"/>
            <w:vAlign w:val="center"/>
          </w:tcPr>
          <w:p w14:paraId="0A18D372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895" w:type="dxa"/>
            <w:noWrap w:val="0"/>
            <w:vAlign w:val="center"/>
          </w:tcPr>
          <w:p w14:paraId="2AFB5C97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高锰酸钾/易制爆</w:t>
            </w:r>
          </w:p>
        </w:tc>
        <w:tc>
          <w:tcPr>
            <w:tcW w:w="1560" w:type="dxa"/>
            <w:noWrap w:val="0"/>
            <w:vAlign w:val="center"/>
          </w:tcPr>
          <w:p w14:paraId="4202366C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使用</w:t>
            </w:r>
          </w:p>
        </w:tc>
        <w:tc>
          <w:tcPr>
            <w:tcW w:w="1621" w:type="dxa"/>
            <w:noWrap w:val="0"/>
            <w:vAlign w:val="center"/>
          </w:tcPr>
          <w:p w14:paraId="29AA673A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试剂柜</w:t>
            </w:r>
          </w:p>
        </w:tc>
      </w:tr>
      <w:tr w14:paraId="77079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46" w:type="dxa"/>
            <w:vMerge w:val="continue"/>
            <w:noWrap w:val="0"/>
            <w:vAlign w:val="center"/>
          </w:tcPr>
          <w:p w14:paraId="49CFB601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895" w:type="dxa"/>
            <w:noWrap w:val="0"/>
            <w:vAlign w:val="center"/>
          </w:tcPr>
          <w:p w14:paraId="3341739A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重铬酸钾/易制爆</w:t>
            </w:r>
          </w:p>
        </w:tc>
        <w:tc>
          <w:tcPr>
            <w:tcW w:w="1560" w:type="dxa"/>
            <w:noWrap w:val="0"/>
            <w:vAlign w:val="center"/>
          </w:tcPr>
          <w:p w14:paraId="64DCB2B2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使用</w:t>
            </w:r>
          </w:p>
        </w:tc>
        <w:tc>
          <w:tcPr>
            <w:tcW w:w="1621" w:type="dxa"/>
            <w:noWrap w:val="0"/>
            <w:vAlign w:val="center"/>
          </w:tcPr>
          <w:p w14:paraId="5D4B1F38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试剂柜</w:t>
            </w:r>
          </w:p>
        </w:tc>
      </w:tr>
      <w:tr w14:paraId="6E0B0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46" w:type="dxa"/>
            <w:vMerge w:val="continue"/>
            <w:noWrap w:val="0"/>
            <w:vAlign w:val="center"/>
          </w:tcPr>
          <w:p w14:paraId="280EE077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895" w:type="dxa"/>
            <w:noWrap w:val="0"/>
            <w:vAlign w:val="center"/>
          </w:tcPr>
          <w:p w14:paraId="4994E4E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硝酸铅/易制爆</w:t>
            </w:r>
          </w:p>
        </w:tc>
        <w:tc>
          <w:tcPr>
            <w:tcW w:w="1560" w:type="dxa"/>
            <w:noWrap w:val="0"/>
            <w:vAlign w:val="center"/>
          </w:tcPr>
          <w:p w14:paraId="781435F9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使用</w:t>
            </w:r>
          </w:p>
        </w:tc>
        <w:tc>
          <w:tcPr>
            <w:tcW w:w="1621" w:type="dxa"/>
            <w:noWrap w:val="0"/>
            <w:vAlign w:val="center"/>
          </w:tcPr>
          <w:p w14:paraId="591717C6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试剂柜</w:t>
            </w:r>
          </w:p>
        </w:tc>
      </w:tr>
      <w:tr w14:paraId="1EE01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46" w:type="dxa"/>
            <w:vMerge w:val="continue"/>
            <w:noWrap w:val="0"/>
            <w:vAlign w:val="center"/>
          </w:tcPr>
          <w:p w14:paraId="6CDD128B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895" w:type="dxa"/>
            <w:noWrap w:val="0"/>
            <w:vAlign w:val="center"/>
          </w:tcPr>
          <w:p w14:paraId="269464D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无砷锌粒/易制爆</w:t>
            </w:r>
          </w:p>
        </w:tc>
        <w:tc>
          <w:tcPr>
            <w:tcW w:w="1560" w:type="dxa"/>
            <w:noWrap w:val="0"/>
            <w:vAlign w:val="center"/>
          </w:tcPr>
          <w:p w14:paraId="69E3CE70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使用</w:t>
            </w:r>
          </w:p>
        </w:tc>
        <w:tc>
          <w:tcPr>
            <w:tcW w:w="1621" w:type="dxa"/>
            <w:noWrap w:val="0"/>
            <w:vAlign w:val="center"/>
          </w:tcPr>
          <w:p w14:paraId="76E5FECD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试剂柜</w:t>
            </w:r>
          </w:p>
        </w:tc>
      </w:tr>
      <w:tr w14:paraId="63347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46" w:type="dxa"/>
            <w:noWrap w:val="0"/>
            <w:vAlign w:val="center"/>
          </w:tcPr>
          <w:p w14:paraId="50E4760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战略发展部</w:t>
            </w:r>
          </w:p>
          <w:p w14:paraId="3B504400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(研发中心)</w:t>
            </w:r>
          </w:p>
        </w:tc>
        <w:tc>
          <w:tcPr>
            <w:tcW w:w="2895" w:type="dxa"/>
            <w:noWrap w:val="0"/>
            <w:vAlign w:val="center"/>
          </w:tcPr>
          <w:p w14:paraId="5097AA6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暂无</w:t>
            </w:r>
          </w:p>
        </w:tc>
        <w:tc>
          <w:tcPr>
            <w:tcW w:w="1560" w:type="dxa"/>
            <w:noWrap w:val="0"/>
            <w:vAlign w:val="center"/>
          </w:tcPr>
          <w:p w14:paraId="5DBD0396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使用</w:t>
            </w:r>
          </w:p>
        </w:tc>
        <w:tc>
          <w:tcPr>
            <w:tcW w:w="1621" w:type="dxa"/>
            <w:noWrap w:val="0"/>
            <w:vAlign w:val="center"/>
          </w:tcPr>
          <w:p w14:paraId="4F2CF9EB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试剂柜</w:t>
            </w:r>
          </w:p>
        </w:tc>
      </w:tr>
    </w:tbl>
    <w:p w14:paraId="5636DCAD">
      <w:pPr>
        <w:adjustRightInd w:val="0"/>
        <w:snapToGrid w:val="0"/>
        <w:spacing w:line="600" w:lineRule="exact"/>
        <w:ind w:firstLine="600" w:firstLineChars="200"/>
        <w:jc w:val="left"/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val="en-US" w:eastAsia="zh-CN"/>
        </w:rPr>
      </w:pPr>
    </w:p>
    <w:p w14:paraId="298EE7AC">
      <w:pPr>
        <w:adjustRightInd w:val="0"/>
        <w:snapToGrid w:val="0"/>
        <w:spacing w:line="600" w:lineRule="exact"/>
        <w:ind w:firstLine="600" w:firstLineChars="200"/>
        <w:jc w:val="left"/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val="en-US" w:eastAsia="zh-CN"/>
        </w:rPr>
      </w:pPr>
    </w:p>
    <w:p w14:paraId="05E1FFCD">
      <w:pPr>
        <w:numPr>
          <w:ilvl w:val="0"/>
          <w:numId w:val="0"/>
        </w:numPr>
        <w:spacing w:before="0" w:beforeAutospacing="1" w:after="0" w:afterAutospacing="1"/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6. 供应商须</w:t>
      </w:r>
      <w:r>
        <w:rPr>
          <w:rFonts w:hint="eastAsia"/>
          <w:lang w:val="zh-CN" w:eastAsia="zh-CN"/>
        </w:rPr>
        <w:t>熟悉相关标准规范，</w:t>
      </w:r>
      <w:r>
        <w:rPr>
          <w:rFonts w:hint="eastAsia"/>
          <w:lang w:val="en-US" w:eastAsia="zh-CN"/>
        </w:rPr>
        <w:t>提供近3年内（2023年3月-2026年3月）从事剧毒或易制爆化学品储存场所治安防范安全评价的业绩3</w:t>
      </w:r>
      <w:r>
        <w:rPr>
          <w:rFonts w:hint="eastAsia"/>
          <w:lang w:val="zh-CN" w:eastAsia="zh-CN"/>
        </w:rPr>
        <w:t>家以上。</w:t>
      </w:r>
    </w:p>
    <w:p w14:paraId="7E91D100">
      <w:pPr>
        <w:pStyle w:val="3"/>
      </w:pPr>
      <w:r>
        <w:t>三、报价要求</w:t>
      </w:r>
    </w:p>
    <w:p w14:paraId="2032FEEA">
      <w:pPr>
        <w:numPr>
          <w:ilvl w:val="0"/>
          <w:numId w:val="0"/>
        </w:numPr>
        <w:spacing w:before="0" w:beforeAutospacing="1" w:after="0" w:afterAutospacing="1"/>
        <w:ind w:firstLine="420" w:firstLineChars="200"/>
        <w:rPr>
          <w:rFonts w:hint="eastAsia"/>
        </w:rPr>
      </w:pPr>
      <w:r>
        <w:rPr>
          <w:rFonts w:hint="eastAsia"/>
        </w:rPr>
        <w:t>（一）报价方式：报价为含增值税价。如国家税率调整，按合同含税价格/（1+合同约定税率）*（1+国家规定的新税率）调整合同价格开具发票；</w:t>
      </w:r>
    </w:p>
    <w:p w14:paraId="61BCC762">
      <w:pPr>
        <w:numPr>
          <w:ilvl w:val="0"/>
          <w:numId w:val="0"/>
        </w:numPr>
        <w:spacing w:before="0" w:beforeAutospacing="1" w:after="0" w:afterAutospacing="1"/>
        <w:ind w:firstLine="420" w:firstLineChars="200"/>
        <w:rPr>
          <w:rFonts w:hint="default"/>
          <w:lang w:val="en-US" w:eastAsia="zh-CN"/>
        </w:rPr>
      </w:pPr>
      <w:r>
        <w:rPr>
          <w:rFonts w:hint="eastAsia"/>
        </w:rPr>
        <w:t>（二）付款方式：完成上述</w:t>
      </w:r>
      <w:r>
        <w:rPr>
          <w:rFonts w:hint="eastAsia"/>
          <w:lang w:val="zh-CN" w:eastAsia="zh-CN"/>
        </w:rPr>
        <w:t>《</w:t>
      </w:r>
      <w:r>
        <w:rPr>
          <w:rFonts w:hint="eastAsia"/>
          <w:lang w:val="en-US" w:eastAsia="zh-CN"/>
        </w:rPr>
        <w:t>索普股份剧毒和</w:t>
      </w:r>
      <w:r>
        <w:rPr>
          <w:rFonts w:hint="eastAsia"/>
          <w:lang w:val="zh-CN" w:eastAsia="zh-CN"/>
        </w:rPr>
        <w:t>易制爆</w:t>
      </w:r>
      <w:r>
        <w:rPr>
          <w:rFonts w:hint="eastAsia"/>
          <w:lang w:val="en-US" w:eastAsia="zh-CN"/>
        </w:rPr>
        <w:t>危险</w:t>
      </w:r>
      <w:r>
        <w:rPr>
          <w:rFonts w:hint="eastAsia"/>
          <w:lang w:val="zh-CN" w:eastAsia="zh-CN"/>
        </w:rPr>
        <w:t>化学品储存场所治安防范安全评价报告》</w:t>
      </w:r>
      <w:r>
        <w:rPr>
          <w:rFonts w:hint="eastAsia"/>
          <w:lang w:val="en-US" w:eastAsia="zh-CN"/>
        </w:rPr>
        <w:t>的</w:t>
      </w:r>
      <w:r>
        <w:rPr>
          <w:rFonts w:hint="eastAsia"/>
        </w:rPr>
        <w:t>编制、</w:t>
      </w:r>
      <w:r>
        <w:rPr>
          <w:rFonts w:hint="eastAsia"/>
          <w:lang w:val="en-US" w:eastAsia="zh-CN"/>
        </w:rPr>
        <w:t>并</w:t>
      </w:r>
      <w:r>
        <w:rPr>
          <w:rFonts w:hint="eastAsia"/>
        </w:rPr>
        <w:t>通过专家评审</w:t>
      </w:r>
      <w:r>
        <w:rPr>
          <w:rFonts w:hint="eastAsia"/>
          <w:lang w:val="en-US" w:eastAsia="zh-CN"/>
        </w:rPr>
        <w:t>公示</w:t>
      </w:r>
      <w:r>
        <w:rPr>
          <w:rFonts w:hint="eastAsia"/>
          <w:lang w:val="zh-CN"/>
        </w:rPr>
        <w:t>。</w:t>
      </w:r>
      <w:r>
        <w:rPr>
          <w:rFonts w:hint="eastAsia"/>
          <w:lang w:val="en-US" w:eastAsia="zh-CN"/>
        </w:rPr>
        <w:t>并经我公司确认后</w:t>
      </w:r>
      <w:r>
        <w:rPr>
          <w:rFonts w:hint="eastAsia"/>
        </w:rPr>
        <w:t>开具发票，我公司收到发票入账后90日内付款</w:t>
      </w:r>
      <w:r>
        <w:rPr>
          <w:rFonts w:hint="eastAsia"/>
          <w:lang w:eastAsia="zh-CN"/>
        </w:rPr>
        <w:t>。</w:t>
      </w:r>
      <w:r>
        <w:rPr>
          <w:rFonts w:hint="eastAsia"/>
        </w:rPr>
        <w:t>含税报价≥10万元人民币以银行承兑支付，&lt;10万元人民币以现汇支付</w:t>
      </w:r>
      <w:r>
        <w:rPr>
          <w:rFonts w:hint="eastAsia"/>
          <w:lang w:val="en-US" w:eastAsia="zh-CN"/>
        </w:rPr>
        <w:t>。</w:t>
      </w:r>
    </w:p>
    <w:p w14:paraId="34969B33">
      <w:pPr>
        <w:pStyle w:val="4"/>
        <w:ind w:firstLine="420" w:firstLineChars="200"/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  <w:t>（三）报价提交方式</w:t>
      </w:r>
    </w:p>
    <w:p w14:paraId="406FA1D4">
      <w:pPr>
        <w:numPr>
          <w:ilvl w:val="0"/>
          <w:numId w:val="0"/>
        </w:numPr>
        <w:spacing w:before="0" w:beforeAutospacing="1" w:after="0" w:afterAutospacing="1"/>
        <w:ind w:firstLine="420" w:firstLineChars="200"/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  <w:t>线下报价：密封送达或邮寄送达（封条需加盖公章、法人章并注明密封日期；封面注明项目名称、供应商信息、联系方式），邮寄送达需电联报价联系人告知快递单号，逾期无效。</w:t>
      </w:r>
    </w:p>
    <w:p w14:paraId="7C743C17">
      <w:pPr>
        <w:pStyle w:val="4"/>
        <w:ind w:firstLine="420" w:firstLineChars="200"/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  <w:t>（四）送达地址及联系方式</w:t>
      </w:r>
    </w:p>
    <w:p w14:paraId="6AC27BF7">
      <w:pPr>
        <w:numPr>
          <w:ilvl w:val="0"/>
          <w:numId w:val="2"/>
        </w:numPr>
        <w:spacing w:before="0" w:beforeAutospacing="1" w:after="0" w:afterAutospacing="1"/>
        <w:ind w:left="780" w:leftChars="0" w:hanging="360" w:firstLineChars="0"/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  <w:t>收件单位：江苏索普化工股份有限公司安全环境部</w:t>
      </w:r>
    </w:p>
    <w:p w14:paraId="09A9996A">
      <w:pPr>
        <w:numPr>
          <w:ilvl w:val="0"/>
          <w:numId w:val="2"/>
        </w:numPr>
        <w:spacing w:before="0" w:beforeAutospacing="1" w:after="0" w:afterAutospacing="1"/>
        <w:ind w:left="780" w:leftChars="0" w:hanging="360" w:firstLineChars="0"/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  <w:t>地    址：江苏省镇江市京口区求索路101号（邮编：212006）</w:t>
      </w:r>
    </w:p>
    <w:p w14:paraId="14CC59C7">
      <w:pPr>
        <w:numPr>
          <w:ilvl w:val="0"/>
          <w:numId w:val="2"/>
        </w:numPr>
        <w:spacing w:before="0" w:beforeAutospacing="1" w:after="0" w:afterAutospacing="1"/>
        <w:ind w:left="780" w:leftChars="0" w:hanging="360" w:firstLineChars="0"/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  <w:t>联 系 人：</w:t>
      </w:r>
      <w:r>
        <w:rPr>
          <w:rFonts w:hint="eastAsia" w:cs="Times New Roman"/>
          <w:b w:val="0"/>
          <w:color w:val="000000"/>
          <w:sz w:val="21"/>
          <w:szCs w:val="24"/>
          <w:lang w:val="en-US" w:eastAsia="zh-CN" w:bidi="ar-SA"/>
        </w:rPr>
        <w:t>赵雪锋</w:t>
      </w:r>
      <w:r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  <w:t>，电话：</w:t>
      </w:r>
      <w:r>
        <w:rPr>
          <w:rFonts w:hint="eastAsia" w:cs="Times New Roman"/>
          <w:b w:val="0"/>
          <w:color w:val="000000"/>
          <w:sz w:val="21"/>
          <w:szCs w:val="24"/>
          <w:lang w:val="en-US" w:eastAsia="zh-CN" w:bidi="ar-SA"/>
        </w:rPr>
        <w:t>13906102082</w:t>
      </w:r>
    </w:p>
    <w:p w14:paraId="46E1F8B6">
      <w:pPr>
        <w:pStyle w:val="4"/>
        <w:ind w:firstLine="420" w:firstLineChars="200"/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  <w:t>（五）疑问咨询</w:t>
      </w:r>
    </w:p>
    <w:p w14:paraId="20BA2C34">
      <w:pPr>
        <w:numPr>
          <w:ilvl w:val="0"/>
          <w:numId w:val="3"/>
        </w:numPr>
        <w:spacing w:before="0" w:beforeAutospacing="1" w:after="0" w:afterAutospacing="1"/>
        <w:ind w:left="720" w:hanging="360"/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  <w:t>报价联系人：</w:t>
      </w:r>
      <w:r>
        <w:rPr>
          <w:rFonts w:hint="eastAsia" w:cs="Times New Roman"/>
          <w:b w:val="0"/>
          <w:color w:val="000000"/>
          <w:sz w:val="21"/>
          <w:szCs w:val="24"/>
          <w:lang w:val="en-US" w:eastAsia="zh-CN" w:bidi="ar-SA"/>
        </w:rPr>
        <w:t>赵雪锋13906102082</w:t>
      </w:r>
      <w:r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  <w:t>（详情咨询）</w:t>
      </w:r>
    </w:p>
    <w:p w14:paraId="7A111C8A">
      <w:pPr>
        <w:numPr>
          <w:ilvl w:val="0"/>
          <w:numId w:val="3"/>
        </w:numPr>
        <w:spacing w:before="0" w:beforeAutospacing="1" w:after="0" w:afterAutospacing="1"/>
        <w:ind w:left="720" w:hanging="360"/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  <w:t>部门负责人：</w:t>
      </w:r>
      <w:r>
        <w:rPr>
          <w:rFonts w:hint="eastAsia" w:cs="Times New Roman"/>
          <w:b w:val="0"/>
          <w:color w:val="000000"/>
          <w:sz w:val="21"/>
          <w:szCs w:val="24"/>
          <w:lang w:val="en-US" w:eastAsia="zh-CN" w:bidi="ar-SA"/>
        </w:rPr>
        <w:t>鲍中元15052946881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4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4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</w:t>
      </w:r>
      <w:r>
        <w:rPr>
          <w:rFonts w:hint="eastAsia"/>
          <w:lang w:val="en-US" w:eastAsia="zh-CN"/>
        </w:rPr>
        <w:t>报价</w:t>
      </w:r>
      <w:r>
        <w:t>最低者为成交候选人。</w:t>
      </w:r>
    </w:p>
    <w:p w14:paraId="3F9E105C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0"/>
        </w:numPr>
        <w:spacing w:before="0" w:beforeAutospacing="1" w:after="0" w:afterAutospacing="1"/>
        <w:ind w:firstLine="422" w:firstLineChars="200"/>
      </w:pPr>
      <w:r>
        <w:rPr>
          <w:b/>
        </w:rPr>
        <w:t>逾期</w:t>
      </w:r>
      <w:r>
        <w:rPr>
          <w:rFonts w:hint="eastAsia"/>
          <w:b/>
          <w:lang w:val="en-US" w:eastAsia="zh-CN"/>
        </w:rPr>
        <w:t>处置</w:t>
      </w:r>
      <w:r>
        <w:t>：</w:t>
      </w:r>
      <w:r>
        <w:rPr>
          <w:rFonts w:hint="eastAsia"/>
          <w:lang w:val="en-US" w:eastAsia="zh-CN"/>
        </w:rPr>
        <w:t>不能按要求及时完成预案编制并通过专家评审造成影响</w:t>
      </w:r>
      <w:r>
        <w:t>，采购人有权解除合同，</w:t>
      </w:r>
      <w:r>
        <w:rPr>
          <w:rFonts w:hint="eastAsia"/>
          <w:lang w:val="en-US" w:eastAsia="zh-CN"/>
        </w:rPr>
        <w:t>视情况提出索赔</w:t>
      </w:r>
      <w:r>
        <w:t>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0"/>
        </w:numPr>
        <w:spacing w:before="0" w:beforeAutospacing="1" w:after="0" w:afterAutospacing="1"/>
        <w:ind w:left="720" w:leftChars="0" w:hanging="360" w:firstLineChars="0"/>
      </w:pPr>
      <w:r>
        <w:rPr>
          <w:rFonts w:ascii="Times New Roman" w:hAnsi="Times New Roman" w:eastAsia="宋体" w:cs="Times New Roman"/>
          <w:color w:val="000000"/>
          <w:sz w:val="24"/>
          <w:szCs w:val="24"/>
          <w:lang w:val="en-US" w:eastAsia="zh-CN" w:bidi="ar-SA"/>
        </w:rPr>
        <w:t>1.</w:t>
      </w:r>
      <w:r>
        <w:t>成交人须按询价书签订合同，违约将面临中止合作风险。</w:t>
      </w:r>
    </w:p>
    <w:p w14:paraId="1E0C3DA3">
      <w:pPr>
        <w:numPr>
          <w:ilvl w:val="0"/>
          <w:numId w:val="0"/>
        </w:numPr>
        <w:spacing w:before="0" w:beforeAutospacing="1" w:after="0" w:afterAutospacing="1"/>
        <w:ind w:left="720" w:leftChars="0" w:hanging="360" w:firstLineChars="0"/>
      </w:pPr>
      <w:r>
        <w:rPr>
          <w:rFonts w:ascii="Times New Roman" w:hAnsi="Times New Roman" w:eastAsia="宋体" w:cs="Times New Roman"/>
          <w:color w:val="000000"/>
          <w:sz w:val="24"/>
          <w:szCs w:val="24"/>
          <w:lang w:val="en-US" w:eastAsia="zh-CN" w:bidi="ar-SA"/>
        </w:rPr>
        <w:t>2.</w:t>
      </w:r>
      <w:r>
        <w:t>违规供应商将列入负面清单，解释权归江苏索普化工股份有限公司</w:t>
      </w:r>
      <w:r>
        <w:rPr>
          <w:rFonts w:hint="eastAsia"/>
          <w:lang w:val="en-US" w:eastAsia="zh-CN"/>
        </w:rPr>
        <w:t>安全环境</w:t>
      </w:r>
      <w:r>
        <w:t>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</w:t>
      </w:r>
      <w:r>
        <w:rPr>
          <w:rFonts w:hint="eastAsia"/>
          <w:lang w:val="en-US" w:eastAsia="zh-CN"/>
        </w:rPr>
        <w:t>安全环境</w:t>
      </w:r>
      <w:r>
        <w:t>部</w:t>
      </w:r>
    </w:p>
    <w:p w14:paraId="26E9FD79">
      <w:pPr>
        <w:jc w:val="right"/>
      </w:pPr>
      <w:r>
        <w:t>日期：</w:t>
      </w:r>
      <w:r>
        <w:rPr>
          <w:u w:val="single"/>
        </w:rPr>
        <w:t>___</w:t>
      </w:r>
      <w:r>
        <w:rPr>
          <w:rFonts w:hint="eastAsia"/>
          <w:u w:val="single"/>
          <w:lang w:val="en-US" w:eastAsia="zh-CN"/>
        </w:rPr>
        <w:t>2026</w:t>
      </w:r>
      <w:r>
        <w:rPr>
          <w:u w:val="single"/>
        </w:rPr>
        <w:t>_</w:t>
      </w:r>
      <w:r>
        <w:t>年_</w:t>
      </w:r>
      <w:r>
        <w:rPr>
          <w:rFonts w:hint="eastAsia"/>
          <w:u w:val="single"/>
          <w:lang w:val="en-US" w:eastAsia="zh-CN"/>
        </w:rPr>
        <w:t>4</w:t>
      </w:r>
      <w:r>
        <w:t>月</w:t>
      </w:r>
      <w:r>
        <w:rPr>
          <w:rFonts w:hint="eastAsia"/>
          <w:u w:val="single"/>
          <w:lang w:val="en-US" w:eastAsia="zh-CN"/>
        </w:rPr>
        <w:t>1</w:t>
      </w:r>
      <w:r>
        <w:t>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%。</w:t>
      </w:r>
    </w:p>
    <w:p w14:paraId="167DA178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处置</w:t>
      </w:r>
      <w:r>
        <w:rPr>
          <w:b/>
        </w:rPr>
        <w:t>时间</w:t>
      </w:r>
      <w:r>
        <w:t>：________________________。</w:t>
      </w:r>
    </w:p>
    <w:p w14:paraId="7E6B970D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57580ADE">
      <w:pPr>
        <w:pStyle w:val="11"/>
      </w:pPr>
    </w:p>
    <w:p w14:paraId="135B9021">
      <w:pPr>
        <w:pStyle w:val="5"/>
      </w:pPr>
    </w:p>
    <w:p w14:paraId="5392DD03">
      <w:pPr>
        <w:numPr>
          <w:ilvl w:val="0"/>
          <w:numId w:val="0"/>
        </w:num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</w:rPr>
      </w:pPr>
    </w:p>
    <w:p w14:paraId="5FA0873D">
      <w:pPr>
        <w:pStyle w:val="6"/>
      </w:pP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2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3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 w:cs="Symbol"/>
        <w:sz w:val="20"/>
      </w:rPr>
    </w:lvl>
  </w:abstractNum>
  <w:abstractNum w:abstractNumId="5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3A21B49"/>
    <w:rsid w:val="0B1408EB"/>
    <w:rsid w:val="0B1A6AA6"/>
    <w:rsid w:val="12922C84"/>
    <w:rsid w:val="134678C7"/>
    <w:rsid w:val="147931F1"/>
    <w:rsid w:val="14D05D11"/>
    <w:rsid w:val="15386004"/>
    <w:rsid w:val="15F1304B"/>
    <w:rsid w:val="17920BDE"/>
    <w:rsid w:val="1C0D408C"/>
    <w:rsid w:val="1D7C655F"/>
    <w:rsid w:val="1E937E31"/>
    <w:rsid w:val="22844FF6"/>
    <w:rsid w:val="228D7161"/>
    <w:rsid w:val="23971A56"/>
    <w:rsid w:val="247C629F"/>
    <w:rsid w:val="24960418"/>
    <w:rsid w:val="24E05525"/>
    <w:rsid w:val="27186261"/>
    <w:rsid w:val="2B095688"/>
    <w:rsid w:val="2B8C00D9"/>
    <w:rsid w:val="2D6D29C6"/>
    <w:rsid w:val="2E730AF8"/>
    <w:rsid w:val="2EEE0779"/>
    <w:rsid w:val="30DA11D4"/>
    <w:rsid w:val="37E312B6"/>
    <w:rsid w:val="383E24B0"/>
    <w:rsid w:val="3AAB143A"/>
    <w:rsid w:val="4193645C"/>
    <w:rsid w:val="45DA73D5"/>
    <w:rsid w:val="46C2657C"/>
    <w:rsid w:val="4AC251FD"/>
    <w:rsid w:val="4AE1260F"/>
    <w:rsid w:val="4BD96800"/>
    <w:rsid w:val="513A2283"/>
    <w:rsid w:val="5347294C"/>
    <w:rsid w:val="58113834"/>
    <w:rsid w:val="5A702373"/>
    <w:rsid w:val="5AE8436A"/>
    <w:rsid w:val="5EF26EAF"/>
    <w:rsid w:val="5F381638"/>
    <w:rsid w:val="5FED582A"/>
    <w:rsid w:val="60681AA9"/>
    <w:rsid w:val="608A4F08"/>
    <w:rsid w:val="61202383"/>
    <w:rsid w:val="626F711E"/>
    <w:rsid w:val="62E84689"/>
    <w:rsid w:val="6326564D"/>
    <w:rsid w:val="63F87D96"/>
    <w:rsid w:val="645C1924"/>
    <w:rsid w:val="64B90B25"/>
    <w:rsid w:val="650D466E"/>
    <w:rsid w:val="694037F5"/>
    <w:rsid w:val="6AD3740D"/>
    <w:rsid w:val="6B8D6867"/>
    <w:rsid w:val="6BD26725"/>
    <w:rsid w:val="6BDB5825"/>
    <w:rsid w:val="6DD76B71"/>
    <w:rsid w:val="71296F3C"/>
    <w:rsid w:val="752B47B3"/>
    <w:rsid w:val="79DD5A99"/>
    <w:rsid w:val="7A995229"/>
    <w:rsid w:val="7B106F4E"/>
    <w:rsid w:val="7E20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  <w:rPr>
      <w:color w:val="auto"/>
      <w:kern w:val="2"/>
    </w:rPr>
  </w:style>
  <w:style w:type="paragraph" w:styleId="6">
    <w:name w:val="Body Text"/>
    <w:basedOn w:val="1"/>
    <w:unhideWhenUsed/>
    <w:qFormat/>
    <w:uiPriority w:val="99"/>
    <w:pPr>
      <w:spacing w:after="120"/>
    </w:pPr>
  </w:style>
  <w:style w:type="paragraph" w:styleId="7">
    <w:name w:val="Plain Text"/>
    <w:basedOn w:val="1"/>
    <w:unhideWhenUsed/>
    <w:qFormat/>
    <w:uiPriority w:val="99"/>
    <w:rPr>
      <w:rFonts w:ascii="宋体" w:hAnsi="Courier New"/>
      <w:kern w:val="0"/>
      <w:sz w:val="20"/>
      <w:szCs w:val="20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List Paragraph"/>
    <w:basedOn w:val="1"/>
    <w:next w:val="5"/>
    <w:qFormat/>
    <w:uiPriority w:val="99"/>
    <w:pPr>
      <w:ind w:left="495" w:firstLine="211"/>
    </w:pPr>
    <w:rPr>
      <w:rFonts w:ascii="宋体" w:hAnsi="宋体" w:cs="宋体"/>
      <w:lang w:val="zh-CN" w:bidi="zh-CN"/>
    </w:rPr>
  </w:style>
  <w:style w:type="character" w:customStyle="1" w:styleId="12">
    <w:name w:val="font91"/>
    <w:basedOn w:val="1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3">
    <w:name w:val="font101"/>
    <w:basedOn w:val="10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4">
    <w:name w:val="font4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112"/>
    <w:basedOn w:val="10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6">
    <w:name w:val="font2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7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8">
    <w:name w:val="font11"/>
    <w:basedOn w:val="10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9">
    <w:name w:val="font8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0">
    <w:name w:val="font71"/>
    <w:basedOn w:val="10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933</Words>
  <Characters>1028</Characters>
  <Lines>0</Lines>
  <Paragraphs>0</Paragraphs>
  <TotalTime>0</TotalTime>
  <ScaleCrop>false</ScaleCrop>
  <LinksUpToDate>false</LinksUpToDate>
  <CharactersWithSpaces>1033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WPS_1691397118</cp:lastModifiedBy>
  <cp:lastPrinted>2026-01-13T08:37:00Z</cp:lastPrinted>
  <dcterms:modified xsi:type="dcterms:W3CDTF">2026-04-01T06:21:44Z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eyJoZGlkIjoiZDBhNTdlYTdiYWRkYmVmNmU4YTc0MTlmN2VkNzg1ODEiLCJ1c2VySWQiOiIxNTE5NDkzNDQyIn0=</vt:lpwstr>
  </property>
  <property fmtid="{D5CDD505-2E9C-101B-9397-08002B2CF9AE}" pid="4" name="ICV">
    <vt:lpwstr>BC4429F471454C0DB502B71B436329B9_13</vt:lpwstr>
  </property>
</Properties>
</file>