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E6239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采购询价书</w:t>
      </w:r>
    </w:p>
    <w:p w14:paraId="0DDD07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我公司实施公开采购，欢迎符合要求的厂商积极参与报价。如报价过程中遭遇借故刁难、索取贿赂、暗箱操作等违纪行为，可向我公司风险控制部如实反映并提供佐证材料。风险控制部投诉电话：0511-88995150、88995690，投诉邮箱：gufenfengkongbu@sopo.com.cn</w:t>
      </w:r>
    </w:p>
    <w:p w14:paraId="167AEF56"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sz w:val="32"/>
          <w:szCs w:val="32"/>
        </w:rPr>
        <w:t>项目概况</w:t>
      </w:r>
    </w:p>
    <w:p w14:paraId="4F7B632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color w:val="FF0000"/>
          <w:sz w:val="32"/>
          <w:szCs w:val="32"/>
          <w:u w:val="single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32"/>
          <w:szCs w:val="32"/>
        </w:rPr>
        <w:t>项目名称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val="en-US" w:eastAsia="zh-CN"/>
        </w:rPr>
        <w:t>热电厂3#给水泵返厂检修</w:t>
      </w:r>
    </w:p>
    <w:p w14:paraId="261CEC3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/>
          <w:sz w:val="32"/>
          <w:szCs w:val="32"/>
        </w:rPr>
        <w:t>采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购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人</w:t>
      </w:r>
      <w:r>
        <w:rPr>
          <w:rFonts w:hint="eastAsia" w:ascii="宋体" w:hAnsi="宋体" w:eastAsia="宋体" w:cs="宋体"/>
          <w:sz w:val="32"/>
          <w:szCs w:val="32"/>
        </w:rPr>
        <w:t>：江苏索普化工股份有限公司供应保障部</w:t>
      </w:r>
    </w:p>
    <w:p w14:paraId="24EBA3D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3.报价截止与评审时间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：2026年</w:t>
      </w:r>
      <w:r>
        <w:rPr>
          <w:rFonts w:hint="eastAsia" w:ascii="宋体" w:hAnsi="宋体" w:eastAsia="宋体" w:cs="宋体"/>
          <w:color w:val="FF0000"/>
          <w:sz w:val="32"/>
          <w:szCs w:val="32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月</w:t>
      </w:r>
      <w:r>
        <w:rPr>
          <w:rFonts w:hint="eastAsia" w:ascii="宋体" w:hAnsi="宋体" w:eastAsia="宋体" w:cs="宋体"/>
          <w:color w:val="FF0000"/>
          <w:sz w:val="32"/>
          <w:szCs w:val="32"/>
          <w:u w:val="single"/>
          <w:lang w:val="en-US" w:eastAsia="zh-CN"/>
        </w:rPr>
        <w:t>16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日14：00（北京时间）</w:t>
      </w:r>
    </w:p>
    <w:p w14:paraId="2F9B744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4.评审地点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：江苏索普（集团）有限公司评审中心</w:t>
      </w:r>
    </w:p>
    <w:p w14:paraId="57CAECE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5.交货时间：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合同签订后，30天内完成检修工作，并验收合格运送至采购人指定地点。（如无法满足请在报价时注明）；</w:t>
      </w:r>
    </w:p>
    <w:p w14:paraId="04A0F64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6.交货地址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江苏索普化工股份有限公司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（江苏省镇江市京口区求索路）</w:t>
      </w:r>
    </w:p>
    <w:p w14:paraId="1AE9129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7.公示</w:t>
      </w:r>
      <w:r>
        <w:rPr>
          <w:rFonts w:hint="eastAsia" w:ascii="宋体" w:hAnsi="宋体" w:eastAsia="宋体" w:cs="宋体"/>
          <w:b/>
          <w:sz w:val="32"/>
          <w:szCs w:val="32"/>
        </w:rPr>
        <w:t>查询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ww</w:t>
      </w:r>
      <w:r>
        <w:rPr>
          <w:rFonts w:hint="eastAsia" w:ascii="宋体" w:hAnsi="宋体" w:eastAsia="宋体" w:cs="宋体"/>
          <w:sz w:val="32"/>
          <w:szCs w:val="32"/>
        </w:rPr>
        <w:t>w.sopo.com.cn</w:t>
      </w:r>
    </w:p>
    <w:p w14:paraId="76821092"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采购内容及要求</w:t>
      </w:r>
    </w:p>
    <w:p w14:paraId="5272EE3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（一） 采购内容</w:t>
      </w:r>
    </w:p>
    <w:p w14:paraId="7DC92DD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640" w:firstLineChars="200"/>
        <w:jc w:val="both"/>
        <w:textAlignment w:val="auto"/>
        <w:rPr>
          <w:rFonts w:hint="eastAsia" w:ascii="宋体" w:hAnsi="宋体" w:eastAsia="宋体" w:cs="宋体"/>
          <w:color w:val="FF000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val="en-US" w:eastAsia="zh-CN"/>
        </w:rPr>
        <w:t xml:space="preserve">1台2DGB-10CKJ给水多级离心泵，因自由端轴封摩擦产生火花，传动端机械密封泄漏需返厂维修，要求对泵进行解体检测，更换易损件及损坏的零部件，检修过程中涉及的备件均由报价人提供。泵主要技术参数：转速2985r/min，轴功率1542kW，扬程1550m,汽蚀余量6m,进水温度158℃，流量313.5m3/h,效率78%，机械密封，介质水。详见附件2：热电厂3#给水泵返厂检修技术要求。 </w:t>
      </w:r>
      <w:r>
        <w:rPr>
          <w:rFonts w:hint="eastAsia" w:ascii="宋体" w:hAnsi="宋体" w:eastAsia="宋体" w:cs="宋体"/>
          <w:color w:val="FF0000"/>
          <w:sz w:val="32"/>
          <w:szCs w:val="32"/>
          <w:u w:val="none"/>
          <w:lang w:val="en-US" w:eastAsia="zh-CN"/>
        </w:rPr>
        <w:t xml:space="preserve">       </w:t>
      </w:r>
    </w:p>
    <w:p w14:paraId="4A1A9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600"/>
        <w:textAlignment w:val="auto"/>
        <w:outlineLvl w:val="9"/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成交后，签订合同前需根据维保维修的实际情况，结合采购文件中技术文件中的要求，制定实际维保维修方案，经双方确认后实施。进厂施工前需提供所有参与施工人员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保险证明（工伤保险缴纳证明或人身意外伤害保险或雇主责任险缴纳证明等，雇主责任险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或团体人员意外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伤害险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不低于100万/人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）；特种作业人员提供资质证明（电工证、焊工证、架子工、吊装证、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登高作业证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等）；符合安全标准的设备、设施；专业安全管理人员资格证书；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施工人员年龄原则上要求在18至60周岁；提交近1年内的体检报告，存在重大疾病的不得在公司作业，存在职业禁忌的，不得从事与职业禁忌相关工作；还需通过采购人安全部门的安全教育；</w:t>
      </w:r>
    </w:p>
    <w:p w14:paraId="6D9F61B0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after="0" w:line="560" w:lineRule="exact"/>
        <w:textAlignment w:val="auto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 xml:space="preserve">    夏季高温时间室外施工时间要求：日最高气温≥40℃，停止室外露天作业；40℃＞日最高气温≥37℃，室外作业累计不超过6小时，且在气温最高时段（11:00-14:00）停止室外露天作业；37℃＞日最高气温≥35℃，需缩短室外露天连续作业时间，且不得安排室外露天作业加班。请自行安排施工时间，工期不能延误。</w:t>
      </w:r>
    </w:p>
    <w:p w14:paraId="3C06393A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（二）技术及资质要求</w:t>
      </w:r>
    </w:p>
    <w:p w14:paraId="22B8464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1.资质要求：具有与项目相对应的技术能力，报价时需提供企业营业执照副本、相关资质材料和多级离心泵维护维修项目业绩（必须提供近五年内，至少3家已履约完成的业绩，需提供合同复印件、合同对应发票或验收报告）。</w:t>
      </w:r>
    </w:p>
    <w:p w14:paraId="727FAE7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2.资质文件：贸易商（经销商）须提供授权代理资质及真实有效的验证方式，并承担法律责任。</w:t>
      </w:r>
    </w:p>
    <w:p w14:paraId="7E91D100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三、报价要求</w:t>
      </w:r>
    </w:p>
    <w:p w14:paraId="74662129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（一）报价方式</w:t>
      </w:r>
    </w:p>
    <w:p w14:paraId="783DFFD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sz w:val="32"/>
          <w:szCs w:val="32"/>
        </w:rPr>
        <w:t>含税送到价（含增值税）。税率调整时，按公式“合同含税价格/(1+合同约定税率)×(1+新税率)”调整。</w:t>
      </w:r>
    </w:p>
    <w:p w14:paraId="34BDED0A">
      <w:pPr>
        <w:pStyle w:val="7"/>
        <w:ind w:firstLine="640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报价文件只需提供1份纸质版，报价文件需采用双信封密封投递，技术文件、资质要求等文件为1信封，该信封内所有文件不涉及价格，如有涉及后果自负。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报价函为独立的另1信封密封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报价函详见附件1。</w:t>
      </w:r>
    </w:p>
    <w:p w14:paraId="2AE30E91">
      <w:pPr>
        <w:pStyle w:val="8"/>
        <w:ind w:firstLine="64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3.报价文件包括：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eastAsia="zh-CN"/>
        </w:rPr>
        <w:t>报价函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（维修费用清单，备件需分项报价）、技术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文件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（包括施工方案、施工组织措施和技术措施），报价中包含1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%税费（非1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%的发票需在报价中注明）和运费。</w:t>
      </w:r>
    </w:p>
    <w:p w14:paraId="6E64C763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（二）付款方式</w:t>
      </w:r>
    </w:p>
    <w:p w14:paraId="052B5E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验收合格，增值税专用发票入账后，60天内支付90%的，余款1年质保后付清。</w:t>
      </w:r>
    </w:p>
    <w:p w14:paraId="02E75EC1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含税报价≥10万元以银行承兑支付，&lt;10万元以现汇支付。</w:t>
      </w:r>
    </w:p>
    <w:p w14:paraId="770584C7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成交总价&lt;1万元时不留质保金，但需按合同提供质保服务。</w:t>
      </w:r>
    </w:p>
    <w:p w14:paraId="747C0F30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-1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不接受默认付款方式的供应商，须在报价中明确可接受的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32"/>
          <w:szCs w:val="32"/>
        </w:rPr>
        <w:t>付款方式及时间（涉及预付款的需提供评审前3个月内企业信用报告并加盖公章）。</w:t>
      </w:r>
    </w:p>
    <w:p w14:paraId="0CBFDEEF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（三）报价提交方式</w:t>
      </w:r>
    </w:p>
    <w:p w14:paraId="12F2DE9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线下报价</w:t>
      </w:r>
      <w:r>
        <w:rPr>
          <w:rFonts w:hint="eastAsia" w:ascii="宋体" w:hAnsi="宋体" w:eastAsia="宋体" w:cs="宋体"/>
          <w:sz w:val="32"/>
          <w:szCs w:val="32"/>
        </w:rPr>
        <w:t>：密封送达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或邮寄送达</w:t>
      </w:r>
      <w:r>
        <w:rPr>
          <w:rFonts w:hint="eastAsia" w:ascii="宋体" w:hAnsi="宋体" w:eastAsia="宋体" w:cs="宋体"/>
          <w:sz w:val="32"/>
          <w:szCs w:val="32"/>
        </w:rPr>
        <w:t>（封条需加盖公章、法人章并注明密封日期；封面注明项目名称、供应商信息、联系方式），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邮寄送达需电联报价联系人告知快递单号，逾期无效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7C743C17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（四）送达地址及联系方式</w:t>
      </w:r>
    </w:p>
    <w:p w14:paraId="6AC27BF7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收件单位</w:t>
      </w:r>
      <w:r>
        <w:rPr>
          <w:rFonts w:hint="eastAsia" w:ascii="宋体" w:hAnsi="宋体" w:eastAsia="宋体" w:cs="宋体"/>
          <w:sz w:val="32"/>
          <w:szCs w:val="32"/>
        </w:rPr>
        <w:t>：江苏索普化工股份有限公司供应保障部</w:t>
      </w:r>
    </w:p>
    <w:p w14:paraId="09A9996A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地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32"/>
          <w:szCs w:val="32"/>
        </w:rPr>
        <w:t>址</w:t>
      </w:r>
      <w:r>
        <w:rPr>
          <w:rFonts w:hint="eastAsia" w:ascii="宋体" w:hAnsi="宋体" w:eastAsia="宋体" w:cs="宋体"/>
          <w:sz w:val="32"/>
          <w:szCs w:val="32"/>
        </w:rPr>
        <w:t>：江苏省镇江市京口区求索路101号（邮编：212006）</w:t>
      </w:r>
    </w:p>
    <w:p w14:paraId="14CC59C7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联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系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人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冯玉华</w:t>
      </w:r>
      <w:r>
        <w:rPr>
          <w:rFonts w:hint="eastAsia" w:ascii="宋体" w:hAnsi="宋体" w:eastAsia="宋体" w:cs="宋体"/>
          <w:sz w:val="32"/>
          <w:szCs w:val="32"/>
        </w:rPr>
        <w:t>，电话：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13815151208</w:t>
      </w:r>
    </w:p>
    <w:p w14:paraId="46E1F8B6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（五）疑问咨询</w:t>
      </w:r>
    </w:p>
    <w:p w14:paraId="20BA2C34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报价</w:t>
      </w:r>
      <w:r>
        <w:rPr>
          <w:rFonts w:hint="eastAsia" w:ascii="宋体" w:hAnsi="宋体" w:eastAsia="宋体" w:cs="宋体"/>
          <w:b/>
          <w:sz w:val="32"/>
          <w:szCs w:val="32"/>
        </w:rPr>
        <w:t>联系人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冯玉华13815151208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详情咨询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</w:p>
    <w:p w14:paraId="7A111C8A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部门负责人</w:t>
      </w:r>
      <w:r>
        <w:rPr>
          <w:rFonts w:hint="eastAsia" w:ascii="宋体" w:hAnsi="宋体" w:eastAsia="宋体" w:cs="宋体"/>
          <w:sz w:val="32"/>
          <w:szCs w:val="32"/>
        </w:rPr>
        <w:t>：解云13913442555</w:t>
      </w:r>
    </w:p>
    <w:p w14:paraId="21BF4B68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宋体" w:cs="宋体"/>
          <w:sz w:val="32"/>
          <w:szCs w:val="32"/>
        </w:rPr>
        <w:t>、其他要求</w:t>
      </w:r>
    </w:p>
    <w:p w14:paraId="0856F2A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一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进场服务材料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（如需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进场施工前提供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 w14:paraId="7E2BEB90">
      <w:pPr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22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人员保险证明、特种作业资质、安全设备清单、安全管理人员证书；</w:t>
      </w:r>
    </w:p>
    <w:p w14:paraId="5278A02B">
      <w:pPr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22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施工人员年龄18-60周岁，提供近1个月体检报告（重大疾病或职业禁忌者不得作业）。</w:t>
      </w:r>
    </w:p>
    <w:p w14:paraId="26F2A39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二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供应商资格</w:t>
      </w:r>
      <w:r>
        <w:rPr>
          <w:rFonts w:hint="eastAsia" w:ascii="宋体" w:hAnsi="宋体" w:eastAsia="宋体" w:cs="宋体"/>
          <w:sz w:val="32"/>
          <w:szCs w:val="32"/>
        </w:rPr>
        <w:t>：不接受失信被执行人、重大违法案件当事人。</w:t>
      </w:r>
    </w:p>
    <w:p w14:paraId="548B90C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售后服务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color w:val="FF0000"/>
          <w:sz w:val="32"/>
          <w:szCs w:val="32"/>
        </w:rPr>
        <w:t>电话响应≤8小时，明确解决方案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0059EF8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知识产权</w:t>
      </w:r>
      <w:r>
        <w:rPr>
          <w:rFonts w:hint="eastAsia" w:ascii="宋体" w:hAnsi="宋体" w:eastAsia="宋体" w:cs="宋体"/>
          <w:sz w:val="32"/>
          <w:szCs w:val="32"/>
        </w:rPr>
        <w:t>：供应商承担所有知识产权纠纷责任。</w:t>
      </w:r>
    </w:p>
    <w:p w14:paraId="14247EF0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五</w:t>
      </w:r>
      <w:r>
        <w:rPr>
          <w:rFonts w:hint="eastAsia" w:ascii="宋体" w:hAnsi="宋体" w:eastAsia="宋体" w:cs="宋体"/>
          <w:sz w:val="32"/>
          <w:szCs w:val="32"/>
        </w:rPr>
        <w:t>、评审流程</w:t>
      </w:r>
    </w:p>
    <w:p w14:paraId="2D11E4A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32"/>
          <w:szCs w:val="32"/>
        </w:rPr>
        <w:t>评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32"/>
          <w:szCs w:val="32"/>
        </w:rPr>
        <w:t>审</w:t>
      </w:r>
      <w:r>
        <w:rPr>
          <w:rFonts w:hint="eastAsia" w:ascii="宋体" w:hAnsi="宋体" w:eastAsia="宋体" w:cs="宋体"/>
          <w:sz w:val="32"/>
          <w:szCs w:val="32"/>
        </w:rPr>
        <w:t>：采购人组织评审小组，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评审</w:t>
      </w:r>
      <w:r>
        <w:rPr>
          <w:rFonts w:hint="eastAsia" w:ascii="宋体" w:hAnsi="宋体" w:eastAsia="宋体" w:cs="宋体"/>
          <w:sz w:val="32"/>
          <w:szCs w:val="32"/>
        </w:rPr>
        <w:t>供应商报价，供应商需保持通讯畅通。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评审顺序：先进行技术及资质文件的评审，确认符合采购文件要求的报价人；开启符合要求的报价人的报价函，</w:t>
      </w:r>
      <w:r>
        <w:rPr>
          <w:rFonts w:hint="eastAsia" w:ascii="宋体" w:hAnsi="宋体" w:eastAsia="宋体" w:cs="宋体"/>
          <w:sz w:val="32"/>
          <w:szCs w:val="32"/>
        </w:rPr>
        <w:t>确定最终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sz w:val="32"/>
          <w:szCs w:val="32"/>
        </w:rPr>
        <w:t>人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不符合技术及资质要求的报价人的报价函不开启，报价文件也不作回退处理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0F994B8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评定标准：</w:t>
      </w:r>
      <w:r>
        <w:rPr>
          <w:rFonts w:hint="eastAsia" w:ascii="宋体" w:hAnsi="宋体" w:eastAsia="宋体" w:cs="宋体"/>
          <w:sz w:val="32"/>
          <w:szCs w:val="32"/>
        </w:rPr>
        <w:t>在能够满足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采购</w:t>
      </w:r>
      <w:r>
        <w:rPr>
          <w:rFonts w:hint="eastAsia" w:ascii="宋体" w:hAnsi="宋体" w:eastAsia="宋体" w:cs="宋体"/>
          <w:sz w:val="32"/>
          <w:szCs w:val="32"/>
        </w:rPr>
        <w:t>人技术要求及供货期要求的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报价</w:t>
      </w:r>
      <w:r>
        <w:rPr>
          <w:rFonts w:hint="eastAsia" w:ascii="宋体" w:hAnsi="宋体" w:eastAsia="宋体" w:cs="宋体"/>
          <w:sz w:val="32"/>
          <w:szCs w:val="32"/>
        </w:rPr>
        <w:t>人中选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择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评定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价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最</w:t>
      </w:r>
      <w:r>
        <w:rPr>
          <w:rFonts w:hint="eastAsia" w:ascii="宋体" w:hAnsi="宋体" w:eastAsia="宋体" w:cs="宋体"/>
          <w:sz w:val="32"/>
          <w:szCs w:val="32"/>
        </w:rPr>
        <w:t>低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其他报价人的各分项报价作参考，需接受其他报价单位的分项最低价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的一家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报价</w:t>
      </w:r>
      <w:r>
        <w:rPr>
          <w:rFonts w:hint="eastAsia" w:ascii="宋体" w:hAnsi="宋体" w:eastAsia="宋体" w:cs="宋体"/>
          <w:sz w:val="32"/>
          <w:szCs w:val="32"/>
        </w:rPr>
        <w:t>人作为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sz w:val="32"/>
          <w:szCs w:val="32"/>
        </w:rPr>
        <w:t>候选人。</w:t>
      </w:r>
    </w:p>
    <w:p w14:paraId="3F9E105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b/>
          <w:sz w:val="32"/>
          <w:szCs w:val="32"/>
        </w:rPr>
        <w:t>询价废止</w:t>
      </w:r>
      <w:r>
        <w:rPr>
          <w:rFonts w:hint="eastAsia" w:ascii="宋体" w:hAnsi="宋体" w:eastAsia="宋体" w:cs="宋体"/>
          <w:sz w:val="32"/>
          <w:szCs w:val="32"/>
        </w:rPr>
        <w:t>：存在串通报价等违规行为的，作废并列入供应商负面清单。</w:t>
      </w:r>
    </w:p>
    <w:p w14:paraId="7C9B8AF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b/>
          <w:sz w:val="32"/>
          <w:szCs w:val="32"/>
        </w:rPr>
        <w:t>无效报价</w:t>
      </w:r>
      <w:r>
        <w:rPr>
          <w:rFonts w:hint="eastAsia" w:ascii="宋体" w:hAnsi="宋体" w:eastAsia="宋体" w:cs="宋体"/>
          <w:sz w:val="32"/>
          <w:szCs w:val="32"/>
        </w:rPr>
        <w:t>：资质不全、报价空项、不符合技术要求、价格明显偏离市场的，作无效处理。</w:t>
      </w:r>
    </w:p>
    <w:p w14:paraId="797A2A8A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六</w:t>
      </w:r>
      <w:r>
        <w:rPr>
          <w:rFonts w:hint="eastAsia" w:ascii="宋体" w:hAnsi="宋体" w:eastAsia="宋体" w:cs="宋体"/>
          <w:sz w:val="32"/>
          <w:szCs w:val="32"/>
        </w:rPr>
        <w:t>、违约责任</w:t>
      </w:r>
    </w:p>
    <w:p w14:paraId="7CF2FB5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32"/>
          <w:szCs w:val="32"/>
        </w:rPr>
        <w:t>逾期交货</w:t>
      </w:r>
      <w:r>
        <w:rPr>
          <w:rFonts w:hint="eastAsia" w:ascii="宋体" w:hAnsi="宋体" w:eastAsia="宋体" w:cs="宋体"/>
          <w:sz w:val="32"/>
          <w:szCs w:val="32"/>
        </w:rPr>
        <w:t>：每日按合同总额1%支付违约金；超20日，采购人有权解除合同，要求返还货款并按总额20%赔偿。</w:t>
      </w:r>
    </w:p>
    <w:p w14:paraId="7CD62B7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/>
          <w:sz w:val="32"/>
          <w:szCs w:val="32"/>
        </w:rPr>
        <w:t>质量不合格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 w14:paraId="6C6D2CED">
      <w:pPr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验收不合格，选择重新维修的，重新维修过程中产生的费用由成交人全部承担，且需在采购人要求的时间内完成，逾期未完成的，</w:t>
      </w:r>
      <w:r>
        <w:rPr>
          <w:rFonts w:hint="eastAsia" w:ascii="宋体" w:hAnsi="宋体" w:eastAsia="宋体" w:cs="宋体"/>
          <w:sz w:val="32"/>
          <w:szCs w:val="32"/>
        </w:rPr>
        <w:t>每延迟一天按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本项目</w:t>
      </w:r>
      <w:r>
        <w:rPr>
          <w:rFonts w:hint="eastAsia" w:ascii="宋体" w:hAnsi="宋体" w:eastAsia="宋体" w:cs="宋体"/>
          <w:sz w:val="32"/>
          <w:szCs w:val="32"/>
        </w:rPr>
        <w:t>款的1%计收违约金，违约金从本合同款中扣除（如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有异议</w:t>
      </w:r>
      <w:r>
        <w:rPr>
          <w:rFonts w:hint="eastAsia" w:ascii="宋体" w:hAnsi="宋体" w:eastAsia="宋体" w:cs="宋体"/>
          <w:sz w:val="32"/>
          <w:szCs w:val="32"/>
        </w:rPr>
        <w:t>请在报价时注明）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。</w:t>
      </w:r>
    </w:p>
    <w:p w14:paraId="35B2520F">
      <w:pPr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6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解除合同：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如果出现两次验收不合格的情况，采购人有权解除合同，并有权要求成交人赔偿合同总价款的20%违约金给采购人（如有异议请在报价时注明）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52632EB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b/>
          <w:sz w:val="32"/>
          <w:szCs w:val="32"/>
        </w:rPr>
        <w:t>损失赔偿</w:t>
      </w:r>
      <w:r>
        <w:rPr>
          <w:rFonts w:hint="eastAsia" w:ascii="宋体" w:hAnsi="宋体" w:eastAsia="宋体" w:cs="宋体"/>
          <w:sz w:val="32"/>
          <w:szCs w:val="32"/>
        </w:rPr>
        <w:t>：因质量或逾期造成的直接/间接损失，违约金不超过合同总价20%。</w:t>
      </w:r>
    </w:p>
    <w:p w14:paraId="1A94C3D1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七</w:t>
      </w:r>
      <w:r>
        <w:rPr>
          <w:rFonts w:hint="eastAsia" w:ascii="宋体" w:hAnsi="宋体" w:eastAsia="宋体" w:cs="宋体"/>
          <w:sz w:val="32"/>
          <w:szCs w:val="32"/>
        </w:rPr>
        <w:t>、其他事项</w:t>
      </w:r>
    </w:p>
    <w:p w14:paraId="3E4BA11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sz w:val="32"/>
          <w:szCs w:val="32"/>
        </w:rPr>
        <w:t>成交人须按询价书签订合同，违约将面临中止合作风险。</w:t>
      </w:r>
    </w:p>
    <w:p w14:paraId="228D9EB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sz w:val="32"/>
          <w:szCs w:val="32"/>
        </w:rPr>
        <w:t>产品需经采购人检验合格，长期合约三次不合格者终止合同。</w:t>
      </w:r>
    </w:p>
    <w:p w14:paraId="2E46BB6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sz w:val="32"/>
          <w:szCs w:val="32"/>
        </w:rPr>
        <w:t>争议协商解决，仲裁按《产品质量仲裁检验和产品质量鉴定管理办法》执行。</w:t>
      </w:r>
    </w:p>
    <w:p w14:paraId="1E0C3DA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sz w:val="32"/>
          <w:szCs w:val="32"/>
        </w:rPr>
        <w:t>违规供应商将列入负面清单，解释权归江苏索普化工股份有限公司供应保障部。</w:t>
      </w:r>
    </w:p>
    <w:p w14:paraId="1D48D9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61B8DBE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</w:p>
    <w:p w14:paraId="37D75D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4D3E07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7F5142D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江苏索普化工股份有限公司供应保障部</w:t>
      </w:r>
    </w:p>
    <w:p w14:paraId="26E9FD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color w:val="auto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日期：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2026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年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日</w:t>
      </w:r>
    </w:p>
    <w:p w14:paraId="3A4F3A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br w:type="page"/>
      </w:r>
    </w:p>
    <w:p w14:paraId="5F37A95D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附件1：</w:t>
      </w:r>
    </w:p>
    <w:p w14:paraId="756083B5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报价函</w:t>
      </w:r>
    </w:p>
    <w:p w14:paraId="58D07B8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江苏索普化工股份有限公司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 w14:paraId="03DF583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color w:val="FF0000"/>
          <w:sz w:val="32"/>
          <w:szCs w:val="32"/>
        </w:rPr>
        <w:t>（报价单位全称）</w:t>
      </w:r>
      <w:r>
        <w:rPr>
          <w:rFonts w:hint="eastAsia" w:ascii="宋体" w:hAnsi="宋体" w:eastAsia="宋体" w:cs="宋体"/>
          <w:sz w:val="32"/>
          <w:szCs w:val="32"/>
        </w:rPr>
        <w:t>授权</w:t>
      </w:r>
      <w:r>
        <w:rPr>
          <w:rFonts w:hint="eastAsia" w:ascii="宋体" w:hAnsi="宋体" w:eastAsia="宋体" w:cs="宋体"/>
          <w:color w:val="FF0000"/>
          <w:sz w:val="32"/>
          <w:szCs w:val="32"/>
        </w:rPr>
        <w:t>（全权代表姓名、职务）</w:t>
      </w:r>
      <w:r>
        <w:rPr>
          <w:rFonts w:hint="eastAsia" w:ascii="宋体" w:hAnsi="宋体" w:eastAsia="宋体" w:cs="宋体"/>
          <w:sz w:val="32"/>
          <w:szCs w:val="32"/>
        </w:rPr>
        <w:t>为全权代表，参加贵方公开询比价活动，报价如下：</w:t>
      </w:r>
    </w:p>
    <w:p w14:paraId="5AB6199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项目总价（含税）：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（大写）____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</w:rPr>
        <w:t>元人民币；税率</w:t>
      </w:r>
      <w:r>
        <w:rPr>
          <w:rFonts w:hint="eastAsia" w:ascii="宋体" w:hAnsi="宋体" w:eastAsia="宋体" w:cs="宋体"/>
          <w:color w:val="auto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</w:rPr>
        <w:t>%</w:t>
      </w:r>
      <w:r>
        <w:rPr>
          <w:rFonts w:hint="eastAsia" w:ascii="宋体" w:hAnsi="宋体" w:eastAsia="宋体" w:cs="宋体"/>
          <w:sz w:val="32"/>
          <w:szCs w:val="32"/>
        </w:rPr>
        <w:t>（附分项报价清单）。</w:t>
      </w:r>
    </w:p>
    <w:p w14:paraId="167DA17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交货时间：</w:t>
      </w:r>
      <w:r>
        <w:rPr>
          <w:rFonts w:hint="eastAsia" w:ascii="宋体" w:hAnsi="宋体" w:eastAsia="宋体" w:cs="宋体"/>
          <w:sz w:val="32"/>
          <w:szCs w:val="32"/>
        </w:rPr>
        <w:t>________________________。</w:t>
      </w:r>
    </w:p>
    <w:p w14:paraId="7E6B970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sz w:val="32"/>
          <w:szCs w:val="32"/>
        </w:rPr>
        <w:t>我方已审查全部询价书及补充文件，完全接受所有条款，放弃对条款不明或误解的权利；若条款冲突，同意按贵方解释处理。</w:t>
      </w:r>
    </w:p>
    <w:p w14:paraId="7CAEF8E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sz w:val="32"/>
          <w:szCs w:val="32"/>
        </w:rPr>
        <w:t>愿意提供与报价相关的所有数据、资料，理解贵方无义务接受最低价或任何报价。</w:t>
      </w:r>
    </w:p>
    <w:p w14:paraId="2DEDF12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5.</w:t>
      </w:r>
      <w:r>
        <w:rPr>
          <w:rFonts w:hint="eastAsia" w:ascii="宋体" w:hAnsi="宋体" w:eastAsia="宋体" w:cs="宋体"/>
          <w:sz w:val="32"/>
          <w:szCs w:val="32"/>
        </w:rPr>
        <w:t>不接受项：________________________。</w:t>
      </w:r>
    </w:p>
    <w:p w14:paraId="3D873E2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6.</w:t>
      </w:r>
      <w:r>
        <w:rPr>
          <w:rFonts w:hint="eastAsia" w:ascii="宋体" w:hAnsi="宋体" w:eastAsia="宋体" w:cs="宋体"/>
          <w:sz w:val="32"/>
          <w:szCs w:val="32"/>
        </w:rPr>
        <w:t>分项报价清单</w:t>
      </w:r>
    </w:p>
    <w:p w14:paraId="6EBA7CB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（1）常规维修为合同固定费用，主要包括含运输、解体、检测、动平衡、更换配件、装调、试验、油漆、税等。</w:t>
      </w:r>
    </w:p>
    <w:tbl>
      <w:tblPr>
        <w:tblStyle w:val="27"/>
        <w:tblW w:w="908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399"/>
        <w:gridCol w:w="2420"/>
        <w:gridCol w:w="1288"/>
        <w:gridCol w:w="814"/>
        <w:gridCol w:w="761"/>
        <w:gridCol w:w="739"/>
        <w:gridCol w:w="954"/>
      </w:tblGrid>
      <w:tr w14:paraId="110C8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noWrap w:val="0"/>
            <w:vAlign w:val="center"/>
          </w:tcPr>
          <w:p w14:paraId="3EDA0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  <w:t>序号</w:t>
            </w:r>
          </w:p>
        </w:tc>
        <w:tc>
          <w:tcPr>
            <w:tcW w:w="1399" w:type="dxa"/>
            <w:noWrap w:val="0"/>
            <w:vAlign w:val="center"/>
          </w:tcPr>
          <w:p w14:paraId="6860D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ind w:firstLine="210" w:firstLineChars="100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  <w:t>名称</w:t>
            </w:r>
          </w:p>
        </w:tc>
        <w:tc>
          <w:tcPr>
            <w:tcW w:w="2420" w:type="dxa"/>
            <w:noWrap w:val="0"/>
            <w:vAlign w:val="center"/>
          </w:tcPr>
          <w:p w14:paraId="33032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  <w:t>型号</w:t>
            </w: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及技术要求</w:t>
            </w:r>
          </w:p>
        </w:tc>
        <w:tc>
          <w:tcPr>
            <w:tcW w:w="1288" w:type="dxa"/>
            <w:noWrap w:val="0"/>
            <w:vAlign w:val="center"/>
          </w:tcPr>
          <w:p w14:paraId="03836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  <w:t>单位</w:t>
            </w:r>
          </w:p>
        </w:tc>
        <w:tc>
          <w:tcPr>
            <w:tcW w:w="814" w:type="dxa"/>
            <w:noWrap w:val="0"/>
            <w:vAlign w:val="center"/>
          </w:tcPr>
          <w:p w14:paraId="35FC14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  <w:t>数量</w:t>
            </w:r>
          </w:p>
        </w:tc>
        <w:tc>
          <w:tcPr>
            <w:tcW w:w="761" w:type="dxa"/>
            <w:noWrap w:val="0"/>
            <w:vAlign w:val="center"/>
          </w:tcPr>
          <w:p w14:paraId="4F7F8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单价</w:t>
            </w:r>
          </w:p>
        </w:tc>
        <w:tc>
          <w:tcPr>
            <w:tcW w:w="739" w:type="dxa"/>
            <w:noWrap w:val="0"/>
            <w:vAlign w:val="center"/>
          </w:tcPr>
          <w:p w14:paraId="6B3D63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总价</w:t>
            </w:r>
          </w:p>
        </w:tc>
        <w:tc>
          <w:tcPr>
            <w:tcW w:w="954" w:type="dxa"/>
            <w:noWrap w:val="0"/>
            <w:vAlign w:val="center"/>
          </w:tcPr>
          <w:p w14:paraId="6653F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税率</w:t>
            </w:r>
          </w:p>
        </w:tc>
      </w:tr>
      <w:tr w14:paraId="501B6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shd w:val="clear"/>
            <w:noWrap w:val="0"/>
            <w:vAlign w:val="center"/>
          </w:tcPr>
          <w:p w14:paraId="5CD65A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399" w:type="dxa"/>
            <w:shd w:val="clear"/>
            <w:noWrap w:val="0"/>
            <w:vAlign w:val="center"/>
          </w:tcPr>
          <w:p w14:paraId="4150C2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O形密封环</w:t>
            </w:r>
          </w:p>
        </w:tc>
        <w:tc>
          <w:tcPr>
            <w:tcW w:w="2420" w:type="dxa"/>
            <w:shd w:val="clear"/>
            <w:noWrap w:val="0"/>
            <w:vAlign w:val="center"/>
          </w:tcPr>
          <w:p w14:paraId="338A7F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φ465*5.7/φ360*5.7/φ125*3.1（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三元乙丙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）</w:t>
            </w:r>
          </w:p>
        </w:tc>
        <w:tc>
          <w:tcPr>
            <w:tcW w:w="1288" w:type="dxa"/>
            <w:shd w:val="clear" w:color="auto" w:fill="auto"/>
            <w:noWrap w:val="0"/>
            <w:vAlign w:val="center"/>
          </w:tcPr>
          <w:p w14:paraId="4D32DC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14" w:type="dxa"/>
            <w:shd w:val="clear" w:color="auto" w:fill="auto"/>
            <w:noWrap w:val="0"/>
            <w:vAlign w:val="center"/>
          </w:tcPr>
          <w:p w14:paraId="0B71E8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761" w:type="dxa"/>
            <w:shd w:val="clear"/>
            <w:noWrap w:val="0"/>
            <w:vAlign w:val="center"/>
          </w:tcPr>
          <w:p w14:paraId="4FC6F5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39" w:type="dxa"/>
            <w:noWrap w:val="0"/>
            <w:vAlign w:val="center"/>
          </w:tcPr>
          <w:p w14:paraId="5AC97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451E7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  <w:tr w14:paraId="704BE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shd w:val="clear"/>
            <w:noWrap w:val="0"/>
            <w:vAlign w:val="center"/>
          </w:tcPr>
          <w:p w14:paraId="1B288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399" w:type="dxa"/>
            <w:shd w:val="clear"/>
            <w:noWrap w:val="0"/>
            <w:vAlign w:val="center"/>
          </w:tcPr>
          <w:p w14:paraId="7BBBB0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机械密封</w:t>
            </w:r>
          </w:p>
        </w:tc>
        <w:tc>
          <w:tcPr>
            <w:tcW w:w="2420" w:type="dxa"/>
            <w:shd w:val="clear"/>
            <w:noWrap w:val="0"/>
            <w:vAlign w:val="center"/>
          </w:tcPr>
          <w:p w14:paraId="6A4964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规格型号详见附图2（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石墨+碳化硅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）</w:t>
            </w:r>
          </w:p>
        </w:tc>
        <w:tc>
          <w:tcPr>
            <w:tcW w:w="1288" w:type="dxa"/>
            <w:shd w:val="clear" w:color="auto" w:fill="auto"/>
            <w:noWrap w:val="0"/>
            <w:vAlign w:val="center"/>
          </w:tcPr>
          <w:p w14:paraId="17DCA1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14" w:type="dxa"/>
            <w:shd w:val="clear" w:color="auto" w:fill="auto"/>
            <w:noWrap w:val="0"/>
            <w:vAlign w:val="center"/>
          </w:tcPr>
          <w:p w14:paraId="7EA47D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761" w:type="dxa"/>
            <w:shd w:val="clear"/>
            <w:noWrap w:val="0"/>
            <w:vAlign w:val="center"/>
          </w:tcPr>
          <w:p w14:paraId="672BB1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39" w:type="dxa"/>
            <w:noWrap w:val="0"/>
            <w:vAlign w:val="center"/>
          </w:tcPr>
          <w:p w14:paraId="0DB8EB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4D5BF9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  <w:tr w14:paraId="3C3FA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shd w:val="clear"/>
            <w:noWrap w:val="0"/>
            <w:vAlign w:val="center"/>
          </w:tcPr>
          <w:p w14:paraId="24C521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1399" w:type="dxa"/>
            <w:shd w:val="clear"/>
            <w:noWrap w:val="0"/>
            <w:vAlign w:val="center"/>
          </w:tcPr>
          <w:p w14:paraId="2AC019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高强石墨垫</w:t>
            </w:r>
          </w:p>
        </w:tc>
        <w:tc>
          <w:tcPr>
            <w:tcW w:w="2420" w:type="dxa"/>
            <w:shd w:val="clear"/>
            <w:noWrap w:val="0"/>
            <w:vAlign w:val="center"/>
          </w:tcPr>
          <w:p w14:paraId="17EC8D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拆检测绘</w:t>
            </w:r>
          </w:p>
        </w:tc>
        <w:tc>
          <w:tcPr>
            <w:tcW w:w="1288" w:type="dxa"/>
            <w:shd w:val="clear" w:color="auto" w:fill="auto"/>
            <w:noWrap w:val="0"/>
            <w:vAlign w:val="center"/>
          </w:tcPr>
          <w:p w14:paraId="38A4C1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14" w:type="dxa"/>
            <w:shd w:val="clear" w:color="auto" w:fill="auto"/>
            <w:noWrap w:val="0"/>
            <w:vAlign w:val="center"/>
          </w:tcPr>
          <w:p w14:paraId="3E948A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761" w:type="dxa"/>
            <w:shd w:val="clear"/>
            <w:noWrap w:val="0"/>
            <w:vAlign w:val="center"/>
          </w:tcPr>
          <w:p w14:paraId="13BCE3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39" w:type="dxa"/>
            <w:noWrap w:val="0"/>
            <w:vAlign w:val="center"/>
          </w:tcPr>
          <w:p w14:paraId="232C1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16F79F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  <w:tr w14:paraId="2D6EE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shd w:val="clear" w:color="auto" w:fill="auto"/>
            <w:noWrap w:val="0"/>
            <w:vAlign w:val="center"/>
          </w:tcPr>
          <w:p w14:paraId="24B28E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399" w:type="dxa"/>
            <w:shd w:val="clear" w:color="auto" w:fill="auto"/>
            <w:noWrap w:val="0"/>
            <w:vAlign w:val="center"/>
          </w:tcPr>
          <w:p w14:paraId="73DE65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平衡套</w:t>
            </w:r>
          </w:p>
        </w:tc>
        <w:tc>
          <w:tcPr>
            <w:tcW w:w="2420" w:type="dxa"/>
            <w:shd w:val="clear" w:color="auto" w:fill="FFFFFF"/>
            <w:noWrap w:val="0"/>
            <w:vAlign w:val="center"/>
          </w:tcPr>
          <w:p w14:paraId="0FE6A5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3DG-10-0011（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）</w:t>
            </w:r>
          </w:p>
        </w:tc>
        <w:tc>
          <w:tcPr>
            <w:tcW w:w="1288" w:type="dxa"/>
            <w:shd w:val="clear" w:color="auto" w:fill="FFFFFF"/>
            <w:noWrap w:val="0"/>
            <w:vAlign w:val="center"/>
          </w:tcPr>
          <w:p w14:paraId="7C51DF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14" w:type="dxa"/>
            <w:shd w:val="clear" w:color="auto" w:fill="FFFFFF"/>
            <w:noWrap w:val="0"/>
            <w:vAlign w:val="center"/>
          </w:tcPr>
          <w:p w14:paraId="121AD5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761" w:type="dxa"/>
            <w:shd w:val="clear" w:color="auto" w:fill="FFFFFF"/>
            <w:noWrap w:val="0"/>
            <w:vAlign w:val="center"/>
          </w:tcPr>
          <w:p w14:paraId="61DCCB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39" w:type="dxa"/>
            <w:noWrap w:val="0"/>
            <w:vAlign w:val="center"/>
          </w:tcPr>
          <w:p w14:paraId="54315D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098F25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  <w:tr w14:paraId="1C362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shd w:val="clear" w:color="auto" w:fill="auto"/>
            <w:noWrap w:val="0"/>
            <w:vAlign w:val="center"/>
          </w:tcPr>
          <w:p w14:paraId="797D6C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399" w:type="dxa"/>
            <w:shd w:val="clear" w:color="auto" w:fill="auto"/>
            <w:noWrap w:val="0"/>
            <w:vAlign w:val="center"/>
          </w:tcPr>
          <w:p w14:paraId="1BC60A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平衡盘</w:t>
            </w:r>
          </w:p>
        </w:tc>
        <w:tc>
          <w:tcPr>
            <w:tcW w:w="2420" w:type="dxa"/>
            <w:shd w:val="clear" w:color="auto" w:fill="FFFFFF"/>
            <w:noWrap w:val="0"/>
            <w:vAlign w:val="center"/>
          </w:tcPr>
          <w:p w14:paraId="0AFB2A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GB3077-88（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S203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）</w:t>
            </w:r>
          </w:p>
        </w:tc>
        <w:tc>
          <w:tcPr>
            <w:tcW w:w="1288" w:type="dxa"/>
            <w:shd w:val="clear" w:color="auto" w:fill="FFFFFF"/>
            <w:noWrap w:val="0"/>
            <w:vAlign w:val="center"/>
          </w:tcPr>
          <w:p w14:paraId="41DB4E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14" w:type="dxa"/>
            <w:shd w:val="clear" w:color="auto" w:fill="FFFFFF"/>
            <w:noWrap w:val="0"/>
            <w:vAlign w:val="center"/>
          </w:tcPr>
          <w:p w14:paraId="5F054E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761" w:type="dxa"/>
            <w:shd w:val="clear" w:color="auto" w:fill="FFFFFF"/>
            <w:noWrap w:val="0"/>
            <w:vAlign w:val="center"/>
          </w:tcPr>
          <w:p w14:paraId="5860E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39" w:type="dxa"/>
            <w:noWrap w:val="0"/>
            <w:vAlign w:val="center"/>
          </w:tcPr>
          <w:p w14:paraId="367757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28959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  <w:tr w14:paraId="672F0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shd w:val="clear"/>
            <w:noWrap w:val="0"/>
            <w:vAlign w:val="center"/>
          </w:tcPr>
          <w:p w14:paraId="6DFABE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399" w:type="dxa"/>
            <w:shd w:val="clear"/>
            <w:noWrap w:val="0"/>
            <w:vAlign w:val="center"/>
          </w:tcPr>
          <w:p w14:paraId="7E7E8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拆装、清洗、检测、喷漆</w:t>
            </w:r>
          </w:p>
        </w:tc>
        <w:tc>
          <w:tcPr>
            <w:tcW w:w="2420" w:type="dxa"/>
            <w:shd w:val="clear"/>
            <w:noWrap w:val="0"/>
            <w:vAlign w:val="center"/>
          </w:tcPr>
          <w:p w14:paraId="6575DD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2DGB-10CKJ</w:t>
            </w:r>
          </w:p>
        </w:tc>
        <w:tc>
          <w:tcPr>
            <w:tcW w:w="1288" w:type="dxa"/>
            <w:noWrap w:val="0"/>
            <w:vAlign w:val="center"/>
          </w:tcPr>
          <w:p w14:paraId="76441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814" w:type="dxa"/>
            <w:noWrap w:val="0"/>
            <w:vAlign w:val="center"/>
          </w:tcPr>
          <w:p w14:paraId="0510A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61" w:type="dxa"/>
            <w:noWrap w:val="0"/>
            <w:vAlign w:val="center"/>
          </w:tcPr>
          <w:p w14:paraId="5CFA67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739" w:type="dxa"/>
            <w:noWrap w:val="0"/>
            <w:vAlign w:val="center"/>
          </w:tcPr>
          <w:p w14:paraId="22DC48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57F41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  <w:tr w14:paraId="696E1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shd w:val="clear"/>
            <w:noWrap w:val="0"/>
            <w:vAlign w:val="center"/>
          </w:tcPr>
          <w:p w14:paraId="37570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399" w:type="dxa"/>
            <w:shd w:val="clear"/>
            <w:noWrap w:val="0"/>
            <w:vAlign w:val="center"/>
          </w:tcPr>
          <w:p w14:paraId="1E74C3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动平衡</w:t>
            </w:r>
          </w:p>
        </w:tc>
        <w:tc>
          <w:tcPr>
            <w:tcW w:w="2420" w:type="dxa"/>
            <w:shd w:val="clear"/>
            <w:noWrap w:val="0"/>
            <w:vAlign w:val="center"/>
          </w:tcPr>
          <w:p w14:paraId="2AC27C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"/>
              </w:rPr>
              <w:t>出具报告</w:t>
            </w:r>
          </w:p>
        </w:tc>
        <w:tc>
          <w:tcPr>
            <w:tcW w:w="1288" w:type="dxa"/>
            <w:noWrap w:val="0"/>
            <w:vAlign w:val="center"/>
          </w:tcPr>
          <w:p w14:paraId="26277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项</w:t>
            </w:r>
          </w:p>
        </w:tc>
        <w:tc>
          <w:tcPr>
            <w:tcW w:w="814" w:type="dxa"/>
            <w:noWrap w:val="0"/>
            <w:vAlign w:val="center"/>
          </w:tcPr>
          <w:p w14:paraId="645C5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61" w:type="dxa"/>
            <w:noWrap w:val="0"/>
            <w:vAlign w:val="center"/>
          </w:tcPr>
          <w:p w14:paraId="18D2E8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739" w:type="dxa"/>
            <w:noWrap w:val="0"/>
            <w:vAlign w:val="center"/>
          </w:tcPr>
          <w:p w14:paraId="339A53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67F53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  <w:tr w14:paraId="69913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shd w:val="clear"/>
            <w:noWrap w:val="0"/>
            <w:vAlign w:val="center"/>
          </w:tcPr>
          <w:p w14:paraId="48993D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399" w:type="dxa"/>
            <w:shd w:val="clear"/>
            <w:noWrap w:val="0"/>
            <w:vAlign w:val="center"/>
          </w:tcPr>
          <w:p w14:paraId="7B857D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性能试验</w:t>
            </w:r>
          </w:p>
        </w:tc>
        <w:tc>
          <w:tcPr>
            <w:tcW w:w="2420" w:type="dxa"/>
            <w:shd w:val="clear"/>
            <w:noWrap w:val="0"/>
            <w:vAlign w:val="center"/>
          </w:tcPr>
          <w:p w14:paraId="782BBF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"/>
              </w:rPr>
              <w:t>出具报告</w:t>
            </w:r>
          </w:p>
        </w:tc>
        <w:tc>
          <w:tcPr>
            <w:tcW w:w="1288" w:type="dxa"/>
            <w:noWrap w:val="0"/>
            <w:vAlign w:val="center"/>
          </w:tcPr>
          <w:p w14:paraId="28AF77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项</w:t>
            </w:r>
          </w:p>
        </w:tc>
        <w:tc>
          <w:tcPr>
            <w:tcW w:w="814" w:type="dxa"/>
            <w:noWrap w:val="0"/>
            <w:vAlign w:val="center"/>
          </w:tcPr>
          <w:p w14:paraId="71591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61" w:type="dxa"/>
            <w:noWrap w:val="0"/>
            <w:vAlign w:val="center"/>
          </w:tcPr>
          <w:p w14:paraId="16C03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739" w:type="dxa"/>
            <w:noWrap w:val="0"/>
            <w:vAlign w:val="center"/>
          </w:tcPr>
          <w:p w14:paraId="0CC3A8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4E03F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  <w:tr w14:paraId="44573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shd w:val="clear"/>
            <w:noWrap w:val="0"/>
            <w:vAlign w:val="center"/>
          </w:tcPr>
          <w:p w14:paraId="0F167F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399" w:type="dxa"/>
            <w:shd w:val="clear"/>
            <w:noWrap w:val="0"/>
            <w:vAlign w:val="center"/>
          </w:tcPr>
          <w:p w14:paraId="03AEFC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往返运输</w:t>
            </w:r>
          </w:p>
        </w:tc>
        <w:tc>
          <w:tcPr>
            <w:tcW w:w="2420" w:type="dxa"/>
            <w:shd w:val="clear"/>
            <w:noWrap w:val="0"/>
            <w:vAlign w:val="center"/>
          </w:tcPr>
          <w:p w14:paraId="438FAF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napToGrid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bidi="ar"/>
              </w:rPr>
              <w:t>汽车运输（总重4吨）</w:t>
            </w:r>
          </w:p>
        </w:tc>
        <w:tc>
          <w:tcPr>
            <w:tcW w:w="1288" w:type="dxa"/>
            <w:noWrap w:val="0"/>
            <w:vAlign w:val="center"/>
          </w:tcPr>
          <w:p w14:paraId="397E3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项</w:t>
            </w:r>
          </w:p>
        </w:tc>
        <w:tc>
          <w:tcPr>
            <w:tcW w:w="814" w:type="dxa"/>
            <w:noWrap w:val="0"/>
            <w:vAlign w:val="center"/>
          </w:tcPr>
          <w:p w14:paraId="4E9DD0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61" w:type="dxa"/>
            <w:noWrap w:val="0"/>
            <w:vAlign w:val="center"/>
          </w:tcPr>
          <w:p w14:paraId="66BFF3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739" w:type="dxa"/>
            <w:noWrap w:val="0"/>
            <w:vAlign w:val="center"/>
          </w:tcPr>
          <w:p w14:paraId="6D4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2F2D92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  <w:tr w14:paraId="1C370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noWrap w:val="0"/>
            <w:vAlign w:val="center"/>
          </w:tcPr>
          <w:p w14:paraId="200384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6682" w:type="dxa"/>
            <w:gridSpan w:val="5"/>
            <w:noWrap w:val="0"/>
            <w:vAlign w:val="center"/>
          </w:tcPr>
          <w:p w14:paraId="297BC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合计</w:t>
            </w:r>
          </w:p>
        </w:tc>
        <w:tc>
          <w:tcPr>
            <w:tcW w:w="739" w:type="dxa"/>
            <w:noWrap w:val="0"/>
            <w:vAlign w:val="center"/>
          </w:tcPr>
          <w:p w14:paraId="3897E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954" w:type="dxa"/>
            <w:noWrap w:val="0"/>
            <w:vAlign w:val="center"/>
          </w:tcPr>
          <w:p w14:paraId="34C65B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</w:tbl>
    <w:p w14:paraId="2ACEE9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（2）零部件维修费用，维保过程中需维修的零部件，该项发生的种类及数量需双方共同确认后进入合同结算，表格中的数量为维保期内最大需求量。</w:t>
      </w:r>
    </w:p>
    <w:tbl>
      <w:tblPr>
        <w:tblStyle w:val="27"/>
        <w:tblW w:w="915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514"/>
        <w:gridCol w:w="2730"/>
        <w:gridCol w:w="990"/>
        <w:gridCol w:w="872"/>
        <w:gridCol w:w="872"/>
        <w:gridCol w:w="761"/>
        <w:gridCol w:w="757"/>
      </w:tblGrid>
      <w:tr w14:paraId="6D559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54" w:type="dxa"/>
            <w:noWrap w:val="0"/>
            <w:vAlign w:val="center"/>
          </w:tcPr>
          <w:p w14:paraId="070290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  <w:t>序号</w:t>
            </w:r>
          </w:p>
        </w:tc>
        <w:tc>
          <w:tcPr>
            <w:tcW w:w="1514" w:type="dxa"/>
            <w:noWrap w:val="0"/>
            <w:vAlign w:val="center"/>
          </w:tcPr>
          <w:p w14:paraId="239DC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ind w:firstLine="210" w:firstLineChars="1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  <w:t>名称</w:t>
            </w:r>
          </w:p>
        </w:tc>
        <w:tc>
          <w:tcPr>
            <w:tcW w:w="2730" w:type="dxa"/>
            <w:noWrap w:val="0"/>
            <w:vAlign w:val="center"/>
          </w:tcPr>
          <w:p w14:paraId="4E06FE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val="en-US" w:eastAsia="zh-CN"/>
              </w:rPr>
              <w:t>原泵零件号/材质</w:t>
            </w:r>
          </w:p>
        </w:tc>
        <w:tc>
          <w:tcPr>
            <w:tcW w:w="990" w:type="dxa"/>
            <w:noWrap w:val="0"/>
            <w:vAlign w:val="center"/>
          </w:tcPr>
          <w:p w14:paraId="5E67D9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  <w:t>单位</w:t>
            </w:r>
          </w:p>
        </w:tc>
        <w:tc>
          <w:tcPr>
            <w:tcW w:w="872" w:type="dxa"/>
            <w:noWrap w:val="0"/>
            <w:vAlign w:val="center"/>
          </w:tcPr>
          <w:p w14:paraId="4DE309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  <w:t>数量</w:t>
            </w:r>
          </w:p>
        </w:tc>
        <w:tc>
          <w:tcPr>
            <w:tcW w:w="872" w:type="dxa"/>
            <w:noWrap w:val="0"/>
            <w:vAlign w:val="center"/>
          </w:tcPr>
          <w:p w14:paraId="4A416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  <w:t>单价</w:t>
            </w:r>
          </w:p>
        </w:tc>
        <w:tc>
          <w:tcPr>
            <w:tcW w:w="761" w:type="dxa"/>
            <w:noWrap w:val="0"/>
            <w:vAlign w:val="center"/>
          </w:tcPr>
          <w:p w14:paraId="414B6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  <w:t>总价</w:t>
            </w:r>
          </w:p>
        </w:tc>
        <w:tc>
          <w:tcPr>
            <w:tcW w:w="757" w:type="dxa"/>
            <w:noWrap w:val="0"/>
            <w:vAlign w:val="center"/>
          </w:tcPr>
          <w:p w14:paraId="700A1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  <w:t>税率</w:t>
            </w:r>
          </w:p>
        </w:tc>
      </w:tr>
      <w:tr w14:paraId="10C33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/>
            <w:noWrap w:val="0"/>
            <w:vAlign w:val="center"/>
          </w:tcPr>
          <w:p w14:paraId="07636F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514" w:type="dxa"/>
            <w:shd w:val="clear"/>
            <w:noWrap w:val="0"/>
            <w:vAlign w:val="center"/>
          </w:tcPr>
          <w:p w14:paraId="1DDD3B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第一级密封环</w:t>
            </w:r>
          </w:p>
        </w:tc>
        <w:tc>
          <w:tcPr>
            <w:tcW w:w="2730" w:type="dxa"/>
            <w:shd w:val="clear"/>
            <w:noWrap w:val="0"/>
            <w:vAlign w:val="center"/>
          </w:tcPr>
          <w:p w14:paraId="5F26BB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3DG10-0006/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 w14:paraId="709C64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auto"/>
            <w:noWrap w:val="0"/>
            <w:vAlign w:val="center"/>
          </w:tcPr>
          <w:p w14:paraId="193BDE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/>
            <w:noWrap w:val="0"/>
            <w:vAlign w:val="center"/>
          </w:tcPr>
          <w:p w14:paraId="508239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46552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26584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505AF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/>
            <w:noWrap w:val="0"/>
            <w:vAlign w:val="center"/>
          </w:tcPr>
          <w:p w14:paraId="530F28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514" w:type="dxa"/>
            <w:shd w:val="clear"/>
            <w:noWrap w:val="0"/>
            <w:vAlign w:val="center"/>
          </w:tcPr>
          <w:p w14:paraId="6E86AF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导叶套</w:t>
            </w:r>
          </w:p>
        </w:tc>
        <w:tc>
          <w:tcPr>
            <w:tcW w:w="2730" w:type="dxa"/>
            <w:shd w:val="clear"/>
            <w:noWrap w:val="0"/>
            <w:vAlign w:val="center"/>
          </w:tcPr>
          <w:p w14:paraId="782AA8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3DG10-0009/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 w14:paraId="141867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auto"/>
            <w:noWrap w:val="0"/>
            <w:vAlign w:val="center"/>
          </w:tcPr>
          <w:p w14:paraId="383348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/>
            <w:noWrap w:val="0"/>
            <w:vAlign w:val="center"/>
          </w:tcPr>
          <w:p w14:paraId="346D08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04BD6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54D53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7F3B8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/>
            <w:noWrap w:val="0"/>
            <w:vAlign w:val="center"/>
          </w:tcPr>
          <w:p w14:paraId="2C38E8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1514" w:type="dxa"/>
            <w:shd w:val="clear"/>
            <w:noWrap w:val="0"/>
            <w:vAlign w:val="center"/>
          </w:tcPr>
          <w:p w14:paraId="679D79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导叶</w:t>
            </w:r>
          </w:p>
        </w:tc>
        <w:tc>
          <w:tcPr>
            <w:tcW w:w="2730" w:type="dxa"/>
            <w:shd w:val="clear"/>
            <w:noWrap w:val="0"/>
            <w:vAlign w:val="center"/>
          </w:tcPr>
          <w:p w14:paraId="7E4EE4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2DGB-10-0001/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ZG1Cr13Ni</w:t>
            </w:r>
          </w:p>
        </w:tc>
        <w:tc>
          <w:tcPr>
            <w:tcW w:w="990" w:type="dxa"/>
            <w:shd w:val="clear" w:color="auto" w:fill="auto"/>
            <w:noWrap w:val="0"/>
            <w:vAlign w:val="center"/>
          </w:tcPr>
          <w:p w14:paraId="1B76D9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auto"/>
            <w:noWrap w:val="0"/>
            <w:vAlign w:val="center"/>
          </w:tcPr>
          <w:p w14:paraId="39A301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/>
            <w:noWrap w:val="0"/>
            <w:vAlign w:val="center"/>
          </w:tcPr>
          <w:p w14:paraId="26A398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07554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16859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547F9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39619A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36922F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次级密封环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52F3BF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3DG10-0007/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68B9D8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7E6EBF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1A61AF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1CE04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71BF50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19D62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3D53E3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52FD64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挡套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5BD42F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60AB0C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79153C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219470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0A1E1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5C297C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472B5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14F996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3F2CF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叶轮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1F103B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GB2100/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ZG1Cr13Ni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6AF946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2E09B6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24267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519E5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0960AC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74B45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4CDCD0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68EDE0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推力盘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285B36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44C04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043563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1142D6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42189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53060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501A4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2E7D73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72D590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推力轴承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70BFB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RWA350+巴氏合金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40D187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321297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45715C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79CADB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2DDC3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3CAFA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5C5AED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732EF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轴瓦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50FF85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巴氏合金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69E5DC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60EC7B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6768CB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1A199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31947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6CF3F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17C338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0B5DE8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止推瓦块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2FEE24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巴氏合金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5EE276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026BF6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447F1C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5E37F1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1415DB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5F32F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61F14B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23EB4D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泵轴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5886D5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GB3077-88/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40CrVA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660E4F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根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16D894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64D4D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3D1BF1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0F83CA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6AC3B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5085C0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0472F5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进水段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03D9E9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3DGB-0001/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35(锻件)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3C136D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1E5CC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60A793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0EA8E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50441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7F3B2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27013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5F09AA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中段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35FF77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2DGB-0006/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1Cr13(锻件)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391389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134FB8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5BA41A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3822F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695C2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3F04C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3E1985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14</w:t>
            </w:r>
          </w:p>
        </w:tc>
        <w:tc>
          <w:tcPr>
            <w:tcW w:w="1514" w:type="dxa"/>
            <w:shd w:val="clear" w:color="auto" w:fill="auto"/>
            <w:noWrap w:val="0"/>
            <w:vAlign w:val="center"/>
          </w:tcPr>
          <w:p w14:paraId="06AF54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出水段</w:t>
            </w:r>
          </w:p>
        </w:tc>
        <w:tc>
          <w:tcPr>
            <w:tcW w:w="2730" w:type="dxa"/>
            <w:shd w:val="clear" w:color="auto" w:fill="FFFFFF"/>
            <w:noWrap w:val="0"/>
            <w:vAlign w:val="center"/>
          </w:tcPr>
          <w:p w14:paraId="22C873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3DGB-0003/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35(锻件)</w:t>
            </w:r>
          </w:p>
        </w:tc>
        <w:tc>
          <w:tcPr>
            <w:tcW w:w="990" w:type="dxa"/>
            <w:shd w:val="clear" w:color="auto" w:fill="FFFFFF"/>
            <w:noWrap w:val="0"/>
            <w:vAlign w:val="center"/>
          </w:tcPr>
          <w:p w14:paraId="00E025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0F4B1D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54213A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2BFAD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1C4E9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0141E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noWrap w:val="0"/>
            <w:vAlign w:val="center"/>
          </w:tcPr>
          <w:p w14:paraId="0C167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auto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0"/>
                <w:kern w:val="0"/>
                <w:sz w:val="21"/>
                <w:szCs w:val="21"/>
                <w:lang w:val="en-US" w:eastAsia="zh-CN" w:bidi="ar-SA"/>
              </w:rPr>
              <w:t>15</w:t>
            </w:r>
          </w:p>
        </w:tc>
        <w:tc>
          <w:tcPr>
            <w:tcW w:w="6978" w:type="dxa"/>
            <w:gridSpan w:val="5"/>
            <w:noWrap w:val="0"/>
            <w:vAlign w:val="center"/>
          </w:tcPr>
          <w:p w14:paraId="337C4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val="en-US" w:eastAsia="zh-CN" w:bidi="ar-SA"/>
              </w:rPr>
              <w:t>合计</w:t>
            </w:r>
          </w:p>
        </w:tc>
        <w:tc>
          <w:tcPr>
            <w:tcW w:w="761" w:type="dxa"/>
            <w:noWrap w:val="0"/>
            <w:vAlign w:val="center"/>
          </w:tcPr>
          <w:p w14:paraId="178CC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63DDE2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</w:tbl>
    <w:p w14:paraId="37BA2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3）零部件更换费用，维保过程中需更换的零部件，该项发生的种类及数量需双方共同确认后进入合同结算，表格中的数量为维保期内最大需求量。可根据旧件材质、尺寸进行测绘加工或外购新件，新件材质、性能必须等同或优于旧件。</w:t>
      </w:r>
    </w:p>
    <w:tbl>
      <w:tblPr>
        <w:tblStyle w:val="27"/>
        <w:tblW w:w="915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554"/>
        <w:gridCol w:w="2725"/>
        <w:gridCol w:w="955"/>
        <w:gridCol w:w="872"/>
        <w:gridCol w:w="872"/>
        <w:gridCol w:w="761"/>
        <w:gridCol w:w="757"/>
      </w:tblGrid>
      <w:tr w14:paraId="5E171D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54" w:type="dxa"/>
            <w:noWrap w:val="0"/>
            <w:vAlign w:val="center"/>
          </w:tcPr>
          <w:p w14:paraId="4A02B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  <w:t>序号</w:t>
            </w:r>
          </w:p>
        </w:tc>
        <w:tc>
          <w:tcPr>
            <w:tcW w:w="1554" w:type="dxa"/>
            <w:noWrap w:val="0"/>
            <w:vAlign w:val="center"/>
          </w:tcPr>
          <w:p w14:paraId="46580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ind w:firstLine="210" w:firstLineChars="1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  <w:t>名称</w:t>
            </w:r>
          </w:p>
        </w:tc>
        <w:tc>
          <w:tcPr>
            <w:tcW w:w="2725" w:type="dxa"/>
            <w:noWrap w:val="0"/>
            <w:vAlign w:val="center"/>
          </w:tcPr>
          <w:p w14:paraId="5A63F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val="en-US" w:eastAsia="zh-CN"/>
              </w:rPr>
              <w:t>原泵零件号/材质</w:t>
            </w:r>
          </w:p>
        </w:tc>
        <w:tc>
          <w:tcPr>
            <w:tcW w:w="955" w:type="dxa"/>
            <w:noWrap w:val="0"/>
            <w:vAlign w:val="center"/>
          </w:tcPr>
          <w:p w14:paraId="3FDF7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  <w:t>单位</w:t>
            </w:r>
          </w:p>
        </w:tc>
        <w:tc>
          <w:tcPr>
            <w:tcW w:w="872" w:type="dxa"/>
            <w:noWrap w:val="0"/>
            <w:vAlign w:val="center"/>
          </w:tcPr>
          <w:p w14:paraId="63F9F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  <w:t>数量</w:t>
            </w:r>
          </w:p>
        </w:tc>
        <w:tc>
          <w:tcPr>
            <w:tcW w:w="872" w:type="dxa"/>
            <w:noWrap w:val="0"/>
            <w:vAlign w:val="center"/>
          </w:tcPr>
          <w:p w14:paraId="512BC7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  <w:t>单价</w:t>
            </w:r>
          </w:p>
        </w:tc>
        <w:tc>
          <w:tcPr>
            <w:tcW w:w="761" w:type="dxa"/>
            <w:noWrap w:val="0"/>
            <w:vAlign w:val="center"/>
          </w:tcPr>
          <w:p w14:paraId="019619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  <w:t>总价</w:t>
            </w:r>
          </w:p>
        </w:tc>
        <w:tc>
          <w:tcPr>
            <w:tcW w:w="757" w:type="dxa"/>
            <w:noWrap w:val="0"/>
            <w:vAlign w:val="center"/>
          </w:tcPr>
          <w:p w14:paraId="14C71E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  <w:lang w:eastAsia="zh-CN"/>
              </w:rPr>
              <w:t>税率</w:t>
            </w:r>
          </w:p>
        </w:tc>
      </w:tr>
      <w:tr w14:paraId="548C5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/>
            <w:noWrap w:val="0"/>
            <w:vAlign w:val="center"/>
          </w:tcPr>
          <w:p w14:paraId="37C0BF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554" w:type="dxa"/>
            <w:shd w:val="clear"/>
            <w:noWrap w:val="0"/>
            <w:vAlign w:val="center"/>
          </w:tcPr>
          <w:p w14:paraId="2156D8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第一级密封环</w:t>
            </w:r>
          </w:p>
        </w:tc>
        <w:tc>
          <w:tcPr>
            <w:tcW w:w="2725" w:type="dxa"/>
            <w:shd w:val="clear"/>
            <w:noWrap w:val="0"/>
            <w:vAlign w:val="center"/>
          </w:tcPr>
          <w:p w14:paraId="6FDC00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3DG10-0006/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55" w:type="dxa"/>
            <w:shd w:val="clear" w:color="auto" w:fill="auto"/>
            <w:noWrap w:val="0"/>
            <w:vAlign w:val="center"/>
          </w:tcPr>
          <w:p w14:paraId="428832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auto"/>
            <w:noWrap w:val="0"/>
            <w:vAlign w:val="center"/>
          </w:tcPr>
          <w:p w14:paraId="7F3638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/>
            <w:noWrap w:val="0"/>
            <w:vAlign w:val="center"/>
          </w:tcPr>
          <w:p w14:paraId="31FC89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7DDF3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45EA2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7586C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/>
            <w:noWrap w:val="0"/>
            <w:vAlign w:val="center"/>
          </w:tcPr>
          <w:p w14:paraId="16F803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554" w:type="dxa"/>
            <w:shd w:val="clear"/>
            <w:noWrap w:val="0"/>
            <w:vAlign w:val="center"/>
          </w:tcPr>
          <w:p w14:paraId="1E2F07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导叶套</w:t>
            </w:r>
          </w:p>
        </w:tc>
        <w:tc>
          <w:tcPr>
            <w:tcW w:w="2725" w:type="dxa"/>
            <w:shd w:val="clear"/>
            <w:noWrap w:val="0"/>
            <w:vAlign w:val="center"/>
          </w:tcPr>
          <w:p w14:paraId="3C1A49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3DG10-0009/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55" w:type="dxa"/>
            <w:shd w:val="clear" w:color="auto" w:fill="auto"/>
            <w:noWrap w:val="0"/>
            <w:vAlign w:val="center"/>
          </w:tcPr>
          <w:p w14:paraId="73EE8F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auto"/>
            <w:noWrap w:val="0"/>
            <w:vAlign w:val="center"/>
          </w:tcPr>
          <w:p w14:paraId="516AEE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/>
            <w:noWrap w:val="0"/>
            <w:vAlign w:val="center"/>
          </w:tcPr>
          <w:p w14:paraId="3AA839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40A800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18A637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1EB34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/>
            <w:noWrap w:val="0"/>
            <w:vAlign w:val="center"/>
          </w:tcPr>
          <w:p w14:paraId="1A5EBE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1554" w:type="dxa"/>
            <w:shd w:val="clear"/>
            <w:noWrap w:val="0"/>
            <w:vAlign w:val="center"/>
          </w:tcPr>
          <w:p w14:paraId="7D7401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导叶</w:t>
            </w:r>
          </w:p>
        </w:tc>
        <w:tc>
          <w:tcPr>
            <w:tcW w:w="2725" w:type="dxa"/>
            <w:shd w:val="clear"/>
            <w:noWrap w:val="0"/>
            <w:vAlign w:val="center"/>
          </w:tcPr>
          <w:p w14:paraId="75FFFC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2DGB-10-0001/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ZG1Cr13Ni</w:t>
            </w:r>
          </w:p>
        </w:tc>
        <w:tc>
          <w:tcPr>
            <w:tcW w:w="955" w:type="dxa"/>
            <w:shd w:val="clear" w:color="auto" w:fill="auto"/>
            <w:noWrap w:val="0"/>
            <w:vAlign w:val="center"/>
          </w:tcPr>
          <w:p w14:paraId="7B162A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auto"/>
            <w:noWrap w:val="0"/>
            <w:vAlign w:val="center"/>
          </w:tcPr>
          <w:p w14:paraId="4ADEB7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/>
            <w:noWrap w:val="0"/>
            <w:vAlign w:val="center"/>
          </w:tcPr>
          <w:p w14:paraId="6D778A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45651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533C8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39032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6FC82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4233DC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次级密封环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4AC965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3DG10-0007/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016EF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2D8B7A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7E7783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18059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103FF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67EAE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33F291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4089E3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挡套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1AA060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1C4542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27041C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15CB3B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67ABFD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3FB27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12467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5DED89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14378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叶轮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2D7CFC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GB2100/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ZG1Cr13Ni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5F1606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36C392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49943C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7ACD70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4FA5F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2C157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1D704B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7421DF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推力盘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6C1146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7A4A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20B6FB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30F59E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50540B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32DBDA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11D5F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50EAF8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44A529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推力轴承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48A24C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RWA350+巴氏合金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133286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601FDF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616176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31E1F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02192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019AC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4AF06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5A45C3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轴瓦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76799E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巴氏合金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1A8743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73BCD7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2A4685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43AA3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655D28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1F93C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41936C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62E107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止推瓦块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74DFC0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2DGB-10CKJ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巴氏合金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23E0CE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7BA7D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7B8F3F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25CE7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034A92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3C87A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51D87E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435C6B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泵轴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2CD58B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GB3077-88/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40CrVA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636089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根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2F0C3C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529FE4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606FB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005B02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4E61D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4D52A4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77521F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进水段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306C41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3DGB-0001/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35(锻件)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555A2A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63A181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377D66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2CEF7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10298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5F746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37A723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1FC176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中段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267AC9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2DGB-0006/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1Cr13(锻件)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1DC342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12A247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743AC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772B92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69909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7C2F4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shd w:val="clear" w:color="auto" w:fill="auto"/>
            <w:noWrap w:val="0"/>
            <w:vAlign w:val="center"/>
          </w:tcPr>
          <w:p w14:paraId="77EA9E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14</w:t>
            </w:r>
          </w:p>
        </w:tc>
        <w:tc>
          <w:tcPr>
            <w:tcW w:w="1554" w:type="dxa"/>
            <w:shd w:val="clear" w:color="auto" w:fill="auto"/>
            <w:noWrap w:val="0"/>
            <w:vAlign w:val="center"/>
          </w:tcPr>
          <w:p w14:paraId="3E905D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出水段</w:t>
            </w:r>
          </w:p>
        </w:tc>
        <w:tc>
          <w:tcPr>
            <w:tcW w:w="2725" w:type="dxa"/>
            <w:shd w:val="clear" w:color="auto" w:fill="FFFFFF"/>
            <w:noWrap w:val="0"/>
            <w:vAlign w:val="center"/>
          </w:tcPr>
          <w:p w14:paraId="47B9A6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3DGB-0003/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35(锻件)</w:t>
            </w:r>
          </w:p>
        </w:tc>
        <w:tc>
          <w:tcPr>
            <w:tcW w:w="955" w:type="dxa"/>
            <w:shd w:val="clear" w:color="auto" w:fill="FFFFFF"/>
            <w:noWrap w:val="0"/>
            <w:vAlign w:val="center"/>
          </w:tcPr>
          <w:p w14:paraId="7CE700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1BD8E3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872" w:type="dxa"/>
            <w:shd w:val="clear" w:color="auto" w:fill="FFFFFF"/>
            <w:noWrap w:val="0"/>
            <w:vAlign w:val="center"/>
          </w:tcPr>
          <w:p w14:paraId="077262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snapToGrid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761" w:type="dxa"/>
            <w:noWrap w:val="0"/>
            <w:vAlign w:val="center"/>
          </w:tcPr>
          <w:p w14:paraId="51A3B2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1B60FE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  <w:tr w14:paraId="47A4B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654" w:type="dxa"/>
            <w:noWrap w:val="0"/>
            <w:vAlign w:val="center"/>
          </w:tcPr>
          <w:p w14:paraId="2B1196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auto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0"/>
                <w:kern w:val="0"/>
                <w:sz w:val="21"/>
                <w:szCs w:val="21"/>
                <w:lang w:val="en-US" w:eastAsia="zh-CN" w:bidi="ar-SA"/>
              </w:rPr>
              <w:t>15</w:t>
            </w:r>
          </w:p>
        </w:tc>
        <w:tc>
          <w:tcPr>
            <w:tcW w:w="6978" w:type="dxa"/>
            <w:gridSpan w:val="5"/>
            <w:noWrap w:val="0"/>
            <w:vAlign w:val="center"/>
          </w:tcPr>
          <w:p w14:paraId="353A7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color w:val="auto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0"/>
                <w:kern w:val="0"/>
                <w:sz w:val="21"/>
                <w:szCs w:val="21"/>
                <w:lang w:val="en-US" w:eastAsia="zh-CN" w:bidi="ar-SA"/>
              </w:rPr>
              <w:t>合计</w:t>
            </w:r>
          </w:p>
        </w:tc>
        <w:tc>
          <w:tcPr>
            <w:tcW w:w="761" w:type="dxa"/>
            <w:noWrap w:val="0"/>
            <w:vAlign w:val="center"/>
          </w:tcPr>
          <w:p w14:paraId="67BF0A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  <w:tc>
          <w:tcPr>
            <w:tcW w:w="757" w:type="dxa"/>
            <w:noWrap w:val="0"/>
            <w:vAlign w:val="center"/>
          </w:tcPr>
          <w:p w14:paraId="57635B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21"/>
                <w:szCs w:val="21"/>
              </w:rPr>
            </w:pPr>
          </w:p>
        </w:tc>
      </w:tr>
    </w:tbl>
    <w:p w14:paraId="54B85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（4）评定价</w:t>
      </w:r>
    </w:p>
    <w:tbl>
      <w:tblPr>
        <w:tblStyle w:val="27"/>
        <w:tblW w:w="9095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6072"/>
        <w:gridCol w:w="1755"/>
      </w:tblGrid>
      <w:tr w14:paraId="7533F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68" w:type="dxa"/>
            <w:noWrap w:val="0"/>
            <w:vAlign w:val="center"/>
          </w:tcPr>
          <w:p w14:paraId="4BD29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32"/>
                <w:szCs w:val="32"/>
              </w:rPr>
              <w:t>序号</w:t>
            </w:r>
          </w:p>
        </w:tc>
        <w:tc>
          <w:tcPr>
            <w:tcW w:w="6072" w:type="dxa"/>
            <w:noWrap w:val="0"/>
            <w:vAlign w:val="center"/>
          </w:tcPr>
          <w:p w14:paraId="1D4D95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ind w:firstLine="320" w:firstLineChars="1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32"/>
                <w:szCs w:val="32"/>
              </w:rPr>
              <w:t>名称</w:t>
            </w:r>
          </w:p>
        </w:tc>
        <w:tc>
          <w:tcPr>
            <w:tcW w:w="1755" w:type="dxa"/>
            <w:noWrap w:val="0"/>
            <w:vAlign w:val="center"/>
          </w:tcPr>
          <w:p w14:paraId="743A1E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32"/>
                <w:szCs w:val="32"/>
                <w:lang w:eastAsia="zh-CN"/>
              </w:rPr>
              <w:t>价格</w:t>
            </w:r>
          </w:p>
        </w:tc>
      </w:tr>
      <w:tr w14:paraId="23B0D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8" w:type="dxa"/>
            <w:noWrap w:val="0"/>
            <w:vAlign w:val="center"/>
          </w:tcPr>
          <w:p w14:paraId="785240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32"/>
                <w:szCs w:val="32"/>
              </w:rPr>
              <w:t>1</w:t>
            </w:r>
          </w:p>
        </w:tc>
        <w:tc>
          <w:tcPr>
            <w:tcW w:w="6072" w:type="dxa"/>
            <w:noWrap w:val="0"/>
            <w:vAlign w:val="center"/>
          </w:tcPr>
          <w:p w14:paraId="520B9C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auto"/>
                <w:spacing w:val="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0"/>
                <w:kern w:val="0"/>
                <w:sz w:val="32"/>
                <w:szCs w:val="32"/>
                <w:lang w:val="en-US" w:eastAsia="zh-CN"/>
              </w:rPr>
              <w:t>评定</w:t>
            </w:r>
            <w:r>
              <w:rPr>
                <w:rFonts w:hint="eastAsia" w:ascii="宋体" w:hAnsi="宋体" w:eastAsia="宋体" w:cs="宋体"/>
                <w:bCs/>
                <w:color w:val="auto"/>
                <w:spacing w:val="0"/>
                <w:kern w:val="0"/>
                <w:sz w:val="32"/>
                <w:szCs w:val="32"/>
                <w:lang w:eastAsia="zh-CN"/>
              </w:rPr>
              <w:t>价（</w:t>
            </w:r>
            <w:r>
              <w:rPr>
                <w:rFonts w:hint="eastAsia" w:ascii="宋体" w:hAnsi="宋体" w:eastAsia="宋体" w:cs="宋体"/>
                <w:color w:val="auto"/>
                <w:spacing w:val="0"/>
                <w:kern w:val="0"/>
                <w:sz w:val="32"/>
                <w:szCs w:val="32"/>
                <w:lang w:val="en-US" w:eastAsia="zh-CN"/>
              </w:rPr>
              <w:t>1合计+2合计+3合计）</w:t>
            </w:r>
          </w:p>
        </w:tc>
        <w:tc>
          <w:tcPr>
            <w:tcW w:w="1755" w:type="dxa"/>
            <w:noWrap w:val="0"/>
            <w:vAlign w:val="center"/>
          </w:tcPr>
          <w:p w14:paraId="131C00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auto"/>
                <w:spacing w:val="0"/>
                <w:kern w:val="0"/>
                <w:sz w:val="32"/>
                <w:szCs w:val="32"/>
                <w:lang w:val="en-US" w:eastAsia="zh-CN" w:bidi="ar-SA"/>
              </w:rPr>
            </w:pPr>
          </w:p>
        </w:tc>
      </w:tr>
    </w:tbl>
    <w:p w14:paraId="185E2F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  <w:t>在满足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采购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  <w:t>人使用要求前提下，以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报价格</w:t>
      </w:r>
      <w:bookmarkStart w:id="1" w:name="_GoBack"/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式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评定价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  <w:t>作为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确定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单位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依据，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各报价单位的分项报价作参考，分项报价有差价的，意向成交单位需按所有报价单位的分项最低价执行，请慎重报价。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合同价以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单</w:t>
      </w:r>
      <w:bookmarkEnd w:id="1"/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位三项报价为准，即常规维修、零件维修、零件更换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</w:rPr>
        <w:t>。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eastAsia="zh-CN"/>
        </w:rPr>
        <w:t>该价格只为确定单位作依据，合同最终结算价以双方共同出具的书面说明为准。</w:t>
      </w:r>
    </w:p>
    <w:p w14:paraId="5A340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（6）按报价格式进行填报，每格均需填报，无报价以斜线、横线或0填满。</w:t>
      </w:r>
    </w:p>
    <w:p w14:paraId="168209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（7）不在报价中的的维保维修要求由报价人自行承担。</w:t>
      </w:r>
    </w:p>
    <w:p w14:paraId="5F032184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right="0" w:rightChars="0" w:firstLine="320" w:firstLineChars="100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（8）更换下的零件交由采购人统一保管。</w:t>
      </w:r>
    </w:p>
    <w:p w14:paraId="1D8C73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承诺</w:t>
      </w:r>
      <w:r>
        <w:rPr>
          <w:rFonts w:hint="eastAsia" w:ascii="宋体" w:hAnsi="宋体" w:eastAsia="宋体" w:cs="宋体"/>
          <w:sz w:val="32"/>
          <w:szCs w:val="32"/>
        </w:rPr>
        <w:t>：遵守询价书规定，及时签订合同并履行责任；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不串通报价</w:t>
      </w:r>
      <w:r>
        <w:rPr>
          <w:rFonts w:hint="eastAsia" w:ascii="宋体" w:hAnsi="宋体" w:eastAsia="宋体" w:cs="宋体"/>
          <w:sz w:val="32"/>
          <w:szCs w:val="32"/>
        </w:rPr>
        <w:t>，信息真实有效；接受贵方核查与审计。如违反，承担法律责任及相关处理。</w:t>
      </w:r>
    </w:p>
    <w:p w14:paraId="0F5911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全权代表（签字）：________ 联系电话：________</w:t>
      </w:r>
    </w:p>
    <w:p w14:paraId="00829DA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报价单位（盖章）：________ 日期：____年__月__日</w:t>
      </w:r>
    </w:p>
    <w:p w14:paraId="56B27B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br w:type="page"/>
      </w:r>
    </w:p>
    <w:p w14:paraId="7CC6AC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附件2</w:t>
      </w:r>
    </w:p>
    <w:p w14:paraId="764FE542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热电厂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vertAlign w:val="superscript"/>
          <w:lang w:val="en-US" w:eastAsia="zh-CN"/>
        </w:rPr>
        <w:t>#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>给水泵返厂检修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技术要求</w:t>
      </w:r>
    </w:p>
    <w:p w14:paraId="4A052510">
      <w:pPr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拆装及</w:t>
      </w:r>
      <w:r>
        <w:rPr>
          <w:rFonts w:hint="eastAsia" w:ascii="宋体" w:hAnsi="宋体" w:eastAsia="宋体" w:cs="宋体"/>
          <w:sz w:val="24"/>
          <w:szCs w:val="24"/>
        </w:rPr>
        <w:t>运输要求</w:t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2730"/>
        <w:gridCol w:w="4875"/>
      </w:tblGrid>
      <w:tr w14:paraId="0D301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45A6C1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2730" w:type="dxa"/>
            <w:noWrap w:val="0"/>
            <w:vAlign w:val="top"/>
          </w:tcPr>
          <w:p w14:paraId="3C1A8B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类别</w:t>
            </w:r>
          </w:p>
        </w:tc>
        <w:tc>
          <w:tcPr>
            <w:tcW w:w="4875" w:type="dxa"/>
            <w:noWrap w:val="0"/>
            <w:vAlign w:val="top"/>
          </w:tcPr>
          <w:p w14:paraId="4602DA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具体填写要求</w:t>
            </w:r>
          </w:p>
        </w:tc>
      </w:tr>
      <w:tr w14:paraId="01B8A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center"/>
          </w:tcPr>
          <w:p w14:paraId="6137B5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2730" w:type="dxa"/>
            <w:noWrap w:val="0"/>
            <w:vAlign w:val="center"/>
          </w:tcPr>
          <w:p w14:paraId="29E730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甲方负责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☑</w:t>
            </w:r>
          </w:p>
        </w:tc>
        <w:tc>
          <w:tcPr>
            <w:tcW w:w="4875" w:type="dxa"/>
            <w:noWrap w:val="0"/>
            <w:vAlign w:val="center"/>
          </w:tcPr>
          <w:p w14:paraId="7ECCA1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现场拆装</w:t>
            </w:r>
          </w:p>
        </w:tc>
      </w:tr>
      <w:tr w14:paraId="3346E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center"/>
          </w:tcPr>
          <w:p w14:paraId="4DDB3A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730" w:type="dxa"/>
            <w:noWrap w:val="0"/>
            <w:vAlign w:val="center"/>
          </w:tcPr>
          <w:p w14:paraId="1DEBE1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乙方负责  ☑</w:t>
            </w:r>
          </w:p>
        </w:tc>
        <w:tc>
          <w:tcPr>
            <w:tcW w:w="4875" w:type="dxa"/>
            <w:noWrap w:val="0"/>
            <w:vAlign w:val="center"/>
          </w:tcPr>
          <w:p w14:paraId="00C7C2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运输及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运输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途中安全</w:t>
            </w:r>
          </w:p>
        </w:tc>
      </w:tr>
    </w:tbl>
    <w:p w14:paraId="33A80391">
      <w:pPr>
        <w:keepNext w:val="0"/>
        <w:keepLines w:val="0"/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检修方案</w:t>
      </w:r>
    </w:p>
    <w:p w14:paraId="54594CDE"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项目名称</w:t>
      </w:r>
    </w:p>
    <w:p w14:paraId="4C3331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热电厂2DGB-10CKJ给水泵返厂检修</w:t>
      </w:r>
    </w:p>
    <w:p w14:paraId="3BC68360"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维修设备位号、名称、技术参数、安装位置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附图1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2136"/>
        <w:gridCol w:w="3741"/>
        <w:gridCol w:w="1361"/>
      </w:tblGrid>
      <w:tr w14:paraId="7E59A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1284" w:type="dxa"/>
            <w:noWrap w:val="0"/>
            <w:vAlign w:val="center"/>
          </w:tcPr>
          <w:p w14:paraId="356643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设备名称</w:t>
            </w:r>
          </w:p>
        </w:tc>
        <w:tc>
          <w:tcPr>
            <w:tcW w:w="2136" w:type="dxa"/>
            <w:noWrap w:val="0"/>
            <w:vAlign w:val="center"/>
          </w:tcPr>
          <w:p w14:paraId="4CADF3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型号</w:t>
            </w:r>
          </w:p>
        </w:tc>
        <w:tc>
          <w:tcPr>
            <w:tcW w:w="3741" w:type="dxa"/>
            <w:noWrap w:val="0"/>
            <w:vAlign w:val="center"/>
          </w:tcPr>
          <w:p w14:paraId="3DEB94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技术参数</w:t>
            </w:r>
          </w:p>
        </w:tc>
        <w:tc>
          <w:tcPr>
            <w:tcW w:w="1361" w:type="dxa"/>
            <w:noWrap w:val="0"/>
            <w:vAlign w:val="center"/>
          </w:tcPr>
          <w:p w14:paraId="765E14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bidi="ar"/>
              </w:rPr>
              <w:t>设备位号</w:t>
            </w:r>
          </w:p>
        </w:tc>
      </w:tr>
      <w:tr w14:paraId="07341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4" w:type="dxa"/>
            <w:noWrap w:val="0"/>
            <w:vAlign w:val="center"/>
          </w:tcPr>
          <w:p w14:paraId="5D21DD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高压给水泵</w:t>
            </w:r>
          </w:p>
        </w:tc>
        <w:tc>
          <w:tcPr>
            <w:tcW w:w="2136" w:type="dxa"/>
            <w:noWrap w:val="0"/>
            <w:vAlign w:val="center"/>
          </w:tcPr>
          <w:p w14:paraId="70B4A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2DGB-10CKJ</w:t>
            </w:r>
          </w:p>
        </w:tc>
        <w:tc>
          <w:tcPr>
            <w:tcW w:w="3741" w:type="dxa"/>
            <w:noWrap w:val="0"/>
            <w:vAlign w:val="center"/>
          </w:tcPr>
          <w:p w14:paraId="366145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多级离心泵，转速2985r/min，轴功率1542kW，扬程1550m,汽蚀余量6m,进水温度158℃，流量313.5m3/h,效率78%，密封型式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机械密封，介质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水</w:t>
            </w:r>
          </w:p>
        </w:tc>
        <w:tc>
          <w:tcPr>
            <w:tcW w:w="1361" w:type="dxa"/>
            <w:noWrap w:val="0"/>
            <w:vAlign w:val="center"/>
          </w:tcPr>
          <w:p w14:paraId="1FC677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234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C</w:t>
            </w:r>
          </w:p>
        </w:tc>
      </w:tr>
    </w:tbl>
    <w:p w14:paraId="008C1A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2C213268">
      <w:pPr>
        <w:keepNext w:val="0"/>
        <w:keepLines w:val="0"/>
        <w:pageBreakBefore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故障情况说明</w:t>
      </w:r>
    </w:p>
    <w:p w14:paraId="345AD6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热电厂3月9日启运3#给水泵过程中，发现自由端轴封有摩擦产生火花，且传动端机械密封泄漏，初步判断为该泵转子轴向窜动大所致，无法正常启运，需解体大修消除故障。</w:t>
      </w:r>
      <w:r>
        <w:rPr>
          <w:rFonts w:hint="eastAsia" w:ascii="宋体" w:hAnsi="宋体" w:eastAsia="宋体" w:cs="宋体"/>
          <w:sz w:val="24"/>
          <w:szCs w:val="24"/>
        </w:rPr>
        <w:t>因现场没有检修条件必须返厂（性能试验、高速动平衡等）。</w:t>
      </w:r>
    </w:p>
    <w:p w14:paraId="1C7F19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检修要求</w:t>
      </w:r>
    </w:p>
    <w:p w14:paraId="0356C6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（1）对泵体各零部件进行全面彻底的解体、清洗、检查。更换泵体一次性的部件、密封件及磨损严重无法修复的零部件等。</w:t>
      </w:r>
    </w:p>
    <w:p w14:paraId="661046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（2）检查叶轮、口环、轴、壳体、轴套、密封环、轴瓦等各部件有无裂纹、腐蚀、磨损、损伤等现象。</w:t>
      </w:r>
    </w:p>
    <w:p w14:paraId="0A0DE95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（3）检查过流部件是否有由于冲刷和汽蚀等引起的损伤。</w:t>
      </w:r>
    </w:p>
    <w:p w14:paraId="77C56D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（4）检查动静平衡盘和推力块有无磨损。</w:t>
      </w:r>
    </w:p>
    <w:p w14:paraId="06BA75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（5）测量各配合部位的间隙及相关尺寸并做好记录。</w:t>
      </w:r>
    </w:p>
    <w:p w14:paraId="368508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（6）对零部件损伤等缺陷部位进行修复处理，超出修复范围的通知甲方现场进行检查确认后给予更换新件。</w:t>
      </w:r>
    </w:p>
    <w:p w14:paraId="7C3C59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需要更换的部件，可根据旧件材质、尺寸进行测绘加工或外购新件，新件材质、性能必须等同或优于旧件。</w:t>
      </w:r>
    </w:p>
    <w:p w14:paraId="32DA37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检修过程中涉及的备件由谁提供</w:t>
      </w:r>
    </w:p>
    <w:p w14:paraId="1C8BB15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40" w:firstLineChars="1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检修过程中涉及的备件由乙方提供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以下清单中型号仅供参考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09E660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5.1</w:t>
      </w:r>
      <w:r>
        <w:rPr>
          <w:rFonts w:hint="eastAsia" w:ascii="宋体" w:hAnsi="宋体" w:eastAsia="宋体" w:cs="宋体"/>
          <w:sz w:val="24"/>
          <w:szCs w:val="24"/>
        </w:rPr>
        <w:t>必须要更换的备件：</w:t>
      </w:r>
    </w:p>
    <w:tbl>
      <w:tblPr>
        <w:tblStyle w:val="27"/>
        <w:tblW w:w="4592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22"/>
        <w:gridCol w:w="1492"/>
        <w:gridCol w:w="1395"/>
        <w:gridCol w:w="1376"/>
        <w:gridCol w:w="1385"/>
        <w:gridCol w:w="1386"/>
      </w:tblGrid>
      <w:tr w14:paraId="7B8965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EF1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935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9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7211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  <w:t>型号/代号</w:t>
            </w:r>
          </w:p>
        </w:tc>
        <w:tc>
          <w:tcPr>
            <w:tcW w:w="8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AFF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  <w:t>材质</w:t>
            </w:r>
          </w:p>
        </w:tc>
        <w:tc>
          <w:tcPr>
            <w:tcW w:w="9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40C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  <w:t>单位</w:t>
            </w: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EBB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</w:tr>
      <w:tr w14:paraId="2CE8D13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  <w:jc w:val="center"/>
        </w:trPr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9859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D9E6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O形密封环</w:t>
            </w:r>
          </w:p>
        </w:tc>
        <w:tc>
          <w:tcPr>
            <w:tcW w:w="9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4106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φ465*5.7/φ360*5.7/φ125*3.1</w:t>
            </w:r>
          </w:p>
        </w:tc>
        <w:tc>
          <w:tcPr>
            <w:tcW w:w="8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A37A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三元乙丙</w:t>
            </w:r>
          </w:p>
        </w:tc>
        <w:tc>
          <w:tcPr>
            <w:tcW w:w="9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513D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EB79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144299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D3BA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3F57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机械密封</w:t>
            </w:r>
          </w:p>
        </w:tc>
        <w:tc>
          <w:tcPr>
            <w:tcW w:w="9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36F4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规格型号详见附图2</w:t>
            </w:r>
          </w:p>
        </w:tc>
        <w:tc>
          <w:tcPr>
            <w:tcW w:w="8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218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石墨+碳化硅</w:t>
            </w:r>
          </w:p>
        </w:tc>
        <w:tc>
          <w:tcPr>
            <w:tcW w:w="9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EBE6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2119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</w:tr>
      <w:tr w14:paraId="588B06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150E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7B4C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高强石墨垫</w:t>
            </w:r>
          </w:p>
        </w:tc>
        <w:tc>
          <w:tcPr>
            <w:tcW w:w="9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B53D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拆检测绘</w:t>
            </w:r>
          </w:p>
        </w:tc>
        <w:tc>
          <w:tcPr>
            <w:tcW w:w="8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617E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高强石墨</w:t>
            </w:r>
          </w:p>
        </w:tc>
        <w:tc>
          <w:tcPr>
            <w:tcW w:w="9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A30D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7C3D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</w:tr>
      <w:tr w14:paraId="331AFB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C96A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D8128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平衡套</w:t>
            </w:r>
          </w:p>
        </w:tc>
        <w:tc>
          <w:tcPr>
            <w:tcW w:w="9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C501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3DG-10-0011</w:t>
            </w:r>
          </w:p>
        </w:tc>
        <w:tc>
          <w:tcPr>
            <w:tcW w:w="8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F4EB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9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9112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B1D4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736D74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4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548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1D7B9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平衡盘</w:t>
            </w:r>
          </w:p>
        </w:tc>
        <w:tc>
          <w:tcPr>
            <w:tcW w:w="9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E892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GB3077-88</w:t>
            </w:r>
          </w:p>
        </w:tc>
        <w:tc>
          <w:tcPr>
            <w:tcW w:w="8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C296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S203</w:t>
            </w:r>
          </w:p>
        </w:tc>
        <w:tc>
          <w:tcPr>
            <w:tcW w:w="9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B84F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9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C880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</w:tbl>
    <w:p w14:paraId="4077ED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bookmarkStart w:id="0" w:name="OLE_LINK1"/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5.2根据实际检修情况，需确认是否更换备件清单</w:t>
      </w:r>
    </w:p>
    <w:bookmarkEnd w:id="0"/>
    <w:tbl>
      <w:tblPr>
        <w:tblStyle w:val="27"/>
        <w:tblW w:w="843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4"/>
        <w:gridCol w:w="1652"/>
        <w:gridCol w:w="1577"/>
        <w:gridCol w:w="1485"/>
        <w:gridCol w:w="1485"/>
        <w:gridCol w:w="1485"/>
      </w:tblGrid>
      <w:tr w14:paraId="6B66DA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49CE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33FD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DB6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型号/代号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923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材质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5B3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单位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2F8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数量</w:t>
            </w:r>
          </w:p>
        </w:tc>
      </w:tr>
      <w:tr w14:paraId="1BBCE9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051D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C0A6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第一级密封环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9F65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3DG10-0006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FC7B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6ADA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6001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5FE22D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459D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9085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导叶套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FC83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3DG10-0009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EE38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773C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D3FA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26A539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B39F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CD87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导叶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C3A5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2DGB-10-0001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3571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ZG1Cr13Ni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C5BA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CCA7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516D94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8235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10D70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次级密封环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9CC5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3DG10-0007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BD35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F6BB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BB3F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7FF044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B043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C5A97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挡套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CE76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E423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1BDC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F91A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60E0AF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208C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68D07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叶轮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48F4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GB2100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D789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ZG1Cr13Ni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D9BF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E440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10</w:t>
            </w:r>
          </w:p>
        </w:tc>
      </w:tr>
      <w:tr w14:paraId="2D0364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2D4C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64FE9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推力盘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271C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581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6509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F196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1E7950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4D67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A6308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推力轴承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99EB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F18B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RWA350+巴氏合金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E2C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1AA3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3DF63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C1FC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674E8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轴瓦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2B21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68A6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巴氏合金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2407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C0DF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</w:tr>
      <w:tr w14:paraId="1A7E69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ECF1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FEA62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止推瓦块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C406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D782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巴氏合金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55B7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6DF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4B5B85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96FF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ADCFE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泵轴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00C3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GB3077-88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EA6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40CrVA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F30A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根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0871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1EAD27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1127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A1B9A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进水段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4CE9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3DGB-0001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78A2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35(锻件)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CCF5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232B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4479D5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7407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48614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中段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1EB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2DGB-0006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A797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1Cr13(锻件)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44CE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7DF5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5B9139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CFD1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14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8322F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出水段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56FF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3DGB-0003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D1DC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35(锻件)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5F81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DAD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</w:tbl>
    <w:p w14:paraId="5D983AE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5.3</w:t>
      </w:r>
      <w:r>
        <w:rPr>
          <w:rFonts w:hint="eastAsia" w:ascii="宋体" w:hAnsi="宋体" w:eastAsia="宋体" w:cs="宋体"/>
          <w:sz w:val="24"/>
          <w:szCs w:val="24"/>
        </w:rPr>
        <w:t>根据实际检修情况，需确认可维修的备件清单</w:t>
      </w:r>
    </w:p>
    <w:tbl>
      <w:tblPr>
        <w:tblStyle w:val="27"/>
        <w:tblW w:w="843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4"/>
        <w:gridCol w:w="1652"/>
        <w:gridCol w:w="1577"/>
        <w:gridCol w:w="1485"/>
        <w:gridCol w:w="1485"/>
        <w:gridCol w:w="1485"/>
      </w:tblGrid>
      <w:tr w14:paraId="085927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EC3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4787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52E9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型号/代号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532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材质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303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单位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6E5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数量</w:t>
            </w:r>
          </w:p>
        </w:tc>
      </w:tr>
      <w:tr w14:paraId="1E5C24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8BF3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2D28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第一级密封环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36E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3DG10-0006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403A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DD92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A1BA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6294C0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4F41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32DE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导叶套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1FC4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3DG10-0009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2B20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99C9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9072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752C5C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4B8B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5FD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导叶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2084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2DGB-10-0001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4A2C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ZG1Cr13Ni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478A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9B1F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118042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FA50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32DE7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次级密封环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61A1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3DG10-0007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A126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574D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636D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4B9F9B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1DA4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E5DF2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挡套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4F6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65F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20DE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2A41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5A12B3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3BFF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C85DB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叶轮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D1C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GB2100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4B8E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ZG1Cr13Ni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4B64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71CA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10</w:t>
            </w:r>
          </w:p>
        </w:tc>
      </w:tr>
      <w:tr w14:paraId="32A993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5211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68006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推力盘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F1B6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8B77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17B6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只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9183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1E0994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8717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071B1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推力轴承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8E1F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CB88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RWA350+巴氏合金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F8B8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4679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1C2D85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09F9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50983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轴瓦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1D92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ADB5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巴氏合金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3D77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4717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</w:tr>
      <w:tr w14:paraId="766172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881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0C586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止推瓦块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6B17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2DGB-10CKJ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DF63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巴氏合金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B112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套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C413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74B48E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0E8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39259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泵轴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E9F1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GB3077-88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3759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40CrVA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78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根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A5C3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6DCA07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F293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F9977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进水段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1B0B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3DGB-0001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4A67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35(锻件)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2CDC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0ACA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  <w:tr w14:paraId="79DC46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D6D9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DEF15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中段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FC90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2DGB-0006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7033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1Cr13(锻件)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5ACB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AAE9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</w:tr>
      <w:tr w14:paraId="13A1D1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  <w:jc w:val="center"/>
        </w:trPr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0583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14</w:t>
            </w:r>
          </w:p>
        </w:tc>
        <w:tc>
          <w:tcPr>
            <w:tcW w:w="1652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7EFDD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出水段</w:t>
            </w:r>
          </w:p>
        </w:tc>
        <w:tc>
          <w:tcPr>
            <w:tcW w:w="15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E316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3DGB-0003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F08C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35(锻件)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BB9D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件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1CE3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</w:tr>
    </w:tbl>
    <w:p w14:paraId="33BE09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sz w:val="24"/>
          <w:szCs w:val="24"/>
        </w:rPr>
        <w:t>固定工作内容</w:t>
      </w:r>
    </w:p>
    <w:tbl>
      <w:tblPr>
        <w:tblStyle w:val="27"/>
        <w:tblW w:w="841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5"/>
        <w:gridCol w:w="2326"/>
        <w:gridCol w:w="4608"/>
      </w:tblGrid>
      <w:tr w14:paraId="355490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  <w:jc w:val="center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EAA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DF47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bidi="ar"/>
              </w:rPr>
              <w:t>名称</w:t>
            </w:r>
          </w:p>
        </w:tc>
        <w:tc>
          <w:tcPr>
            <w:tcW w:w="4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74A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bidi="ar"/>
              </w:rPr>
              <w:t>内容</w:t>
            </w:r>
          </w:p>
        </w:tc>
      </w:tr>
      <w:tr w14:paraId="7C415A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148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E21D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2326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E198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拆装</w:t>
            </w:r>
          </w:p>
        </w:tc>
        <w:tc>
          <w:tcPr>
            <w:tcW w:w="460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6BF1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拆装、除锈清洗、检测、喷漆</w:t>
            </w:r>
          </w:p>
        </w:tc>
      </w:tr>
      <w:tr w14:paraId="328847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  <w:jc w:val="center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831E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E5E6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高速动平衡</w:t>
            </w:r>
          </w:p>
        </w:tc>
        <w:tc>
          <w:tcPr>
            <w:tcW w:w="4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9E94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出具报告</w:t>
            </w:r>
          </w:p>
        </w:tc>
      </w:tr>
      <w:tr w14:paraId="0016F9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  <w:jc w:val="center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F800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117F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性能试验</w:t>
            </w:r>
          </w:p>
        </w:tc>
        <w:tc>
          <w:tcPr>
            <w:tcW w:w="4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4C1B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出具报告</w:t>
            </w:r>
          </w:p>
        </w:tc>
      </w:tr>
      <w:tr w14:paraId="01B54D6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  <w:jc w:val="center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861B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F67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往返运输</w:t>
            </w:r>
          </w:p>
        </w:tc>
        <w:tc>
          <w:tcPr>
            <w:tcW w:w="4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FF8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bidi="ar"/>
              </w:rPr>
              <w:t>汽车运输（总重4吨）</w:t>
            </w:r>
          </w:p>
        </w:tc>
      </w:tr>
    </w:tbl>
    <w:p w14:paraId="20D098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、工期要求（必填条款）</w:t>
      </w:r>
    </w:p>
    <w:p w14:paraId="266422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合同签订后，乙方30内完成检修交付甲方运行。 </w:t>
      </w:r>
    </w:p>
    <w:p w14:paraId="1148F3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、验收标准（必填条款）</w:t>
      </w:r>
    </w:p>
    <w:p w14:paraId="774122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（1）泵体各零部件表面上的污垢、锈蚀要清理干净，表面喷漆。</w:t>
      </w:r>
    </w:p>
    <w:p w14:paraId="6A8BAD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（2）泵修复回装后做降速性能试验。流量扬程指标符合原制造厂家标准。</w:t>
      </w:r>
    </w:p>
    <w:p w14:paraId="3DECB0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（3）泵体整体转动灵活、顺畅、无卡涩、无泄漏。各部位的无异常声响。</w:t>
      </w:r>
    </w:p>
    <w:p w14:paraId="3A00D5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（4）泵轴承体水平及垂直振动≤7.5mm/s（或≤0.04mm）、轴承温度≤65℃。</w:t>
      </w:r>
    </w:p>
    <w:p w14:paraId="57C03E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（5）检修后的机封冷却水能正常工作。</w:t>
      </w:r>
    </w:p>
    <w:p w14:paraId="4D6F57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sz w:val="24"/>
          <w:szCs w:val="24"/>
        </w:rPr>
        <w:t>、质保要求（必填条款）</w:t>
      </w:r>
    </w:p>
    <w:p w14:paraId="58C9FD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乙方需承诺，维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修</w:t>
      </w:r>
      <w:r>
        <w:rPr>
          <w:rFonts w:hint="eastAsia" w:ascii="宋体" w:hAnsi="宋体" w:eastAsia="宋体" w:cs="宋体"/>
          <w:sz w:val="24"/>
          <w:szCs w:val="24"/>
        </w:rPr>
        <w:t>造过的给水泵能够安全稳定运行，设备本体一年内不发生故障缺陷。</w:t>
      </w:r>
    </w:p>
    <w:p w14:paraId="05C9E9C4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七、</w:t>
      </w:r>
      <w:r>
        <w:rPr>
          <w:rFonts w:hint="eastAsia" w:ascii="宋体" w:hAnsi="宋体" w:eastAsia="宋体" w:cs="宋体"/>
          <w:sz w:val="24"/>
          <w:szCs w:val="24"/>
        </w:rPr>
        <w:t>维修单位的资质</w:t>
      </w:r>
    </w:p>
    <w:p w14:paraId="42040833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施工单位需提供3家以上多级给水泵的检修业绩。</w:t>
      </w:r>
    </w:p>
    <w:p w14:paraId="3DC87DA7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125095</wp:posOffset>
            </wp:positionV>
            <wp:extent cx="6837680" cy="4445635"/>
            <wp:effectExtent l="0" t="0" r="1270" b="1206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6198A9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62D4ED3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C61BF5D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97B1324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A706476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290D612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5EB7D2E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5A9AA5C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F9D8443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F971735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3B2D5A2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76C76F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C8E510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B5B899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C38F9A8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39C36EC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9591EB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8C66E73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16A0AD0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-53975</wp:posOffset>
            </wp:positionV>
            <wp:extent cx="6630670" cy="4305300"/>
            <wp:effectExtent l="0" t="0" r="17780" b="0"/>
            <wp:wrapNone/>
            <wp:docPr id="5" name="图片 6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1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19AA4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5DD86A4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5F2CFAD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D481D66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0E99DC0">
      <w:pPr>
        <w:keepNext w:val="0"/>
        <w:keepLines w:val="0"/>
        <w:pageBreakBefore w:val="0"/>
        <w:wordWrap/>
        <w:overflowPunct/>
        <w:topLinePunct w:val="0"/>
        <w:bidi w:val="0"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E80955"/>
    <w:multiLevelType w:val="singleLevel"/>
    <w:tmpl w:val="EEE8095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C99A6"/>
    <w:multiLevelType w:val="multilevel"/>
    <w:tmpl w:val="F78C99A6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2">
    <w:nsid w:val="FDD9FBE2"/>
    <w:multiLevelType w:val="singleLevel"/>
    <w:tmpl w:val="FDD9FBE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3">
    <w:nsid w:val="014B59F3"/>
    <w:multiLevelType w:val="singleLevel"/>
    <w:tmpl w:val="014B59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E3E146E"/>
    <w:multiLevelType w:val="multilevel"/>
    <w:tmpl w:val="2E3E146E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5">
    <w:nsid w:val="398EC267"/>
    <w:multiLevelType w:val="singleLevel"/>
    <w:tmpl w:val="398EC2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3E270DCF"/>
    <w:multiLevelType w:val="multilevel"/>
    <w:tmpl w:val="3E270DCF"/>
    <w:lvl w:ilvl="0" w:tentative="0">
      <w:start w:val="1"/>
      <w:numFmt w:val="decimal"/>
      <w:pStyle w:val="2"/>
      <w:suff w:val="space"/>
      <w:lvlText w:val="%1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/>
      </w:rPr>
    </w:lvl>
    <w:lvl w:ilvl="5" w:tentative="0">
      <w:start w:val="1"/>
      <w:numFmt w:val="decimal"/>
      <w:pStyle w:val="9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pStyle w:val="11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</w:abstractNum>
  <w:abstractNum w:abstractNumId="7">
    <w:nsid w:val="4F708CF4"/>
    <w:multiLevelType w:val="singleLevel"/>
    <w:tmpl w:val="4F708C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56AB95D3"/>
    <w:multiLevelType w:val="singleLevel"/>
    <w:tmpl w:val="56AB95D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9">
    <w:nsid w:val="657F2422"/>
    <w:multiLevelType w:val="singleLevel"/>
    <w:tmpl w:val="657F24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07852"/>
    <w:rsid w:val="00B2494E"/>
    <w:rsid w:val="010A7DD9"/>
    <w:rsid w:val="01AB4BCB"/>
    <w:rsid w:val="01E626CD"/>
    <w:rsid w:val="02380E83"/>
    <w:rsid w:val="027125E7"/>
    <w:rsid w:val="028C7BBC"/>
    <w:rsid w:val="028D7D74"/>
    <w:rsid w:val="02997ABE"/>
    <w:rsid w:val="02E84657"/>
    <w:rsid w:val="03661A20"/>
    <w:rsid w:val="037E6D6A"/>
    <w:rsid w:val="04473600"/>
    <w:rsid w:val="04673CA2"/>
    <w:rsid w:val="04EB042F"/>
    <w:rsid w:val="053E4A03"/>
    <w:rsid w:val="06D118A6"/>
    <w:rsid w:val="06FF6413"/>
    <w:rsid w:val="07A86AAB"/>
    <w:rsid w:val="07D16002"/>
    <w:rsid w:val="087814E9"/>
    <w:rsid w:val="091D3705"/>
    <w:rsid w:val="09D073A9"/>
    <w:rsid w:val="0AAC68B2"/>
    <w:rsid w:val="0AB654F5"/>
    <w:rsid w:val="0AD876A7"/>
    <w:rsid w:val="0B1408EB"/>
    <w:rsid w:val="0B977253"/>
    <w:rsid w:val="0B9A495D"/>
    <w:rsid w:val="0BE8391A"/>
    <w:rsid w:val="0C4C5CF7"/>
    <w:rsid w:val="0D4A5F0F"/>
    <w:rsid w:val="0D746DB5"/>
    <w:rsid w:val="0E497E38"/>
    <w:rsid w:val="0F9718DF"/>
    <w:rsid w:val="0FB26719"/>
    <w:rsid w:val="106612B1"/>
    <w:rsid w:val="107378B7"/>
    <w:rsid w:val="11027EB6"/>
    <w:rsid w:val="117E43EC"/>
    <w:rsid w:val="119C17B8"/>
    <w:rsid w:val="11D31D5B"/>
    <w:rsid w:val="12463148"/>
    <w:rsid w:val="12922C84"/>
    <w:rsid w:val="12DB5F87"/>
    <w:rsid w:val="12E52961"/>
    <w:rsid w:val="133B4C77"/>
    <w:rsid w:val="134678C7"/>
    <w:rsid w:val="147931F1"/>
    <w:rsid w:val="14CC4A41"/>
    <w:rsid w:val="14D05D11"/>
    <w:rsid w:val="15386004"/>
    <w:rsid w:val="15C90318"/>
    <w:rsid w:val="15F1304B"/>
    <w:rsid w:val="163A6CA3"/>
    <w:rsid w:val="169A7F07"/>
    <w:rsid w:val="17920BDE"/>
    <w:rsid w:val="17B172B6"/>
    <w:rsid w:val="17DE3E23"/>
    <w:rsid w:val="17FD24FB"/>
    <w:rsid w:val="18C33745"/>
    <w:rsid w:val="195F2D42"/>
    <w:rsid w:val="196A0064"/>
    <w:rsid w:val="197C38F4"/>
    <w:rsid w:val="19D61256"/>
    <w:rsid w:val="1A420699"/>
    <w:rsid w:val="1ABF1CEA"/>
    <w:rsid w:val="1AC612CA"/>
    <w:rsid w:val="1B4A2A90"/>
    <w:rsid w:val="1B6B3C20"/>
    <w:rsid w:val="1C0D408C"/>
    <w:rsid w:val="1C662D65"/>
    <w:rsid w:val="1CD221A8"/>
    <w:rsid w:val="1D024523"/>
    <w:rsid w:val="1D7C655F"/>
    <w:rsid w:val="1D883FE9"/>
    <w:rsid w:val="1DE55F0B"/>
    <w:rsid w:val="1E454BFC"/>
    <w:rsid w:val="1E9236E8"/>
    <w:rsid w:val="1EC21DA9"/>
    <w:rsid w:val="1EE44415"/>
    <w:rsid w:val="1F0625DD"/>
    <w:rsid w:val="1FF93EF0"/>
    <w:rsid w:val="200D34F7"/>
    <w:rsid w:val="20E0720E"/>
    <w:rsid w:val="228D7161"/>
    <w:rsid w:val="2298179E"/>
    <w:rsid w:val="23117159"/>
    <w:rsid w:val="2342795C"/>
    <w:rsid w:val="244E12D3"/>
    <w:rsid w:val="245D2963"/>
    <w:rsid w:val="247C629F"/>
    <w:rsid w:val="24960418"/>
    <w:rsid w:val="249E6E14"/>
    <w:rsid w:val="24E05525"/>
    <w:rsid w:val="2503117D"/>
    <w:rsid w:val="251D7528"/>
    <w:rsid w:val="2527505B"/>
    <w:rsid w:val="25EB286A"/>
    <w:rsid w:val="270A2BB5"/>
    <w:rsid w:val="27505DD9"/>
    <w:rsid w:val="293B24DD"/>
    <w:rsid w:val="295B7433"/>
    <w:rsid w:val="29695C42"/>
    <w:rsid w:val="29986528"/>
    <w:rsid w:val="2A035C0F"/>
    <w:rsid w:val="2A1758D5"/>
    <w:rsid w:val="2A895E70"/>
    <w:rsid w:val="2AAA3162"/>
    <w:rsid w:val="2B8C00D9"/>
    <w:rsid w:val="2C387B4E"/>
    <w:rsid w:val="2C5F50DB"/>
    <w:rsid w:val="2D6D29C6"/>
    <w:rsid w:val="2E187C37"/>
    <w:rsid w:val="2E730AF8"/>
    <w:rsid w:val="2EEE0779"/>
    <w:rsid w:val="2F4D1B62"/>
    <w:rsid w:val="30DA11D4"/>
    <w:rsid w:val="30F304E8"/>
    <w:rsid w:val="31215055"/>
    <w:rsid w:val="313136FF"/>
    <w:rsid w:val="31E06CBE"/>
    <w:rsid w:val="3260395B"/>
    <w:rsid w:val="3283574E"/>
    <w:rsid w:val="32F43417"/>
    <w:rsid w:val="34847DD4"/>
    <w:rsid w:val="35185323"/>
    <w:rsid w:val="356814A4"/>
    <w:rsid w:val="360867E3"/>
    <w:rsid w:val="363C7066"/>
    <w:rsid w:val="36F666FD"/>
    <w:rsid w:val="37092813"/>
    <w:rsid w:val="373F4487"/>
    <w:rsid w:val="3772660A"/>
    <w:rsid w:val="37E961A0"/>
    <w:rsid w:val="386C12AB"/>
    <w:rsid w:val="389C4005"/>
    <w:rsid w:val="38A00F55"/>
    <w:rsid w:val="39EB4452"/>
    <w:rsid w:val="3A3A2CE3"/>
    <w:rsid w:val="3A9C399E"/>
    <w:rsid w:val="3AB42A96"/>
    <w:rsid w:val="3AFE23CB"/>
    <w:rsid w:val="3BB07E68"/>
    <w:rsid w:val="3BBC60A6"/>
    <w:rsid w:val="3BC60CD2"/>
    <w:rsid w:val="3C355E58"/>
    <w:rsid w:val="3C9E39FD"/>
    <w:rsid w:val="3D6C58AA"/>
    <w:rsid w:val="3E7762B4"/>
    <w:rsid w:val="3F051B12"/>
    <w:rsid w:val="3F172887"/>
    <w:rsid w:val="3F584337"/>
    <w:rsid w:val="3FB25E7B"/>
    <w:rsid w:val="3FFF47B3"/>
    <w:rsid w:val="4084115C"/>
    <w:rsid w:val="409D71A2"/>
    <w:rsid w:val="40DC4AF4"/>
    <w:rsid w:val="40DE086C"/>
    <w:rsid w:val="418A23A2"/>
    <w:rsid w:val="41962EF5"/>
    <w:rsid w:val="41F12821"/>
    <w:rsid w:val="42F425C9"/>
    <w:rsid w:val="43594E0B"/>
    <w:rsid w:val="445C6678"/>
    <w:rsid w:val="44EB3558"/>
    <w:rsid w:val="45E36925"/>
    <w:rsid w:val="4609638B"/>
    <w:rsid w:val="47424128"/>
    <w:rsid w:val="486036B2"/>
    <w:rsid w:val="490C7F41"/>
    <w:rsid w:val="496658A3"/>
    <w:rsid w:val="4A3634C7"/>
    <w:rsid w:val="4AC251FD"/>
    <w:rsid w:val="4AD827D0"/>
    <w:rsid w:val="4AE1260F"/>
    <w:rsid w:val="4BD96800"/>
    <w:rsid w:val="4C613484"/>
    <w:rsid w:val="4CA010CC"/>
    <w:rsid w:val="4CE2021B"/>
    <w:rsid w:val="4D18678F"/>
    <w:rsid w:val="4D5048A0"/>
    <w:rsid w:val="4E680654"/>
    <w:rsid w:val="4E9C455D"/>
    <w:rsid w:val="4F3D2C02"/>
    <w:rsid w:val="4F42646A"/>
    <w:rsid w:val="4F6E725F"/>
    <w:rsid w:val="50CA6717"/>
    <w:rsid w:val="513A2283"/>
    <w:rsid w:val="518C1C1F"/>
    <w:rsid w:val="51CB2747"/>
    <w:rsid w:val="52374280"/>
    <w:rsid w:val="52662470"/>
    <w:rsid w:val="527B23BF"/>
    <w:rsid w:val="52FB5CEB"/>
    <w:rsid w:val="530103EA"/>
    <w:rsid w:val="53D8739D"/>
    <w:rsid w:val="549270A0"/>
    <w:rsid w:val="54FE1085"/>
    <w:rsid w:val="550661CF"/>
    <w:rsid w:val="55286102"/>
    <w:rsid w:val="556E620B"/>
    <w:rsid w:val="56CB7ABF"/>
    <w:rsid w:val="58113834"/>
    <w:rsid w:val="58C16652"/>
    <w:rsid w:val="59934492"/>
    <w:rsid w:val="59993355"/>
    <w:rsid w:val="59AE4AAE"/>
    <w:rsid w:val="59B9557B"/>
    <w:rsid w:val="59DB3743"/>
    <w:rsid w:val="5A113609"/>
    <w:rsid w:val="5A4D36A5"/>
    <w:rsid w:val="5A604B37"/>
    <w:rsid w:val="5A702373"/>
    <w:rsid w:val="5B975D90"/>
    <w:rsid w:val="5C274FC8"/>
    <w:rsid w:val="5C8A1451"/>
    <w:rsid w:val="5CB577A7"/>
    <w:rsid w:val="5EFB5B8B"/>
    <w:rsid w:val="5F092B01"/>
    <w:rsid w:val="5F746106"/>
    <w:rsid w:val="5FED582A"/>
    <w:rsid w:val="601E082E"/>
    <w:rsid w:val="60681AA9"/>
    <w:rsid w:val="615736B4"/>
    <w:rsid w:val="61C07816"/>
    <w:rsid w:val="626F711E"/>
    <w:rsid w:val="6326564D"/>
    <w:rsid w:val="63F87D96"/>
    <w:rsid w:val="641C32D6"/>
    <w:rsid w:val="64B43F9C"/>
    <w:rsid w:val="64B90B25"/>
    <w:rsid w:val="64C363ED"/>
    <w:rsid w:val="65FC33BF"/>
    <w:rsid w:val="66467226"/>
    <w:rsid w:val="66B9305E"/>
    <w:rsid w:val="679824B3"/>
    <w:rsid w:val="679A4C3E"/>
    <w:rsid w:val="67CB4700"/>
    <w:rsid w:val="67E22141"/>
    <w:rsid w:val="681E586F"/>
    <w:rsid w:val="687C2595"/>
    <w:rsid w:val="689717D8"/>
    <w:rsid w:val="694037F5"/>
    <w:rsid w:val="694A38A3"/>
    <w:rsid w:val="69605A13"/>
    <w:rsid w:val="697E40EB"/>
    <w:rsid w:val="69EC72A7"/>
    <w:rsid w:val="6A38073E"/>
    <w:rsid w:val="6B212499"/>
    <w:rsid w:val="6BD57112"/>
    <w:rsid w:val="6C0A7EB8"/>
    <w:rsid w:val="6D042B59"/>
    <w:rsid w:val="6D2B076D"/>
    <w:rsid w:val="6D2D0302"/>
    <w:rsid w:val="6D6F0E6D"/>
    <w:rsid w:val="6D981C1F"/>
    <w:rsid w:val="6DD76B71"/>
    <w:rsid w:val="6E0A23F1"/>
    <w:rsid w:val="6EC707D9"/>
    <w:rsid w:val="6ECE1671"/>
    <w:rsid w:val="70634A52"/>
    <w:rsid w:val="70742BE9"/>
    <w:rsid w:val="70883BA0"/>
    <w:rsid w:val="70F750B1"/>
    <w:rsid w:val="7137174F"/>
    <w:rsid w:val="72565C05"/>
    <w:rsid w:val="72E66F89"/>
    <w:rsid w:val="75397D24"/>
    <w:rsid w:val="75894543"/>
    <w:rsid w:val="75C31803"/>
    <w:rsid w:val="76FF1EB5"/>
    <w:rsid w:val="777C0999"/>
    <w:rsid w:val="7839272E"/>
    <w:rsid w:val="78E26444"/>
    <w:rsid w:val="78F9553C"/>
    <w:rsid w:val="78FE2B52"/>
    <w:rsid w:val="7902536C"/>
    <w:rsid w:val="79295E21"/>
    <w:rsid w:val="7A5E7D4D"/>
    <w:rsid w:val="7A995229"/>
    <w:rsid w:val="7B106F4E"/>
    <w:rsid w:val="7BFC15CB"/>
    <w:rsid w:val="7BFF730D"/>
    <w:rsid w:val="7C0C5586"/>
    <w:rsid w:val="7CED7166"/>
    <w:rsid w:val="7D197F5B"/>
    <w:rsid w:val="7EE03426"/>
    <w:rsid w:val="7EF26CB5"/>
    <w:rsid w:val="7F2C0419"/>
    <w:rsid w:val="7F824029"/>
    <w:rsid w:val="7FDC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after="20" w:afterLines="20" w:line="288" w:lineRule="auto"/>
      <w:jc w:val="both"/>
    </w:pPr>
    <w:rPr>
      <w:rFonts w:eastAsia="微软雅黑" w:asciiTheme="minorAscii" w:hAnsiTheme="minorAscii" w:cstheme="minorBidi"/>
      <w:snapToGrid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numPr>
        <w:ilvl w:val="0"/>
        <w:numId w:val="1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0"/>
    </w:pPr>
    <w:rPr>
      <w:rFonts w:ascii="微软雅黑" w:hAnsi="微软雅黑" w:eastAsia="微软雅黑" w:cstheme="minorBidi"/>
      <w:b/>
      <w:bCs/>
      <w:kern w:val="44"/>
      <w:sz w:val="36"/>
      <w:szCs w:val="36"/>
    </w:rPr>
  </w:style>
  <w:style w:type="paragraph" w:styleId="3">
    <w:name w:val="heading 2"/>
    <w:next w:val="1"/>
    <w:unhideWhenUsed/>
    <w:qFormat/>
    <w:uiPriority w:val="9"/>
    <w:pPr>
      <w:numPr>
        <w:ilvl w:val="1"/>
        <w:numId w:val="1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1"/>
    </w:pPr>
    <w:rPr>
      <w:rFonts w:ascii="微软雅黑" w:hAnsi="微软雅黑" w:eastAsia="微软雅黑" w:cstheme="minorBidi"/>
      <w:b/>
      <w:bCs/>
      <w:kern w:val="2"/>
      <w:sz w:val="32"/>
      <w:szCs w:val="32"/>
    </w:rPr>
  </w:style>
  <w:style w:type="paragraph" w:styleId="4">
    <w:name w:val="heading 3"/>
    <w:next w:val="1"/>
    <w:unhideWhenUsed/>
    <w:qFormat/>
    <w:uiPriority w:val="9"/>
    <w:pPr>
      <w:numPr>
        <w:ilvl w:val="2"/>
        <w:numId w:val="1"/>
      </w:numPr>
      <w:tabs>
        <w:tab w:val="left" w:pos="0"/>
        <w:tab w:val="left" w:pos="312"/>
      </w:tabs>
      <w:adjustRightInd w:val="0"/>
      <w:snapToGrid w:val="0"/>
      <w:spacing w:before="50" w:beforeLines="50" w:after="20" w:afterLines="20" w:line="288" w:lineRule="auto"/>
      <w:ind w:left="0" w:firstLine="0"/>
      <w:outlineLvl w:val="2"/>
    </w:pPr>
    <w:rPr>
      <w:rFonts w:ascii="微软雅黑" w:hAnsi="微软雅黑" w:eastAsia="微软雅黑" w:cstheme="minorBidi"/>
      <w:b/>
      <w:kern w:val="2"/>
      <w:sz w:val="30"/>
      <w:szCs w:val="30"/>
    </w:rPr>
  </w:style>
  <w:style w:type="paragraph" w:styleId="5">
    <w:name w:val="heading 4"/>
    <w:next w:val="1"/>
    <w:unhideWhenUsed/>
    <w:qFormat/>
    <w:uiPriority w:val="9"/>
    <w:pPr>
      <w:numPr>
        <w:ilvl w:val="3"/>
        <w:numId w:val="1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3"/>
    </w:pPr>
    <w:rPr>
      <w:rFonts w:ascii="微软雅黑" w:hAnsi="微软雅黑" w:eastAsia="微软雅黑" w:cstheme="minorBidi"/>
      <w:b/>
      <w:bCs/>
      <w:sz w:val="28"/>
      <w:szCs w:val="28"/>
    </w:rPr>
  </w:style>
  <w:style w:type="paragraph" w:styleId="6">
    <w:name w:val="heading 5"/>
    <w:basedOn w:val="1"/>
    <w:next w:val="7"/>
    <w:unhideWhenUsed/>
    <w:qFormat/>
    <w:uiPriority w:val="9"/>
    <w:pPr>
      <w:numPr>
        <w:ilvl w:val="4"/>
        <w:numId w:val="1"/>
      </w:numPr>
      <w:tabs>
        <w:tab w:val="left" w:pos="312"/>
      </w:tabs>
      <w:spacing w:before="50" w:beforeLines="50" w:after="20" w:afterLines="20"/>
      <w:ind w:left="0" w:firstLine="0"/>
      <w:jc w:val="left"/>
      <w:outlineLvl w:val="4"/>
    </w:pPr>
    <w:rPr>
      <w:rFonts w:ascii="Arial" w:hAnsi="Arial"/>
      <w:b/>
      <w:sz w:val="24"/>
      <w:szCs w:val="22"/>
    </w:rPr>
  </w:style>
  <w:style w:type="paragraph" w:styleId="9">
    <w:name w:val="heading 6"/>
    <w:basedOn w:val="1"/>
    <w:next w:val="7"/>
    <w:unhideWhenUsed/>
    <w:qFormat/>
    <w:uiPriority w:val="0"/>
    <w:pPr>
      <w:numPr>
        <w:ilvl w:val="5"/>
        <w:numId w:val="1"/>
      </w:numPr>
      <w:tabs>
        <w:tab w:val="left" w:pos="0"/>
      </w:tabs>
      <w:spacing w:before="50" w:beforeLines="50" w:after="20" w:afterLines="20" w:line="288" w:lineRule="auto"/>
      <w:ind w:left="0" w:firstLine="0"/>
      <w:outlineLvl w:val="5"/>
    </w:pPr>
    <w:rPr>
      <w:rFonts w:ascii="微软雅黑" w:hAnsi="微软雅黑"/>
      <w:b/>
      <w:bCs/>
      <w:sz w:val="24"/>
    </w:rPr>
  </w:style>
  <w:style w:type="paragraph" w:styleId="10">
    <w:name w:val="heading 7"/>
    <w:basedOn w:val="1"/>
    <w:next w:val="7"/>
    <w:unhideWhenUsed/>
    <w:qFormat/>
    <w:uiPriority w:val="0"/>
    <w:pPr>
      <w:numPr>
        <w:ilvl w:val="6"/>
        <w:numId w:val="1"/>
      </w:numPr>
      <w:spacing w:before="50" w:beforeLines="50" w:after="20" w:afterLines="20" w:line="288" w:lineRule="auto"/>
      <w:ind w:left="0" w:firstLine="0"/>
      <w:jc w:val="left"/>
      <w:outlineLvl w:val="6"/>
    </w:pPr>
    <w:rPr>
      <w:rFonts w:ascii="微软雅黑" w:hAnsi="微软雅黑"/>
      <w:b/>
      <w:bCs/>
      <w:sz w:val="24"/>
    </w:rPr>
  </w:style>
  <w:style w:type="paragraph" w:styleId="11">
    <w:name w:val="heading 8"/>
    <w:basedOn w:val="1"/>
    <w:next w:val="7"/>
    <w:unhideWhenUsed/>
    <w:qFormat/>
    <w:uiPriority w:val="0"/>
    <w:pPr>
      <w:numPr>
        <w:ilvl w:val="7"/>
        <w:numId w:val="1"/>
      </w:numPr>
      <w:tabs>
        <w:tab w:val="left" w:pos="0"/>
      </w:tabs>
      <w:spacing w:before="50" w:beforeLines="50" w:after="20" w:afterLines="20" w:line="288" w:lineRule="auto"/>
      <w:ind w:left="0" w:firstLine="0"/>
      <w:outlineLvl w:val="7"/>
    </w:pPr>
    <w:rPr>
      <w:rFonts w:ascii="微软雅黑" w:hAnsi="微软雅黑" w:cstheme="majorBidi"/>
      <w:b/>
      <w:bCs/>
      <w:sz w:val="24"/>
    </w:rPr>
  </w:style>
  <w:style w:type="paragraph" w:styleId="12">
    <w:name w:val="heading 9"/>
    <w:basedOn w:val="1"/>
    <w:next w:val="7"/>
    <w:unhideWhenUsed/>
    <w:qFormat/>
    <w:uiPriority w:val="0"/>
    <w:pPr>
      <w:numPr>
        <w:ilvl w:val="8"/>
        <w:numId w:val="1"/>
      </w:numPr>
      <w:spacing w:before="50" w:beforeLines="50" w:after="20" w:afterLines="20" w:line="288" w:lineRule="auto"/>
      <w:ind w:left="0" w:firstLine="0"/>
      <w:outlineLvl w:val="8"/>
    </w:pPr>
    <w:rPr>
      <w:rFonts w:ascii="微软雅黑" w:hAnsi="微软雅黑" w:cstheme="majorBidi"/>
      <w:b/>
      <w:bCs/>
      <w:sz w:val="24"/>
      <w:szCs w:val="24"/>
    </w:rPr>
  </w:style>
  <w:style w:type="character" w:default="1" w:styleId="28">
    <w:name w:val="Default Paragraph Font"/>
    <w:semiHidden/>
    <w:qFormat/>
    <w:uiPriority w:val="0"/>
  </w:style>
  <w:style w:type="table" w:default="1" w:styleId="2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next w:val="8"/>
    <w:qFormat/>
    <w:uiPriority w:val="0"/>
    <w:pPr>
      <w:spacing w:after="20" w:afterLines="20" w:afterAutospacing="0" w:line="288" w:lineRule="auto"/>
      <w:ind w:firstLine="0" w:firstLineChars="0"/>
    </w:pPr>
    <w:rPr>
      <w:rFonts w:ascii="微软雅黑" w:hAnsi="微软雅黑"/>
      <w:szCs w:val="21"/>
    </w:rPr>
  </w:style>
  <w:style w:type="paragraph" w:styleId="8">
    <w:name w:val="Plain Text"/>
    <w:basedOn w:val="1"/>
    <w:qFormat/>
    <w:uiPriority w:val="0"/>
    <w:rPr>
      <w:rFonts w:ascii="宋体" w:hAnsi="Courier New"/>
    </w:rPr>
  </w:style>
  <w:style w:type="paragraph" w:styleId="13">
    <w:name w:val="caption"/>
    <w:basedOn w:val="1"/>
    <w:next w:val="1"/>
    <w:unhideWhenUsed/>
    <w:qFormat/>
    <w:uiPriority w:val="0"/>
    <w:pPr>
      <w:ind w:firstLine="0" w:firstLineChars="0"/>
    </w:pPr>
    <w:rPr>
      <w:rFonts w:ascii="微软雅黑" w:hAnsi="微软雅黑" w:cs="Times New Roman"/>
      <w:sz w:val="20"/>
      <w:szCs w:val="20"/>
    </w:rPr>
  </w:style>
  <w:style w:type="paragraph" w:styleId="14">
    <w:name w:val="annotation text"/>
    <w:basedOn w:val="1"/>
    <w:qFormat/>
    <w:uiPriority w:val="0"/>
    <w:pPr>
      <w:jc w:val="lef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5">
    <w:name w:val="Salutation"/>
    <w:basedOn w:val="1"/>
    <w:next w:val="1"/>
    <w:qFormat/>
    <w:uiPriority w:val="0"/>
    <w:pPr>
      <w:ind w:firstLine="0" w:firstLineChars="0"/>
    </w:pPr>
    <w:rPr>
      <w:rFonts w:ascii="微软雅黑" w:hAnsi="微软雅黑"/>
      <w:szCs w:val="21"/>
    </w:rPr>
  </w:style>
  <w:style w:type="paragraph" w:styleId="16">
    <w:name w:val="Date"/>
    <w:basedOn w:val="1"/>
    <w:next w:val="1"/>
    <w:qFormat/>
    <w:uiPriority w:val="0"/>
    <w:pPr>
      <w:ind w:firstLine="0" w:firstLineChars="0"/>
      <w:jc w:val="righ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7">
    <w:name w:val="endnote text"/>
    <w:basedOn w:val="1"/>
    <w:qFormat/>
    <w:uiPriority w:val="0"/>
    <w:pPr>
      <w:jc w:val="lef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8">
    <w:name w:val="Balloon Text"/>
    <w:basedOn w:val="1"/>
    <w:qFormat/>
    <w:uiPriority w:val="0"/>
    <w:rPr>
      <w:rFonts w:ascii="微软雅黑" w:hAnsi="微软雅黑"/>
      <w:sz w:val="18"/>
      <w:szCs w:val="18"/>
    </w:rPr>
  </w:style>
  <w:style w:type="paragraph" w:styleId="19">
    <w:name w:val="footer"/>
    <w:basedOn w:val="1"/>
    <w:qFormat/>
    <w:uiPriority w:val="0"/>
    <w:pPr>
      <w:tabs>
        <w:tab w:val="center" w:pos="4153"/>
        <w:tab w:val="right" w:pos="8306"/>
      </w:tabs>
      <w:ind w:firstLine="0" w:firstLineChars="0"/>
      <w:jc w:val="left"/>
    </w:pPr>
    <w:rPr>
      <w:rFonts w:ascii="微软雅黑" w:hAnsi="微软雅黑"/>
      <w:sz w:val="18"/>
      <w:szCs w:val="18"/>
    </w:rPr>
  </w:style>
  <w:style w:type="paragraph" w:styleId="2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  <w:ind w:firstLine="0" w:firstLineChars="0"/>
    </w:pPr>
    <w:rPr>
      <w:rFonts w:ascii="微软雅黑" w:hAnsi="微软雅黑"/>
      <w:sz w:val="18"/>
      <w:szCs w:val="18"/>
    </w:rPr>
  </w:style>
  <w:style w:type="paragraph" w:styleId="21">
    <w:name w:val="Signature"/>
    <w:basedOn w:val="1"/>
    <w:qFormat/>
    <w:uiPriority w:val="0"/>
    <w:pPr>
      <w:ind w:firstLine="0" w:firstLineChars="0"/>
      <w:jc w:val="righ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2">
    <w:name w:val="Subtitle"/>
    <w:basedOn w:val="1"/>
    <w:next w:val="7"/>
    <w:qFormat/>
    <w:uiPriority w:val="0"/>
    <w:pPr>
      <w:spacing w:beforeLines="0" w:beforeAutospacing="0" w:after="100" w:afterLines="100" w:afterAutospacing="0" w:line="240" w:lineRule="auto"/>
      <w:jc w:val="center"/>
      <w:outlineLvl w:val="9"/>
    </w:pPr>
    <w:rPr>
      <w:rFonts w:ascii="微软雅黑" w:hAnsi="微软雅黑"/>
      <w:b/>
      <w:bCs/>
      <w:kern w:val="28"/>
      <w:sz w:val="36"/>
      <w:szCs w:val="36"/>
    </w:rPr>
  </w:style>
  <w:style w:type="paragraph" w:styleId="23">
    <w:name w:val="footnote text"/>
    <w:basedOn w:val="1"/>
    <w:qFormat/>
    <w:uiPriority w:val="0"/>
    <w:pPr>
      <w:jc w:val="left"/>
    </w:pPr>
    <w:rPr>
      <w:rFonts w:ascii="微软雅黑" w:hAnsi="微软雅黑" w:eastAsia="微软雅黑"/>
      <w:sz w:val="24"/>
    </w:rPr>
  </w:style>
  <w:style w:type="paragraph" w:styleId="24">
    <w:name w:val="Normal (Web)"/>
    <w:basedOn w:val="1"/>
    <w:qFormat/>
    <w:uiPriority w:val="0"/>
    <w:rPr>
      <w:rFonts w:ascii="微软雅黑" w:hAnsi="微软雅黑"/>
      <w:sz w:val="24"/>
    </w:rPr>
  </w:style>
  <w:style w:type="paragraph" w:styleId="25">
    <w:name w:val="Title"/>
    <w:basedOn w:val="1"/>
    <w:qFormat/>
    <w:uiPriority w:val="10"/>
    <w:pPr>
      <w:spacing w:after="100" w:afterLines="100" w:line="288" w:lineRule="auto"/>
      <w:jc w:val="center"/>
      <w:outlineLvl w:val="9"/>
    </w:pPr>
    <w:rPr>
      <w:rFonts w:ascii="微软雅黑" w:hAnsi="微软雅黑"/>
      <w:b/>
      <w:bCs/>
      <w:sz w:val="48"/>
      <w:szCs w:val="48"/>
    </w:rPr>
  </w:style>
  <w:style w:type="paragraph" w:styleId="26">
    <w:name w:val="annotation subject"/>
    <w:basedOn w:val="14"/>
    <w:next w:val="14"/>
    <w:qFormat/>
    <w:uiPriority w:val="0"/>
    <w:rPr>
      <w:b/>
      <w:bCs/>
    </w:rPr>
  </w:style>
  <w:style w:type="character" w:styleId="29">
    <w:name w:val="Strong"/>
    <w:basedOn w:val="28"/>
    <w:qFormat/>
    <w:uiPriority w:val="22"/>
    <w:rPr>
      <w:rFonts w:ascii="微软雅黑" w:hAnsi="微软雅黑" w:eastAsia="微软雅黑"/>
      <w:b/>
      <w:color w:val="auto"/>
      <w:u w:val="single"/>
    </w:rPr>
  </w:style>
  <w:style w:type="character" w:styleId="30">
    <w:name w:val="endnote reference"/>
    <w:basedOn w:val="28"/>
    <w:qFormat/>
    <w:uiPriority w:val="0"/>
    <w:rPr>
      <w:rFonts w:ascii="微软雅黑" w:hAnsi="微软雅黑" w:eastAsia="微软雅黑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page number"/>
    <w:qFormat/>
    <w:uiPriority w:val="0"/>
    <w:rPr>
      <w:rFonts w:ascii="微软雅黑" w:hAnsi="微软雅黑" w:eastAsia="微软雅黑" w:cs="Times New Roman"/>
      <w:color w:val="262626" w:themeColor="text1" w:themeTint="D9"/>
      <w:spacing w:val="-6"/>
      <w:kern w:val="2"/>
      <w:sz w:val="21"/>
      <w:szCs w:val="21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FollowedHyperlink"/>
    <w:basedOn w:val="28"/>
    <w:qFormat/>
    <w:uiPriority w:val="0"/>
    <w:rPr>
      <w:rFonts w:ascii="微软雅黑" w:hAnsi="微软雅黑" w:eastAsia="微软雅黑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33">
    <w:name w:val="Emphasis"/>
    <w:basedOn w:val="28"/>
    <w:qFormat/>
    <w:uiPriority w:val="20"/>
    <w:rPr>
      <w:rFonts w:ascii="Arial" w:hAnsi="Arial" w:eastAsia="微软雅黑"/>
      <w:b/>
      <w:bCs/>
      <w:i/>
      <w:color w:val="auto"/>
      <w:sz w:val="24"/>
      <w:szCs w:val="22"/>
    </w:rPr>
  </w:style>
  <w:style w:type="character" w:styleId="34">
    <w:name w:val="Hyperlink"/>
    <w:basedOn w:val="28"/>
    <w:qFormat/>
    <w:uiPriority w:val="0"/>
    <w:rPr>
      <w:rFonts w:ascii="微软雅黑" w:hAnsi="微软雅黑" w:eastAsia="微软雅黑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35">
    <w:name w:val="annotation reference"/>
    <w:basedOn w:val="28"/>
    <w:qFormat/>
    <w:uiPriority w:val="0"/>
    <w:rPr>
      <w:rFonts w:ascii="微软雅黑" w:hAnsi="微软雅黑" w:eastAsia="微软雅黑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6">
    <w:name w:val="footnote reference"/>
    <w:basedOn w:val="28"/>
    <w:qFormat/>
    <w:uiPriority w:val="0"/>
    <w:rPr>
      <w:rFonts w:ascii="微软雅黑" w:hAnsi="微软雅黑" w:eastAsia="微软雅黑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7">
    <w:name w:val="font91"/>
    <w:basedOn w:val="28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38">
    <w:name w:val="font101"/>
    <w:basedOn w:val="28"/>
    <w:qFormat/>
    <w:uiPriority w:val="0"/>
    <w:rPr>
      <w:rFonts w:hint="default" w:ascii="Times New Roman" w:hAnsi="Times New Roman" w:cs="Times New Roman"/>
      <w:color w:val="000000"/>
      <w:sz w:val="16"/>
      <w:szCs w:val="16"/>
      <w:u w:val="none"/>
    </w:rPr>
  </w:style>
  <w:style w:type="character" w:customStyle="1" w:styleId="39">
    <w:name w:val="font41"/>
    <w:basedOn w:val="2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0">
    <w:name w:val="font112"/>
    <w:basedOn w:val="28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character" w:customStyle="1" w:styleId="41">
    <w:name w:val="font21"/>
    <w:basedOn w:val="2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2">
    <w:name w:val="font31"/>
    <w:basedOn w:val="28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43">
    <w:name w:val="font11"/>
    <w:basedOn w:val="28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44">
    <w:name w:val="font81"/>
    <w:basedOn w:val="2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5">
    <w:name w:val="font71"/>
    <w:basedOn w:val="28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tif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3285</Words>
  <Characters>3573</Characters>
  <Lines>0</Lines>
  <Paragraphs>0</Paragraphs>
  <TotalTime>0</TotalTime>
  <ScaleCrop>false</ScaleCrop>
  <LinksUpToDate>false</LinksUpToDate>
  <CharactersWithSpaces>3695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2026-01-12T07:13:00Z</dcterms:created>
  <dc:creator>Administrator</dc:creator>
  <cp:lastModifiedBy>WPS_1770259188</cp:lastModifiedBy>
  <cp:lastPrinted>2026-01-13T08:37:00Z</cp:lastPrinted>
  <dcterms:modified xsi:type="dcterms:W3CDTF">2026-04-02T03:15:19Z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eyJoZGlkIjoiOTlhNDc2MWFiNjFlZWVhNTNmZDRkZTM0YWU4MWYxNzUiLCJ1c2VySWQiOiIxODAwNDc0MDQzIn0=</vt:lpwstr>
  </property>
  <property fmtid="{D5CDD505-2E9C-101B-9397-08002B2CF9AE}" pid="4" name="ICV">
    <vt:lpwstr>AC08B15DEC824E5996F0D7D741009FFB_12</vt:lpwstr>
  </property>
</Properties>
</file>