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553F4">
      <w:pPr>
        <w:spacing w:line="600" w:lineRule="exact"/>
        <w:jc w:val="center"/>
        <w:rPr>
          <w:rFonts w:hint="eastAsia" w:ascii="方正小标宋简体" w:hAnsi="黑体" w:eastAsia="方正小标宋简体" w:cs="黑体"/>
          <w:color w:val="auto"/>
          <w:sz w:val="44"/>
          <w:szCs w:val="44"/>
          <w:lang w:val="en-US" w:eastAsia="zh-CN"/>
        </w:rPr>
      </w:pPr>
      <w:r>
        <w:rPr>
          <w:rFonts w:hint="eastAsia" w:ascii="方正小标宋简体" w:hAnsi="黑体" w:eastAsia="方正小标宋简体" w:cs="黑体"/>
          <w:color w:val="auto"/>
          <w:sz w:val="44"/>
          <w:szCs w:val="44"/>
        </w:rPr>
        <w:t>电动执行机构技术规范</w:t>
      </w:r>
      <w:r>
        <w:rPr>
          <w:rFonts w:hint="eastAsia" w:ascii="方正小标宋简体" w:hAnsi="黑体" w:eastAsia="方正小标宋简体" w:cs="黑体"/>
          <w:color w:val="auto"/>
          <w:sz w:val="44"/>
          <w:szCs w:val="44"/>
          <w:lang w:val="en-US" w:eastAsia="zh-CN"/>
        </w:rPr>
        <w:t>书</w:t>
      </w:r>
    </w:p>
    <w:p w14:paraId="65D2D3BB">
      <w:pPr>
        <w:spacing w:line="600" w:lineRule="exact"/>
        <w:rPr>
          <w:rFonts w:ascii="黑体" w:hAnsi="黑体" w:eastAsia="黑体" w:cs="仿宋_GB2312"/>
          <w:color w:val="auto"/>
          <w:sz w:val="34"/>
          <w:szCs w:val="34"/>
        </w:rPr>
      </w:pPr>
      <w:r>
        <w:rPr>
          <w:rFonts w:hint="eastAsia" w:ascii="黑体" w:hAnsi="黑体" w:eastAsia="黑体" w:cs="仿宋_GB2312"/>
          <w:color w:val="auto"/>
          <w:sz w:val="34"/>
          <w:szCs w:val="34"/>
        </w:rPr>
        <w:t>一、总则</w:t>
      </w:r>
    </w:p>
    <w:p w14:paraId="2277C95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本技术规范书适用于</w:t>
      </w:r>
      <w:r>
        <w:rPr>
          <w:rFonts w:hint="eastAsia"/>
          <w:b/>
          <w:bCs/>
          <w:color w:val="auto"/>
          <w:sz w:val="24"/>
          <w:szCs w:val="24"/>
          <w:lang w:val="en-US" w:eastAsia="zh-CN"/>
        </w:rPr>
        <w:t>江苏索普化工股份有限公司硫酸装置智能化改造项目使用的电动执行机构，其中包含6台开关型、1台调节型。</w:t>
      </w:r>
      <w:r>
        <w:rPr>
          <w:rFonts w:hint="eastAsia"/>
          <w:color w:val="auto"/>
          <w:sz w:val="24"/>
          <w:szCs w:val="24"/>
          <w:lang w:val="en-US" w:eastAsia="zh-CN"/>
        </w:rPr>
        <w:t>本规格书明确了电动执行机构的设计、制造、装配、检验、运转测试、采办文件、包装与运输的最低要求，并未对一切技术细节作出规定，也未充分引述有关标准和规范的条文。报价人应保证提供符合本技术规格书和有关国际标准、国家标准的高性能的优质产品。</w:t>
      </w:r>
    </w:p>
    <w:p w14:paraId="3A1744E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bookmarkStart w:id="0" w:name="_Toc137188124"/>
      <w:bookmarkStart w:id="1" w:name="_Toc137193788"/>
      <w:bookmarkStart w:id="2" w:name="_Toc137187752"/>
      <w:bookmarkStart w:id="3" w:name="_Toc137190318"/>
      <w:r>
        <w:rPr>
          <w:rFonts w:hint="eastAsia"/>
          <w:color w:val="auto"/>
          <w:sz w:val="24"/>
          <w:szCs w:val="24"/>
          <w:lang w:val="en-US" w:eastAsia="zh-CN"/>
        </w:rPr>
        <w:t>报价人应对本技术规格书中所列明的各项内容和要求逐项作出明确的响应，不能简单地应答满足或不满足。如不按本技术规格书的要求做出应答或所提供的资料不能满足要求，询价人有权拒绝报价人的产品。</w:t>
      </w:r>
      <w:bookmarkEnd w:id="0"/>
      <w:bookmarkEnd w:id="1"/>
      <w:bookmarkEnd w:id="2"/>
      <w:bookmarkEnd w:id="3"/>
    </w:p>
    <w:p w14:paraId="4A5152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bookmarkStart w:id="4" w:name="_Toc137190319"/>
      <w:bookmarkStart w:id="5" w:name="_Toc137187753"/>
      <w:bookmarkStart w:id="6" w:name="_Toc137193789"/>
      <w:bookmarkStart w:id="7" w:name="_Toc137188125"/>
      <w:r>
        <w:rPr>
          <w:rFonts w:hint="eastAsia"/>
          <w:color w:val="auto"/>
          <w:sz w:val="24"/>
          <w:szCs w:val="24"/>
          <w:lang w:val="en-US" w:eastAsia="zh-CN"/>
        </w:rPr>
        <w:t>如果报价产品的技术性能、指标低于或不符合本技术规格书所提出的要求，应在报价文件的《技术规格偏离表》中作出明确的和详细的说明。</w:t>
      </w:r>
      <w:bookmarkEnd w:id="4"/>
      <w:bookmarkEnd w:id="5"/>
      <w:bookmarkEnd w:id="6"/>
      <w:bookmarkEnd w:id="7"/>
    </w:p>
    <w:p w14:paraId="0CE04AE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bookmarkStart w:id="8" w:name="_Toc137187754"/>
      <w:bookmarkStart w:id="9" w:name="_Toc137188126"/>
      <w:bookmarkStart w:id="10" w:name="_Toc137193790"/>
      <w:bookmarkStart w:id="11" w:name="_Toc137190320"/>
      <w:r>
        <w:rPr>
          <w:rFonts w:hint="eastAsia"/>
          <w:color w:val="auto"/>
          <w:sz w:val="24"/>
          <w:szCs w:val="24"/>
          <w:lang w:val="en-US" w:eastAsia="zh-CN"/>
        </w:rPr>
        <w:t>如果报价人没有以书面形式对本技术规格书的条文提出异议，则意味着报价人提供的产品和服务完全符合本技术规格书的要求。如果询价方发现报价人对本技术规格书的响应不真实，</w:t>
      </w:r>
      <w:bookmarkEnd w:id="8"/>
      <w:bookmarkEnd w:id="9"/>
      <w:bookmarkEnd w:id="10"/>
      <w:bookmarkEnd w:id="11"/>
      <w:bookmarkStart w:id="12" w:name="_Toc137187756"/>
      <w:bookmarkStart w:id="13" w:name="_Toc137190322"/>
      <w:bookmarkStart w:id="14" w:name="_Toc137188128"/>
      <w:bookmarkStart w:id="15" w:name="_Toc137193792"/>
      <w:r>
        <w:rPr>
          <w:rFonts w:hint="eastAsia"/>
          <w:color w:val="auto"/>
          <w:sz w:val="24"/>
          <w:szCs w:val="24"/>
          <w:lang w:val="en-US" w:eastAsia="zh-CN"/>
        </w:rPr>
        <w:t>询价方有权不接受报价人的产品，且报价人要承担退货和赔偿询价方经济损失。</w:t>
      </w:r>
    </w:p>
    <w:p w14:paraId="630A6B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本技术规格书所引用的标准如与报价人所执行的标准发生矛盾时，应按较高的标准执行。</w:t>
      </w:r>
      <w:bookmarkEnd w:id="12"/>
      <w:bookmarkEnd w:id="13"/>
      <w:bookmarkEnd w:id="14"/>
      <w:bookmarkEnd w:id="15"/>
    </w:p>
    <w:p w14:paraId="3C7CEA5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bookmarkStart w:id="16" w:name="_Toc137187757"/>
      <w:bookmarkStart w:id="17" w:name="_Toc137190323"/>
      <w:bookmarkStart w:id="18" w:name="_Toc137188129"/>
      <w:bookmarkStart w:id="19" w:name="_Toc137193793"/>
      <w:r>
        <w:rPr>
          <w:rFonts w:hint="eastAsia"/>
          <w:color w:val="auto"/>
          <w:sz w:val="24"/>
          <w:szCs w:val="24"/>
          <w:lang w:val="en-US" w:eastAsia="zh-CN"/>
        </w:rPr>
        <w:t>报价人提供的一切文件资料均以中文叙述为准。</w:t>
      </w:r>
      <w:bookmarkEnd w:id="16"/>
      <w:bookmarkEnd w:id="17"/>
      <w:bookmarkEnd w:id="18"/>
      <w:bookmarkEnd w:id="19"/>
    </w:p>
    <w:p w14:paraId="773669F0">
      <w:pPr>
        <w:pStyle w:val="2"/>
        <w:numPr>
          <w:ilvl w:val="0"/>
          <w:numId w:val="0"/>
        </w:numPr>
        <w:tabs>
          <w:tab w:val="clear" w:pos="870"/>
        </w:tabs>
        <w:ind w:firstLine="480" w:firstLineChars="200"/>
        <w:rPr>
          <w:rFonts w:hint="eastAsia" w:ascii="Calibri" w:hAnsi="Calibri" w:eastAsia="宋体" w:cs="Times New Roman"/>
          <w:color w:val="auto"/>
          <w:kern w:val="2"/>
          <w:sz w:val="24"/>
          <w:szCs w:val="24"/>
          <w:lang w:val="en-US" w:eastAsia="zh-CN" w:bidi="ar-SA"/>
        </w:rPr>
      </w:pPr>
      <w:r>
        <w:rPr>
          <w:rFonts w:hint="eastAsia" w:ascii="Calibri" w:hAnsi="Calibri" w:eastAsia="宋体" w:cs="Times New Roman"/>
          <w:color w:val="auto"/>
          <w:kern w:val="2"/>
          <w:sz w:val="24"/>
          <w:szCs w:val="24"/>
          <w:lang w:val="en-US" w:eastAsia="zh-CN" w:bidi="ar-SA"/>
        </w:rPr>
        <w:t>提供阀门参数供报价方参考，待中标后须再到现场测量复核。</w:t>
      </w:r>
    </w:p>
    <w:p w14:paraId="707EBD7D">
      <w:pPr>
        <w:spacing w:line="600" w:lineRule="exact"/>
        <w:rPr>
          <w:rFonts w:ascii="黑体" w:hAnsi="黑体" w:eastAsia="黑体"/>
          <w:color w:val="auto"/>
          <w:sz w:val="34"/>
          <w:szCs w:val="34"/>
        </w:rPr>
      </w:pPr>
      <w:r>
        <w:rPr>
          <w:rFonts w:hint="eastAsia" w:ascii="黑体" w:hAnsi="黑体" w:eastAsia="黑体"/>
          <w:color w:val="auto"/>
          <w:sz w:val="34"/>
          <w:szCs w:val="34"/>
        </w:rPr>
        <w:t>二、适用的技术标准与规范</w:t>
      </w:r>
    </w:p>
    <w:p w14:paraId="361756B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报价产品应该满足下列最新版本的标准和规范的要求。</w:t>
      </w:r>
      <w:bookmarkStart w:id="20" w:name="_Toc137188135"/>
      <w:bookmarkStart w:id="21" w:name="_Toc137190329"/>
      <w:bookmarkStart w:id="22" w:name="_Toc137187763"/>
      <w:bookmarkStart w:id="23" w:name="_Toc137193799"/>
    </w:p>
    <w:bookmarkEnd w:id="20"/>
    <w:bookmarkEnd w:id="21"/>
    <w:bookmarkEnd w:id="22"/>
    <w:bookmarkEnd w:id="23"/>
    <w:p w14:paraId="35EF899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报价方对所有提供的电动执行机构及其附件满足以下规范标准：</w:t>
      </w:r>
    </w:p>
    <w:p w14:paraId="14B4018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GB/T 1173</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 xml:space="preserve"> 铸造铝合金</w:t>
      </w:r>
    </w:p>
    <w:p w14:paraId="03405C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GB 3797        电气控制设备</w:t>
      </w:r>
    </w:p>
    <w:p w14:paraId="69FF9F8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EN60529       外壳防护级（IP代码）</w:t>
      </w:r>
    </w:p>
    <w:p w14:paraId="464E7DE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GB 9969.1</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 xml:space="preserve"> 工业产品使用说明书 总则</w:t>
      </w:r>
    </w:p>
    <w:p w14:paraId="7A13AB8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GB/T 12222</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 xml:space="preserve"> 多回转阀门驱动装置的连接</w:t>
      </w:r>
    </w:p>
    <w:p w14:paraId="6957749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GB/T 12223</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 xml:space="preserve"> 部分回转阀门驱动装置的连接</w:t>
      </w:r>
    </w:p>
    <w:p w14:paraId="54FA201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JB/T 8528</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 xml:space="preserve"> 普通型阀门电动装置技术条件</w:t>
      </w:r>
    </w:p>
    <w:p w14:paraId="1F27322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EN15714-2</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 xml:space="preserve"> 工业阀门电动装置 寿命试验规程</w:t>
      </w:r>
    </w:p>
    <w:p w14:paraId="167494C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default"/>
          <w:color w:val="auto"/>
          <w:sz w:val="24"/>
          <w:szCs w:val="24"/>
          <w:lang w:val="en-US" w:eastAsia="zh-CN"/>
        </w:rPr>
        <w:t>GB/T 6388</w:t>
      </w:r>
      <w:r>
        <w:rPr>
          <w:rFonts w:hint="eastAsia"/>
          <w:color w:val="auto"/>
          <w:sz w:val="24"/>
          <w:szCs w:val="24"/>
          <w:lang w:val="en-US" w:eastAsia="zh-CN"/>
        </w:rPr>
        <w:t xml:space="preserve">      运输包装收、发货标志</w:t>
      </w:r>
    </w:p>
    <w:p w14:paraId="518F933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电动执行机构的设计、材料采购、制造、检验、试验、组装、验收和交货应遵循现行有效的国家标准、国际标准及行业标准规范的有关章节要求。</w:t>
      </w:r>
    </w:p>
    <w:p w14:paraId="319F6183">
      <w:pPr>
        <w:spacing w:line="600" w:lineRule="exact"/>
        <w:rPr>
          <w:rFonts w:ascii="黑体" w:hAnsi="黑体" w:eastAsia="黑体"/>
          <w:color w:val="auto"/>
          <w:sz w:val="34"/>
          <w:szCs w:val="34"/>
        </w:rPr>
      </w:pPr>
      <w:r>
        <w:rPr>
          <w:rFonts w:hint="eastAsia" w:ascii="黑体" w:hAnsi="黑体" w:eastAsia="黑体"/>
          <w:color w:val="auto"/>
          <w:sz w:val="34"/>
          <w:szCs w:val="34"/>
        </w:rPr>
        <w:t>三、环境条件</w:t>
      </w:r>
    </w:p>
    <w:p w14:paraId="3F57BD3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环境温度：-5℃～+40℃</w:t>
      </w:r>
    </w:p>
    <w:p w14:paraId="710FD35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相对湿度：≤95%</w:t>
      </w:r>
    </w:p>
    <w:p w14:paraId="6FAFEB3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海拔高度：＜1000m</w:t>
      </w:r>
    </w:p>
    <w:p w14:paraId="34C9D06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地震烈度：7度</w:t>
      </w:r>
    </w:p>
    <w:p w14:paraId="211B6E1D">
      <w:pPr>
        <w:spacing w:line="600" w:lineRule="exact"/>
        <w:rPr>
          <w:rFonts w:hint="default" w:ascii="黑体" w:hAnsi="黑体" w:eastAsia="黑体"/>
          <w:color w:val="auto"/>
          <w:sz w:val="34"/>
          <w:szCs w:val="34"/>
          <w:lang w:val="en-US" w:eastAsia="zh-CN"/>
        </w:rPr>
      </w:pPr>
      <w:r>
        <w:rPr>
          <w:rFonts w:hint="eastAsia" w:ascii="黑体" w:hAnsi="黑体" w:eastAsia="黑体"/>
          <w:color w:val="auto"/>
          <w:sz w:val="34"/>
          <w:szCs w:val="34"/>
        </w:rPr>
        <w:t>四、</w:t>
      </w:r>
      <w:r>
        <w:rPr>
          <w:rFonts w:hint="eastAsia" w:ascii="黑体" w:hAnsi="黑体" w:eastAsia="黑体"/>
          <w:color w:val="auto"/>
          <w:sz w:val="34"/>
          <w:szCs w:val="34"/>
          <w:lang w:val="en-US" w:eastAsia="zh-CN"/>
        </w:rPr>
        <w:t>电动执行机构供货要求</w:t>
      </w:r>
    </w:p>
    <w:p w14:paraId="5E8A7D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电动执行机构应包括：电动机、减速器、行程控制器、力矩保护装置、就地/远程切换开关、就地操作按钮或旋钮、液晶显示器、手动/电动切换装置、手轮、接线盒、电气控制系统等。</w:t>
      </w:r>
    </w:p>
    <w:p w14:paraId="5B73637F">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default"/>
          <w:b/>
          <w:bCs/>
          <w:color w:val="auto"/>
          <w:sz w:val="24"/>
          <w:szCs w:val="24"/>
          <w:lang w:val="en-US" w:eastAsia="zh-CN"/>
        </w:rPr>
      </w:pPr>
      <w:r>
        <w:rPr>
          <w:rFonts w:hint="eastAsia"/>
          <w:b/>
          <w:bCs/>
          <w:color w:val="auto"/>
          <w:sz w:val="24"/>
          <w:szCs w:val="24"/>
          <w:lang w:val="en-US" w:eastAsia="zh-CN"/>
        </w:rPr>
        <w:t>每台电动执行机构需要配置减速机，减速机尺寸需要在中标后到现场进行测绘。</w:t>
      </w:r>
    </w:p>
    <w:p w14:paraId="39483CA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b w:val="0"/>
          <w:bCs w:val="0"/>
          <w:color w:val="auto"/>
          <w:sz w:val="24"/>
          <w:szCs w:val="24"/>
          <w:lang w:val="en-US" w:eastAsia="zh-CN"/>
        </w:rPr>
      </w:pPr>
      <w:r>
        <w:rPr>
          <w:rFonts w:hint="eastAsia"/>
          <w:b w:val="0"/>
          <w:bCs w:val="0"/>
          <w:color w:val="auto"/>
          <w:sz w:val="24"/>
          <w:szCs w:val="24"/>
          <w:lang w:val="en-US" w:eastAsia="zh-CN"/>
        </w:rPr>
        <w:t>每台电动执行机构需配一个控制箱，控制箱需要安装支架。控制箱防护等级不得低于IP56。</w:t>
      </w:r>
    </w:p>
    <w:p w14:paraId="63EF13A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开关型控制箱接由DCS过来的开、关、停三个脉冲信号，并且向DCS发送开到位、关到位、远方/就地、故障四个信号。</w:t>
      </w:r>
    </w:p>
    <w:p w14:paraId="2ED105BB">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lang w:val="en-US" w:eastAsia="zh-CN"/>
        </w:rPr>
      </w:pPr>
      <w:r>
        <w:rPr>
          <w:rFonts w:hint="eastAsia"/>
          <w:b/>
          <w:bCs/>
          <w:color w:val="auto"/>
          <w:sz w:val="24"/>
          <w:szCs w:val="24"/>
          <w:lang w:val="en-US" w:eastAsia="zh-CN"/>
        </w:rPr>
        <w:t>调节型控制箱接由DCS过来的4～20mA模拟量信号，以控制阀门的0～100%开度，精度应满足1%要求，并且向DCS发送4～20mA模拟量信号，以显示阀门0～100%开度，精度应满足1%要求、有阀门远方/就地、故障信号。</w:t>
      </w:r>
    </w:p>
    <w:p w14:paraId="4ABEC47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涉及的所有接口需配套304不锈钢格兰密封接头。</w:t>
      </w:r>
    </w:p>
    <w:p w14:paraId="107E797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eastAsia"/>
          <w:color w:val="auto"/>
          <w:sz w:val="24"/>
          <w:szCs w:val="24"/>
          <w:lang w:val="en-US" w:eastAsia="zh-CN"/>
        </w:rPr>
        <w:t>外部拆卸螺丝全部采用304不锈钢材质。</w:t>
      </w:r>
    </w:p>
    <w:p w14:paraId="47ADCEE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报价方提供电动执行机构调试所需的遥控器为保证电动执行机构控制功能完整性，虽未在上述供货范围内列出的电动执行机构附件，报价方仍需无偿提供。</w:t>
      </w:r>
    </w:p>
    <w:p w14:paraId="444219B8">
      <w:pPr>
        <w:spacing w:line="600" w:lineRule="exact"/>
        <w:rPr>
          <w:rFonts w:ascii="黑体" w:hAnsi="黑体" w:eastAsia="黑体"/>
          <w:color w:val="auto"/>
          <w:sz w:val="34"/>
          <w:szCs w:val="34"/>
        </w:rPr>
      </w:pPr>
      <w:r>
        <w:rPr>
          <w:rFonts w:hint="eastAsia" w:ascii="黑体" w:hAnsi="黑体" w:eastAsia="黑体"/>
          <w:color w:val="auto"/>
          <w:sz w:val="34"/>
          <w:szCs w:val="34"/>
        </w:rPr>
        <w:t>五、</w:t>
      </w:r>
      <w:r>
        <w:rPr>
          <w:rFonts w:hint="eastAsia" w:ascii="黑体" w:hAnsi="黑体" w:eastAsia="黑体"/>
          <w:color w:val="auto"/>
          <w:sz w:val="34"/>
          <w:szCs w:val="34"/>
          <w:lang w:val="en-US" w:eastAsia="zh-CN"/>
        </w:rPr>
        <w:t>电动执行机构</w:t>
      </w:r>
      <w:r>
        <w:rPr>
          <w:rFonts w:hint="eastAsia" w:ascii="黑体" w:hAnsi="黑体" w:eastAsia="黑体"/>
          <w:color w:val="auto"/>
          <w:sz w:val="34"/>
          <w:szCs w:val="34"/>
        </w:rPr>
        <w:t>基本技术要求</w:t>
      </w:r>
    </w:p>
    <w:p w14:paraId="74FC42E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auto"/>
          <w:sz w:val="34"/>
          <w:szCs w:val="34"/>
          <w:lang w:val="en-US" w:eastAsia="zh-CN"/>
        </w:rPr>
      </w:pPr>
      <w:r>
        <w:rPr>
          <w:rFonts w:hint="eastAsia" w:ascii="楷体_GB2312" w:hAnsi="楷体_GB2312" w:eastAsia="楷体_GB2312" w:cs="楷体_GB2312"/>
          <w:color w:val="auto"/>
          <w:sz w:val="34"/>
          <w:szCs w:val="34"/>
          <w:lang w:val="en-US" w:eastAsia="zh-CN"/>
        </w:rPr>
        <w:t>1.总体要求</w:t>
      </w:r>
    </w:p>
    <w:p w14:paraId="2AE9C9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品牌要求，在石化行业有较多应用业绩，建议选用以下产品：</w:t>
      </w:r>
    </w:p>
    <w:p w14:paraId="2AA990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扬州电力设备修造厂2S系列、南京科远S系列、苏州博睿BD系列、常州电站辅机股份有限公司SND系列</w:t>
      </w:r>
      <w:r>
        <w:rPr>
          <w:rFonts w:hint="eastAsia"/>
          <w:color w:val="auto"/>
          <w:sz w:val="24"/>
          <w:szCs w:val="24"/>
          <w:lang w:val="en-US" w:eastAsia="zh-CN"/>
        </w:rPr>
        <w:t>、</w:t>
      </w:r>
      <w:r>
        <w:rPr>
          <w:rFonts w:hint="default"/>
          <w:color w:val="auto"/>
          <w:sz w:val="24"/>
          <w:szCs w:val="24"/>
          <w:lang w:val="en-US" w:eastAsia="zh-CN"/>
        </w:rPr>
        <w:t>扬州恒春电子有限公司 CKD 系列</w:t>
      </w:r>
      <w:r>
        <w:rPr>
          <w:rFonts w:hint="eastAsia"/>
          <w:color w:val="auto"/>
          <w:sz w:val="24"/>
          <w:szCs w:val="24"/>
          <w:lang w:val="en-US" w:eastAsia="zh-CN"/>
        </w:rPr>
        <w:t>。</w:t>
      </w:r>
    </w:p>
    <w:p w14:paraId="6233E85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执行机构所需的扭矩应与阀门配套，以保证阀门在最大压差、最低阀体温度和最小润滑条件关闭或开启时有足够的扭矩。</w:t>
      </w:r>
    </w:p>
    <w:p w14:paraId="350B519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执行机构的选型应满足最恶劣条件下操作阀门的要求，且应有超扭矩与限位保护的功能。</w:t>
      </w:r>
    </w:p>
    <w:p w14:paraId="74479B6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执行机构“开或关”的全行程时间应满足项目所提供的阀门规格表中的要求。</w:t>
      </w:r>
    </w:p>
    <w:p w14:paraId="4D9B87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阀门制造方应确保阀门的连接器与标准执行机构的连接器相匹配，以便任何执行机构的替换不牵涉附加的调整。</w:t>
      </w:r>
    </w:p>
    <w:p w14:paraId="42F9DB3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执行机构和阀门间的连接部分由底座、调节轴衬和止推轴承组成，并且可以和执行机构分开。执行机构应包括一个“锤击”部件，以便与阀门松开。</w:t>
      </w:r>
    </w:p>
    <w:p w14:paraId="0EFBC51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执行机构采用绝对编码器，每个机械位置对应唯一的编码，在失电情况下手动操作阀门不会造成行程丢失，无需电池支持等断电记忆功能。以确保失电、信号故障时保持原位的功能。</w:t>
      </w:r>
    </w:p>
    <w:p w14:paraId="113F6F4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执行机构手轮应朝上或朝向一侧，以方便操作，当用户对操作方向有特殊要求时，应按照用户指定的方位进行装配。</w:t>
      </w:r>
    </w:p>
    <w:p w14:paraId="3DA667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报价方应在系统生产前将属于整装件的所有数据提交购方审批。报价方没有按技术要求或在询价方书面核准前所做的任何工作，其责任应由报价方承担。</w:t>
      </w:r>
    </w:p>
    <w:p w14:paraId="6BC7B0A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楷体_GB2312" w:hAnsi="楷体_GB2312" w:eastAsia="楷体_GB2312" w:cs="楷体_GB2312"/>
          <w:color w:val="auto"/>
          <w:sz w:val="34"/>
          <w:szCs w:val="34"/>
          <w:lang w:val="en-US" w:eastAsia="zh-CN"/>
        </w:rPr>
      </w:pPr>
      <w:r>
        <w:rPr>
          <w:rFonts w:hint="eastAsia" w:ascii="楷体_GB2312" w:hAnsi="楷体_GB2312" w:eastAsia="楷体_GB2312" w:cs="楷体_GB2312"/>
          <w:color w:val="auto"/>
          <w:sz w:val="34"/>
          <w:szCs w:val="34"/>
          <w:lang w:val="en-US" w:eastAsia="zh-CN"/>
        </w:rPr>
        <w:t>2.执行机构</w:t>
      </w:r>
    </w:p>
    <w:p w14:paraId="42607E1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执行机构应包括电机、减速机构、联轴器、限位开关、扭矩限制开关、手轮、手轮自动断开装置、阀位显示以及安全平稳运行所需的其它部件。执行机构应设计紧凑，少占空间，执行机构整体组装应该是密闭的、独立的，且适合于户外操作，执行机构的防护等级不低于IP67。</w:t>
      </w:r>
    </w:p>
    <w:p w14:paraId="48A8EBF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设计阀门连接件时应消除连接法兰上的非平衡重力荷载，不允许执行机构采用外加支撑，以避免由于管道振动而引起的破坏应力。</w:t>
      </w:r>
    </w:p>
    <w:p w14:paraId="62350E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执行机构应装配手轮。电机运转期间手轮不应转动，在手轮操作时电机应自动脱离。两种设施应机械式相互独立。电机减速齿轮失效不应导致手轮不起作用。使用手轮传动机构手动操作阀门的开关时间不宜超过3min。手轮上应注明开启和关闭方向。</w:t>
      </w:r>
    </w:p>
    <w:p w14:paraId="2524163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执行机构应在开、关两个方向装配扭矩限制开关，并可单独外部调节。执行机构应允许阀门有适当的双向过度行程量。扭矩在平衡前应优先在执行机构内被吸收，而不应由阀杆和阀门来吸收。</w:t>
      </w:r>
    </w:p>
    <w:p w14:paraId="7B766C4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执行机构应有装在外部的“开”—“关”—“停”按钮</w:t>
      </w:r>
      <w:r>
        <w:rPr>
          <w:rFonts w:hint="eastAsia"/>
          <w:color w:val="auto"/>
          <w:sz w:val="24"/>
          <w:szCs w:val="24"/>
          <w:lang w:val="en-US" w:eastAsia="zh-CN"/>
        </w:rPr>
        <w:t>或旋钮</w:t>
      </w:r>
      <w:r>
        <w:rPr>
          <w:rFonts w:hint="default"/>
          <w:color w:val="auto"/>
          <w:sz w:val="24"/>
          <w:szCs w:val="24"/>
          <w:lang w:val="en-US" w:eastAsia="zh-CN"/>
        </w:rPr>
        <w:t>。在执行机构上应装有“就地”—“停止”—“远程”开关。</w:t>
      </w:r>
    </w:p>
    <w:p w14:paraId="4153EFC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打开执行机构的外壳时，轴杆的推力和扭矩平衡弹簧的意外释放不应存在导致人员伤害的风险。</w:t>
      </w:r>
    </w:p>
    <w:p w14:paraId="57850E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制造方应在其</w:t>
      </w:r>
      <w:r>
        <w:rPr>
          <w:rFonts w:hint="eastAsia"/>
          <w:color w:val="auto"/>
          <w:sz w:val="24"/>
          <w:szCs w:val="24"/>
          <w:lang w:val="en-US" w:eastAsia="zh-CN"/>
        </w:rPr>
        <w:t>报价</w:t>
      </w:r>
      <w:r>
        <w:rPr>
          <w:rFonts w:hint="default"/>
          <w:color w:val="auto"/>
          <w:sz w:val="24"/>
          <w:szCs w:val="24"/>
          <w:lang w:val="en-US" w:eastAsia="zh-CN"/>
        </w:rPr>
        <w:t>书中提供执行机构可承受的动作频度。</w:t>
      </w:r>
    </w:p>
    <w:p w14:paraId="5159E8E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default"/>
          <w:color w:val="auto"/>
          <w:sz w:val="24"/>
          <w:szCs w:val="24"/>
          <w:lang w:val="en-US" w:eastAsia="zh-CN"/>
        </w:rPr>
        <w:t>电动执行机构应具有智能自动诊断功能，并具备诊断信息、报警、故障及操作事件记录和上传功能。所记录各种参数及事件均可安全下载</w:t>
      </w:r>
      <w:r>
        <w:rPr>
          <w:rFonts w:hint="eastAsia"/>
          <w:color w:val="auto"/>
          <w:sz w:val="24"/>
          <w:szCs w:val="24"/>
          <w:lang w:val="en-US" w:eastAsia="zh-CN"/>
        </w:rPr>
        <w:t>。</w:t>
      </w:r>
    </w:p>
    <w:p w14:paraId="68399A2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电动执行机构的阀位指示应为连续指示，执行机构在外部电源断电时仍然可以就地显示阀位及相关报警，并可实时反映因就地手轮操作而使阀位发生的变化。</w:t>
      </w:r>
    </w:p>
    <w:p w14:paraId="51D1EEE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default"/>
          <w:color w:val="auto"/>
          <w:sz w:val="24"/>
          <w:szCs w:val="24"/>
          <w:lang w:val="en-US" w:eastAsia="zh-CN"/>
        </w:rPr>
        <w:t>阀门所配执行机构或控制系统的故障不应影响到阀门的其他部分，并且其维修和更换工作应能够在不影响阀门正常工作的情况下进行。执行机构应具有WF2防腐能力</w:t>
      </w:r>
      <w:r>
        <w:rPr>
          <w:rFonts w:hint="eastAsia"/>
          <w:color w:val="auto"/>
          <w:sz w:val="24"/>
          <w:szCs w:val="24"/>
          <w:lang w:val="en-US" w:eastAsia="zh-CN"/>
        </w:rPr>
        <w:t>或</w:t>
      </w:r>
      <w:r>
        <w:rPr>
          <w:rFonts w:hint="default"/>
          <w:color w:val="auto"/>
          <w:sz w:val="24"/>
          <w:szCs w:val="24"/>
          <w:lang w:val="en-US" w:eastAsia="zh-CN"/>
        </w:rPr>
        <w:t>C5防腐能力。</w:t>
      </w:r>
    </w:p>
    <w:p w14:paraId="5BA8F06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电动执行机构应选用非侵入式智能型，对执行机构进行任何外部调节、调试、故障诊断及设定值的修改均可通过外部操作进行，不需要拆开执行机构的密封端盖。</w:t>
      </w:r>
    </w:p>
    <w:p w14:paraId="01B92807">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电动执行机构应是标准型产品，并设计成在操作条件下能连续运转。调节型电动机构要求满足最小动作次数每小时1200次，转动部分材质应满足此动作频率要求。</w:t>
      </w:r>
    </w:p>
    <w:p w14:paraId="3CD872A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auto"/>
          <w:sz w:val="34"/>
          <w:szCs w:val="34"/>
          <w:lang w:val="en-US" w:eastAsia="zh-CN"/>
        </w:rPr>
      </w:pPr>
      <w:r>
        <w:rPr>
          <w:rFonts w:hint="eastAsia" w:ascii="楷体_GB2312" w:hAnsi="楷体_GB2312" w:eastAsia="楷体_GB2312" w:cs="楷体_GB2312"/>
          <w:color w:val="auto"/>
          <w:sz w:val="34"/>
          <w:szCs w:val="34"/>
          <w:lang w:val="en-US" w:eastAsia="zh-CN"/>
        </w:rPr>
        <w:t>3.传动装置</w:t>
      </w:r>
    </w:p>
    <w:p w14:paraId="238E082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电动执行机构与阀门的传动装置应满足环境条件要求。</w:t>
      </w:r>
    </w:p>
    <w:p w14:paraId="1CE7839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传动装置应是完整的封闭式整体结构，密封防护等级达到IP67。</w:t>
      </w:r>
    </w:p>
    <w:p w14:paraId="5889EA8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传动装置整体应密封可靠，日常检查、维护保养和更换润滑油无需从阀门和执行机构上拆卸。</w:t>
      </w:r>
    </w:p>
    <w:p w14:paraId="58B2818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报价方应提供设备使用寿命、易损件（如：O型圈）和润滑油（脂）使用周期。</w:t>
      </w:r>
    </w:p>
    <w:p w14:paraId="32976BD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电动执行机构系统应是自锁的。齿轮应采用润滑脂或润滑油润滑。所有在阀杆运动传动中的转动部件应在轴承上转动。</w:t>
      </w:r>
    </w:p>
    <w:p w14:paraId="5112C5A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auto"/>
          <w:sz w:val="34"/>
          <w:szCs w:val="34"/>
          <w:lang w:val="en-US" w:eastAsia="zh-CN"/>
        </w:rPr>
      </w:pPr>
      <w:r>
        <w:rPr>
          <w:rFonts w:hint="eastAsia" w:ascii="楷体_GB2312" w:hAnsi="楷体_GB2312" w:eastAsia="楷体_GB2312" w:cs="楷体_GB2312"/>
          <w:color w:val="auto"/>
          <w:sz w:val="34"/>
          <w:szCs w:val="34"/>
          <w:lang w:val="en-US" w:eastAsia="zh-CN"/>
        </w:rPr>
        <w:t>4.电气特性</w:t>
      </w:r>
    </w:p>
    <w:p w14:paraId="788F180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电机应该是鼠笼式感应电机，在380V、50Hz、三相交流电源下能够连续运行。电源电压波动为±10%，频率为±5%，能够短期在80%电压的情况下运行。</w:t>
      </w:r>
    </w:p>
    <w:p w14:paraId="38BEA74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电机应能直接启动，具有良好的伺服特性，即具有高的起动转矩倍数、低的起动电流、小的转动惯量，并具有电机的过热保护和断相保护功能。</w:t>
      </w:r>
    </w:p>
    <w:p w14:paraId="13BBA2F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在环境温度范围内，执行机构应能正常运行。</w:t>
      </w:r>
    </w:p>
    <w:p w14:paraId="102DD8E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电机应该是整体封闭的，自然冷却，具有“F”级绝缘，电机具有高启动力矩低惯性。</w:t>
      </w:r>
    </w:p>
    <w:p w14:paraId="103325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电动执行机构满足阀门连续开关一次（两次单向全行程）运行。</w:t>
      </w:r>
    </w:p>
    <w:p w14:paraId="79AB233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温度调节装置安装在定子线圈或变压线圈上以保护电机，电机温度检测点不应少于2个。</w:t>
      </w:r>
    </w:p>
    <w:p w14:paraId="521F1F7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在开始没有拧紧的情况下，超矩保护系统禁止使用。同时需要提供下面的保护系统：</w:t>
      </w:r>
    </w:p>
    <w:p w14:paraId="4597C61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缺相保护；</w:t>
      </w:r>
    </w:p>
    <w:p w14:paraId="525F475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三相相序自动校正。</w:t>
      </w:r>
    </w:p>
    <w:p w14:paraId="18708D9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过电压保护。</w:t>
      </w:r>
    </w:p>
    <w:p w14:paraId="5AAD412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端子板应置于一个单独密封的接线箱里，以免现场连接回路裸露。端口应该有标号，接线也要能清晰地识别。接线箱应设有电缆连接的入口，未用的接线要用金属丝堵封闭。在没有断开外部接线的情况下，控制回路应易于检测。接线箱内外都要有接地端子。</w:t>
      </w:r>
    </w:p>
    <w:p w14:paraId="6355A46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电机内应配有加热器以防止冷凝物生成。所有电气主线和控制回路应有超压保护，以防止电压超高而引起的电路破坏。</w:t>
      </w:r>
    </w:p>
    <w:p w14:paraId="60F344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电气接口具体规格应符合阀门规格表要求。</w:t>
      </w:r>
    </w:p>
    <w:p w14:paraId="62115316">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_GB2312" w:hAnsi="楷体_GB2312" w:eastAsia="楷体_GB2312" w:cs="楷体_GB2312"/>
          <w:color w:val="auto"/>
          <w:sz w:val="34"/>
          <w:szCs w:val="34"/>
          <w:lang w:val="en-US" w:eastAsia="zh-CN"/>
        </w:rPr>
      </w:pPr>
      <w:r>
        <w:rPr>
          <w:rFonts w:hint="eastAsia" w:ascii="楷体_GB2312" w:hAnsi="楷体_GB2312" w:eastAsia="楷体_GB2312" w:cs="楷体_GB2312"/>
          <w:color w:val="auto"/>
          <w:sz w:val="34"/>
          <w:szCs w:val="34"/>
          <w:lang w:val="en-US" w:eastAsia="zh-CN"/>
        </w:rPr>
        <w:t>5.控制系统</w:t>
      </w:r>
    </w:p>
    <w:p w14:paraId="62AA303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电机启动器包含有机械和电动逆转装置，且适合任何位置操作。</w:t>
      </w:r>
    </w:p>
    <w:p w14:paraId="6F1D82B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控制箱内的控制回路必须允许“开”、“关”和“停”的控制，此控制是通过可锁定的三位（就地,停,远程）选择器实现，无论选择器位于哪一个位置，“停”控制总是优先的。控制逻辑应允许从“开”到“关”或从“关”到“开”的改变不需要完成阀门的“开/关”全行程后再执行。</w:t>
      </w:r>
    </w:p>
    <w:p w14:paraId="311B826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执行机构信号连接采用硬接线方式。</w:t>
      </w:r>
    </w:p>
    <w:p w14:paraId="572F039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开关型电动执行机构控制信号至少包括：接受开、关、停控制命令（无源触点信号），由执行机构内部供电，并能输出以下信号：</w:t>
      </w:r>
    </w:p>
    <w:p w14:paraId="34F29A34">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阀门全开状态（无源触点信号）；</w:t>
      </w:r>
    </w:p>
    <w:p w14:paraId="4A4281E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阀门全关状态（无源触点信号）；</w:t>
      </w:r>
    </w:p>
    <w:p w14:paraId="5D2926DD">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综合故障信号（无源触点信号，包括过扭矩报警等）；</w:t>
      </w:r>
    </w:p>
    <w:p w14:paraId="6FE398E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就地/远控状态（无源触点信号）；</w:t>
      </w:r>
    </w:p>
    <w:p w14:paraId="294572BC">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执行机构反馈触点应可组态。</w:t>
      </w:r>
    </w:p>
    <w:p w14:paraId="5290C0D2">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调节型电动执行机构控制信号由DCS过来的4～20mA模拟量信号，以控制阀门的0～100%开度，精度应满足1%要求，由执行机构内部供电，并能输出以下信号：</w:t>
      </w:r>
    </w:p>
    <w:p w14:paraId="2CFD711E">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- 4～20mA模拟量信号；</w:t>
      </w:r>
    </w:p>
    <w:p w14:paraId="36D85B8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综合故障信号（无源触点信号，包括过扭矩报警等）；</w:t>
      </w:r>
    </w:p>
    <w:p w14:paraId="0072CFF0">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就地/远控状态（无源触点信号）；</w:t>
      </w:r>
    </w:p>
    <w:p w14:paraId="29A41323">
      <w:pPr>
        <w:keepNext w:val="0"/>
        <w:keepLines w:val="0"/>
        <w:pageBreakBefore w:val="0"/>
        <w:widowControl w:val="0"/>
        <w:kinsoku/>
        <w:wordWrap/>
        <w:overflowPunct/>
        <w:topLinePunct w:val="0"/>
        <w:autoSpaceDE/>
        <w:autoSpaceDN/>
        <w:bidi w:val="0"/>
        <w:adjustRightInd/>
        <w:snapToGrid/>
        <w:spacing w:line="240" w:lineRule="auto"/>
        <w:ind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 执行机构反馈触点应可组态。</w:t>
      </w:r>
    </w:p>
    <w:p w14:paraId="7FA605C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执行机构应装有显示阀门连续开度的就地液晶显示器，以中文或者图示显示故障报警、工作状态，并具有远传阀位信息的能力。同时应设置独立的LED阀位指示灯。</w:t>
      </w:r>
    </w:p>
    <w:p w14:paraId="5EDD53D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液晶显示器应独立于控制板，液晶显示器损坏仅需对其进行替换而不必更换整套控制板。报价方所采用的控制板和电源板，应进行老化试验。</w:t>
      </w:r>
    </w:p>
    <w:p w14:paraId="209A268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000000" w:themeColor="text1"/>
          <w:sz w:val="24"/>
          <w:szCs w:val="24"/>
          <w:lang w:val="en-US" w:eastAsia="zh-CN"/>
          <w14:textFill>
            <w14:solidFill>
              <w14:schemeClr w14:val="tx1"/>
            </w14:solidFill>
          </w14:textFill>
        </w:rPr>
      </w:pPr>
      <w:bookmarkStart w:id="24" w:name="_GoBack"/>
      <w:r>
        <w:rPr>
          <w:rFonts w:hint="eastAsia"/>
          <w:color w:val="000000" w:themeColor="text1"/>
          <w:sz w:val="24"/>
          <w:szCs w:val="24"/>
          <w:lang w:val="en-US" w:eastAsia="zh-CN"/>
          <w14:textFill>
            <w14:solidFill>
              <w14:schemeClr w14:val="tx1"/>
            </w14:solidFill>
          </w14:textFill>
        </w:rPr>
        <w:t>执行器主要的电子元器件芯片须国产化，控制板件等需要有电动执行机构厂家自己的生产线。</w:t>
      </w:r>
    </w:p>
    <w:bookmarkEnd w:id="24"/>
    <w:p w14:paraId="69887D63">
      <w:pPr>
        <w:spacing w:line="600" w:lineRule="exact"/>
        <w:rPr>
          <w:rFonts w:hint="eastAsia" w:ascii="黑体" w:hAnsi="黑体" w:eastAsia="黑体"/>
          <w:color w:val="auto"/>
          <w:sz w:val="34"/>
          <w:szCs w:val="34"/>
          <w:lang w:val="en-US" w:eastAsia="zh-CN"/>
        </w:rPr>
      </w:pPr>
      <w:r>
        <w:rPr>
          <w:rFonts w:hint="eastAsia" w:ascii="黑体" w:hAnsi="黑体" w:eastAsia="黑体"/>
          <w:color w:val="auto"/>
          <w:sz w:val="34"/>
          <w:szCs w:val="34"/>
          <w:lang w:val="en-US" w:eastAsia="zh-CN"/>
        </w:rPr>
        <w:t>六、备件</w:t>
      </w:r>
    </w:p>
    <w:p w14:paraId="642B13F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报价方应确保阀门执行机构在免维护周期内的备件供应。报价方业务重组变更、技术升级等工作</w:t>
      </w:r>
      <w:r>
        <w:rPr>
          <w:rFonts w:ascii="Segoe UI" w:hAnsi="Segoe UI" w:eastAsia="Segoe UI" w:cs="Segoe UI"/>
          <w:i w:val="0"/>
          <w:iCs w:val="0"/>
          <w:caps w:val="0"/>
          <w:color w:val="auto"/>
          <w:spacing w:val="0"/>
          <w:sz w:val="24"/>
          <w:szCs w:val="24"/>
          <w:shd w:val="clear" w:fill="F9FAFB"/>
        </w:rPr>
        <w:t>不得导致免维护周期内备件供应中断或受到不良影响</w:t>
      </w:r>
      <w:r>
        <w:rPr>
          <w:rFonts w:hint="eastAsia"/>
          <w:color w:val="auto"/>
          <w:sz w:val="24"/>
          <w:szCs w:val="24"/>
          <w:lang w:val="en-US" w:eastAsia="zh-CN"/>
        </w:rPr>
        <w:t>。若免维护周期内厂家对备件进行升级，升级后的备件按照原备件价格执行。</w:t>
      </w:r>
    </w:p>
    <w:p w14:paraId="6EF25DA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报价方应提供维护时所需的特殊工具。</w:t>
      </w:r>
    </w:p>
    <w:p w14:paraId="48B8AE2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报价方（代理商）应指明配件采购周期及整机供货周期。</w:t>
      </w:r>
    </w:p>
    <w:p w14:paraId="7E626D6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铭牌</w:t>
      </w:r>
    </w:p>
    <w:p w14:paraId="536833C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执行机构铭牌上至少要提供以下信息：</w:t>
      </w:r>
    </w:p>
    <w:p w14:paraId="700EA23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执行机构系列号和制造厂商名；</w:t>
      </w:r>
    </w:p>
    <w:p w14:paraId="0E3E7D1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电机的特性参数；</w:t>
      </w:r>
    </w:p>
    <w:p w14:paraId="0389A0D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执行机构的特性参数；</w:t>
      </w:r>
    </w:p>
    <w:p w14:paraId="140E650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电气防护标准；</w:t>
      </w:r>
    </w:p>
    <w:p w14:paraId="233F6A7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订货单号和出厂顺序编号；</w:t>
      </w:r>
    </w:p>
    <w:p w14:paraId="1642B74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转距开关的设定；</w:t>
      </w:r>
    </w:p>
    <w:p w14:paraId="06C57A5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 总传动比；</w:t>
      </w:r>
    </w:p>
    <w:p w14:paraId="6C7CC63B">
      <w:pPr>
        <w:spacing w:line="600" w:lineRule="exact"/>
        <w:rPr>
          <w:rFonts w:ascii="黑体" w:hAnsi="黑体" w:eastAsia="黑体"/>
          <w:color w:val="auto"/>
          <w:sz w:val="34"/>
          <w:szCs w:val="34"/>
        </w:rPr>
      </w:pPr>
      <w:r>
        <w:rPr>
          <w:rFonts w:hint="eastAsia" w:ascii="黑体" w:hAnsi="黑体" w:eastAsia="黑体"/>
          <w:color w:val="auto"/>
          <w:sz w:val="34"/>
          <w:szCs w:val="34"/>
        </w:rPr>
        <w:t>七、培训</w:t>
      </w:r>
    </w:p>
    <w:p w14:paraId="05FDBC01">
      <w:pPr>
        <w:spacing w:line="600" w:lineRule="exact"/>
        <w:rPr>
          <w:rFonts w:ascii="楷体_GB2312" w:hAnsi="仿宋" w:eastAsia="楷体_GB2312" w:cs="仿宋_GB2312"/>
          <w:color w:val="auto"/>
          <w:sz w:val="34"/>
          <w:szCs w:val="34"/>
        </w:rPr>
      </w:pPr>
      <w:r>
        <w:rPr>
          <w:rFonts w:hint="eastAsia" w:ascii="楷体_GB2312" w:hAnsi="仿宋" w:eastAsia="楷体_GB2312" w:cs="仿宋_GB2312"/>
          <w:color w:val="auto"/>
          <w:sz w:val="34"/>
          <w:szCs w:val="34"/>
        </w:rPr>
        <w:t>1</w:t>
      </w:r>
      <w:r>
        <w:rPr>
          <w:rFonts w:ascii="楷体_GB2312" w:hAnsi="仿宋" w:eastAsia="楷体_GB2312" w:cs="仿宋_GB2312"/>
          <w:color w:val="auto"/>
          <w:sz w:val="34"/>
          <w:szCs w:val="34"/>
        </w:rPr>
        <w:t>.</w:t>
      </w:r>
      <w:r>
        <w:rPr>
          <w:rFonts w:hint="eastAsia" w:ascii="楷体_GB2312" w:hAnsi="仿宋" w:eastAsia="楷体_GB2312" w:cs="仿宋_GB2312"/>
          <w:color w:val="auto"/>
          <w:sz w:val="34"/>
          <w:szCs w:val="34"/>
        </w:rPr>
        <w:t>现场培训</w:t>
      </w:r>
    </w:p>
    <w:p w14:paraId="23CA9242">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时间：1-2小时</w:t>
      </w:r>
    </w:p>
    <w:p w14:paraId="0ADA08C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地点：阀门现场</w:t>
      </w:r>
    </w:p>
    <w:p w14:paraId="1339383B">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人数：由询价方自定</w:t>
      </w:r>
    </w:p>
    <w:p w14:paraId="015560E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color w:val="auto"/>
          <w:sz w:val="24"/>
          <w:szCs w:val="24"/>
          <w:lang w:val="en-US" w:eastAsia="zh-CN"/>
        </w:rPr>
      </w:pPr>
      <w:r>
        <w:rPr>
          <w:rFonts w:hint="eastAsia"/>
          <w:color w:val="auto"/>
          <w:sz w:val="24"/>
          <w:szCs w:val="24"/>
          <w:lang w:val="en-US" w:eastAsia="zh-CN"/>
        </w:rPr>
        <w:t>内容：电动执行机构操作步骤，常见故障分析及处理，维护保养等。</w:t>
      </w:r>
    </w:p>
    <w:p w14:paraId="7F027015">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授课人：必须是电动执行机构派出的工程师</w:t>
      </w:r>
    </w:p>
    <w:p w14:paraId="5DD981BD">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费用：免费</w:t>
      </w:r>
    </w:p>
    <w:p w14:paraId="301BBC9D">
      <w:pPr>
        <w:spacing w:line="600" w:lineRule="exact"/>
        <w:rPr>
          <w:rFonts w:ascii="黑体" w:hAnsi="黑体" w:eastAsia="黑体"/>
          <w:color w:val="auto"/>
          <w:sz w:val="34"/>
          <w:szCs w:val="34"/>
        </w:rPr>
      </w:pPr>
      <w:r>
        <w:rPr>
          <w:rFonts w:hint="eastAsia" w:ascii="黑体" w:hAnsi="黑体" w:eastAsia="黑体"/>
          <w:color w:val="auto"/>
          <w:sz w:val="34"/>
          <w:szCs w:val="34"/>
        </w:rPr>
        <w:t>八、技术服务及备件</w:t>
      </w:r>
    </w:p>
    <w:p w14:paraId="7DDBECE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电动执行机构报价方在长三角地区应有技术服务部。</w:t>
      </w:r>
    </w:p>
    <w:p w14:paraId="43EB1180">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电动执行机构报价方在长三角地区必须有备品备件库，确保服务及时性。</w:t>
      </w:r>
    </w:p>
    <w:p w14:paraId="091C17D3">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电动执行机构需提供安装调试。</w:t>
      </w:r>
    </w:p>
    <w:p w14:paraId="69C1D0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质保期：电动执行机构电动执行机构正常使用寿命不低于20年，产品免维护周期不低于5年。</w:t>
      </w:r>
    </w:p>
    <w:p w14:paraId="1C9E760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技术服务响应时间：电动执行机构报价方的技术服务工程师须在12小时内到达阀门现场，24小时内修复并正式投运。</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7F" w:usb3="00000000" w:csb0="203F01FF" w:csb1="D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25"/>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23"/>
      <w:suff w:val="nothing"/>
      <w:lvlText w:val="%1.%2.%3　"/>
      <w:lvlJc w:val="left"/>
      <w:pPr>
        <w:ind w:left="568"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53C48A2"/>
    <w:multiLevelType w:val="singleLevel"/>
    <w:tmpl w:val="453C48A2"/>
    <w:lvl w:ilvl="0" w:tentative="0">
      <w:start w:val="1"/>
      <w:numFmt w:val="bullet"/>
      <w:pStyle w:val="3"/>
      <w:lvlText w:val=""/>
      <w:lvlJc w:val="left"/>
      <w:pPr>
        <w:tabs>
          <w:tab w:val="left" w:pos="870"/>
        </w:tabs>
        <w:ind w:left="227" w:firstLine="283"/>
      </w:pPr>
      <w:rPr>
        <w:rFonts w:hint="default" w:ascii="Wingdings" w:hAnsi="Wingdings"/>
      </w:rPr>
    </w:lvl>
  </w:abstractNum>
  <w:abstractNum w:abstractNumId="2">
    <w:nsid w:val="69BE6B74"/>
    <w:multiLevelType w:val="multilevel"/>
    <w:tmpl w:val="69BE6B74"/>
    <w:lvl w:ilvl="0" w:tentative="0">
      <w:start w:val="1"/>
      <w:numFmt w:val="decimal"/>
      <w:lvlText w:val="%1"/>
      <w:lvlJc w:val="left"/>
      <w:pPr>
        <w:tabs>
          <w:tab w:val="left" w:pos="360"/>
        </w:tabs>
        <w:ind w:left="240" w:firstLine="0"/>
      </w:pPr>
      <w:rPr>
        <w:rFonts w:hint="eastAsia"/>
        <w:b/>
      </w:rPr>
    </w:lvl>
    <w:lvl w:ilvl="1" w:tentative="0">
      <w:start w:val="1"/>
      <w:numFmt w:val="decimal"/>
      <w:pStyle w:val="4"/>
      <w:lvlText w:val="%1.%2"/>
      <w:lvlJc w:val="left"/>
      <w:pPr>
        <w:tabs>
          <w:tab w:val="left" w:pos="360"/>
        </w:tabs>
        <w:ind w:left="0" w:firstLine="0"/>
      </w:pPr>
      <w:rPr>
        <w:rFonts w:hint="eastAsia"/>
      </w:rPr>
    </w:lvl>
    <w:lvl w:ilvl="2" w:tentative="0">
      <w:start w:val="1"/>
      <w:numFmt w:val="decimal"/>
      <w:lvlText w:val="%1.%2.%3"/>
      <w:lvlJc w:val="left"/>
      <w:pPr>
        <w:tabs>
          <w:tab w:val="left" w:pos="3700"/>
        </w:tabs>
        <w:ind w:left="2980" w:firstLine="0"/>
      </w:pPr>
      <w:rPr>
        <w:rFonts w:hint="eastAsia"/>
      </w:rPr>
    </w:lvl>
    <w:lvl w:ilvl="3" w:tentative="0">
      <w:start w:val="1"/>
      <w:numFmt w:val="decimal"/>
      <w:lvlText w:val="%1.%2.%3.%4"/>
      <w:lvlJc w:val="left"/>
      <w:pPr>
        <w:tabs>
          <w:tab w:val="left" w:pos="2424"/>
        </w:tabs>
        <w:ind w:left="242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Zjg0NzU3OWNiOTliNzFkY2NmNDkzOTZkMjY3MzUifQ=="/>
  </w:docVars>
  <w:rsids>
    <w:rsidRoot w:val="00020749"/>
    <w:rsid w:val="00020749"/>
    <w:rsid w:val="000405C6"/>
    <w:rsid w:val="000454C4"/>
    <w:rsid w:val="0007613C"/>
    <w:rsid w:val="000826D0"/>
    <w:rsid w:val="000A1662"/>
    <w:rsid w:val="000A263E"/>
    <w:rsid w:val="000F65F8"/>
    <w:rsid w:val="001224B5"/>
    <w:rsid w:val="001414C2"/>
    <w:rsid w:val="00160710"/>
    <w:rsid w:val="001B469E"/>
    <w:rsid w:val="001E34A0"/>
    <w:rsid w:val="001E7416"/>
    <w:rsid w:val="0022133E"/>
    <w:rsid w:val="00226DA8"/>
    <w:rsid w:val="00233B04"/>
    <w:rsid w:val="00240997"/>
    <w:rsid w:val="00243C6E"/>
    <w:rsid w:val="00245576"/>
    <w:rsid w:val="00250B1F"/>
    <w:rsid w:val="00250CE2"/>
    <w:rsid w:val="00257661"/>
    <w:rsid w:val="00263484"/>
    <w:rsid w:val="0026701C"/>
    <w:rsid w:val="00280E16"/>
    <w:rsid w:val="00294DD0"/>
    <w:rsid w:val="002965AD"/>
    <w:rsid w:val="002A705C"/>
    <w:rsid w:val="002E199D"/>
    <w:rsid w:val="00305B11"/>
    <w:rsid w:val="0031102B"/>
    <w:rsid w:val="00316116"/>
    <w:rsid w:val="00350781"/>
    <w:rsid w:val="003757E0"/>
    <w:rsid w:val="00385D6B"/>
    <w:rsid w:val="00393ACB"/>
    <w:rsid w:val="003B4BFB"/>
    <w:rsid w:val="003C7AE2"/>
    <w:rsid w:val="003D402C"/>
    <w:rsid w:val="00410CF1"/>
    <w:rsid w:val="0041538F"/>
    <w:rsid w:val="004257F6"/>
    <w:rsid w:val="004412E5"/>
    <w:rsid w:val="00447103"/>
    <w:rsid w:val="004922A1"/>
    <w:rsid w:val="004A5432"/>
    <w:rsid w:val="004B425F"/>
    <w:rsid w:val="004C0DDF"/>
    <w:rsid w:val="004C1F04"/>
    <w:rsid w:val="004C6407"/>
    <w:rsid w:val="004F2ECF"/>
    <w:rsid w:val="004F7940"/>
    <w:rsid w:val="005066EA"/>
    <w:rsid w:val="005146DC"/>
    <w:rsid w:val="00521491"/>
    <w:rsid w:val="005258EA"/>
    <w:rsid w:val="0055428E"/>
    <w:rsid w:val="005665F5"/>
    <w:rsid w:val="0057651C"/>
    <w:rsid w:val="005802A1"/>
    <w:rsid w:val="005835A2"/>
    <w:rsid w:val="00592DBB"/>
    <w:rsid w:val="005C63BE"/>
    <w:rsid w:val="006152B7"/>
    <w:rsid w:val="00622E1F"/>
    <w:rsid w:val="00630AE5"/>
    <w:rsid w:val="00644973"/>
    <w:rsid w:val="00676D12"/>
    <w:rsid w:val="00695C61"/>
    <w:rsid w:val="006B4F93"/>
    <w:rsid w:val="006C2607"/>
    <w:rsid w:val="006D0C0F"/>
    <w:rsid w:val="006E2893"/>
    <w:rsid w:val="006F2642"/>
    <w:rsid w:val="00722D1C"/>
    <w:rsid w:val="00727A29"/>
    <w:rsid w:val="0073731D"/>
    <w:rsid w:val="00771028"/>
    <w:rsid w:val="007841B5"/>
    <w:rsid w:val="00787250"/>
    <w:rsid w:val="00796BE8"/>
    <w:rsid w:val="00797274"/>
    <w:rsid w:val="007B3F74"/>
    <w:rsid w:val="007B5C69"/>
    <w:rsid w:val="007E4AEC"/>
    <w:rsid w:val="0080063A"/>
    <w:rsid w:val="00831732"/>
    <w:rsid w:val="008353F1"/>
    <w:rsid w:val="008902ED"/>
    <w:rsid w:val="008B30E7"/>
    <w:rsid w:val="008F4AF0"/>
    <w:rsid w:val="0092027B"/>
    <w:rsid w:val="00925873"/>
    <w:rsid w:val="00973285"/>
    <w:rsid w:val="00973460"/>
    <w:rsid w:val="00987274"/>
    <w:rsid w:val="009923AA"/>
    <w:rsid w:val="009971EE"/>
    <w:rsid w:val="009A5488"/>
    <w:rsid w:val="009A5693"/>
    <w:rsid w:val="009B1B41"/>
    <w:rsid w:val="00A257FF"/>
    <w:rsid w:val="00A30688"/>
    <w:rsid w:val="00A55F87"/>
    <w:rsid w:val="00A57074"/>
    <w:rsid w:val="00A573D1"/>
    <w:rsid w:val="00A722ED"/>
    <w:rsid w:val="00A81F1C"/>
    <w:rsid w:val="00A9176F"/>
    <w:rsid w:val="00AA3F7E"/>
    <w:rsid w:val="00AA715B"/>
    <w:rsid w:val="00AA7245"/>
    <w:rsid w:val="00AB4FEB"/>
    <w:rsid w:val="00AC3E8F"/>
    <w:rsid w:val="00AD598B"/>
    <w:rsid w:val="00AE0B04"/>
    <w:rsid w:val="00AF0018"/>
    <w:rsid w:val="00B138E9"/>
    <w:rsid w:val="00B2562B"/>
    <w:rsid w:val="00B35B3C"/>
    <w:rsid w:val="00B47FF3"/>
    <w:rsid w:val="00B516E3"/>
    <w:rsid w:val="00B74FCE"/>
    <w:rsid w:val="00B937F5"/>
    <w:rsid w:val="00BA0CA0"/>
    <w:rsid w:val="00BB4C93"/>
    <w:rsid w:val="00BD01CA"/>
    <w:rsid w:val="00BE6087"/>
    <w:rsid w:val="00BE61D6"/>
    <w:rsid w:val="00C0064D"/>
    <w:rsid w:val="00C245F7"/>
    <w:rsid w:val="00C31ECF"/>
    <w:rsid w:val="00C445AC"/>
    <w:rsid w:val="00C563F4"/>
    <w:rsid w:val="00C62CEC"/>
    <w:rsid w:val="00CA08FC"/>
    <w:rsid w:val="00CA09ED"/>
    <w:rsid w:val="00CA2D7A"/>
    <w:rsid w:val="00CA549D"/>
    <w:rsid w:val="00CC6B7F"/>
    <w:rsid w:val="00CF3706"/>
    <w:rsid w:val="00CF3CA6"/>
    <w:rsid w:val="00CF59BA"/>
    <w:rsid w:val="00CF5A4B"/>
    <w:rsid w:val="00CF6F7E"/>
    <w:rsid w:val="00CF7FF0"/>
    <w:rsid w:val="00D01432"/>
    <w:rsid w:val="00D11103"/>
    <w:rsid w:val="00D41D64"/>
    <w:rsid w:val="00D4232B"/>
    <w:rsid w:val="00D4320A"/>
    <w:rsid w:val="00D45DB6"/>
    <w:rsid w:val="00D73D99"/>
    <w:rsid w:val="00D85FB7"/>
    <w:rsid w:val="00D8609B"/>
    <w:rsid w:val="00D9380B"/>
    <w:rsid w:val="00D95992"/>
    <w:rsid w:val="00D97E8E"/>
    <w:rsid w:val="00DA310D"/>
    <w:rsid w:val="00DB21C2"/>
    <w:rsid w:val="00DE75B1"/>
    <w:rsid w:val="00E0066E"/>
    <w:rsid w:val="00E216FD"/>
    <w:rsid w:val="00E257BD"/>
    <w:rsid w:val="00E4335F"/>
    <w:rsid w:val="00E55304"/>
    <w:rsid w:val="00E7097C"/>
    <w:rsid w:val="00E71AFA"/>
    <w:rsid w:val="00E77E3D"/>
    <w:rsid w:val="00E824F3"/>
    <w:rsid w:val="00ED1C4F"/>
    <w:rsid w:val="00ED335B"/>
    <w:rsid w:val="00EE308E"/>
    <w:rsid w:val="00EF678C"/>
    <w:rsid w:val="00F03ACC"/>
    <w:rsid w:val="00F04684"/>
    <w:rsid w:val="00F06E1F"/>
    <w:rsid w:val="00F133F3"/>
    <w:rsid w:val="00F51F3A"/>
    <w:rsid w:val="00F74889"/>
    <w:rsid w:val="00F771CC"/>
    <w:rsid w:val="00F87653"/>
    <w:rsid w:val="00F900D5"/>
    <w:rsid w:val="00FA07A9"/>
    <w:rsid w:val="00FC0CFC"/>
    <w:rsid w:val="00FC5F0D"/>
    <w:rsid w:val="02E828A9"/>
    <w:rsid w:val="030E4CDF"/>
    <w:rsid w:val="035E47A1"/>
    <w:rsid w:val="0575236A"/>
    <w:rsid w:val="0609666E"/>
    <w:rsid w:val="072F5D98"/>
    <w:rsid w:val="086B76D3"/>
    <w:rsid w:val="0C2B2BBE"/>
    <w:rsid w:val="0EAC6E81"/>
    <w:rsid w:val="0F2F1AE7"/>
    <w:rsid w:val="112301C9"/>
    <w:rsid w:val="114F47CF"/>
    <w:rsid w:val="12753C29"/>
    <w:rsid w:val="13787C6F"/>
    <w:rsid w:val="15545B7C"/>
    <w:rsid w:val="15D72BF6"/>
    <w:rsid w:val="1659704F"/>
    <w:rsid w:val="18DA56D8"/>
    <w:rsid w:val="19337DEC"/>
    <w:rsid w:val="1BBC26FF"/>
    <w:rsid w:val="1C88572A"/>
    <w:rsid w:val="1C980A44"/>
    <w:rsid w:val="1CA7543E"/>
    <w:rsid w:val="1D5D57EA"/>
    <w:rsid w:val="1D9B26ED"/>
    <w:rsid w:val="1EE12B77"/>
    <w:rsid w:val="1FA45B7E"/>
    <w:rsid w:val="1FFB3AB8"/>
    <w:rsid w:val="206C31AF"/>
    <w:rsid w:val="213D2C65"/>
    <w:rsid w:val="254502D5"/>
    <w:rsid w:val="26635ED6"/>
    <w:rsid w:val="26BA4BF3"/>
    <w:rsid w:val="26D31BE5"/>
    <w:rsid w:val="2855533A"/>
    <w:rsid w:val="2B991E44"/>
    <w:rsid w:val="2E694D44"/>
    <w:rsid w:val="303F158D"/>
    <w:rsid w:val="319C5922"/>
    <w:rsid w:val="34457057"/>
    <w:rsid w:val="35A970FA"/>
    <w:rsid w:val="3A563FC1"/>
    <w:rsid w:val="3B9A612F"/>
    <w:rsid w:val="3BCE3988"/>
    <w:rsid w:val="3C314553"/>
    <w:rsid w:val="3C7B7123"/>
    <w:rsid w:val="40D207D6"/>
    <w:rsid w:val="40DE2175"/>
    <w:rsid w:val="41345DC1"/>
    <w:rsid w:val="4183246F"/>
    <w:rsid w:val="423529DD"/>
    <w:rsid w:val="42ED684B"/>
    <w:rsid w:val="439B00F9"/>
    <w:rsid w:val="472F5D4B"/>
    <w:rsid w:val="475B7CC4"/>
    <w:rsid w:val="4BA21CF9"/>
    <w:rsid w:val="4C4D3F6D"/>
    <w:rsid w:val="50F1593B"/>
    <w:rsid w:val="569E5E09"/>
    <w:rsid w:val="56FF0A48"/>
    <w:rsid w:val="572320EE"/>
    <w:rsid w:val="582B03E3"/>
    <w:rsid w:val="5AB248C8"/>
    <w:rsid w:val="5BBE156E"/>
    <w:rsid w:val="5BD752DF"/>
    <w:rsid w:val="5D047455"/>
    <w:rsid w:val="5D7E0FB5"/>
    <w:rsid w:val="5DBB0FC6"/>
    <w:rsid w:val="5EDF2125"/>
    <w:rsid w:val="5F407DEB"/>
    <w:rsid w:val="5F9837E5"/>
    <w:rsid w:val="5FFD2D72"/>
    <w:rsid w:val="60981BBA"/>
    <w:rsid w:val="61274D4B"/>
    <w:rsid w:val="63E2369B"/>
    <w:rsid w:val="65C25F81"/>
    <w:rsid w:val="66666D97"/>
    <w:rsid w:val="66761FE0"/>
    <w:rsid w:val="66BE6B8D"/>
    <w:rsid w:val="675C6D2B"/>
    <w:rsid w:val="68863414"/>
    <w:rsid w:val="69A75678"/>
    <w:rsid w:val="6E5E0E69"/>
    <w:rsid w:val="6F5B4583"/>
    <w:rsid w:val="6F5E72A9"/>
    <w:rsid w:val="701536D3"/>
    <w:rsid w:val="709D3907"/>
    <w:rsid w:val="76543F1D"/>
    <w:rsid w:val="766878D1"/>
    <w:rsid w:val="7949798A"/>
    <w:rsid w:val="7C0C0119"/>
    <w:rsid w:val="7C6804E2"/>
    <w:rsid w:val="7CB34765"/>
    <w:rsid w:val="7F1D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Lines/>
      <w:numPr>
        <w:ilvl w:val="1"/>
        <w:numId w:val="1"/>
      </w:numPr>
      <w:outlineLvl w:val="1"/>
    </w:p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3"/>
    <w:qFormat/>
    <w:uiPriority w:val="99"/>
    <w:pPr>
      <w:tabs>
        <w:tab w:val="left" w:pos="558"/>
        <w:tab w:val="left" w:pos="870"/>
      </w:tabs>
      <w:adjustRightInd w:val="0"/>
      <w:snapToGrid w:val="0"/>
      <w:spacing w:line="360" w:lineRule="atLeast"/>
      <w:jc w:val="left"/>
    </w:pPr>
    <w:rPr>
      <w:rFonts w:ascii="宋体" w:hAnsi="宋体"/>
      <w:color w:val="000000"/>
      <w:sz w:val="24"/>
      <w:szCs w:val="21"/>
    </w:rPr>
  </w:style>
  <w:style w:type="paragraph" w:styleId="3">
    <w:name w:val="Body Text Indent"/>
    <w:basedOn w:val="1"/>
    <w:next w:val="1"/>
    <w:qFormat/>
    <w:uiPriority w:val="0"/>
    <w:pPr>
      <w:numPr>
        <w:ilvl w:val="0"/>
        <w:numId w:val="2"/>
      </w:numPr>
      <w:tabs>
        <w:tab w:val="clear" w:pos="870"/>
      </w:tabs>
      <w:ind w:left="0" w:firstLine="567"/>
    </w:pPr>
  </w:style>
  <w:style w:type="paragraph" w:styleId="5">
    <w:name w:val="Body Text"/>
    <w:basedOn w:val="1"/>
    <w:qFormat/>
    <w:uiPriority w:val="1"/>
    <w:pPr>
      <w:ind w:left="258"/>
    </w:pPr>
    <w:rPr>
      <w:sz w:val="24"/>
      <w:szCs w:val="24"/>
    </w:rPr>
  </w:style>
  <w:style w:type="paragraph" w:styleId="6">
    <w:name w:val="Balloon Text"/>
    <w:basedOn w:val="1"/>
    <w:link w:val="20"/>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styleId="13">
    <w:name w:val="Emphasis"/>
    <w:basedOn w:val="11"/>
    <w:qFormat/>
    <w:uiPriority w:val="0"/>
    <w:rPr>
      <w:color w:val="CC0033"/>
    </w:rPr>
  </w:style>
  <w:style w:type="paragraph" w:customStyle="1" w:styleId="14">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paragraph" w:customStyle="1" w:styleId="15">
    <w:name w:val="xl174"/>
    <w:basedOn w:val="1"/>
    <w:qFormat/>
    <w:uiPriority w:val="0"/>
    <w:pPr>
      <w:widowControl/>
      <w:pBdr>
        <w:left w:val="single" w:color="auto" w:sz="8" w:space="0"/>
      </w:pBdr>
      <w:spacing w:before="100" w:beforeAutospacing="1" w:after="100" w:afterAutospacing="1"/>
      <w:jc w:val="center"/>
      <w:textAlignment w:val="center"/>
    </w:pPr>
    <w:rPr>
      <w:rFonts w:hint="eastAsia" w:ascii="宋体" w:hAnsi="宋体" w:cs="Arial Unicode MS"/>
      <w:b/>
      <w:bCs/>
      <w:kern w:val="0"/>
      <w:sz w:val="24"/>
      <w:szCs w:val="24"/>
    </w:rPr>
  </w:style>
  <w:style w:type="paragraph" w:customStyle="1" w:styleId="16">
    <w:name w:val="列出段落1"/>
    <w:basedOn w:val="1"/>
    <w:unhideWhenUsed/>
    <w:qFormat/>
    <w:uiPriority w:val="99"/>
    <w:pPr>
      <w:ind w:firstLine="420" w:firstLineChars="200"/>
    </w:pPr>
  </w:style>
  <w:style w:type="paragraph" w:customStyle="1" w:styleId="17">
    <w:name w:val="Table Paragraph"/>
    <w:basedOn w:val="1"/>
    <w:qFormat/>
    <w:uiPriority w:val="1"/>
    <w:pPr>
      <w:spacing w:before="73"/>
    </w:pPr>
  </w:style>
  <w:style w:type="character" w:customStyle="1" w:styleId="18">
    <w:name w:val="页眉 Char"/>
    <w:basedOn w:val="11"/>
    <w:link w:val="8"/>
    <w:qFormat/>
    <w:uiPriority w:val="0"/>
    <w:rPr>
      <w:kern w:val="2"/>
      <w:sz w:val="18"/>
      <w:szCs w:val="18"/>
    </w:rPr>
  </w:style>
  <w:style w:type="character" w:customStyle="1" w:styleId="19">
    <w:name w:val="页脚 Char"/>
    <w:basedOn w:val="11"/>
    <w:link w:val="7"/>
    <w:qFormat/>
    <w:uiPriority w:val="0"/>
    <w:rPr>
      <w:kern w:val="2"/>
      <w:sz w:val="18"/>
      <w:szCs w:val="18"/>
    </w:rPr>
  </w:style>
  <w:style w:type="character" w:customStyle="1" w:styleId="20">
    <w:name w:val="批注框文本 Char"/>
    <w:basedOn w:val="11"/>
    <w:link w:val="6"/>
    <w:qFormat/>
    <w:uiPriority w:val="0"/>
    <w:rPr>
      <w:kern w:val="2"/>
      <w:sz w:val="18"/>
      <w:szCs w:val="18"/>
    </w:rPr>
  </w:style>
  <w:style w:type="paragraph" w:customStyle="1" w:styleId="21">
    <w:name w:val="Char Char Char Char Char Char Char Char Char"/>
    <w:basedOn w:val="1"/>
    <w:qFormat/>
    <w:uiPriority w:val="0"/>
    <w:pPr>
      <w:spacing w:line="360" w:lineRule="auto"/>
      <w:ind w:firstLine="200" w:firstLineChars="200"/>
    </w:pPr>
    <w:rPr>
      <w:rFonts w:ascii="Times New Roman" w:hAnsi="Times New Roman"/>
      <w:szCs w:val="20"/>
    </w:rPr>
  </w:style>
  <w:style w:type="paragraph" w:customStyle="1" w:styleId="2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paragraph" w:customStyle="1" w:styleId="23">
    <w:name w:val="二级条标题"/>
    <w:basedOn w:val="24"/>
    <w:next w:val="22"/>
    <w:qFormat/>
    <w:uiPriority w:val="0"/>
    <w:pPr>
      <w:numPr>
        <w:ilvl w:val="2"/>
      </w:numPr>
      <w:spacing w:before="50" w:after="50"/>
      <w:outlineLvl w:val="3"/>
    </w:pPr>
  </w:style>
  <w:style w:type="paragraph" w:customStyle="1" w:styleId="24">
    <w:name w:val="一级条标题"/>
    <w:next w:val="22"/>
    <w:qFormat/>
    <w:uiPriority w:val="0"/>
    <w:pPr>
      <w:numPr>
        <w:ilvl w:val="1"/>
        <w:numId w:val="3"/>
      </w:numPr>
      <w:spacing w:beforeLines="50" w:afterLines="50"/>
      <w:outlineLvl w:val="2"/>
    </w:pPr>
    <w:rPr>
      <w:rFonts w:ascii="黑体" w:hAnsi="Times New Roman" w:eastAsia="黑体" w:cs="Times New Roman"/>
      <w:kern w:val="0"/>
      <w:sz w:val="21"/>
      <w:szCs w:val="21"/>
      <w:lang w:val="en-US" w:eastAsia="zh-CN" w:bidi="ar-SA"/>
    </w:rPr>
  </w:style>
  <w:style w:type="paragraph" w:customStyle="1" w:styleId="25">
    <w:name w:val="章标题"/>
    <w:next w:val="22"/>
    <w:qFormat/>
    <w:uiPriority w:val="0"/>
    <w:pPr>
      <w:numPr>
        <w:ilvl w:val="0"/>
        <w:numId w:val="3"/>
      </w:numPr>
      <w:spacing w:beforeLines="100" w:afterLines="100"/>
      <w:jc w:val="both"/>
      <w:outlineLvl w:val="1"/>
    </w:pPr>
    <w:rPr>
      <w:rFonts w:ascii="黑体" w:hAnsi="Times New Roman" w:eastAsia="黑体" w:cs="Times New Roman"/>
      <w:kern w:val="0"/>
      <w:sz w:val="21"/>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4418</Words>
  <Characters>4578</Characters>
  <Lines>35</Lines>
  <Paragraphs>9</Paragraphs>
  <TotalTime>186</TotalTime>
  <ScaleCrop>false</ScaleCrop>
  <LinksUpToDate>false</LinksUpToDate>
  <CharactersWithSpaces>4647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2024-09-02T01:39:00Z</dcterms:created>
  <dc:creator>Administrator.BV88XMLU2OSR5FZ</dc:creator>
  <cp:lastModifiedBy>gwm</cp:lastModifiedBy>
  <dcterms:modified xsi:type="dcterms:W3CDTF">2026-03-16T07:23:43Z</dcterms:modified>
  <dc:title>江苏索普化工股份有限公司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4B09C8CA76B54D63835BAD22EF1EBA88_13</vt:lpwstr>
  </property>
  <property fmtid="{D5CDD505-2E9C-101B-9397-08002B2CF9AE}" pid="4" name="KSOTemplateDocerSaveRecord">
    <vt:lpwstr>eyJoZGlkIjoiZjJlZTc0YmVlMTk2ZmFlODQ5MTlhMmUxN2U1ODNkZGMiLCJ1c2VySWQiOiIyMDg3OTA5MzEifQ==</vt:lpwstr>
  </property>
</Properties>
</file>