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0A6A16">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lang w:val="en-US" w:eastAsia="zh-CN"/>
        </w:rPr>
        <w:t>江</w:t>
      </w:r>
      <w:r>
        <w:rPr>
          <w:rFonts w:ascii="方正小标宋简体" w:hAnsi="方正小标宋简体" w:eastAsia="方正小标宋简体" w:cs="方正小标宋简体"/>
          <w:color w:val="000000"/>
          <w:sz w:val="44"/>
          <w:szCs w:val="44"/>
        </w:rPr>
        <w:t>苏索普（集团）有限公司</w:t>
      </w:r>
    </w:p>
    <w:p w14:paraId="18DC6AFB">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方正小标宋简体" w:hAnsi="方正小标宋简体" w:eastAsia="方正小标宋简体" w:cs="方正小标宋简体"/>
          <w:bCs/>
          <w:color w:val="000000"/>
          <w:kern w:val="1"/>
          <w:sz w:val="44"/>
          <w:szCs w:val="44"/>
        </w:rPr>
      </w:pPr>
      <w:r>
        <w:rPr>
          <w:rFonts w:ascii="方正小标宋简体" w:hAnsi="方正小标宋简体" w:eastAsia="方正小标宋简体" w:cs="方正小标宋简体"/>
          <w:color w:val="000000"/>
          <w:sz w:val="44"/>
          <w:szCs w:val="44"/>
        </w:rPr>
        <w:t>公开采购文件</w:t>
      </w:r>
    </w:p>
    <w:p w14:paraId="7EE53658">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仿宋_GB2312" w:hAnsi="仿宋_GB2312" w:eastAsia="仿宋_GB2312" w:cs="仿宋_GB2312"/>
          <w:bCs/>
          <w:sz w:val="24"/>
        </w:rPr>
      </w:pPr>
    </w:p>
    <w:p w14:paraId="5A53F1C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我公司现需对</w:t>
      </w:r>
      <w:r>
        <w:rPr>
          <w:rFonts w:hint="eastAsia" w:ascii="仿宋_GB2312" w:hAnsi="宋体" w:eastAsia="仿宋_GB2312" w:cs="宋体"/>
          <w:color w:val="000000"/>
          <w:sz w:val="32"/>
          <w:szCs w:val="32"/>
        </w:rPr>
        <w:t>年度安全专家</w:t>
      </w:r>
      <w:r>
        <w:rPr>
          <w:rFonts w:hint="eastAsia" w:ascii="仿宋_GB2312" w:hAnsi="宋体" w:eastAsia="仿宋_GB2312" w:cs="宋体"/>
          <w:color w:val="000000"/>
          <w:sz w:val="32"/>
          <w:szCs w:val="32"/>
          <w:lang w:val="en-US" w:eastAsia="zh-CN"/>
        </w:rPr>
        <w:t>检查、</w:t>
      </w:r>
      <w:r>
        <w:rPr>
          <w:rFonts w:hint="eastAsia" w:ascii="仿宋_GB2312" w:hAnsi="宋体" w:eastAsia="仿宋_GB2312" w:cs="宋体"/>
          <w:color w:val="000000"/>
          <w:sz w:val="32"/>
          <w:szCs w:val="32"/>
        </w:rPr>
        <w:t>咨询</w:t>
      </w:r>
      <w:r>
        <w:rPr>
          <w:rFonts w:hint="eastAsia" w:ascii="仿宋_GB2312" w:hAnsi="宋体" w:eastAsia="仿宋_GB2312" w:cs="宋体"/>
          <w:color w:val="000000"/>
          <w:sz w:val="32"/>
          <w:szCs w:val="32"/>
          <w:lang w:eastAsia="zh-CN"/>
        </w:rPr>
        <w:t>、</w:t>
      </w:r>
      <w:r>
        <w:rPr>
          <w:rFonts w:hint="eastAsia" w:ascii="仿宋_GB2312" w:hAnsi="宋体" w:eastAsia="仿宋_GB2312" w:cs="宋体"/>
          <w:color w:val="000000"/>
          <w:sz w:val="32"/>
          <w:szCs w:val="32"/>
        </w:rPr>
        <w:t>技术</w:t>
      </w:r>
      <w:r>
        <w:rPr>
          <w:rFonts w:hint="eastAsia" w:ascii="仿宋_GB2312" w:hAnsi="宋体" w:eastAsia="仿宋_GB2312" w:cs="宋体"/>
          <w:color w:val="000000"/>
          <w:sz w:val="32"/>
          <w:szCs w:val="32"/>
          <w:lang w:val="en-US" w:eastAsia="zh-CN"/>
        </w:rPr>
        <w:t>等</w:t>
      </w:r>
      <w:r>
        <w:rPr>
          <w:rFonts w:hint="eastAsia" w:ascii="仿宋_GB2312" w:hAnsi="宋体" w:eastAsia="仿宋_GB2312" w:cs="宋体"/>
          <w:color w:val="000000"/>
          <w:sz w:val="32"/>
          <w:szCs w:val="32"/>
        </w:rPr>
        <w:t>服务</w:t>
      </w:r>
      <w:r>
        <w:rPr>
          <w:rFonts w:hint="eastAsia" w:ascii="仿宋_GB2312" w:hAnsi="仿宋_GB2312" w:eastAsia="仿宋_GB2312" w:cs="仿宋_GB2312"/>
          <w:bCs/>
          <w:color w:val="auto"/>
          <w:sz w:val="32"/>
          <w:szCs w:val="32"/>
          <w:highlight w:val="none"/>
        </w:rPr>
        <w:t>进行</w:t>
      </w:r>
      <w:r>
        <w:rPr>
          <w:rFonts w:hint="eastAsia" w:ascii="仿宋_GB2312" w:hAnsi="仿宋_GB2312" w:eastAsia="仿宋_GB2312" w:cs="仿宋_GB2312"/>
          <w:bCs/>
          <w:color w:val="auto"/>
          <w:sz w:val="32"/>
          <w:szCs w:val="32"/>
          <w:highlight w:val="none"/>
          <w:lang w:eastAsia="zh-CN"/>
        </w:rPr>
        <w:t>采购</w:t>
      </w:r>
      <w:r>
        <w:rPr>
          <w:rFonts w:hint="eastAsia" w:ascii="仿宋_GB2312" w:hAnsi="仿宋_GB2312" w:eastAsia="仿宋_GB2312" w:cs="仿宋_GB2312"/>
          <w:bCs/>
          <w:color w:val="auto"/>
          <w:sz w:val="32"/>
          <w:szCs w:val="32"/>
          <w:highlight w:val="none"/>
        </w:rPr>
        <w:t>，</w:t>
      </w:r>
      <w:r>
        <w:rPr>
          <w:rFonts w:hint="eastAsia" w:ascii="仿宋_GB2312" w:hAnsi="仿宋_GB2312" w:eastAsia="仿宋_GB2312" w:cs="仿宋_GB2312"/>
          <w:bCs/>
          <w:color w:val="auto"/>
          <w:sz w:val="32"/>
          <w:szCs w:val="32"/>
          <w:highlight w:val="none"/>
          <w:lang w:val="zh-CN"/>
        </w:rPr>
        <w:t>采用公开采购的方式选定供应商，</w:t>
      </w:r>
      <w:r>
        <w:rPr>
          <w:rFonts w:hint="eastAsia" w:ascii="仿宋_GB2312" w:hAnsi="仿宋_GB2312" w:eastAsia="仿宋_GB2312" w:cs="仿宋_GB2312"/>
          <w:bCs/>
          <w:color w:val="auto"/>
          <w:sz w:val="32"/>
          <w:szCs w:val="32"/>
          <w:highlight w:val="none"/>
        </w:rPr>
        <w:t>特邀请贵单位参与</w:t>
      </w:r>
      <w:r>
        <w:rPr>
          <w:rFonts w:hint="eastAsia" w:ascii="仿宋_GB2312" w:hAnsi="仿宋_GB2312" w:eastAsia="仿宋_GB2312" w:cs="仿宋_GB2312"/>
          <w:bCs/>
          <w:color w:val="auto"/>
          <w:sz w:val="32"/>
          <w:szCs w:val="32"/>
          <w:highlight w:val="none"/>
          <w:lang w:eastAsia="zh-CN"/>
        </w:rPr>
        <w:t>报价</w:t>
      </w:r>
      <w:r>
        <w:rPr>
          <w:rFonts w:hint="eastAsia" w:ascii="仿宋_GB2312" w:hAnsi="仿宋_GB2312" w:eastAsia="仿宋_GB2312" w:cs="仿宋_GB2312"/>
          <w:bCs/>
          <w:color w:val="auto"/>
          <w:sz w:val="32"/>
          <w:szCs w:val="32"/>
          <w:highlight w:val="none"/>
        </w:rPr>
        <w:t>。</w:t>
      </w:r>
    </w:p>
    <w:p w14:paraId="12E36AB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黑体" w:hAnsi="黑体" w:eastAsia="黑体" w:cs="黑体"/>
          <w:bCs/>
          <w:color w:val="auto"/>
          <w:sz w:val="32"/>
          <w:szCs w:val="32"/>
          <w:highlight w:val="none"/>
        </w:rPr>
      </w:pPr>
      <w:r>
        <w:rPr>
          <w:rFonts w:hint="eastAsia" w:ascii="黑体" w:hAnsi="黑体" w:eastAsia="黑体" w:cs="黑体"/>
          <w:bCs/>
          <w:color w:val="auto"/>
          <w:sz w:val="32"/>
          <w:szCs w:val="32"/>
          <w:highlight w:val="none"/>
        </w:rPr>
        <w:t>一、采购概况：</w:t>
      </w:r>
    </w:p>
    <w:p w14:paraId="085A2F5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Cs/>
          <w:color w:val="auto"/>
          <w:sz w:val="32"/>
          <w:szCs w:val="32"/>
          <w:highlight w:val="none"/>
          <w:u w:val="single" w:color="auto"/>
        </w:rPr>
      </w:pPr>
      <w:r>
        <w:rPr>
          <w:rFonts w:hint="eastAsia" w:ascii="仿宋_GB2312" w:hAnsi="仿宋_GB2312" w:eastAsia="仿宋_GB2312" w:cs="仿宋_GB2312"/>
          <w:bCs/>
          <w:color w:val="auto"/>
          <w:kern w:val="1"/>
          <w:sz w:val="32"/>
          <w:szCs w:val="32"/>
          <w:highlight w:val="none"/>
        </w:rPr>
        <w:t>（一）</w:t>
      </w:r>
      <w:r>
        <w:rPr>
          <w:rFonts w:hint="eastAsia" w:ascii="仿宋_GB2312" w:hAnsi="仿宋_GB2312" w:eastAsia="仿宋_GB2312" w:cs="仿宋_GB2312"/>
          <w:bCs/>
          <w:color w:val="auto"/>
          <w:sz w:val="32"/>
          <w:szCs w:val="32"/>
          <w:highlight w:val="none"/>
        </w:rPr>
        <w:t>实施项目名称：</w:t>
      </w:r>
      <w:r>
        <w:rPr>
          <w:rFonts w:hint="eastAsia" w:ascii="仿宋_GB2312" w:hAnsi="仿宋_GB2312" w:eastAsia="仿宋_GB2312" w:cs="仿宋_GB2312"/>
          <w:bCs/>
          <w:color w:val="auto"/>
          <w:sz w:val="32"/>
          <w:szCs w:val="32"/>
          <w:highlight w:val="none"/>
          <w:u w:val="single" w:color="auto"/>
        </w:rPr>
        <w:t>索普</w:t>
      </w:r>
      <w:r>
        <w:rPr>
          <w:rFonts w:hint="eastAsia" w:ascii="仿宋_GB2312" w:hAnsi="仿宋_GB2312" w:eastAsia="仿宋_GB2312" w:cs="仿宋_GB2312"/>
          <w:bCs/>
          <w:color w:val="auto"/>
          <w:sz w:val="32"/>
          <w:szCs w:val="32"/>
          <w:highlight w:val="none"/>
          <w:u w:val="single" w:color="auto"/>
          <w:lang w:val="en-US" w:eastAsia="zh-CN"/>
        </w:rPr>
        <w:t>集团</w:t>
      </w:r>
      <w:r>
        <w:rPr>
          <w:rFonts w:hint="eastAsia" w:ascii="仿宋_GB2312" w:hAnsi="宋体" w:eastAsia="仿宋_GB2312" w:cs="宋体"/>
          <w:color w:val="000000"/>
          <w:sz w:val="32"/>
          <w:szCs w:val="32"/>
          <w:u w:val="single" w:color="auto"/>
        </w:rPr>
        <w:t>年度安全专家咨询技术服务</w:t>
      </w:r>
      <w:r>
        <w:rPr>
          <w:rFonts w:hint="eastAsia" w:ascii="仿宋_GB2312" w:hAnsi="仿宋_GB2312" w:eastAsia="仿宋_GB2312" w:cs="仿宋_GB2312"/>
          <w:bCs/>
          <w:color w:val="auto"/>
          <w:sz w:val="32"/>
          <w:szCs w:val="32"/>
          <w:highlight w:val="none"/>
          <w:u w:val="single" w:color="auto"/>
        </w:rPr>
        <w:t>；</w:t>
      </w:r>
    </w:p>
    <w:p w14:paraId="2D524B1A">
      <w:pPr>
        <w:keepNext w:val="0"/>
        <w:keepLines w:val="0"/>
        <w:pageBreakBefore w:val="0"/>
        <w:widowControl w:val="0"/>
        <w:kinsoku/>
        <w:wordWrap/>
        <w:overflowPunct/>
        <w:topLinePunct w:val="0"/>
        <w:autoSpaceDE/>
        <w:autoSpaceDN/>
        <w:bidi w:val="0"/>
        <w:adjustRightInd w:val="0"/>
        <w:snapToGrid w:val="0"/>
        <w:spacing w:line="560" w:lineRule="exact"/>
        <w:ind w:firstLine="617" w:firstLineChars="193"/>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kern w:val="1"/>
          <w:sz w:val="32"/>
          <w:szCs w:val="32"/>
          <w:highlight w:val="none"/>
        </w:rPr>
        <w:t>（</w:t>
      </w:r>
      <w:r>
        <w:rPr>
          <w:rFonts w:hint="eastAsia" w:ascii="仿宋_GB2312" w:hAnsi="仿宋_GB2312" w:eastAsia="仿宋_GB2312" w:cs="仿宋_GB2312"/>
          <w:bCs/>
          <w:color w:val="auto"/>
          <w:kern w:val="1"/>
          <w:sz w:val="32"/>
          <w:szCs w:val="32"/>
          <w:highlight w:val="none"/>
          <w:lang w:val="en-US" w:eastAsia="zh-CN"/>
        </w:rPr>
        <w:t>二</w:t>
      </w:r>
      <w:r>
        <w:rPr>
          <w:rFonts w:hint="eastAsia" w:ascii="仿宋_GB2312" w:hAnsi="仿宋_GB2312" w:eastAsia="仿宋_GB2312" w:cs="仿宋_GB2312"/>
          <w:bCs/>
          <w:color w:val="auto"/>
          <w:kern w:val="1"/>
          <w:sz w:val="32"/>
          <w:szCs w:val="32"/>
          <w:highlight w:val="none"/>
        </w:rPr>
        <w:t>）</w:t>
      </w:r>
      <w:r>
        <w:rPr>
          <w:rFonts w:hint="eastAsia" w:ascii="仿宋_GB2312" w:hAnsi="仿宋_GB2312" w:eastAsia="仿宋_GB2312" w:cs="仿宋_GB2312"/>
          <w:bCs/>
          <w:color w:val="auto"/>
          <w:sz w:val="32"/>
          <w:szCs w:val="32"/>
          <w:highlight w:val="none"/>
        </w:rPr>
        <w:t>公开询比价截止时间202</w:t>
      </w:r>
      <w:r>
        <w:rPr>
          <w:rFonts w:hint="eastAsia" w:ascii="仿宋_GB2312" w:hAnsi="仿宋_GB2312" w:eastAsia="仿宋_GB2312" w:cs="仿宋_GB2312"/>
          <w:bCs/>
          <w:color w:val="auto"/>
          <w:sz w:val="32"/>
          <w:szCs w:val="32"/>
          <w:highlight w:val="none"/>
          <w:lang w:val="en-US" w:eastAsia="zh-CN"/>
        </w:rPr>
        <w:t>6</w:t>
      </w:r>
      <w:r>
        <w:rPr>
          <w:rFonts w:hint="eastAsia" w:ascii="仿宋_GB2312" w:hAnsi="仿宋_GB2312" w:eastAsia="仿宋_GB2312" w:cs="仿宋_GB2312"/>
          <w:bCs/>
          <w:color w:val="auto"/>
          <w:sz w:val="32"/>
          <w:szCs w:val="32"/>
          <w:highlight w:val="none"/>
        </w:rPr>
        <w:t>年</w:t>
      </w:r>
      <w:r>
        <w:rPr>
          <w:rFonts w:hint="eastAsia" w:ascii="仿宋_GB2312" w:hAnsi="仿宋_GB2312" w:eastAsia="仿宋_GB2312" w:cs="仿宋_GB2312"/>
          <w:bCs/>
          <w:color w:val="auto"/>
          <w:sz w:val="32"/>
          <w:szCs w:val="32"/>
          <w:highlight w:val="none"/>
          <w:u w:val="single"/>
          <w:lang w:val="en-US" w:eastAsia="zh-CN"/>
        </w:rPr>
        <w:t>3</w:t>
      </w:r>
      <w:r>
        <w:rPr>
          <w:rFonts w:hint="eastAsia" w:ascii="仿宋_GB2312" w:hAnsi="仿宋_GB2312" w:eastAsia="仿宋_GB2312" w:cs="仿宋_GB2312"/>
          <w:bCs/>
          <w:color w:val="auto"/>
          <w:sz w:val="32"/>
          <w:szCs w:val="32"/>
          <w:highlight w:val="none"/>
        </w:rPr>
        <w:t>月</w:t>
      </w:r>
      <w:r>
        <w:rPr>
          <w:rFonts w:hint="eastAsia" w:ascii="仿宋_GB2312" w:hAnsi="仿宋_GB2312" w:eastAsia="仿宋_GB2312" w:cs="仿宋_GB2312"/>
          <w:bCs/>
          <w:color w:val="auto"/>
          <w:sz w:val="32"/>
          <w:szCs w:val="32"/>
          <w:highlight w:val="none"/>
          <w:u w:val="single"/>
          <w:lang w:val="en-US" w:eastAsia="zh-CN"/>
        </w:rPr>
        <w:t>19</w:t>
      </w:r>
      <w:r>
        <w:rPr>
          <w:rFonts w:hint="eastAsia" w:ascii="仿宋_GB2312" w:hAnsi="仿宋_GB2312" w:eastAsia="仿宋_GB2312" w:cs="仿宋_GB2312"/>
          <w:bCs/>
          <w:color w:val="auto"/>
          <w:sz w:val="32"/>
          <w:szCs w:val="32"/>
          <w:highlight w:val="none"/>
        </w:rPr>
        <w:t>日</w:t>
      </w:r>
      <w:r>
        <w:rPr>
          <w:rFonts w:hint="eastAsia" w:ascii="仿宋_GB2312" w:hAnsi="仿宋_GB2312" w:eastAsia="仿宋_GB2312" w:cs="仿宋_GB2312"/>
          <w:bCs/>
          <w:color w:val="auto"/>
          <w:sz w:val="32"/>
          <w:szCs w:val="32"/>
          <w:highlight w:val="none"/>
          <w:u w:val="single"/>
        </w:rPr>
        <w:t>1</w:t>
      </w:r>
      <w:r>
        <w:rPr>
          <w:rFonts w:hint="eastAsia" w:ascii="仿宋_GB2312" w:hAnsi="仿宋_GB2312" w:eastAsia="仿宋_GB2312" w:cs="仿宋_GB2312"/>
          <w:bCs/>
          <w:color w:val="auto"/>
          <w:sz w:val="32"/>
          <w:szCs w:val="32"/>
          <w:highlight w:val="none"/>
          <w:u w:val="single"/>
          <w:lang w:val="en-US" w:eastAsia="zh-CN"/>
        </w:rPr>
        <w:t>4</w:t>
      </w:r>
      <w:r>
        <w:rPr>
          <w:rFonts w:hint="eastAsia" w:ascii="仿宋_GB2312" w:hAnsi="仿宋_GB2312" w:eastAsia="仿宋_GB2312" w:cs="仿宋_GB2312"/>
          <w:bCs/>
          <w:color w:val="auto"/>
          <w:sz w:val="32"/>
          <w:szCs w:val="32"/>
          <w:highlight w:val="none"/>
          <w:u w:val="single"/>
        </w:rPr>
        <w:t>：00</w:t>
      </w:r>
      <w:r>
        <w:rPr>
          <w:rFonts w:hint="eastAsia" w:ascii="仿宋_GB2312" w:hAnsi="仿宋_GB2312" w:eastAsia="仿宋_GB2312" w:cs="仿宋_GB2312"/>
          <w:bCs/>
          <w:color w:val="auto"/>
          <w:sz w:val="32"/>
          <w:szCs w:val="32"/>
          <w:highlight w:val="none"/>
        </w:rPr>
        <w:t>时（北京时间）；</w:t>
      </w:r>
    </w:p>
    <w:p w14:paraId="50DE2C8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Cs/>
          <w:color w:val="auto"/>
          <w:kern w:val="1"/>
          <w:sz w:val="32"/>
          <w:szCs w:val="32"/>
          <w:highlight w:val="none"/>
        </w:rPr>
      </w:pPr>
      <w:r>
        <w:rPr>
          <w:rFonts w:hint="eastAsia" w:ascii="仿宋_GB2312" w:hAnsi="仿宋_GB2312" w:eastAsia="仿宋_GB2312" w:cs="仿宋_GB2312"/>
          <w:bCs/>
          <w:color w:val="auto"/>
          <w:kern w:val="1"/>
          <w:sz w:val="32"/>
          <w:szCs w:val="32"/>
          <w:highlight w:val="none"/>
        </w:rPr>
        <w:t>（</w:t>
      </w:r>
      <w:r>
        <w:rPr>
          <w:rFonts w:hint="eastAsia" w:ascii="仿宋_GB2312" w:hAnsi="仿宋_GB2312" w:eastAsia="仿宋_GB2312" w:cs="仿宋_GB2312"/>
          <w:bCs/>
          <w:color w:val="auto"/>
          <w:kern w:val="1"/>
          <w:sz w:val="32"/>
          <w:szCs w:val="32"/>
          <w:highlight w:val="none"/>
          <w:lang w:val="en-US" w:eastAsia="zh-CN"/>
        </w:rPr>
        <w:t>三</w:t>
      </w:r>
      <w:r>
        <w:rPr>
          <w:rFonts w:hint="eastAsia" w:ascii="仿宋_GB2312" w:hAnsi="仿宋_GB2312" w:eastAsia="仿宋_GB2312" w:cs="仿宋_GB2312"/>
          <w:bCs/>
          <w:color w:val="auto"/>
          <w:kern w:val="1"/>
          <w:sz w:val="32"/>
          <w:szCs w:val="32"/>
          <w:highlight w:val="none"/>
        </w:rPr>
        <w:t>）</w:t>
      </w:r>
      <w:r>
        <w:rPr>
          <w:rFonts w:hint="eastAsia" w:ascii="仿宋_GB2312" w:hAnsi="仿宋_GB2312" w:eastAsia="仿宋_GB2312" w:cs="仿宋_GB2312"/>
          <w:bCs/>
          <w:color w:val="auto"/>
          <w:sz w:val="32"/>
          <w:szCs w:val="32"/>
          <w:highlight w:val="none"/>
        </w:rPr>
        <w:t>公开询比价评审</w:t>
      </w:r>
      <w:r>
        <w:rPr>
          <w:rFonts w:hint="eastAsia" w:ascii="仿宋_GB2312" w:hAnsi="仿宋_GB2312" w:eastAsia="仿宋_GB2312" w:cs="仿宋_GB2312"/>
          <w:bCs/>
          <w:color w:val="auto"/>
          <w:kern w:val="1"/>
          <w:sz w:val="32"/>
          <w:szCs w:val="32"/>
          <w:highlight w:val="none"/>
        </w:rPr>
        <w:t>时间</w:t>
      </w:r>
      <w:r>
        <w:rPr>
          <w:rFonts w:hint="eastAsia" w:ascii="仿宋_GB2312" w:hAnsi="仿宋_GB2312" w:eastAsia="仿宋_GB2312" w:cs="仿宋_GB2312"/>
          <w:bCs/>
          <w:color w:val="auto"/>
          <w:sz w:val="32"/>
          <w:szCs w:val="32"/>
          <w:highlight w:val="none"/>
        </w:rPr>
        <w:t>202</w:t>
      </w:r>
      <w:r>
        <w:rPr>
          <w:rFonts w:hint="eastAsia" w:ascii="仿宋_GB2312" w:hAnsi="仿宋_GB2312" w:eastAsia="仿宋_GB2312" w:cs="仿宋_GB2312"/>
          <w:bCs/>
          <w:color w:val="auto"/>
          <w:sz w:val="32"/>
          <w:szCs w:val="32"/>
          <w:highlight w:val="none"/>
          <w:lang w:val="en-US" w:eastAsia="zh-CN"/>
        </w:rPr>
        <w:t>6</w:t>
      </w:r>
      <w:r>
        <w:rPr>
          <w:rFonts w:hint="eastAsia" w:ascii="仿宋_GB2312" w:hAnsi="仿宋_GB2312" w:eastAsia="仿宋_GB2312" w:cs="仿宋_GB2312"/>
          <w:bCs/>
          <w:color w:val="auto"/>
          <w:sz w:val="32"/>
          <w:szCs w:val="32"/>
          <w:highlight w:val="none"/>
        </w:rPr>
        <w:t>年</w:t>
      </w:r>
      <w:r>
        <w:rPr>
          <w:rFonts w:hint="eastAsia" w:ascii="仿宋_GB2312" w:hAnsi="仿宋_GB2312" w:eastAsia="仿宋_GB2312" w:cs="仿宋_GB2312"/>
          <w:bCs/>
          <w:color w:val="auto"/>
          <w:sz w:val="32"/>
          <w:szCs w:val="32"/>
          <w:highlight w:val="none"/>
          <w:u w:val="single"/>
          <w:lang w:val="en-US" w:eastAsia="zh-CN"/>
        </w:rPr>
        <w:t>3</w:t>
      </w:r>
      <w:r>
        <w:rPr>
          <w:rFonts w:hint="eastAsia" w:ascii="仿宋_GB2312" w:hAnsi="仿宋_GB2312" w:eastAsia="仿宋_GB2312" w:cs="仿宋_GB2312"/>
          <w:bCs/>
          <w:color w:val="auto"/>
          <w:sz w:val="32"/>
          <w:szCs w:val="32"/>
          <w:highlight w:val="none"/>
        </w:rPr>
        <w:t>月</w:t>
      </w:r>
      <w:r>
        <w:rPr>
          <w:rFonts w:hint="eastAsia" w:ascii="仿宋_GB2312" w:hAnsi="仿宋_GB2312" w:eastAsia="仿宋_GB2312" w:cs="仿宋_GB2312"/>
          <w:bCs/>
          <w:color w:val="auto"/>
          <w:sz w:val="32"/>
          <w:szCs w:val="32"/>
          <w:highlight w:val="none"/>
          <w:u w:val="single"/>
          <w:lang w:val="en-US" w:eastAsia="zh-CN"/>
        </w:rPr>
        <w:t>19</w:t>
      </w:r>
      <w:r>
        <w:rPr>
          <w:rFonts w:hint="eastAsia" w:ascii="仿宋_GB2312" w:hAnsi="仿宋_GB2312" w:eastAsia="仿宋_GB2312" w:cs="仿宋_GB2312"/>
          <w:bCs/>
          <w:color w:val="auto"/>
          <w:sz w:val="32"/>
          <w:szCs w:val="32"/>
          <w:highlight w:val="none"/>
        </w:rPr>
        <w:t>日</w:t>
      </w:r>
      <w:r>
        <w:rPr>
          <w:rFonts w:hint="eastAsia" w:ascii="仿宋_GB2312" w:hAnsi="仿宋_GB2312" w:eastAsia="仿宋_GB2312" w:cs="仿宋_GB2312"/>
          <w:bCs/>
          <w:color w:val="auto"/>
          <w:sz w:val="32"/>
          <w:szCs w:val="32"/>
          <w:highlight w:val="none"/>
          <w:u w:val="single"/>
        </w:rPr>
        <w:t>14：00</w:t>
      </w:r>
      <w:r>
        <w:rPr>
          <w:rFonts w:hint="eastAsia" w:ascii="仿宋_GB2312" w:hAnsi="仿宋_GB2312" w:eastAsia="仿宋_GB2312" w:cs="仿宋_GB2312"/>
          <w:bCs/>
          <w:color w:val="auto"/>
          <w:sz w:val="32"/>
          <w:szCs w:val="32"/>
          <w:highlight w:val="none"/>
        </w:rPr>
        <w:t>时（北京时间）</w:t>
      </w:r>
      <w:r>
        <w:rPr>
          <w:rFonts w:hint="eastAsia" w:ascii="仿宋_GB2312" w:hAnsi="仿宋_GB2312" w:eastAsia="仿宋_GB2312" w:cs="仿宋_GB2312"/>
          <w:bCs/>
          <w:color w:val="auto"/>
          <w:kern w:val="1"/>
          <w:sz w:val="32"/>
          <w:szCs w:val="32"/>
          <w:highlight w:val="none"/>
        </w:rPr>
        <w:t>；</w:t>
      </w:r>
    </w:p>
    <w:p w14:paraId="4EFDDCD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Cs/>
          <w:color w:val="auto"/>
          <w:kern w:val="1"/>
          <w:sz w:val="32"/>
          <w:szCs w:val="32"/>
          <w:highlight w:val="none"/>
        </w:rPr>
      </w:pPr>
      <w:r>
        <w:rPr>
          <w:rFonts w:hint="eastAsia" w:ascii="仿宋_GB2312" w:hAnsi="仿宋_GB2312" w:eastAsia="仿宋_GB2312" w:cs="仿宋_GB2312"/>
          <w:bCs/>
          <w:color w:val="auto"/>
          <w:kern w:val="1"/>
          <w:sz w:val="32"/>
          <w:szCs w:val="32"/>
          <w:highlight w:val="none"/>
        </w:rPr>
        <w:t>（</w:t>
      </w:r>
      <w:r>
        <w:rPr>
          <w:rFonts w:hint="eastAsia" w:ascii="仿宋_GB2312" w:hAnsi="仿宋_GB2312" w:eastAsia="仿宋_GB2312" w:cs="仿宋_GB2312"/>
          <w:bCs/>
          <w:color w:val="auto"/>
          <w:kern w:val="1"/>
          <w:sz w:val="32"/>
          <w:szCs w:val="32"/>
          <w:highlight w:val="none"/>
          <w:lang w:val="en-US" w:eastAsia="zh-CN"/>
        </w:rPr>
        <w:t>四</w:t>
      </w:r>
      <w:r>
        <w:rPr>
          <w:rFonts w:hint="eastAsia" w:ascii="仿宋_GB2312" w:hAnsi="仿宋_GB2312" w:eastAsia="仿宋_GB2312" w:cs="仿宋_GB2312"/>
          <w:bCs/>
          <w:color w:val="auto"/>
          <w:kern w:val="1"/>
          <w:sz w:val="32"/>
          <w:szCs w:val="32"/>
          <w:highlight w:val="none"/>
        </w:rPr>
        <w:t>）</w:t>
      </w:r>
      <w:r>
        <w:rPr>
          <w:rFonts w:hint="eastAsia" w:ascii="仿宋_GB2312" w:hAnsi="仿宋_GB2312" w:eastAsia="仿宋_GB2312" w:cs="仿宋_GB2312"/>
          <w:bCs/>
          <w:color w:val="auto"/>
          <w:sz w:val="32"/>
          <w:szCs w:val="32"/>
          <w:highlight w:val="none"/>
        </w:rPr>
        <w:t>评审</w:t>
      </w:r>
      <w:r>
        <w:rPr>
          <w:rFonts w:hint="eastAsia" w:ascii="仿宋_GB2312" w:hAnsi="仿宋_GB2312" w:eastAsia="仿宋_GB2312" w:cs="仿宋_GB2312"/>
          <w:bCs/>
          <w:color w:val="auto"/>
          <w:kern w:val="1"/>
          <w:sz w:val="32"/>
          <w:szCs w:val="32"/>
          <w:highlight w:val="none"/>
        </w:rPr>
        <w:t>地点：江苏索普(集团)有限公司</w:t>
      </w:r>
      <w:r>
        <w:rPr>
          <w:rFonts w:hint="eastAsia" w:ascii="仿宋_GB2312" w:hAnsi="仿宋_GB2312" w:eastAsia="仿宋_GB2312" w:cs="仿宋_GB2312"/>
          <w:bCs/>
          <w:color w:val="auto"/>
          <w:sz w:val="32"/>
          <w:szCs w:val="32"/>
          <w:highlight w:val="none"/>
        </w:rPr>
        <w:t>评审</w:t>
      </w:r>
      <w:r>
        <w:rPr>
          <w:rFonts w:hint="eastAsia" w:ascii="仿宋_GB2312" w:hAnsi="仿宋_GB2312" w:eastAsia="仿宋_GB2312" w:cs="仿宋_GB2312"/>
          <w:bCs/>
          <w:color w:val="auto"/>
          <w:kern w:val="1"/>
          <w:sz w:val="32"/>
          <w:szCs w:val="32"/>
          <w:highlight w:val="none"/>
        </w:rPr>
        <w:t>中心；</w:t>
      </w:r>
    </w:p>
    <w:p w14:paraId="6AAFF393">
      <w:pPr>
        <w:pStyle w:val="4"/>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Cs/>
          <w:color w:val="auto"/>
          <w:kern w:val="1"/>
          <w:sz w:val="32"/>
          <w:szCs w:val="32"/>
        </w:rPr>
      </w:pPr>
      <w:r>
        <w:rPr>
          <w:rFonts w:hint="eastAsia" w:ascii="仿宋_GB2312" w:hAnsi="仿宋_GB2312" w:eastAsia="仿宋_GB2312" w:cs="仿宋_GB2312"/>
          <w:bCs/>
          <w:color w:val="auto"/>
          <w:kern w:val="1"/>
          <w:sz w:val="32"/>
          <w:szCs w:val="32"/>
          <w:highlight w:val="none"/>
        </w:rPr>
        <w:t>（</w:t>
      </w:r>
      <w:r>
        <w:rPr>
          <w:rFonts w:hint="eastAsia" w:ascii="仿宋_GB2312" w:hAnsi="仿宋_GB2312" w:eastAsia="仿宋_GB2312" w:cs="仿宋_GB2312"/>
          <w:bCs/>
          <w:color w:val="auto"/>
          <w:kern w:val="1"/>
          <w:sz w:val="32"/>
          <w:szCs w:val="32"/>
          <w:highlight w:val="none"/>
          <w:lang w:val="en-US" w:eastAsia="zh-CN"/>
        </w:rPr>
        <w:t>五</w:t>
      </w:r>
      <w:r>
        <w:rPr>
          <w:rFonts w:hint="eastAsia" w:ascii="仿宋_GB2312" w:hAnsi="仿宋_GB2312" w:eastAsia="仿宋_GB2312" w:cs="仿宋_GB2312"/>
          <w:bCs/>
          <w:color w:val="auto"/>
          <w:kern w:val="1"/>
          <w:sz w:val="32"/>
          <w:szCs w:val="32"/>
          <w:highlight w:val="none"/>
        </w:rPr>
        <w:t>）</w:t>
      </w:r>
      <w:r>
        <w:rPr>
          <w:rFonts w:hint="eastAsia" w:ascii="仿宋_GB2312" w:hAnsi="仿宋_GB2312" w:eastAsia="仿宋_GB2312" w:cs="仿宋_GB2312"/>
          <w:bCs/>
          <w:color w:val="auto"/>
          <w:sz w:val="32"/>
          <w:szCs w:val="32"/>
          <w:highlight w:val="none"/>
        </w:rPr>
        <w:t>评审结果</w:t>
      </w:r>
      <w:r>
        <w:rPr>
          <w:rFonts w:hint="eastAsia" w:ascii="仿宋_GB2312" w:hAnsi="仿宋_GB2312" w:eastAsia="仿宋_GB2312" w:cs="仿宋_GB2312"/>
          <w:bCs/>
          <w:color w:val="auto"/>
          <w:kern w:val="1"/>
          <w:sz w:val="32"/>
          <w:szCs w:val="32"/>
          <w:highlight w:val="none"/>
        </w:rPr>
        <w:t>公示：</w:t>
      </w:r>
      <w:r>
        <w:rPr>
          <w:rFonts w:hint="eastAsia" w:ascii="仿宋_GB2312" w:hAnsi="仿宋_GB2312" w:eastAsia="仿宋_GB2312" w:cs="仿宋_GB2312"/>
          <w:bCs/>
          <w:color w:val="auto"/>
          <w:sz w:val="32"/>
          <w:szCs w:val="32"/>
          <w:highlight w:val="none"/>
        </w:rPr>
        <w:t>评审结果</w:t>
      </w:r>
      <w:r>
        <w:rPr>
          <w:rFonts w:hint="eastAsia" w:ascii="仿宋_GB2312" w:hAnsi="仿宋_GB2312" w:eastAsia="仿宋_GB2312" w:cs="仿宋_GB2312"/>
          <w:bCs/>
          <w:color w:val="auto"/>
          <w:kern w:val="1"/>
          <w:sz w:val="32"/>
          <w:szCs w:val="32"/>
          <w:highlight w:val="none"/>
        </w:rPr>
        <w:t>将在索普集团官网公示，请各供应商登录http://www.sopo.com.cn查询。</w:t>
      </w:r>
    </w:p>
    <w:p w14:paraId="6413C6A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黑体" w:hAnsi="黑体" w:eastAsia="黑体" w:cs="黑体"/>
          <w:bCs/>
          <w:color w:val="auto"/>
          <w:kern w:val="1"/>
          <w:sz w:val="32"/>
          <w:szCs w:val="32"/>
          <w:highlight w:val="none"/>
        </w:rPr>
      </w:pPr>
      <w:r>
        <w:rPr>
          <w:rFonts w:hint="eastAsia" w:ascii="黑体" w:hAnsi="黑体" w:eastAsia="黑体" w:cs="黑体"/>
          <w:bCs/>
          <w:color w:val="auto"/>
          <w:kern w:val="1"/>
          <w:sz w:val="32"/>
          <w:szCs w:val="32"/>
          <w:highlight w:val="none"/>
        </w:rPr>
        <w:t xml:space="preserve"> 二、采购内容：</w:t>
      </w:r>
    </w:p>
    <w:p w14:paraId="174A6843">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auto"/>
          <w:kern w:val="1"/>
          <w:sz w:val="32"/>
          <w:szCs w:val="32"/>
          <w:highlight w:val="none"/>
        </w:rPr>
        <w:t>（一）采购项目内容</w:t>
      </w:r>
    </w:p>
    <w:p w14:paraId="3E870245">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1.完成年度外部专家检查</w:t>
      </w:r>
      <w:r>
        <w:rPr>
          <w:rFonts w:hint="eastAsia" w:ascii="仿宋_GB2312" w:hAnsi="仿宋_GB2312" w:eastAsia="仿宋_GB2312" w:cs="仿宋_GB2312"/>
          <w:b w:val="0"/>
          <w:bCs/>
          <w:color w:val="000000"/>
          <w:sz w:val="32"/>
          <w:szCs w:val="32"/>
          <w:lang w:eastAsia="zh-CN"/>
        </w:rPr>
        <w:t>。</w:t>
      </w:r>
      <w:r>
        <w:rPr>
          <w:rFonts w:hint="eastAsia" w:ascii="仿宋_GB2312" w:hAnsi="仿宋_GB2312" w:eastAsia="仿宋_GB2312" w:cs="仿宋_GB2312"/>
          <w:b w:val="0"/>
          <w:bCs/>
          <w:color w:val="000000"/>
          <w:sz w:val="32"/>
          <w:szCs w:val="32"/>
        </w:rPr>
        <w:t>每次提供</w:t>
      </w:r>
      <w:r>
        <w:rPr>
          <w:rFonts w:hint="eastAsia" w:ascii="仿宋_GB2312" w:hAnsi="仿宋_GB2312" w:eastAsia="仿宋_GB2312" w:cs="仿宋_GB2312"/>
          <w:b w:val="0"/>
          <w:bCs/>
          <w:color w:val="000000"/>
          <w:sz w:val="32"/>
          <w:szCs w:val="32"/>
          <w:lang w:val="en-US" w:eastAsia="zh-CN"/>
        </w:rPr>
        <w:t>镇江</w:t>
      </w:r>
      <w:r>
        <w:rPr>
          <w:rFonts w:hint="eastAsia" w:ascii="仿宋_GB2312" w:hAnsi="仿宋_GB2312" w:eastAsia="仿宋_GB2312" w:cs="仿宋_GB2312"/>
          <w:b w:val="0"/>
          <w:bCs/>
          <w:color w:val="000000"/>
          <w:sz w:val="32"/>
          <w:szCs w:val="32"/>
        </w:rPr>
        <w:t>市</w:t>
      </w:r>
      <w:r>
        <w:rPr>
          <w:rFonts w:hint="eastAsia" w:ascii="仿宋_GB2312" w:hAnsi="仿宋_GB2312" w:eastAsia="仿宋_GB2312" w:cs="仿宋_GB2312"/>
          <w:b w:val="0"/>
          <w:bCs/>
          <w:color w:val="000000"/>
          <w:sz w:val="32"/>
          <w:szCs w:val="32"/>
          <w:lang w:val="en-US" w:eastAsia="zh-CN"/>
        </w:rPr>
        <w:t>级</w:t>
      </w:r>
      <w:r>
        <w:rPr>
          <w:rFonts w:hint="eastAsia" w:ascii="仿宋_GB2312" w:hAnsi="仿宋_GB2312" w:eastAsia="仿宋_GB2312" w:cs="仿宋_GB2312"/>
          <w:b w:val="0"/>
          <w:bCs/>
          <w:color w:val="000000"/>
          <w:sz w:val="32"/>
          <w:szCs w:val="32"/>
        </w:rPr>
        <w:t>安全专家库</w:t>
      </w:r>
      <w:r>
        <w:rPr>
          <w:rFonts w:hint="eastAsia" w:ascii="仿宋_GB2312" w:hAnsi="仿宋_GB2312" w:eastAsia="仿宋_GB2312" w:cs="仿宋_GB2312"/>
          <w:b w:val="0"/>
          <w:bCs/>
          <w:color w:val="000000"/>
          <w:sz w:val="32"/>
          <w:szCs w:val="32"/>
          <w:lang w:val="en-US" w:eastAsia="zh-CN"/>
        </w:rPr>
        <w:t>名单</w:t>
      </w:r>
      <w:r>
        <w:rPr>
          <w:rFonts w:hint="eastAsia" w:ascii="仿宋_GB2312" w:hAnsi="仿宋_GB2312" w:eastAsia="仿宋_GB2312" w:cs="仿宋_GB2312"/>
          <w:b w:val="0"/>
          <w:bCs/>
          <w:sz w:val="32"/>
          <w:szCs w:val="32"/>
          <w:lang w:val="en-US" w:eastAsia="zh-CN"/>
        </w:rPr>
        <w:t>2</w:t>
      </w:r>
      <w:r>
        <w:rPr>
          <w:rFonts w:hint="eastAsia" w:ascii="仿宋_GB2312" w:hAnsi="仿宋_GB2312" w:eastAsia="仿宋_GB2312" w:cs="仿宋_GB2312"/>
          <w:b w:val="0"/>
          <w:bCs/>
          <w:sz w:val="32"/>
          <w:szCs w:val="32"/>
        </w:rPr>
        <w:t>名专家</w:t>
      </w:r>
      <w:r>
        <w:rPr>
          <w:rFonts w:hint="eastAsia" w:ascii="仿宋_GB2312" w:hAnsi="仿宋_GB2312" w:eastAsia="仿宋_GB2312" w:cs="仿宋_GB2312"/>
          <w:b w:val="0"/>
          <w:bCs/>
          <w:sz w:val="32"/>
          <w:szCs w:val="32"/>
          <w:lang w:val="en-US" w:eastAsia="zh-CN"/>
        </w:rPr>
        <w:t>参加检查</w:t>
      </w:r>
      <w:r>
        <w:rPr>
          <w:rFonts w:hint="eastAsia" w:ascii="仿宋_GB2312" w:hAnsi="仿宋_GB2312" w:eastAsia="仿宋_GB2312" w:cs="仿宋_GB2312"/>
          <w:b w:val="0"/>
          <w:bCs/>
          <w:sz w:val="32"/>
          <w:szCs w:val="32"/>
        </w:rPr>
        <w:t>，</w:t>
      </w:r>
      <w:r>
        <w:rPr>
          <w:rFonts w:hint="eastAsia" w:ascii="仿宋_GB2312" w:hAnsi="仿宋_GB2312" w:eastAsia="仿宋_GB2312" w:cs="仿宋_GB2312"/>
          <w:b w:val="0"/>
          <w:bCs/>
          <w:color w:val="000000"/>
          <w:sz w:val="32"/>
          <w:szCs w:val="32"/>
        </w:rPr>
        <w:t>每季度一次，共4次</w:t>
      </w:r>
      <w:r>
        <w:rPr>
          <w:rFonts w:hint="eastAsia" w:ascii="仿宋_GB2312" w:hAnsi="仿宋_GB2312" w:eastAsia="仿宋_GB2312" w:cs="仿宋_GB2312"/>
          <w:b w:val="0"/>
          <w:bCs/>
          <w:color w:val="000000"/>
          <w:sz w:val="32"/>
          <w:szCs w:val="32"/>
          <w:lang w:eastAsia="zh-CN"/>
        </w:rPr>
        <w:t>（</w:t>
      </w:r>
      <w:r>
        <w:rPr>
          <w:rFonts w:hint="eastAsia" w:ascii="仿宋_GB2312" w:hAnsi="仿宋_GB2312" w:eastAsia="仿宋_GB2312" w:cs="仿宋_GB2312"/>
          <w:b w:val="0"/>
          <w:bCs/>
          <w:color w:val="000000"/>
          <w:sz w:val="32"/>
          <w:szCs w:val="32"/>
          <w:lang w:val="en-US" w:eastAsia="zh-CN"/>
        </w:rPr>
        <w:t>专家检查费用按照市级专家检查标准核算）</w:t>
      </w:r>
      <w:r>
        <w:rPr>
          <w:rFonts w:hint="eastAsia" w:ascii="仿宋_GB2312" w:hAnsi="仿宋_GB2312" w:eastAsia="仿宋_GB2312" w:cs="仿宋_GB2312"/>
          <w:b w:val="0"/>
          <w:bCs/>
          <w:color w:val="000000"/>
          <w:sz w:val="32"/>
          <w:szCs w:val="32"/>
        </w:rPr>
        <w:t>。</w:t>
      </w:r>
    </w:p>
    <w:p w14:paraId="1E830499">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color w:val="000000"/>
          <w:sz w:val="32"/>
          <w:szCs w:val="32"/>
          <w:lang w:val="en-US" w:eastAsia="zh-CN"/>
        </w:rPr>
      </w:pPr>
      <w:r>
        <w:rPr>
          <w:rFonts w:hint="eastAsia" w:ascii="仿宋_GB2312" w:hAnsi="仿宋_GB2312" w:eastAsia="仿宋_GB2312" w:cs="仿宋_GB2312"/>
          <w:b w:val="0"/>
          <w:bCs/>
          <w:color w:val="000000"/>
          <w:sz w:val="32"/>
          <w:szCs w:val="32"/>
          <w:lang w:val="en-US" w:eastAsia="zh-CN"/>
        </w:rPr>
        <w:t>2.每年提供2名专家对索普集团年度主要负责人“一述四评”活动进行专家评议（按照专家检查费用标准核算）。</w:t>
      </w:r>
    </w:p>
    <w:p w14:paraId="3371605B">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仿宋_GB2312" w:hAnsi="仿宋_GB2312" w:eastAsia="仿宋_GB2312" w:cs="仿宋_GB2312"/>
          <w:b w:val="0"/>
          <w:bCs/>
          <w:color w:val="000000"/>
          <w:sz w:val="32"/>
          <w:szCs w:val="32"/>
          <w:lang w:val="en-US" w:eastAsia="zh-CN"/>
        </w:rPr>
      </w:pPr>
      <w:r>
        <w:rPr>
          <w:rFonts w:hint="eastAsia" w:ascii="仿宋_GB2312" w:hAnsi="仿宋_GB2312" w:eastAsia="仿宋_GB2312" w:cs="仿宋_GB2312"/>
          <w:b w:val="0"/>
          <w:bCs/>
          <w:color w:val="000000"/>
          <w:sz w:val="32"/>
          <w:szCs w:val="32"/>
          <w:lang w:val="en-US" w:eastAsia="zh-CN"/>
        </w:rPr>
        <w:t>3.提供</w:t>
      </w:r>
      <w:r>
        <w:rPr>
          <w:rFonts w:hint="eastAsia" w:ascii="仿宋_GB2312" w:hAnsi="仿宋_GB2312" w:eastAsia="仿宋_GB2312" w:cs="仿宋_GB2312"/>
          <w:b w:val="0"/>
          <w:bCs/>
          <w:color w:val="000000"/>
          <w:sz w:val="32"/>
          <w:szCs w:val="32"/>
        </w:rPr>
        <w:t>市安全专家库目录内</w:t>
      </w:r>
      <w:r>
        <w:rPr>
          <w:rFonts w:hint="eastAsia" w:ascii="仿宋_GB2312" w:hAnsi="仿宋_GB2312" w:eastAsia="仿宋_GB2312" w:cs="仿宋_GB2312"/>
          <w:b w:val="0"/>
          <w:bCs/>
          <w:color w:val="000000"/>
          <w:sz w:val="32"/>
          <w:szCs w:val="32"/>
          <w:lang w:val="en-US" w:eastAsia="zh-CN"/>
        </w:rPr>
        <w:t>7-8名专家作为索普集团生产安全事故应急救援综合预案的外部专家。事故发生后，2-3名专家能够及时赶到现场，提供技术支持。服务费用按实际发生情况计算，每人次服务费用按照检查费用核算。</w:t>
      </w:r>
    </w:p>
    <w:p w14:paraId="271DCE37">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color w:val="000000"/>
          <w:sz w:val="32"/>
          <w:szCs w:val="32"/>
          <w:lang w:val="en-US" w:eastAsia="zh-CN"/>
        </w:rPr>
      </w:pPr>
      <w:r>
        <w:rPr>
          <w:rFonts w:hint="eastAsia" w:ascii="仿宋_GB2312" w:hAnsi="仿宋_GB2312" w:eastAsia="仿宋_GB2312" w:cs="仿宋_GB2312"/>
          <w:b w:val="0"/>
          <w:bCs/>
          <w:color w:val="000000"/>
          <w:sz w:val="32"/>
          <w:szCs w:val="32"/>
          <w:lang w:val="en-US" w:eastAsia="zh-CN"/>
        </w:rPr>
        <w:t>4.协助编制《江苏索普（集团）有限公司生产安全事故综合应急救援预案》</w:t>
      </w:r>
      <w:bookmarkStart w:id="2" w:name="_GoBack"/>
      <w:bookmarkEnd w:id="2"/>
      <w:r>
        <w:rPr>
          <w:rFonts w:hint="eastAsia" w:ascii="仿宋_GB2312" w:hAnsi="仿宋_GB2312" w:eastAsia="仿宋_GB2312" w:cs="仿宋_GB2312"/>
          <w:b w:val="0"/>
          <w:bCs/>
          <w:color w:val="000000"/>
          <w:sz w:val="32"/>
          <w:szCs w:val="32"/>
          <w:lang w:val="en-US" w:eastAsia="zh-CN"/>
        </w:rPr>
        <w:t>和《索普监测点事故应急救援预案》，汇总材料，打印成册。并组织专家评审，达到市应急局备案要求。在服务期间，如预案需要进行修订，必须继续提供相关服务。</w:t>
      </w:r>
    </w:p>
    <w:p w14:paraId="1342AE15">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仿宋_GB2312" w:hAnsi="仿宋_GB2312" w:eastAsia="仿宋_GB2312" w:cs="仿宋_GB2312"/>
          <w:b w:val="0"/>
          <w:bCs/>
          <w:color w:val="000000"/>
          <w:sz w:val="32"/>
          <w:szCs w:val="32"/>
          <w:lang w:val="en-US" w:eastAsia="zh-CN"/>
        </w:rPr>
      </w:pPr>
      <w:r>
        <w:rPr>
          <w:rFonts w:hint="eastAsia" w:ascii="仿宋_GB2312" w:hAnsi="仿宋_GB2312" w:eastAsia="仿宋_GB2312" w:cs="仿宋_GB2312"/>
          <w:b w:val="0"/>
          <w:bCs/>
          <w:color w:val="000000"/>
          <w:sz w:val="32"/>
          <w:szCs w:val="32"/>
          <w:lang w:val="en-US" w:eastAsia="zh-CN"/>
        </w:rPr>
        <w:t>5.根据工作需要，为索普集团提供相关专家服务。服务费用按实际发生情况计算，按照市级专家标准核算。</w:t>
      </w:r>
    </w:p>
    <w:p w14:paraId="7CEE81C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t>（二）</w:t>
      </w:r>
      <w:r>
        <w:rPr>
          <w:rFonts w:hint="eastAsia" w:ascii="仿宋_GB2312" w:hAnsi="仿宋_GB2312" w:eastAsia="仿宋_GB2312" w:cs="仿宋_GB2312"/>
          <w:b w:val="0"/>
          <w:bCs/>
          <w:color w:val="auto"/>
          <w:sz w:val="32"/>
          <w:szCs w:val="32"/>
          <w:highlight w:val="none"/>
          <w:lang w:val="en-US" w:eastAsia="zh-CN"/>
        </w:rPr>
        <w:t>服务期限</w:t>
      </w:r>
    </w:p>
    <w:p w14:paraId="7DF4734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Cs/>
          <w:color w:val="auto"/>
          <w:sz w:val="32"/>
          <w:szCs w:val="32"/>
          <w:highlight w:val="none"/>
          <w:u w:val="single" w:color="auto"/>
        </w:rPr>
      </w:pPr>
      <w:r>
        <w:rPr>
          <w:rFonts w:hint="eastAsia" w:ascii="仿宋_GB2312" w:hAnsi="仿宋_GB2312" w:eastAsia="仿宋_GB2312" w:cs="仿宋_GB2312"/>
          <w:bCs/>
          <w:color w:val="auto"/>
          <w:sz w:val="32"/>
          <w:szCs w:val="32"/>
          <w:highlight w:val="none"/>
          <w:u w:val="single" w:color="auto"/>
          <w:lang w:val="en-US" w:eastAsia="zh-CN"/>
        </w:rPr>
        <w:t xml:space="preserve"> 2026年1月1日至2026年12月31日（如服务期限满，双方无异议，续签两年至2028年12月31日）</w:t>
      </w:r>
      <w:r>
        <w:rPr>
          <w:rFonts w:hint="eastAsia" w:ascii="仿宋_GB2312" w:hAnsi="仿宋_GB2312" w:eastAsia="仿宋_GB2312" w:cs="仿宋_GB2312"/>
          <w:bCs/>
          <w:color w:val="auto"/>
          <w:sz w:val="32"/>
          <w:szCs w:val="32"/>
          <w:highlight w:val="none"/>
          <w:u w:val="single" w:color="auto"/>
          <w:lang w:eastAsia="zh-CN"/>
        </w:rPr>
        <w:t>；</w:t>
      </w:r>
    </w:p>
    <w:p w14:paraId="6D54105E">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三）服务费用支付</w:t>
      </w:r>
    </w:p>
    <w:p w14:paraId="0A09F1CB">
      <w:pPr>
        <w:keepNext w:val="0"/>
        <w:keepLines w:val="0"/>
        <w:pageBreakBefore w:val="0"/>
        <w:widowControl w:val="0"/>
        <w:kinsoku/>
        <w:wordWrap/>
        <w:overflowPunct/>
        <w:topLinePunct w:val="0"/>
        <w:autoSpaceDE/>
        <w:autoSpaceDN/>
        <w:bidi w:val="0"/>
        <w:spacing w:line="560" w:lineRule="exact"/>
        <w:ind w:firstLine="640" w:firstLineChars="200"/>
        <w:textAlignment w:val="auto"/>
        <w:rPr>
          <w:sz w:val="32"/>
          <w:szCs w:val="32"/>
        </w:rPr>
      </w:pPr>
      <w:r>
        <w:rPr>
          <w:rFonts w:hint="eastAsia" w:ascii="仿宋_GB2312" w:hAnsi="仿宋_GB2312" w:eastAsia="仿宋_GB2312" w:cs="仿宋_GB2312"/>
          <w:color w:val="000000"/>
          <w:sz w:val="32"/>
          <w:szCs w:val="32"/>
        </w:rPr>
        <w:t>以</w:t>
      </w:r>
      <w:r>
        <w:rPr>
          <w:rFonts w:hint="eastAsia" w:ascii="仿宋_GB2312" w:hAnsi="仿宋_GB2312" w:eastAsia="仿宋_GB2312" w:cs="仿宋_GB2312"/>
          <w:b/>
          <w:color w:val="000000"/>
          <w:sz w:val="32"/>
          <w:szCs w:val="32"/>
        </w:rPr>
        <w:t>实际发生数量结算</w:t>
      </w:r>
      <w:r>
        <w:rPr>
          <w:rFonts w:hint="eastAsia" w:ascii="仿宋_GB2312" w:hAnsi="仿宋_GB2312" w:eastAsia="仿宋_GB2312" w:cs="仿宋_GB2312"/>
          <w:color w:val="000000"/>
          <w:sz w:val="32"/>
          <w:szCs w:val="32"/>
        </w:rPr>
        <w:t>，每年结算一次，每年12月底结算，收到发票后</w:t>
      </w:r>
      <w:r>
        <w:rPr>
          <w:rFonts w:hint="eastAsia" w:ascii="仿宋_GB2312" w:hAnsi="仿宋_GB2312" w:eastAsia="仿宋_GB2312" w:cs="仿宋_GB2312"/>
          <w:color w:val="000000"/>
          <w:sz w:val="32"/>
          <w:szCs w:val="32"/>
          <w:lang w:val="en-US" w:eastAsia="zh-CN"/>
        </w:rPr>
        <w:t>60天内</w:t>
      </w:r>
      <w:r>
        <w:rPr>
          <w:rFonts w:hint="eastAsia" w:ascii="仿宋_GB2312" w:hAnsi="仿宋_GB2312" w:eastAsia="仿宋_GB2312" w:cs="仿宋_GB2312"/>
          <w:color w:val="000000"/>
          <w:sz w:val="32"/>
          <w:szCs w:val="32"/>
        </w:rPr>
        <w:t>现汇支付。</w:t>
      </w:r>
    </w:p>
    <w:p w14:paraId="340E4FD9">
      <w:pPr>
        <w:keepNext w:val="0"/>
        <w:keepLines w:val="0"/>
        <w:pageBreakBefore w:val="0"/>
        <w:widowControl w:val="0"/>
        <w:kinsoku/>
        <w:wordWrap/>
        <w:overflowPunct/>
        <w:topLinePunct w:val="0"/>
        <w:autoSpaceDE/>
        <w:autoSpaceDN/>
        <w:bidi w:val="0"/>
        <w:spacing w:line="560" w:lineRule="exact"/>
        <w:ind w:firstLine="640" w:firstLineChars="200"/>
        <w:textAlignment w:val="auto"/>
        <w:rPr>
          <w:sz w:val="32"/>
          <w:szCs w:val="32"/>
        </w:rPr>
      </w:pPr>
      <w:r>
        <w:rPr>
          <w:rFonts w:hint="eastAsia" w:ascii="黑体" w:hAnsi="黑体" w:eastAsia="黑体" w:cs="黑体"/>
          <w:b w:val="0"/>
          <w:color w:val="auto"/>
          <w:sz w:val="32"/>
          <w:szCs w:val="32"/>
        </w:rPr>
        <w:t>三、</w:t>
      </w:r>
      <w:r>
        <w:rPr>
          <w:rFonts w:hint="eastAsia" w:ascii="黑体" w:hAnsi="黑体" w:eastAsia="黑体" w:cs="黑体"/>
          <w:b w:val="0"/>
          <w:bCs/>
          <w:color w:val="auto"/>
          <w:sz w:val="32"/>
          <w:szCs w:val="32"/>
          <w:highlight w:val="none"/>
        </w:rPr>
        <w:t>报价人资质与</w:t>
      </w:r>
      <w:r>
        <w:rPr>
          <w:rFonts w:hint="eastAsia" w:ascii="黑体" w:hAnsi="黑体" w:eastAsia="黑体" w:cs="黑体"/>
          <w:b w:val="0"/>
          <w:bCs/>
          <w:color w:val="auto"/>
          <w:sz w:val="32"/>
          <w:szCs w:val="32"/>
          <w:highlight w:val="none"/>
          <w:lang w:val="en-US" w:eastAsia="zh-CN"/>
        </w:rPr>
        <w:t>报价单</w:t>
      </w:r>
      <w:r>
        <w:rPr>
          <w:rFonts w:hint="eastAsia" w:ascii="黑体" w:hAnsi="黑体" w:eastAsia="黑体" w:cs="黑体"/>
          <w:b w:val="0"/>
          <w:bCs/>
          <w:color w:val="auto"/>
          <w:sz w:val="32"/>
          <w:szCs w:val="32"/>
          <w:highlight w:val="none"/>
        </w:rPr>
        <w:t>要求：</w:t>
      </w:r>
    </w:p>
    <w:p w14:paraId="6EBDAC6D">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default"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eastAsia="zh-CN"/>
        </w:rPr>
        <w:t>（</w:t>
      </w:r>
      <w:r>
        <w:rPr>
          <w:rFonts w:hint="eastAsia" w:ascii="仿宋_GB2312" w:hAnsi="仿宋_GB2312" w:eastAsia="仿宋_GB2312" w:cs="仿宋_GB2312"/>
          <w:bCs/>
          <w:color w:val="000000"/>
          <w:sz w:val="32"/>
          <w:szCs w:val="32"/>
          <w:lang w:val="en-US" w:eastAsia="zh-CN"/>
        </w:rPr>
        <w:t>一）报价人资质</w:t>
      </w:r>
    </w:p>
    <w:p w14:paraId="49B004BF">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ascii="仿宋_GB2312" w:hAnsi="仿宋_GB2312" w:eastAsia="仿宋_GB2312" w:cs="仿宋_GB2312"/>
          <w:bCs/>
          <w:color w:val="000000"/>
          <w:sz w:val="32"/>
          <w:szCs w:val="32"/>
          <w:lang w:val="zh-CN"/>
        </w:rPr>
      </w:pPr>
      <w:r>
        <w:rPr>
          <w:rFonts w:hint="eastAsia" w:ascii="仿宋_GB2312" w:hAnsi="仿宋_GB2312" w:eastAsia="仿宋_GB2312" w:cs="仿宋_GB2312"/>
          <w:bCs/>
          <w:color w:val="000000"/>
          <w:sz w:val="32"/>
          <w:szCs w:val="32"/>
        </w:rPr>
        <w:t>1.</w:t>
      </w:r>
      <w:r>
        <w:rPr>
          <w:rFonts w:hint="eastAsia" w:ascii="仿宋_GB2312" w:hAnsi="仿宋_GB2312" w:eastAsia="仿宋_GB2312" w:cs="仿宋_GB2312"/>
          <w:bCs/>
          <w:color w:val="000000"/>
          <w:sz w:val="32"/>
          <w:szCs w:val="32"/>
          <w:lang w:val="en-US" w:eastAsia="zh-CN"/>
        </w:rPr>
        <w:t>报价人</w:t>
      </w:r>
      <w:r>
        <w:rPr>
          <w:rFonts w:hint="eastAsia" w:ascii="仿宋_GB2312" w:hAnsi="仿宋_GB2312" w:eastAsia="仿宋_GB2312" w:cs="仿宋_GB2312"/>
          <w:bCs/>
          <w:color w:val="000000"/>
          <w:sz w:val="32"/>
          <w:szCs w:val="32"/>
          <w:lang w:val="zh-CN"/>
        </w:rPr>
        <w:t>必须为</w:t>
      </w:r>
      <w:r>
        <w:rPr>
          <w:rFonts w:hint="eastAsia" w:ascii="仿宋_GB2312" w:hAnsi="仿宋_GB2312" w:eastAsia="仿宋_GB2312" w:cs="仿宋_GB2312"/>
          <w:bCs/>
          <w:color w:val="000000"/>
          <w:sz w:val="32"/>
          <w:szCs w:val="32"/>
        </w:rPr>
        <w:t>镇江内</w:t>
      </w:r>
      <w:r>
        <w:rPr>
          <w:rFonts w:hint="eastAsia" w:ascii="仿宋_GB2312" w:hAnsi="仿宋_GB2312" w:eastAsia="仿宋_GB2312" w:cs="仿宋_GB2312"/>
          <w:bCs/>
          <w:color w:val="000000"/>
          <w:sz w:val="32"/>
          <w:szCs w:val="32"/>
          <w:lang w:val="zh-CN"/>
        </w:rPr>
        <w:t>注册的法人，具有合法的营业执照，经营范围须含有</w:t>
      </w:r>
      <w:r>
        <w:rPr>
          <w:rFonts w:hint="eastAsia" w:ascii="仿宋_GB2312" w:hAnsi="仿宋_GB2312" w:eastAsia="仿宋_GB2312" w:cs="仿宋_GB2312"/>
          <w:bCs/>
          <w:color w:val="000000"/>
          <w:sz w:val="32"/>
          <w:szCs w:val="32"/>
        </w:rPr>
        <w:t>安全咨询</w:t>
      </w:r>
      <w:r>
        <w:rPr>
          <w:rFonts w:hint="eastAsia" w:ascii="仿宋_GB2312" w:hAnsi="仿宋_GB2312" w:eastAsia="仿宋_GB2312" w:cs="仿宋_GB2312"/>
          <w:bCs/>
          <w:color w:val="000000"/>
          <w:sz w:val="32"/>
          <w:szCs w:val="32"/>
          <w:lang w:val="en-US" w:eastAsia="zh-CN"/>
        </w:rPr>
        <w:t>服务</w:t>
      </w:r>
      <w:r>
        <w:rPr>
          <w:rFonts w:hint="eastAsia" w:ascii="仿宋_GB2312" w:hAnsi="仿宋_GB2312" w:eastAsia="仿宋_GB2312" w:cs="仿宋_GB2312"/>
          <w:bCs/>
          <w:color w:val="000000"/>
          <w:sz w:val="32"/>
          <w:szCs w:val="32"/>
        </w:rPr>
        <w:t>等</w:t>
      </w:r>
      <w:r>
        <w:rPr>
          <w:rFonts w:hint="eastAsia" w:ascii="仿宋_GB2312" w:hAnsi="仿宋_GB2312" w:eastAsia="仿宋_GB2312" w:cs="仿宋_GB2312"/>
          <w:bCs/>
          <w:color w:val="000000"/>
          <w:sz w:val="32"/>
          <w:szCs w:val="32"/>
          <w:lang w:val="zh-CN"/>
        </w:rPr>
        <w:t>，</w:t>
      </w:r>
      <w:r>
        <w:rPr>
          <w:rFonts w:hint="eastAsia" w:ascii="仿宋_GB2312" w:hAnsi="仿宋_GB2312" w:eastAsia="仿宋_GB2312" w:cs="仿宋_GB2312"/>
          <w:bCs/>
          <w:color w:val="000000"/>
          <w:sz w:val="32"/>
          <w:szCs w:val="32"/>
        </w:rPr>
        <w:t>注册资本50</w:t>
      </w:r>
      <w:r>
        <w:rPr>
          <w:rFonts w:hint="eastAsia" w:ascii="仿宋_GB2312" w:hAnsi="仿宋_GB2312" w:eastAsia="仿宋_GB2312" w:cs="仿宋_GB2312"/>
          <w:bCs/>
          <w:color w:val="000000"/>
          <w:sz w:val="32"/>
          <w:szCs w:val="32"/>
          <w:lang w:val="zh-CN"/>
        </w:rPr>
        <w:t>万以上。</w:t>
      </w:r>
    </w:p>
    <w:p w14:paraId="34A3132D">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ascii="仿宋_GB2312" w:hAnsi="仿宋_GB2312" w:eastAsia="仿宋_GB2312" w:cs="仿宋_GB2312"/>
          <w:bCs/>
          <w:color w:val="000000"/>
          <w:sz w:val="32"/>
          <w:szCs w:val="32"/>
          <w:lang w:val="zh-CN"/>
        </w:rPr>
      </w:pPr>
      <w:r>
        <w:rPr>
          <w:rFonts w:hint="eastAsia" w:ascii="仿宋_GB2312" w:hAnsi="仿宋_GB2312" w:eastAsia="仿宋_GB2312" w:cs="仿宋_GB2312"/>
          <w:bCs/>
          <w:color w:val="000000"/>
          <w:sz w:val="32"/>
          <w:szCs w:val="32"/>
          <w:lang w:val="zh-CN"/>
        </w:rPr>
        <w:t>2.</w:t>
      </w:r>
      <w:r>
        <w:rPr>
          <w:rFonts w:hint="eastAsia" w:ascii="仿宋_GB2312" w:hAnsi="仿宋_GB2312" w:eastAsia="仿宋_GB2312" w:cs="仿宋_GB2312"/>
          <w:bCs/>
          <w:color w:val="000000"/>
          <w:sz w:val="32"/>
          <w:szCs w:val="32"/>
          <w:lang w:val="en-US" w:eastAsia="zh-CN"/>
        </w:rPr>
        <w:t>报价人</w:t>
      </w:r>
      <w:r>
        <w:rPr>
          <w:rFonts w:hint="eastAsia" w:ascii="仿宋_GB2312" w:hAnsi="仿宋_GB2312" w:eastAsia="仿宋_GB2312" w:cs="仿宋_GB2312"/>
          <w:bCs/>
          <w:color w:val="000000"/>
          <w:sz w:val="32"/>
          <w:szCs w:val="32"/>
          <w:lang w:val="zh-CN"/>
        </w:rPr>
        <w:t>守法诚信、信用良好，无重大违法行为</w:t>
      </w:r>
      <w:r>
        <w:rPr>
          <w:rFonts w:hint="eastAsia" w:ascii="仿宋_GB2312" w:hAnsi="仿宋_GB2312" w:eastAsia="仿宋_GB2312" w:cs="仿宋_GB2312"/>
          <w:bCs/>
          <w:color w:val="000000"/>
          <w:sz w:val="32"/>
          <w:szCs w:val="32"/>
        </w:rPr>
        <w:t>。</w:t>
      </w:r>
    </w:p>
    <w:p w14:paraId="5EEFE07E">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Cs/>
          <w:color w:val="000000"/>
          <w:sz w:val="32"/>
          <w:szCs w:val="32"/>
          <w:lang w:val="zh-CN"/>
        </w:rPr>
        <w:t>3.</w:t>
      </w:r>
      <w:r>
        <w:rPr>
          <w:rFonts w:hint="eastAsia" w:ascii="仿宋_GB2312" w:hAnsi="仿宋_GB2312" w:eastAsia="仿宋_GB2312" w:cs="仿宋_GB2312"/>
          <w:bCs/>
          <w:color w:val="000000"/>
          <w:sz w:val="32"/>
          <w:szCs w:val="32"/>
          <w:lang w:val="en-US" w:eastAsia="zh-CN"/>
        </w:rPr>
        <w:t>报价人</w:t>
      </w:r>
      <w:r>
        <w:rPr>
          <w:rFonts w:hint="eastAsia" w:ascii="仿宋_GB2312" w:hAnsi="仿宋_GB2312" w:eastAsia="仿宋_GB2312" w:cs="仿宋_GB2312"/>
          <w:color w:val="000000"/>
          <w:sz w:val="32"/>
          <w:szCs w:val="32"/>
        </w:rPr>
        <w:t>应该具备</w:t>
      </w:r>
      <w:r>
        <w:rPr>
          <w:rFonts w:hint="eastAsia" w:ascii="仿宋_GB2312" w:hAnsi="仿宋_GB2312" w:eastAsia="仿宋_GB2312" w:cs="仿宋_GB2312"/>
          <w:bCs/>
          <w:color w:val="000000"/>
          <w:sz w:val="32"/>
          <w:szCs w:val="32"/>
        </w:rPr>
        <w:t>安全咨询</w:t>
      </w:r>
      <w:r>
        <w:rPr>
          <w:rFonts w:hint="eastAsia" w:ascii="仿宋_GB2312" w:hAnsi="仿宋_GB2312" w:eastAsia="仿宋_GB2312" w:cs="仿宋_GB2312"/>
          <w:bCs/>
          <w:color w:val="000000"/>
          <w:sz w:val="32"/>
          <w:szCs w:val="32"/>
          <w:lang w:val="en-US" w:eastAsia="zh-CN"/>
        </w:rPr>
        <w:t>服务</w:t>
      </w:r>
      <w:r>
        <w:rPr>
          <w:rFonts w:hint="eastAsia" w:ascii="仿宋_GB2312" w:hAnsi="仿宋_GB2312" w:eastAsia="仿宋_GB2312" w:cs="仿宋_GB2312"/>
          <w:color w:val="000000"/>
          <w:sz w:val="32"/>
          <w:szCs w:val="32"/>
        </w:rPr>
        <w:t>资质，资信良好。</w:t>
      </w:r>
    </w:p>
    <w:p w14:paraId="2A597671">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bCs/>
          <w:color w:val="000000"/>
          <w:sz w:val="32"/>
          <w:szCs w:val="32"/>
          <w:lang w:val="en-US" w:eastAsia="zh-CN"/>
        </w:rPr>
        <w:t>报价人</w:t>
      </w:r>
      <w:r>
        <w:rPr>
          <w:rFonts w:hint="eastAsia" w:ascii="仿宋_GB2312" w:hAnsi="仿宋_GB2312" w:eastAsia="仿宋_GB2312" w:cs="仿宋_GB2312"/>
          <w:sz w:val="32"/>
          <w:szCs w:val="32"/>
        </w:rPr>
        <w:t>需有本市至少1家单位</w:t>
      </w:r>
      <w:r>
        <w:rPr>
          <w:rFonts w:hint="eastAsia" w:ascii="仿宋_GB2312" w:hAnsi="仿宋_GB2312" w:eastAsia="仿宋_GB2312" w:cs="仿宋_GB2312"/>
          <w:bCs/>
          <w:sz w:val="32"/>
          <w:szCs w:val="32"/>
        </w:rPr>
        <w:t>业绩证明。</w:t>
      </w:r>
    </w:p>
    <w:p w14:paraId="486E2B2A">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5.</w:t>
      </w:r>
      <w:r>
        <w:rPr>
          <w:rFonts w:hint="eastAsia" w:ascii="仿宋_GB2312" w:hAnsi="仿宋_GB2312" w:eastAsia="仿宋_GB2312" w:cs="仿宋_GB2312"/>
          <w:bCs/>
          <w:color w:val="000000"/>
          <w:sz w:val="32"/>
          <w:szCs w:val="32"/>
          <w:lang w:val="en-US" w:eastAsia="zh-CN"/>
        </w:rPr>
        <w:t>报价人</w:t>
      </w:r>
      <w:r>
        <w:rPr>
          <w:rFonts w:hint="eastAsia" w:ascii="仿宋_GB2312" w:hAnsi="仿宋_GB2312" w:eastAsia="仿宋_GB2312" w:cs="仿宋_GB2312"/>
          <w:bCs/>
          <w:sz w:val="32"/>
          <w:szCs w:val="32"/>
        </w:rPr>
        <w:t>至少具有</w:t>
      </w:r>
      <w:r>
        <w:rPr>
          <w:rFonts w:hint="eastAsia" w:ascii="仿宋_GB2312" w:hAnsi="仿宋_GB2312" w:eastAsia="仿宋_GB2312" w:cs="仿宋_GB2312"/>
          <w:bCs/>
          <w:sz w:val="32"/>
          <w:szCs w:val="32"/>
          <w:lang w:val="en-US" w:eastAsia="zh-CN"/>
        </w:rPr>
        <w:t>3</w:t>
      </w:r>
      <w:r>
        <w:rPr>
          <w:rFonts w:hint="eastAsia" w:ascii="仿宋_GB2312" w:hAnsi="仿宋_GB2312" w:eastAsia="仿宋_GB2312" w:cs="仿宋_GB2312"/>
          <w:bCs/>
          <w:sz w:val="32"/>
          <w:szCs w:val="32"/>
        </w:rPr>
        <w:t>名化工行业</w:t>
      </w:r>
      <w:r>
        <w:rPr>
          <w:rFonts w:hint="eastAsia" w:ascii="仿宋_GB2312" w:hAnsi="仿宋_GB2312" w:eastAsia="仿宋_GB2312" w:cs="仿宋_GB2312"/>
          <w:bCs/>
          <w:sz w:val="32"/>
          <w:szCs w:val="32"/>
          <w:lang w:val="en-US" w:eastAsia="zh-CN"/>
        </w:rPr>
        <w:t>相关高级</w:t>
      </w:r>
      <w:r>
        <w:rPr>
          <w:rFonts w:hint="eastAsia" w:ascii="仿宋_GB2312" w:hAnsi="仿宋_GB2312" w:eastAsia="仿宋_GB2312" w:cs="仿宋_GB2312"/>
          <w:bCs/>
          <w:sz w:val="32"/>
          <w:szCs w:val="32"/>
        </w:rPr>
        <w:t>工程师职称专家</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lang w:val="en-US" w:eastAsia="zh-CN"/>
        </w:rPr>
        <w:t>或中级以上注册安全工程师）</w:t>
      </w:r>
      <w:r>
        <w:rPr>
          <w:rFonts w:hint="eastAsia" w:ascii="仿宋_GB2312" w:hAnsi="仿宋_GB2312" w:eastAsia="仿宋_GB2312" w:cs="仿宋_GB2312"/>
          <w:bCs/>
          <w:sz w:val="32"/>
          <w:szCs w:val="32"/>
        </w:rPr>
        <w:t>。</w:t>
      </w:r>
    </w:p>
    <w:p w14:paraId="5A379CDD">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bCs/>
          <w:color w:val="000000"/>
          <w:sz w:val="32"/>
          <w:szCs w:val="32"/>
          <w:lang w:val="zh-CN"/>
        </w:rPr>
      </w:pPr>
      <w:r>
        <w:rPr>
          <w:rFonts w:hint="eastAsia" w:ascii="仿宋_GB2312" w:hAnsi="仿宋_GB2312" w:eastAsia="仿宋_GB2312" w:cs="仿宋_GB2312"/>
          <w:bCs/>
          <w:color w:val="000000"/>
          <w:sz w:val="32"/>
          <w:szCs w:val="32"/>
          <w:lang w:val="zh-CN"/>
        </w:rPr>
        <w:t>6.本项目不接受联合体投标。</w:t>
      </w:r>
    </w:p>
    <w:p w14:paraId="60E5D04E">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default"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eastAsia="zh-CN"/>
        </w:rPr>
        <w:t>（</w:t>
      </w:r>
      <w:r>
        <w:rPr>
          <w:rFonts w:hint="eastAsia" w:ascii="仿宋_GB2312" w:hAnsi="仿宋_GB2312" w:eastAsia="仿宋_GB2312" w:cs="仿宋_GB2312"/>
          <w:bCs/>
          <w:color w:val="000000"/>
          <w:sz w:val="32"/>
          <w:szCs w:val="32"/>
          <w:lang w:val="en-US" w:eastAsia="zh-CN"/>
        </w:rPr>
        <w:t>二）报价单要求</w:t>
      </w:r>
    </w:p>
    <w:p w14:paraId="698FCA3B">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1.资质证明：</w:t>
      </w:r>
      <w:r>
        <w:rPr>
          <w:rFonts w:hint="eastAsia" w:ascii="仿宋_GB2312" w:hAnsi="仿宋_GB2312" w:eastAsia="仿宋_GB2312" w:cs="仿宋_GB2312"/>
          <w:bCs/>
          <w:color w:val="000000"/>
          <w:sz w:val="32"/>
          <w:szCs w:val="32"/>
          <w:lang w:val="zh-CN"/>
        </w:rPr>
        <w:t>公司营业执照复印件、咨询</w:t>
      </w:r>
      <w:r>
        <w:rPr>
          <w:rFonts w:hint="eastAsia" w:ascii="仿宋_GB2312" w:hAnsi="仿宋_GB2312" w:eastAsia="仿宋_GB2312" w:cs="仿宋_GB2312"/>
          <w:bCs/>
          <w:color w:val="000000"/>
          <w:sz w:val="32"/>
          <w:szCs w:val="32"/>
        </w:rPr>
        <w:t>资质等级证书复印件、</w:t>
      </w:r>
      <w:r>
        <w:rPr>
          <w:rFonts w:hint="eastAsia" w:ascii="仿宋_GB2312" w:hAnsi="仿宋_GB2312" w:eastAsia="仿宋_GB2312" w:cs="仿宋_GB2312"/>
          <w:bCs/>
          <w:color w:val="000000"/>
          <w:sz w:val="32"/>
          <w:szCs w:val="32"/>
          <w:lang w:val="en-US" w:eastAsia="zh-CN"/>
        </w:rPr>
        <w:t>报价</w:t>
      </w:r>
      <w:r>
        <w:rPr>
          <w:rFonts w:hint="eastAsia" w:ascii="仿宋_GB2312" w:hAnsi="仿宋_GB2312" w:eastAsia="仿宋_GB2312" w:cs="仿宋_GB2312"/>
          <w:bCs/>
          <w:color w:val="000000"/>
          <w:sz w:val="32"/>
          <w:szCs w:val="32"/>
          <w:lang w:val="zh-CN"/>
        </w:rPr>
        <w:t>授权人证明、</w:t>
      </w:r>
      <w:r>
        <w:rPr>
          <w:rFonts w:hint="eastAsia" w:ascii="仿宋_GB2312" w:hAnsi="仿宋_GB2312" w:eastAsia="仿宋_GB2312" w:cs="仿宋_GB2312"/>
          <w:bCs/>
          <w:sz w:val="32"/>
          <w:szCs w:val="32"/>
        </w:rPr>
        <w:t>业绩证明、信用证</w:t>
      </w:r>
      <w:r>
        <w:rPr>
          <w:rFonts w:hint="eastAsia" w:ascii="仿宋_GB2312" w:hAnsi="仿宋_GB2312" w:eastAsia="仿宋_GB2312" w:cs="仿宋_GB2312"/>
          <w:bCs/>
          <w:color w:val="000000"/>
          <w:sz w:val="32"/>
          <w:szCs w:val="32"/>
        </w:rPr>
        <w:t>明（</w:t>
      </w:r>
      <w:r>
        <w:rPr>
          <w:rFonts w:hint="eastAsia" w:ascii="仿宋_GB2312" w:hAnsi="仿宋_GB2312" w:eastAsia="仿宋_GB2312" w:cs="仿宋_GB2312"/>
          <w:bCs/>
          <w:color w:val="000000"/>
          <w:sz w:val="32"/>
          <w:szCs w:val="32"/>
          <w:lang w:val="zh-CN"/>
        </w:rPr>
        <w:t>提供</w:t>
      </w:r>
      <w:r>
        <w:rPr>
          <w:rFonts w:hint="eastAsia" w:ascii="仿宋_GB2312" w:hAnsi="仿宋_GB2312" w:eastAsia="仿宋_GB2312" w:cs="仿宋_GB2312"/>
          <w:bCs/>
          <w:color w:val="000000"/>
          <w:sz w:val="32"/>
          <w:szCs w:val="32"/>
        </w:rPr>
        <w:t>企业信用信息系统的查询结果截图并盖章）。</w:t>
      </w:r>
    </w:p>
    <w:p w14:paraId="78AA5847">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ascii="仿宋_GB2312" w:hAnsi="仿宋_GB2312" w:eastAsia="仿宋_GB2312" w:cs="仿宋_GB2312"/>
          <w:bCs/>
          <w:sz w:val="32"/>
          <w:szCs w:val="32"/>
          <w:lang w:val="zh-CN"/>
        </w:rPr>
      </w:pPr>
      <w:r>
        <w:rPr>
          <w:rFonts w:hint="eastAsia" w:ascii="仿宋_GB2312" w:hAnsi="仿宋_GB2312" w:eastAsia="仿宋_GB2312" w:cs="仿宋_GB2312"/>
          <w:bCs/>
          <w:sz w:val="32"/>
          <w:szCs w:val="32"/>
        </w:rPr>
        <w:t>2.专家资源情况</w:t>
      </w:r>
      <w:r>
        <w:rPr>
          <w:rFonts w:hint="eastAsia" w:ascii="仿宋_GB2312" w:hAnsi="仿宋_GB2312" w:eastAsia="仿宋_GB2312" w:cs="仿宋_GB2312"/>
          <w:bCs/>
          <w:sz w:val="32"/>
          <w:szCs w:val="32"/>
          <w:lang w:val="zh-CN"/>
        </w:rPr>
        <w:t>。</w:t>
      </w:r>
    </w:p>
    <w:p w14:paraId="693E62A3">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000000"/>
          <w:sz w:val="32"/>
          <w:szCs w:val="32"/>
          <w:lang w:val="zh-CN"/>
        </w:rPr>
      </w:pPr>
      <w:r>
        <w:rPr>
          <w:rFonts w:hint="eastAsia" w:ascii="仿宋_GB2312" w:hAnsi="仿宋_GB2312" w:eastAsia="仿宋_GB2312" w:cs="仿宋_GB2312"/>
          <w:bCs/>
          <w:color w:val="000000"/>
          <w:sz w:val="32"/>
          <w:szCs w:val="32"/>
        </w:rPr>
        <w:t>3.</w:t>
      </w:r>
      <w:r>
        <w:rPr>
          <w:rFonts w:hint="eastAsia" w:ascii="仿宋_GB2312" w:hAnsi="仿宋_GB2312" w:eastAsia="仿宋_GB2312" w:cs="仿宋_GB2312"/>
          <w:bCs/>
          <w:color w:val="000000"/>
          <w:sz w:val="32"/>
          <w:szCs w:val="32"/>
          <w:lang w:val="zh-CN"/>
        </w:rPr>
        <w:t>报价单（含税价，</w:t>
      </w:r>
      <w:r>
        <w:rPr>
          <w:rFonts w:hint="eastAsia" w:ascii="仿宋_GB2312" w:hAnsi="仿宋_GB2312" w:eastAsia="仿宋_GB2312" w:cs="仿宋_GB2312"/>
          <w:bCs/>
          <w:color w:val="000000"/>
          <w:sz w:val="32"/>
          <w:szCs w:val="32"/>
        </w:rPr>
        <w:t>注明税率</w:t>
      </w:r>
      <w:r>
        <w:rPr>
          <w:rFonts w:hint="eastAsia" w:ascii="仿宋_GB2312" w:hAnsi="仿宋_GB2312" w:eastAsia="仿宋_GB2312" w:cs="仿宋_GB2312"/>
          <w:bCs/>
          <w:color w:val="000000"/>
          <w:sz w:val="32"/>
          <w:szCs w:val="32"/>
          <w:lang w:val="zh-CN"/>
        </w:rPr>
        <w:t>），</w:t>
      </w:r>
      <w:r>
        <w:rPr>
          <w:rFonts w:hint="eastAsia" w:ascii="仿宋_GB2312" w:hAnsi="仿宋_GB2312" w:eastAsia="仿宋_GB2312" w:cs="仿宋_GB2312"/>
          <w:bCs/>
          <w:color w:val="000000"/>
          <w:sz w:val="32"/>
          <w:szCs w:val="32"/>
        </w:rPr>
        <w:t>并</w:t>
      </w:r>
      <w:r>
        <w:rPr>
          <w:rFonts w:hint="eastAsia" w:ascii="仿宋_GB2312" w:hAnsi="仿宋_GB2312" w:eastAsia="仿宋_GB2312" w:cs="仿宋_GB2312"/>
          <w:bCs/>
          <w:color w:val="000000"/>
          <w:sz w:val="32"/>
          <w:szCs w:val="32"/>
          <w:lang w:val="zh-CN"/>
        </w:rPr>
        <w:t>盖章。报价应以人民币报价</w:t>
      </w:r>
      <w:bookmarkStart w:id="0" w:name="14.__投标有效期_"/>
      <w:bookmarkEnd w:id="0"/>
      <w:bookmarkStart w:id="1" w:name="13.__投标保证金_"/>
      <w:bookmarkEnd w:id="1"/>
      <w:r>
        <w:rPr>
          <w:rFonts w:hint="eastAsia" w:ascii="仿宋_GB2312" w:hAnsi="仿宋_GB2312" w:eastAsia="仿宋_GB2312" w:cs="仿宋_GB2312"/>
          <w:bCs/>
          <w:color w:val="000000"/>
          <w:sz w:val="32"/>
          <w:szCs w:val="32"/>
          <w:lang w:val="zh-CN"/>
        </w:rPr>
        <w:t>。</w:t>
      </w:r>
    </w:p>
    <w:p w14:paraId="18AA4CD8">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lang w:val="zh-CN"/>
        </w:rPr>
        <w:t>4.</w:t>
      </w:r>
      <w:r>
        <w:rPr>
          <w:rFonts w:hint="eastAsia" w:ascii="仿宋_GB2312" w:hAnsi="仿宋_GB2312" w:eastAsia="仿宋_GB2312" w:cs="仿宋_GB2312"/>
          <w:bCs/>
          <w:color w:val="000000"/>
          <w:sz w:val="32"/>
          <w:szCs w:val="32"/>
          <w:lang w:val="en-US" w:eastAsia="zh-CN"/>
        </w:rPr>
        <w:t>报价</w:t>
      </w:r>
      <w:r>
        <w:rPr>
          <w:rFonts w:hint="eastAsia" w:ascii="仿宋_GB2312" w:hAnsi="仿宋_GB2312" w:eastAsia="仿宋_GB2312" w:cs="仿宋_GB2312"/>
          <w:bCs/>
          <w:color w:val="000000"/>
          <w:sz w:val="32"/>
          <w:szCs w:val="32"/>
        </w:rPr>
        <w:t>单位必须在封面标注单位联系人及联系电话（加盖公章）。</w:t>
      </w:r>
    </w:p>
    <w:p w14:paraId="525E8ADC">
      <w:pPr>
        <w:keepNext w:val="0"/>
        <w:keepLines w:val="0"/>
        <w:pageBreakBefore w:val="0"/>
        <w:widowControl w:val="0"/>
        <w:kinsoku/>
        <w:wordWrap/>
        <w:overflowPunct/>
        <w:topLinePunct w:val="0"/>
        <w:autoSpaceDE/>
        <w:autoSpaceDN/>
        <w:bidi w:val="0"/>
        <w:adjustRightInd w:val="0"/>
        <w:snapToGrid w:val="0"/>
        <w:spacing w:line="560" w:lineRule="exact"/>
        <w:ind w:firstLine="617" w:firstLineChars="193"/>
        <w:textAlignment w:val="auto"/>
        <w:rPr>
          <w:rFonts w:hint="eastAsia" w:ascii="黑体" w:hAnsi="黑体" w:eastAsia="黑体" w:cs="黑体"/>
          <w:b w:val="0"/>
          <w:bCs/>
          <w:color w:val="auto"/>
          <w:kern w:val="1"/>
          <w:sz w:val="32"/>
          <w:szCs w:val="32"/>
          <w:highlight w:val="none"/>
          <w:lang w:val="en-US" w:eastAsia="zh-CN" w:bidi="ar-SA"/>
        </w:rPr>
      </w:pPr>
      <w:r>
        <w:rPr>
          <w:rFonts w:hint="eastAsia" w:ascii="黑体" w:hAnsi="黑体" w:eastAsia="黑体" w:cs="黑体"/>
          <w:b w:val="0"/>
          <w:bCs/>
          <w:color w:val="auto"/>
          <w:kern w:val="1"/>
          <w:sz w:val="32"/>
          <w:szCs w:val="32"/>
          <w:highlight w:val="none"/>
          <w:lang w:val="en-US" w:eastAsia="zh-CN" w:bidi="ar-SA"/>
        </w:rPr>
        <w:t>四、报价：</w:t>
      </w:r>
    </w:p>
    <w:p w14:paraId="0A863CE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color w:val="auto"/>
          <w:kern w:val="1"/>
          <w:sz w:val="32"/>
          <w:szCs w:val="32"/>
          <w:highlight w:val="none"/>
          <w:lang w:val="en-US" w:eastAsia="zh-CN" w:bidi="ar-SA"/>
        </w:rPr>
      </w:pPr>
      <w:r>
        <w:rPr>
          <w:rFonts w:hint="eastAsia" w:ascii="仿宋_GB2312" w:hAnsi="仿宋_GB2312" w:eastAsia="仿宋_GB2312" w:cs="仿宋_GB2312"/>
          <w:b w:val="0"/>
          <w:bCs/>
          <w:color w:val="auto"/>
          <w:kern w:val="1"/>
          <w:sz w:val="32"/>
          <w:szCs w:val="32"/>
          <w:highlight w:val="none"/>
          <w:lang w:val="en-US" w:eastAsia="zh-CN" w:bidi="ar-SA"/>
        </w:rPr>
        <w:t>（一）报价方式：报价为含增值税价。如国家税率调整，按合同含税价格/（1+合同约定税率）*（1+国家规定的新税率）调整合同价格开具发票；具体服务情况以实际发生为准。</w:t>
      </w:r>
    </w:p>
    <w:p w14:paraId="14CD7E29">
      <w:pPr>
        <w:keepNext w:val="0"/>
        <w:keepLines w:val="0"/>
        <w:pageBreakBefore w:val="0"/>
        <w:widowControl w:val="0"/>
        <w:kinsoku/>
        <w:wordWrap/>
        <w:overflowPunct/>
        <w:topLinePunct w:val="0"/>
        <w:autoSpaceDE/>
        <w:autoSpaceDN/>
        <w:bidi w:val="0"/>
        <w:adjustRightInd w:val="0"/>
        <w:snapToGrid w:val="0"/>
        <w:spacing w:line="560" w:lineRule="exact"/>
        <w:ind w:firstLine="617" w:firstLineChars="193"/>
        <w:textAlignment w:val="auto"/>
        <w:rPr>
          <w:rFonts w:hint="eastAsia" w:ascii="仿宋_GB2312" w:hAnsi="仿宋_GB2312" w:eastAsia="仿宋_GB2312" w:cs="仿宋_GB2312"/>
          <w:b w:val="0"/>
          <w:bCs/>
          <w:color w:val="auto"/>
          <w:kern w:val="1"/>
          <w:sz w:val="32"/>
          <w:szCs w:val="32"/>
          <w:highlight w:val="none"/>
          <w:lang w:val="en-US" w:eastAsia="zh-CN" w:bidi="ar-SA"/>
        </w:rPr>
      </w:pPr>
      <w:r>
        <w:rPr>
          <w:rFonts w:hint="eastAsia" w:ascii="仿宋_GB2312" w:hAnsi="仿宋_GB2312" w:eastAsia="仿宋_GB2312" w:cs="仿宋_GB2312"/>
          <w:b w:val="0"/>
          <w:bCs/>
          <w:color w:val="auto"/>
          <w:kern w:val="1"/>
          <w:sz w:val="32"/>
          <w:szCs w:val="32"/>
          <w:highlight w:val="none"/>
          <w:lang w:val="en-US" w:eastAsia="zh-CN" w:bidi="ar-SA"/>
        </w:rPr>
        <w:t>（二）付款方式：以实际服务作为费用结算依据，开具增值税专用发票入账后60天内付款。付款方式：现汇。</w:t>
      </w:r>
    </w:p>
    <w:p w14:paraId="1D8659A3">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pacing w:before="0" w:beforeAutospacing="0" w:after="0" w:afterAutospacing="0" w:line="560" w:lineRule="exact"/>
        <w:ind w:left="0" w:right="0" w:firstLine="600"/>
        <w:textAlignment w:val="auto"/>
        <w:rPr>
          <w:rFonts w:hint="eastAsia" w:ascii="仿宋_GB2312" w:hAnsi="仿宋_GB2312" w:eastAsia="仿宋_GB2312" w:cs="仿宋_GB2312"/>
          <w:b w:val="0"/>
          <w:bCs/>
          <w:color w:val="auto"/>
          <w:kern w:val="1"/>
          <w:sz w:val="32"/>
          <w:szCs w:val="32"/>
          <w:highlight w:val="none"/>
          <w:lang w:val="en-US" w:eastAsia="zh-CN" w:bidi="ar-SA"/>
        </w:rPr>
      </w:pPr>
      <w:r>
        <w:rPr>
          <w:rFonts w:hint="eastAsia" w:ascii="仿宋_GB2312" w:hAnsi="仿宋_GB2312" w:eastAsia="仿宋_GB2312" w:cs="仿宋_GB2312"/>
          <w:b w:val="0"/>
          <w:bCs/>
          <w:color w:val="auto"/>
          <w:kern w:val="1"/>
          <w:sz w:val="32"/>
          <w:szCs w:val="32"/>
          <w:highlight w:val="none"/>
          <w:lang w:val="en-US" w:eastAsia="zh-CN" w:bidi="ar-SA"/>
        </w:rPr>
        <w:t>（三）本项目报价通过线下进行：</w:t>
      </w:r>
    </w:p>
    <w:p w14:paraId="12CD776C">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仿宋_GB2312" w:eastAsia="仿宋_GB2312" w:cs="仿宋_GB2312"/>
          <w:b w:val="0"/>
          <w:bCs/>
          <w:color w:val="auto"/>
          <w:kern w:val="1"/>
          <w:sz w:val="32"/>
          <w:szCs w:val="32"/>
          <w:highlight w:val="none"/>
          <w:lang w:val="en-US" w:eastAsia="zh-CN" w:bidi="ar-SA"/>
        </w:rPr>
      </w:pPr>
      <w:r>
        <w:rPr>
          <w:rFonts w:hint="eastAsia" w:ascii="仿宋_GB2312" w:hAnsi="仿宋_GB2312" w:eastAsia="仿宋_GB2312" w:cs="仿宋_GB2312"/>
          <w:b w:val="0"/>
          <w:bCs/>
          <w:color w:val="auto"/>
          <w:kern w:val="1"/>
          <w:sz w:val="32"/>
          <w:szCs w:val="32"/>
          <w:highlight w:val="none"/>
          <w:lang w:val="en-US" w:eastAsia="zh-CN" w:bidi="ar-SA"/>
        </w:rPr>
        <w:t>采用线下报价应将报价文件及相关资料以标袋形式送达，标袋外包装必须用“封条”密封，封条“格式自定”，另需加盖公章、法人章，填写密封日期；在标袋封面上需注明“采购项目名称，报价人名称、地址、联系人、联系电话”等；并要求在报价截止日之前送达，逾期将作为作无效报价处理。</w:t>
      </w:r>
    </w:p>
    <w:p w14:paraId="358B915C">
      <w:pPr>
        <w:keepNext w:val="0"/>
        <w:keepLines w:val="0"/>
        <w:pageBreakBefore w:val="0"/>
        <w:widowControl w:val="0"/>
        <w:kinsoku/>
        <w:wordWrap/>
        <w:overflowPunct/>
        <w:topLinePunct w:val="0"/>
        <w:autoSpaceDE/>
        <w:autoSpaceDN/>
        <w:bidi w:val="0"/>
        <w:adjustRightInd w:val="0"/>
        <w:snapToGrid w:val="0"/>
        <w:spacing w:line="560" w:lineRule="exact"/>
        <w:ind w:firstLine="617" w:firstLineChars="193"/>
        <w:textAlignment w:val="auto"/>
        <w:rPr>
          <w:rFonts w:hint="eastAsia" w:ascii="仿宋_GB2312" w:hAnsi="仿宋_GB2312" w:eastAsia="仿宋_GB2312" w:cs="仿宋_GB2312"/>
          <w:b w:val="0"/>
          <w:bCs/>
          <w:color w:val="auto"/>
          <w:kern w:val="1"/>
          <w:sz w:val="32"/>
          <w:szCs w:val="32"/>
          <w:highlight w:val="none"/>
          <w:lang w:val="en-US" w:eastAsia="zh-CN" w:bidi="ar-SA"/>
        </w:rPr>
      </w:pPr>
      <w:r>
        <w:rPr>
          <w:rFonts w:hint="eastAsia" w:ascii="仿宋_GB2312" w:hAnsi="仿宋_GB2312" w:eastAsia="仿宋_GB2312" w:cs="仿宋_GB2312"/>
          <w:b w:val="0"/>
          <w:bCs/>
          <w:color w:val="auto"/>
          <w:kern w:val="1"/>
          <w:sz w:val="32"/>
          <w:szCs w:val="32"/>
          <w:highlight w:val="none"/>
          <w:lang w:val="en-US" w:eastAsia="zh-CN" w:bidi="ar-SA"/>
        </w:rPr>
        <w:t>（四）具体报价格式见报价函，报价文件只需提供1份；</w:t>
      </w:r>
    </w:p>
    <w:p w14:paraId="106F502F">
      <w:pPr>
        <w:keepNext w:val="0"/>
        <w:keepLines w:val="0"/>
        <w:pageBreakBefore w:val="0"/>
        <w:widowControl w:val="0"/>
        <w:kinsoku/>
        <w:wordWrap/>
        <w:overflowPunct/>
        <w:topLinePunct w:val="0"/>
        <w:autoSpaceDE/>
        <w:autoSpaceDN/>
        <w:bidi w:val="0"/>
        <w:adjustRightInd w:val="0"/>
        <w:snapToGrid w:val="0"/>
        <w:spacing w:line="560" w:lineRule="exact"/>
        <w:ind w:firstLine="617" w:firstLineChars="193"/>
        <w:textAlignment w:val="auto"/>
        <w:rPr>
          <w:rFonts w:hint="eastAsia" w:ascii="仿宋_GB2312" w:hAnsi="仿宋_GB2312" w:eastAsia="仿宋_GB2312" w:cs="仿宋_GB2312"/>
          <w:b w:val="0"/>
          <w:bCs/>
          <w:color w:val="auto"/>
          <w:kern w:val="1"/>
          <w:sz w:val="32"/>
          <w:szCs w:val="32"/>
          <w:highlight w:val="none"/>
          <w:lang w:val="en-US" w:eastAsia="zh-CN" w:bidi="ar-SA"/>
        </w:rPr>
      </w:pPr>
      <w:r>
        <w:rPr>
          <w:rFonts w:hint="eastAsia" w:ascii="仿宋_GB2312" w:hAnsi="仿宋_GB2312" w:eastAsia="仿宋_GB2312" w:cs="仿宋_GB2312"/>
          <w:b w:val="0"/>
          <w:bCs/>
          <w:color w:val="auto"/>
          <w:kern w:val="1"/>
          <w:sz w:val="32"/>
          <w:szCs w:val="32"/>
          <w:highlight w:val="none"/>
          <w:lang w:val="en-US" w:eastAsia="zh-CN" w:bidi="ar-SA"/>
        </w:rPr>
        <w:t>（五）与本项目报价有关的一切往来通讯请密封后寄：</w:t>
      </w:r>
    </w:p>
    <w:p w14:paraId="769E66A4">
      <w:pPr>
        <w:keepNext w:val="0"/>
        <w:keepLines w:val="0"/>
        <w:pageBreakBefore w:val="0"/>
        <w:widowControl w:val="0"/>
        <w:kinsoku/>
        <w:wordWrap/>
        <w:overflowPunct/>
        <w:topLinePunct w:val="0"/>
        <w:autoSpaceDE/>
        <w:autoSpaceDN/>
        <w:bidi w:val="0"/>
        <w:adjustRightInd w:val="0"/>
        <w:snapToGrid w:val="0"/>
        <w:spacing w:line="560" w:lineRule="exact"/>
        <w:ind w:left="660" w:leftChars="304" w:hanging="22" w:hangingChars="7"/>
        <w:textAlignment w:val="auto"/>
        <w:rPr>
          <w:rFonts w:hint="eastAsia" w:ascii="仿宋_GB2312" w:hAnsi="仿宋_GB2312" w:eastAsia="仿宋_GB2312" w:cs="仿宋_GB2312"/>
          <w:b w:val="0"/>
          <w:bCs/>
          <w:color w:val="auto"/>
          <w:kern w:val="1"/>
          <w:sz w:val="32"/>
          <w:szCs w:val="32"/>
          <w:highlight w:val="none"/>
          <w:lang w:val="en-US" w:eastAsia="zh-CN" w:bidi="ar-SA"/>
        </w:rPr>
      </w:pPr>
      <w:r>
        <w:rPr>
          <w:rFonts w:hint="eastAsia" w:ascii="仿宋_GB2312" w:hAnsi="仿宋_GB2312" w:eastAsia="仿宋_GB2312" w:cs="仿宋_GB2312"/>
          <w:b w:val="0"/>
          <w:bCs/>
          <w:color w:val="auto"/>
          <w:kern w:val="1"/>
          <w:sz w:val="32"/>
          <w:szCs w:val="32"/>
          <w:highlight w:val="none"/>
          <w:lang w:val="en-US" w:eastAsia="zh-CN" w:bidi="ar-SA"/>
        </w:rPr>
        <w:t>公司：江苏索普（集团）有限公司环保安全部</w:t>
      </w:r>
    </w:p>
    <w:p w14:paraId="13FC74B0">
      <w:pPr>
        <w:keepNext w:val="0"/>
        <w:keepLines w:val="0"/>
        <w:pageBreakBefore w:val="0"/>
        <w:widowControl w:val="0"/>
        <w:kinsoku/>
        <w:wordWrap/>
        <w:overflowPunct/>
        <w:topLinePunct w:val="0"/>
        <w:autoSpaceDE/>
        <w:autoSpaceDN/>
        <w:bidi w:val="0"/>
        <w:adjustRightInd w:val="0"/>
        <w:snapToGrid w:val="0"/>
        <w:spacing w:line="560" w:lineRule="exact"/>
        <w:ind w:left="660" w:leftChars="304" w:hanging="22" w:hangingChars="7"/>
        <w:textAlignment w:val="auto"/>
        <w:rPr>
          <w:rFonts w:hint="eastAsia" w:ascii="仿宋_GB2312" w:hAnsi="仿宋_GB2312" w:eastAsia="仿宋_GB2312" w:cs="仿宋_GB2312"/>
          <w:b w:val="0"/>
          <w:bCs/>
          <w:color w:val="auto"/>
          <w:kern w:val="1"/>
          <w:sz w:val="32"/>
          <w:szCs w:val="32"/>
          <w:highlight w:val="none"/>
          <w:lang w:val="en-US" w:eastAsia="zh-CN" w:bidi="ar-SA"/>
        </w:rPr>
      </w:pPr>
      <w:r>
        <w:rPr>
          <w:rFonts w:hint="eastAsia" w:ascii="仿宋_GB2312" w:hAnsi="仿宋_GB2312" w:eastAsia="仿宋_GB2312" w:cs="仿宋_GB2312"/>
          <w:b w:val="0"/>
          <w:bCs/>
          <w:color w:val="auto"/>
          <w:kern w:val="1"/>
          <w:sz w:val="32"/>
          <w:szCs w:val="32"/>
          <w:highlight w:val="none"/>
          <w:lang w:val="en-US" w:eastAsia="zh-CN" w:bidi="ar-SA"/>
        </w:rPr>
        <w:t>地址：江苏省镇江市京口区求索路101号</w:t>
      </w:r>
    </w:p>
    <w:p w14:paraId="45870EDE">
      <w:pPr>
        <w:keepNext w:val="0"/>
        <w:keepLines w:val="0"/>
        <w:pageBreakBefore w:val="0"/>
        <w:widowControl w:val="0"/>
        <w:kinsoku/>
        <w:wordWrap/>
        <w:overflowPunct/>
        <w:topLinePunct w:val="0"/>
        <w:autoSpaceDE/>
        <w:autoSpaceDN/>
        <w:bidi w:val="0"/>
        <w:adjustRightInd w:val="0"/>
        <w:snapToGrid w:val="0"/>
        <w:spacing w:line="560" w:lineRule="exact"/>
        <w:ind w:firstLine="617" w:firstLineChars="193"/>
        <w:textAlignment w:val="auto"/>
        <w:rPr>
          <w:rFonts w:hint="eastAsia" w:ascii="仿宋_GB2312" w:hAnsi="仿宋_GB2312" w:eastAsia="仿宋_GB2312" w:cs="仿宋_GB2312"/>
          <w:b w:val="0"/>
          <w:bCs/>
          <w:color w:val="auto"/>
          <w:kern w:val="1"/>
          <w:sz w:val="32"/>
          <w:szCs w:val="32"/>
          <w:highlight w:val="none"/>
          <w:lang w:val="en-US" w:eastAsia="zh-CN" w:bidi="ar-SA"/>
        </w:rPr>
      </w:pPr>
      <w:r>
        <w:rPr>
          <w:rFonts w:hint="eastAsia" w:ascii="仿宋_GB2312" w:hAnsi="仿宋_GB2312" w:eastAsia="仿宋_GB2312" w:cs="仿宋_GB2312"/>
          <w:b w:val="0"/>
          <w:bCs/>
          <w:color w:val="auto"/>
          <w:kern w:val="1"/>
          <w:sz w:val="32"/>
          <w:szCs w:val="32"/>
          <w:highlight w:val="none"/>
          <w:lang w:val="en-US" w:eastAsia="zh-CN" w:bidi="ar-SA"/>
        </w:rPr>
        <w:t>邮编：212006</w:t>
      </w:r>
    </w:p>
    <w:p w14:paraId="467BC5A9">
      <w:pPr>
        <w:keepNext w:val="0"/>
        <w:keepLines w:val="0"/>
        <w:pageBreakBefore w:val="0"/>
        <w:widowControl w:val="0"/>
        <w:kinsoku/>
        <w:wordWrap/>
        <w:overflowPunct/>
        <w:topLinePunct w:val="0"/>
        <w:autoSpaceDE/>
        <w:autoSpaceDN/>
        <w:bidi w:val="0"/>
        <w:adjustRightInd w:val="0"/>
        <w:snapToGrid w:val="0"/>
        <w:spacing w:line="560" w:lineRule="exact"/>
        <w:ind w:firstLine="617" w:firstLineChars="193"/>
        <w:textAlignment w:val="auto"/>
        <w:rPr>
          <w:rFonts w:hint="default" w:ascii="仿宋_GB2312" w:hAnsi="仿宋_GB2312" w:eastAsia="仿宋_GB2312" w:cs="仿宋_GB2312"/>
          <w:b w:val="0"/>
          <w:bCs/>
          <w:color w:val="auto"/>
          <w:kern w:val="1"/>
          <w:sz w:val="32"/>
          <w:szCs w:val="32"/>
          <w:highlight w:val="none"/>
          <w:lang w:val="en-US" w:eastAsia="zh-CN" w:bidi="ar-SA"/>
        </w:rPr>
      </w:pPr>
      <w:r>
        <w:rPr>
          <w:rFonts w:hint="eastAsia" w:ascii="仿宋_GB2312" w:hAnsi="仿宋_GB2312" w:eastAsia="仿宋_GB2312" w:cs="仿宋_GB2312"/>
          <w:b w:val="0"/>
          <w:bCs/>
          <w:color w:val="auto"/>
          <w:kern w:val="1"/>
          <w:sz w:val="32"/>
          <w:szCs w:val="32"/>
          <w:highlight w:val="none"/>
          <w:lang w:val="en-US" w:eastAsia="zh-CN" w:bidi="ar-SA"/>
        </w:rPr>
        <w:t>收件人：李振业</w:t>
      </w:r>
    </w:p>
    <w:p w14:paraId="4748AE05">
      <w:pPr>
        <w:keepNext w:val="0"/>
        <w:keepLines w:val="0"/>
        <w:pageBreakBefore w:val="0"/>
        <w:widowControl w:val="0"/>
        <w:kinsoku/>
        <w:wordWrap/>
        <w:overflowPunct/>
        <w:topLinePunct w:val="0"/>
        <w:autoSpaceDE/>
        <w:autoSpaceDN/>
        <w:bidi w:val="0"/>
        <w:adjustRightInd w:val="0"/>
        <w:snapToGrid w:val="0"/>
        <w:spacing w:line="560" w:lineRule="exact"/>
        <w:ind w:firstLine="617" w:firstLineChars="193"/>
        <w:textAlignment w:val="auto"/>
        <w:rPr>
          <w:rFonts w:hint="default" w:ascii="仿宋_GB2312" w:hAnsi="仿宋_GB2312" w:eastAsia="仿宋_GB2312" w:cs="仿宋_GB2312"/>
          <w:b w:val="0"/>
          <w:bCs/>
          <w:color w:val="auto"/>
          <w:kern w:val="1"/>
          <w:sz w:val="32"/>
          <w:szCs w:val="32"/>
          <w:highlight w:val="none"/>
          <w:lang w:val="en-US" w:eastAsia="zh-CN" w:bidi="ar-SA"/>
        </w:rPr>
      </w:pPr>
      <w:r>
        <w:rPr>
          <w:rFonts w:hint="eastAsia" w:ascii="仿宋_GB2312" w:hAnsi="仿宋_GB2312" w:eastAsia="仿宋_GB2312" w:cs="仿宋_GB2312"/>
          <w:b w:val="0"/>
          <w:bCs/>
          <w:color w:val="auto"/>
          <w:kern w:val="1"/>
          <w:sz w:val="32"/>
          <w:szCs w:val="32"/>
          <w:highlight w:val="none"/>
          <w:lang w:val="en-US" w:eastAsia="zh-CN" w:bidi="ar-SA"/>
        </w:rPr>
        <w:t>联系电话：13615275352</w:t>
      </w:r>
    </w:p>
    <w:p w14:paraId="68FE95D2">
      <w:pPr>
        <w:keepNext w:val="0"/>
        <w:keepLines w:val="0"/>
        <w:pageBreakBefore w:val="0"/>
        <w:widowControl w:val="0"/>
        <w:kinsoku/>
        <w:wordWrap/>
        <w:overflowPunct/>
        <w:topLinePunct w:val="0"/>
        <w:autoSpaceDE/>
        <w:autoSpaceDN/>
        <w:bidi w:val="0"/>
        <w:adjustRightInd w:val="0"/>
        <w:snapToGrid w:val="0"/>
        <w:spacing w:line="560" w:lineRule="exact"/>
        <w:ind w:firstLine="617" w:firstLineChars="193"/>
        <w:textAlignment w:val="auto"/>
        <w:rPr>
          <w:rFonts w:hint="eastAsia" w:ascii="仿宋_GB2312" w:hAnsi="仿宋_GB2312" w:eastAsia="仿宋_GB2312" w:cs="仿宋_GB2312"/>
          <w:b w:val="0"/>
          <w:bCs/>
          <w:color w:val="auto"/>
          <w:kern w:val="1"/>
          <w:sz w:val="32"/>
          <w:szCs w:val="32"/>
          <w:highlight w:val="none"/>
          <w:lang w:val="en-US" w:eastAsia="zh-CN" w:bidi="ar-SA"/>
        </w:rPr>
      </w:pPr>
      <w:r>
        <w:rPr>
          <w:rFonts w:hint="eastAsia" w:ascii="仿宋_GB2312" w:hAnsi="仿宋_GB2312" w:eastAsia="仿宋_GB2312" w:cs="仿宋_GB2312"/>
          <w:b w:val="0"/>
          <w:bCs/>
          <w:color w:val="auto"/>
          <w:kern w:val="1"/>
          <w:sz w:val="32"/>
          <w:szCs w:val="32"/>
          <w:highlight w:val="none"/>
          <w:lang w:val="en-US" w:eastAsia="zh-CN" w:bidi="ar-SA"/>
        </w:rPr>
        <w:t>（六）凡对公开采购询价书条款有疑义的，请在报价前按以下方式联系：</w:t>
      </w:r>
    </w:p>
    <w:p w14:paraId="488DB64C">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auto"/>
          <w:kern w:val="1"/>
          <w:sz w:val="32"/>
          <w:szCs w:val="32"/>
          <w:highlight w:val="none"/>
          <w:lang w:val="en-US" w:eastAsia="zh-CN" w:bidi="ar-SA"/>
        </w:rPr>
      </w:pPr>
      <w:r>
        <w:rPr>
          <w:rFonts w:hint="eastAsia" w:ascii="仿宋_GB2312" w:hAnsi="仿宋_GB2312" w:eastAsia="仿宋_GB2312" w:cs="仿宋_GB2312"/>
          <w:b w:val="0"/>
          <w:bCs/>
          <w:color w:val="auto"/>
          <w:kern w:val="1"/>
          <w:sz w:val="32"/>
          <w:szCs w:val="32"/>
          <w:highlight w:val="none"/>
          <w:lang w:val="en-US" w:eastAsia="zh-CN" w:bidi="ar-SA"/>
        </w:rPr>
        <w:t>联系单位：江苏索普（集团）有限公司商务合作部</w:t>
      </w:r>
    </w:p>
    <w:p w14:paraId="1A3AD4F2">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left="0" w:firstLine="600"/>
        <w:textAlignment w:val="auto"/>
        <w:rPr>
          <w:rFonts w:hint="eastAsia" w:ascii="仿宋_GB2312" w:hAnsi="仿宋_GB2312" w:eastAsia="仿宋_GB2312" w:cs="仿宋_GB2312"/>
          <w:b w:val="0"/>
          <w:bCs/>
          <w:color w:val="auto"/>
          <w:kern w:val="1"/>
          <w:sz w:val="32"/>
          <w:szCs w:val="32"/>
          <w:highlight w:val="none"/>
          <w:lang w:val="en-US" w:eastAsia="zh-CN" w:bidi="ar-SA"/>
        </w:rPr>
      </w:pPr>
      <w:r>
        <w:rPr>
          <w:rFonts w:hint="eastAsia" w:ascii="仿宋_GB2312" w:hAnsi="仿宋_GB2312" w:eastAsia="仿宋_GB2312" w:cs="仿宋_GB2312"/>
          <w:b w:val="0"/>
          <w:bCs/>
          <w:color w:val="auto"/>
          <w:kern w:val="1"/>
          <w:sz w:val="32"/>
          <w:szCs w:val="32"/>
          <w:highlight w:val="none"/>
          <w:lang w:val="en-US" w:eastAsia="zh-CN" w:bidi="ar-SA"/>
        </w:rPr>
        <w:t>地址：江苏省镇江市京口区求索路101号，邮编：212006</w:t>
      </w:r>
    </w:p>
    <w:p w14:paraId="300B2E70">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textAlignment w:val="auto"/>
        <w:rPr>
          <w:rFonts w:hint="eastAsia" w:ascii="仿宋_GB2312" w:hAnsi="仿宋_GB2312" w:eastAsia="仿宋_GB2312" w:cs="仿宋_GB2312"/>
          <w:b w:val="0"/>
          <w:bCs/>
          <w:color w:val="auto"/>
          <w:kern w:val="1"/>
          <w:sz w:val="32"/>
          <w:szCs w:val="32"/>
          <w:highlight w:val="none"/>
          <w:lang w:val="en-US" w:eastAsia="zh-CN" w:bidi="ar-SA"/>
        </w:rPr>
      </w:pPr>
      <w:r>
        <w:rPr>
          <w:rFonts w:hint="eastAsia" w:ascii="仿宋_GB2312" w:hAnsi="仿宋_GB2312" w:eastAsia="仿宋_GB2312" w:cs="仿宋_GB2312"/>
          <w:b w:val="0"/>
          <w:bCs/>
          <w:color w:val="auto"/>
          <w:kern w:val="1"/>
          <w:sz w:val="32"/>
          <w:szCs w:val="32"/>
          <w:highlight w:val="none"/>
          <w:lang w:val="en-US" w:eastAsia="zh-CN" w:bidi="ar-SA"/>
        </w:rPr>
        <w:t>采购业务联系人：朱冰华     电话：15805288747</w:t>
      </w:r>
    </w:p>
    <w:p w14:paraId="58344782">
      <w:pPr>
        <w:keepNext w:val="0"/>
        <w:keepLines w:val="0"/>
        <w:pageBreakBefore w:val="0"/>
        <w:widowControl w:val="0"/>
        <w:kinsoku/>
        <w:wordWrap/>
        <w:overflowPunct/>
        <w:topLinePunct w:val="0"/>
        <w:autoSpaceDE/>
        <w:autoSpaceDN/>
        <w:bidi w:val="0"/>
        <w:adjustRightInd w:val="0"/>
        <w:snapToGrid w:val="0"/>
        <w:spacing w:line="560" w:lineRule="exact"/>
        <w:ind w:firstLine="617" w:firstLineChars="193"/>
        <w:textAlignment w:val="auto"/>
        <w:rPr>
          <w:rFonts w:hint="default" w:ascii="仿宋_GB2312" w:hAnsi="仿宋_GB2312" w:eastAsia="仿宋_GB2312" w:cs="仿宋_GB2312"/>
          <w:b w:val="0"/>
          <w:bCs/>
          <w:color w:val="auto"/>
          <w:kern w:val="1"/>
          <w:sz w:val="32"/>
          <w:szCs w:val="32"/>
          <w:highlight w:val="none"/>
          <w:lang w:val="en-US" w:eastAsia="zh-CN" w:bidi="ar-SA"/>
        </w:rPr>
      </w:pPr>
      <w:r>
        <w:rPr>
          <w:rFonts w:hint="eastAsia" w:ascii="仿宋_GB2312" w:hAnsi="仿宋_GB2312" w:eastAsia="仿宋_GB2312" w:cs="仿宋_GB2312"/>
          <w:b w:val="0"/>
          <w:bCs/>
          <w:color w:val="auto"/>
          <w:kern w:val="1"/>
          <w:sz w:val="32"/>
          <w:szCs w:val="32"/>
          <w:highlight w:val="none"/>
          <w:lang w:val="en-US" w:eastAsia="zh-CN" w:bidi="ar-SA"/>
        </w:rPr>
        <w:t>技术咨询联系人：李振业    电话：13615275352</w:t>
      </w:r>
    </w:p>
    <w:p w14:paraId="4020B110">
      <w:pPr>
        <w:keepNext w:val="0"/>
        <w:keepLines w:val="0"/>
        <w:pageBreakBefore w:val="0"/>
        <w:widowControl w:val="0"/>
        <w:kinsoku/>
        <w:wordWrap/>
        <w:overflowPunct/>
        <w:topLinePunct w:val="0"/>
        <w:autoSpaceDE/>
        <w:autoSpaceDN/>
        <w:bidi w:val="0"/>
        <w:adjustRightInd w:val="0"/>
        <w:snapToGrid w:val="0"/>
        <w:spacing w:line="560" w:lineRule="exact"/>
        <w:ind w:firstLine="617" w:firstLineChars="193"/>
        <w:textAlignment w:val="auto"/>
        <w:rPr>
          <w:rFonts w:hint="eastAsia" w:ascii="黑体" w:hAnsi="黑体" w:eastAsia="黑体" w:cs="黑体"/>
          <w:b w:val="0"/>
          <w:bCs/>
          <w:color w:val="auto"/>
          <w:kern w:val="1"/>
          <w:sz w:val="32"/>
          <w:szCs w:val="32"/>
          <w:highlight w:val="none"/>
          <w:lang w:val="en-US" w:eastAsia="zh-CN" w:bidi="ar-SA"/>
        </w:rPr>
      </w:pPr>
      <w:r>
        <w:rPr>
          <w:rFonts w:hint="eastAsia" w:ascii="黑体" w:hAnsi="黑体" w:eastAsia="黑体" w:cs="黑体"/>
          <w:b w:val="0"/>
          <w:bCs/>
          <w:color w:val="auto"/>
          <w:kern w:val="1"/>
          <w:sz w:val="32"/>
          <w:szCs w:val="32"/>
          <w:highlight w:val="none"/>
          <w:lang w:val="en-US" w:eastAsia="zh-CN" w:bidi="ar-SA"/>
        </w:rPr>
        <w:t>五、评审流程：</w:t>
      </w:r>
    </w:p>
    <w:p w14:paraId="37F95946">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auto"/>
          <w:kern w:val="1"/>
          <w:sz w:val="32"/>
          <w:szCs w:val="32"/>
          <w:highlight w:val="none"/>
          <w:lang w:val="en-US" w:eastAsia="zh-CN" w:bidi="ar-SA"/>
        </w:rPr>
      </w:pPr>
      <w:r>
        <w:rPr>
          <w:rFonts w:hint="eastAsia" w:ascii="仿宋_GB2312" w:hAnsi="仿宋_GB2312" w:eastAsia="仿宋_GB2312" w:cs="仿宋_GB2312"/>
          <w:b w:val="0"/>
          <w:bCs/>
          <w:color w:val="auto"/>
          <w:kern w:val="1"/>
          <w:sz w:val="32"/>
          <w:szCs w:val="32"/>
          <w:highlight w:val="none"/>
          <w:lang w:val="en-US" w:eastAsia="zh-CN" w:bidi="ar-SA"/>
        </w:rPr>
        <w:t>（一）评审</w:t>
      </w:r>
    </w:p>
    <w:p w14:paraId="71DF3416">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pacing w:before="0" w:beforeAutospacing="0" w:after="0" w:afterAutospacing="0" w:line="560" w:lineRule="exact"/>
        <w:ind w:left="0" w:firstLine="640" w:firstLineChars="200"/>
        <w:textAlignment w:val="auto"/>
        <w:rPr>
          <w:rFonts w:hint="eastAsia" w:ascii="仿宋_GB2312" w:hAnsi="仿宋_GB2312" w:eastAsia="仿宋_GB2312" w:cs="仿宋_GB2312"/>
          <w:b w:val="0"/>
          <w:bCs/>
          <w:color w:val="auto"/>
          <w:kern w:val="1"/>
          <w:sz w:val="32"/>
          <w:szCs w:val="32"/>
          <w:highlight w:val="none"/>
          <w:lang w:val="en-US" w:eastAsia="zh-CN" w:bidi="ar-SA"/>
        </w:rPr>
      </w:pPr>
      <w:r>
        <w:rPr>
          <w:rFonts w:hint="eastAsia" w:ascii="仿宋_GB2312" w:hAnsi="仿宋_GB2312" w:eastAsia="仿宋_GB2312" w:cs="仿宋_GB2312"/>
          <w:b w:val="0"/>
          <w:bCs/>
          <w:color w:val="auto"/>
          <w:kern w:val="1"/>
          <w:sz w:val="32"/>
          <w:szCs w:val="32"/>
          <w:highlight w:val="none"/>
          <w:lang w:val="en-US" w:eastAsia="zh-CN" w:bidi="ar-SA"/>
        </w:rPr>
        <w:t>本项目由采购人组织评审小组负责评审工作，确定最终中选人。</w:t>
      </w:r>
    </w:p>
    <w:p w14:paraId="3F42440C">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pacing w:before="0" w:beforeAutospacing="0" w:after="0" w:afterAutospacing="0" w:line="560" w:lineRule="exact"/>
        <w:ind w:left="0" w:firstLine="640" w:firstLineChars="200"/>
        <w:textAlignment w:val="auto"/>
        <w:rPr>
          <w:rFonts w:hint="eastAsia" w:ascii="仿宋_GB2312" w:hAnsi="仿宋_GB2312" w:eastAsia="仿宋_GB2312" w:cs="仿宋_GB2312"/>
          <w:b w:val="0"/>
          <w:bCs/>
          <w:color w:val="auto"/>
          <w:kern w:val="1"/>
          <w:sz w:val="32"/>
          <w:szCs w:val="32"/>
          <w:highlight w:val="none"/>
          <w:lang w:val="en-US" w:eastAsia="zh-CN" w:bidi="ar-SA"/>
        </w:rPr>
      </w:pPr>
      <w:r>
        <w:rPr>
          <w:rFonts w:hint="eastAsia" w:ascii="仿宋_GB2312" w:hAnsi="仿宋_GB2312" w:eastAsia="仿宋_GB2312" w:cs="仿宋_GB2312"/>
          <w:b w:val="0"/>
          <w:bCs/>
          <w:color w:val="auto"/>
          <w:kern w:val="1"/>
          <w:sz w:val="32"/>
          <w:szCs w:val="32"/>
          <w:highlight w:val="none"/>
          <w:lang w:val="en-US" w:eastAsia="zh-CN" w:bidi="ar-SA"/>
        </w:rPr>
        <w:t>（二）评定</w:t>
      </w:r>
    </w:p>
    <w:p w14:paraId="08F3E794">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pacing w:before="0" w:beforeAutospacing="0" w:after="0" w:afterAutospacing="0" w:line="560" w:lineRule="exact"/>
        <w:ind w:left="0" w:firstLine="640" w:firstLineChars="200"/>
        <w:textAlignment w:val="auto"/>
        <w:rPr>
          <w:rFonts w:hint="eastAsia" w:ascii="仿宋_GB2312" w:hAnsi="仿宋_GB2312" w:eastAsia="仿宋_GB2312" w:cs="仿宋_GB2312"/>
          <w:b w:val="0"/>
          <w:bCs/>
          <w:color w:val="auto"/>
          <w:kern w:val="1"/>
          <w:sz w:val="32"/>
          <w:szCs w:val="32"/>
          <w:highlight w:val="none"/>
          <w:lang w:val="en-US" w:eastAsia="zh-CN" w:bidi="ar-SA"/>
        </w:rPr>
      </w:pPr>
      <w:r>
        <w:rPr>
          <w:rFonts w:hint="eastAsia" w:ascii="仿宋_GB2312" w:hAnsi="仿宋_GB2312" w:eastAsia="仿宋_GB2312" w:cs="仿宋_GB2312"/>
          <w:b w:val="0"/>
          <w:bCs/>
          <w:color w:val="auto"/>
          <w:kern w:val="1"/>
          <w:sz w:val="32"/>
          <w:szCs w:val="32"/>
          <w:highlight w:val="none"/>
          <w:lang w:val="en-US" w:eastAsia="zh-CN" w:bidi="ar-SA"/>
        </w:rPr>
        <w:t>1、在能够满足采购人技术要求及供货期要求的报价人中选择总价最低的一家作为中选候选人。</w:t>
      </w:r>
    </w:p>
    <w:p w14:paraId="0F675A07">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pacing w:before="0" w:beforeAutospacing="0" w:after="0" w:afterAutospacing="0" w:line="560" w:lineRule="exact"/>
        <w:ind w:left="0" w:firstLine="640" w:firstLineChars="200"/>
        <w:textAlignment w:val="auto"/>
        <w:rPr>
          <w:rFonts w:hint="eastAsia" w:ascii="仿宋_GB2312" w:hAnsi="仿宋_GB2312" w:eastAsia="仿宋_GB2312" w:cs="仿宋_GB2312"/>
          <w:b w:val="0"/>
          <w:bCs/>
          <w:color w:val="auto"/>
          <w:kern w:val="1"/>
          <w:sz w:val="32"/>
          <w:szCs w:val="32"/>
          <w:highlight w:val="none"/>
          <w:lang w:val="en-US" w:eastAsia="zh-CN" w:bidi="ar-SA"/>
        </w:rPr>
      </w:pPr>
      <w:r>
        <w:rPr>
          <w:rFonts w:hint="eastAsia" w:ascii="仿宋_GB2312" w:hAnsi="仿宋_GB2312" w:eastAsia="仿宋_GB2312" w:cs="仿宋_GB2312"/>
          <w:b w:val="0"/>
          <w:bCs/>
          <w:color w:val="auto"/>
          <w:kern w:val="1"/>
          <w:sz w:val="32"/>
          <w:szCs w:val="32"/>
          <w:highlight w:val="none"/>
          <w:lang w:val="en-US" w:eastAsia="zh-CN" w:bidi="ar-SA"/>
        </w:rPr>
        <w:t>2、请各报价人保持通讯畅通，便于评审小组在评审现场电话联系。</w:t>
      </w:r>
    </w:p>
    <w:p w14:paraId="68DD9968">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pacing w:before="0" w:beforeAutospacing="0" w:after="0" w:afterAutospacing="0" w:line="560" w:lineRule="exact"/>
        <w:ind w:left="0" w:firstLine="640" w:firstLineChars="200"/>
        <w:textAlignment w:val="auto"/>
        <w:rPr>
          <w:rFonts w:hint="eastAsia" w:ascii="仿宋_GB2312" w:hAnsi="仿宋_GB2312" w:eastAsia="仿宋_GB2312" w:cs="仿宋_GB2312"/>
          <w:b w:val="0"/>
          <w:bCs/>
          <w:color w:val="auto"/>
          <w:kern w:val="1"/>
          <w:sz w:val="32"/>
          <w:szCs w:val="32"/>
          <w:highlight w:val="none"/>
          <w:lang w:val="en-US" w:eastAsia="zh-CN" w:bidi="ar-SA"/>
        </w:rPr>
      </w:pPr>
      <w:r>
        <w:rPr>
          <w:rFonts w:hint="eastAsia" w:ascii="仿宋_GB2312" w:hAnsi="仿宋_GB2312" w:eastAsia="仿宋_GB2312" w:cs="仿宋_GB2312"/>
          <w:b w:val="0"/>
          <w:bCs/>
          <w:color w:val="auto"/>
          <w:kern w:val="1"/>
          <w:sz w:val="32"/>
          <w:szCs w:val="32"/>
          <w:highlight w:val="none"/>
          <w:lang w:val="en-US" w:eastAsia="zh-CN" w:bidi="ar-SA"/>
        </w:rPr>
        <w:t>3、评审小组不得泄露各报价人的报价。</w:t>
      </w:r>
    </w:p>
    <w:p w14:paraId="25AE9268">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pacing w:before="0" w:beforeAutospacing="0" w:after="0" w:afterAutospacing="0" w:line="560" w:lineRule="exact"/>
        <w:ind w:left="0" w:firstLine="640" w:firstLineChars="200"/>
        <w:textAlignment w:val="auto"/>
        <w:rPr>
          <w:rFonts w:hint="eastAsia" w:ascii="仿宋_GB2312" w:hAnsi="仿宋_GB2312" w:eastAsia="仿宋_GB2312" w:cs="仿宋_GB2312"/>
          <w:b w:val="0"/>
          <w:bCs/>
          <w:color w:val="auto"/>
          <w:kern w:val="1"/>
          <w:sz w:val="32"/>
          <w:szCs w:val="32"/>
          <w:highlight w:val="none"/>
          <w:lang w:val="en-US" w:eastAsia="zh-CN" w:bidi="ar-SA"/>
        </w:rPr>
      </w:pPr>
      <w:r>
        <w:rPr>
          <w:rFonts w:hint="eastAsia" w:ascii="仿宋_GB2312" w:hAnsi="仿宋_GB2312" w:eastAsia="仿宋_GB2312" w:cs="仿宋_GB2312"/>
          <w:b w:val="0"/>
          <w:bCs/>
          <w:color w:val="auto"/>
          <w:kern w:val="1"/>
          <w:sz w:val="32"/>
          <w:szCs w:val="32"/>
          <w:highlight w:val="none"/>
          <w:lang w:val="en-US" w:eastAsia="zh-CN" w:bidi="ar-SA"/>
        </w:rPr>
        <w:t>（三）无效报价</w:t>
      </w:r>
    </w:p>
    <w:p w14:paraId="2859011F">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pacing w:before="0" w:beforeAutospacing="0" w:after="0" w:afterAutospacing="0" w:line="560" w:lineRule="exact"/>
        <w:ind w:left="0" w:firstLine="640" w:firstLineChars="200"/>
        <w:textAlignment w:val="auto"/>
        <w:rPr>
          <w:rFonts w:hint="eastAsia" w:ascii="仿宋_GB2312" w:hAnsi="仿宋_GB2312" w:eastAsia="仿宋_GB2312" w:cs="仿宋_GB2312"/>
          <w:b w:val="0"/>
          <w:bCs/>
          <w:color w:val="auto"/>
          <w:kern w:val="1"/>
          <w:sz w:val="32"/>
          <w:szCs w:val="32"/>
          <w:highlight w:val="none"/>
          <w:lang w:val="en-US" w:eastAsia="zh-CN" w:bidi="ar-SA"/>
        </w:rPr>
      </w:pPr>
      <w:r>
        <w:rPr>
          <w:rFonts w:hint="eastAsia" w:ascii="仿宋_GB2312" w:hAnsi="仿宋_GB2312" w:eastAsia="仿宋_GB2312" w:cs="仿宋_GB2312"/>
          <w:b w:val="0"/>
          <w:bCs/>
          <w:color w:val="auto"/>
          <w:kern w:val="1"/>
          <w:sz w:val="32"/>
          <w:szCs w:val="32"/>
          <w:highlight w:val="none"/>
          <w:lang w:val="en-US" w:eastAsia="zh-CN" w:bidi="ar-SA"/>
        </w:rPr>
        <w:t>1.采购人如发现采购过程中如有任何试图通过不正当手段影响比价结果的行为（如报价人之间私下协商报价、与采购方串通等扰乱采购人经营秩序的恶劣情况，经评审小组评定可作无效报价处理，并可将相关报价方列入供应商负面清单，一年内不再接受参与报价。</w:t>
      </w:r>
    </w:p>
    <w:p w14:paraId="688581B3">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pacing w:before="0" w:beforeAutospacing="0" w:after="0" w:afterAutospacing="0" w:line="560" w:lineRule="exact"/>
        <w:ind w:left="0" w:firstLine="640" w:firstLineChars="200"/>
        <w:textAlignment w:val="auto"/>
        <w:rPr>
          <w:rFonts w:hint="eastAsia" w:ascii="仿宋_GB2312" w:hAnsi="仿宋_GB2312" w:eastAsia="仿宋_GB2312" w:cs="仿宋_GB2312"/>
          <w:b w:val="0"/>
          <w:bCs/>
          <w:color w:val="auto"/>
          <w:kern w:val="1"/>
          <w:sz w:val="32"/>
          <w:szCs w:val="32"/>
          <w:highlight w:val="none"/>
          <w:lang w:val="en-US" w:eastAsia="zh-CN" w:bidi="ar-SA"/>
        </w:rPr>
      </w:pPr>
      <w:r>
        <w:rPr>
          <w:rFonts w:hint="eastAsia" w:ascii="仿宋_GB2312" w:hAnsi="仿宋_GB2312" w:eastAsia="仿宋_GB2312" w:cs="仿宋_GB2312"/>
          <w:b w:val="0"/>
          <w:bCs/>
          <w:color w:val="auto"/>
          <w:kern w:val="1"/>
          <w:sz w:val="32"/>
          <w:szCs w:val="32"/>
          <w:highlight w:val="none"/>
          <w:lang w:val="en-US" w:eastAsia="zh-CN" w:bidi="ar-SA"/>
        </w:rPr>
        <w:t>2.凡报价人不具备培训资质的，或报价文件填写不完整、报价有空项的，或不符合技术要求条款的，或者存在其他不符合采购人有关要求的问题，经评审小组评定，可作无效报价处理。</w:t>
      </w:r>
    </w:p>
    <w:p w14:paraId="17BB1A17">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pacing w:before="0" w:beforeAutospacing="0" w:after="0" w:afterAutospacing="0" w:line="560" w:lineRule="exact"/>
        <w:ind w:left="0" w:firstLine="640" w:firstLineChars="200"/>
        <w:textAlignment w:val="auto"/>
        <w:rPr>
          <w:rFonts w:hint="eastAsia" w:ascii="仿宋_GB2312" w:hAnsi="仿宋_GB2312" w:eastAsia="仿宋_GB2312" w:cs="仿宋_GB2312"/>
          <w:b w:val="0"/>
          <w:bCs/>
          <w:color w:val="auto"/>
          <w:kern w:val="1"/>
          <w:sz w:val="32"/>
          <w:szCs w:val="32"/>
          <w:highlight w:val="none"/>
          <w:lang w:val="en-US" w:eastAsia="zh-CN" w:bidi="ar-SA"/>
        </w:rPr>
      </w:pPr>
      <w:r>
        <w:rPr>
          <w:rFonts w:hint="eastAsia" w:ascii="仿宋_GB2312" w:hAnsi="仿宋_GB2312" w:eastAsia="仿宋_GB2312" w:cs="仿宋_GB2312"/>
          <w:b w:val="0"/>
          <w:bCs/>
          <w:color w:val="auto"/>
          <w:kern w:val="1"/>
          <w:sz w:val="32"/>
          <w:szCs w:val="32"/>
          <w:highlight w:val="none"/>
          <w:lang w:val="en-US" w:eastAsia="zh-CN" w:bidi="ar-SA"/>
        </w:rPr>
        <w:t xml:space="preserve"> 3.报价人应如实提供符合市场规律和自身成本的合理报价。如果报价人的报价与市场价格明显偏离并因此影响了采购活动的公正合理性，损害了采购人的正当利益，经采购人评审小组评定，可作无效报价处理。</w:t>
      </w:r>
    </w:p>
    <w:p w14:paraId="6F667F1E">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pacing w:before="0" w:beforeAutospacing="0" w:after="0" w:afterAutospacing="0" w:line="560" w:lineRule="exact"/>
        <w:ind w:firstLine="640" w:firstLineChars="200"/>
        <w:textAlignment w:val="auto"/>
        <w:rPr>
          <w:rFonts w:hint="eastAsia" w:ascii="黑体" w:hAnsi="黑体" w:eastAsia="黑体" w:cs="黑体"/>
          <w:b w:val="0"/>
          <w:bCs/>
          <w:color w:val="auto"/>
          <w:kern w:val="1"/>
          <w:sz w:val="32"/>
          <w:szCs w:val="32"/>
          <w:highlight w:val="none"/>
          <w:lang w:val="en-US" w:eastAsia="zh-CN" w:bidi="ar-SA"/>
        </w:rPr>
      </w:pPr>
      <w:r>
        <w:rPr>
          <w:rFonts w:hint="eastAsia" w:ascii="黑体" w:hAnsi="黑体" w:eastAsia="黑体" w:cs="黑体"/>
          <w:b w:val="0"/>
          <w:bCs/>
          <w:color w:val="auto"/>
          <w:kern w:val="1"/>
          <w:sz w:val="32"/>
          <w:szCs w:val="32"/>
          <w:highlight w:val="none"/>
          <w:lang w:val="en-US" w:eastAsia="zh-CN" w:bidi="ar-SA"/>
        </w:rPr>
        <w:t>六、其他注意事项：</w:t>
      </w:r>
    </w:p>
    <w:p w14:paraId="0B277F2D">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pacing w:before="0" w:beforeAutospacing="0" w:after="0" w:afterAutospacing="0" w:line="560" w:lineRule="exact"/>
        <w:ind w:left="0" w:firstLine="640" w:firstLineChars="200"/>
        <w:textAlignment w:val="auto"/>
        <w:rPr>
          <w:rFonts w:hint="eastAsia" w:ascii="仿宋_GB2312" w:hAnsi="仿宋_GB2312" w:eastAsia="仿宋_GB2312" w:cs="仿宋_GB2312"/>
          <w:b w:val="0"/>
          <w:bCs/>
          <w:color w:val="auto"/>
          <w:kern w:val="1"/>
          <w:sz w:val="32"/>
          <w:szCs w:val="32"/>
          <w:highlight w:val="none"/>
          <w:lang w:val="en-US" w:eastAsia="zh-CN" w:bidi="ar-SA"/>
        </w:rPr>
      </w:pPr>
      <w:r>
        <w:rPr>
          <w:rFonts w:hint="eastAsia" w:ascii="仿宋_GB2312" w:hAnsi="仿宋_GB2312" w:eastAsia="仿宋_GB2312" w:cs="仿宋_GB2312"/>
          <w:b w:val="0"/>
          <w:bCs/>
          <w:color w:val="auto"/>
          <w:kern w:val="1"/>
          <w:sz w:val="32"/>
          <w:szCs w:val="32"/>
          <w:highlight w:val="none"/>
          <w:lang w:val="en-US" w:eastAsia="zh-CN" w:bidi="ar-SA"/>
        </w:rPr>
        <w:t>（一）违约责任</w:t>
      </w:r>
    </w:p>
    <w:p w14:paraId="3498379A">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pacing w:before="0" w:beforeAutospacing="0" w:after="0" w:afterAutospacing="0" w:line="560" w:lineRule="exact"/>
        <w:ind w:left="0" w:firstLine="640" w:firstLineChars="200"/>
        <w:textAlignment w:val="auto"/>
        <w:rPr>
          <w:rFonts w:hint="eastAsia" w:ascii="仿宋_GB2312" w:hAnsi="仿宋_GB2312" w:eastAsia="仿宋_GB2312" w:cs="仿宋_GB2312"/>
          <w:b w:val="0"/>
          <w:bCs/>
          <w:color w:val="auto"/>
          <w:kern w:val="1"/>
          <w:sz w:val="32"/>
          <w:szCs w:val="32"/>
          <w:highlight w:val="none"/>
          <w:lang w:val="en-US" w:eastAsia="zh-CN" w:bidi="ar-SA"/>
        </w:rPr>
      </w:pPr>
      <w:r>
        <w:rPr>
          <w:rFonts w:hint="eastAsia" w:ascii="仿宋_GB2312" w:hAnsi="仿宋_GB2312" w:eastAsia="仿宋_GB2312" w:cs="仿宋_GB2312"/>
          <w:b w:val="0"/>
          <w:bCs/>
          <w:color w:val="auto"/>
          <w:kern w:val="1"/>
          <w:sz w:val="32"/>
          <w:szCs w:val="32"/>
          <w:highlight w:val="none"/>
          <w:lang w:val="en-US" w:eastAsia="zh-CN" w:bidi="ar-SA"/>
        </w:rPr>
        <w:t>如报价人没有按照采购要求提供服务，采购人有权解除合同，在五个工作日内返还采购人合同货款，并赔偿合同总货款的20%违约金给采购人。</w:t>
      </w:r>
    </w:p>
    <w:p w14:paraId="027E807A">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pacing w:before="0" w:beforeAutospacing="0" w:after="0" w:afterAutospacing="0" w:line="560" w:lineRule="exact"/>
        <w:ind w:left="0" w:firstLine="640" w:firstLineChars="200"/>
        <w:textAlignment w:val="auto"/>
        <w:rPr>
          <w:rFonts w:hint="eastAsia" w:ascii="仿宋_GB2312" w:hAnsi="仿宋_GB2312" w:eastAsia="仿宋_GB2312" w:cs="仿宋_GB2312"/>
          <w:b w:val="0"/>
          <w:bCs/>
          <w:color w:val="auto"/>
          <w:kern w:val="1"/>
          <w:sz w:val="32"/>
          <w:szCs w:val="32"/>
          <w:highlight w:val="none"/>
          <w:lang w:val="en-US" w:eastAsia="zh-CN" w:bidi="ar-SA"/>
        </w:rPr>
      </w:pPr>
      <w:r>
        <w:rPr>
          <w:rFonts w:hint="eastAsia" w:ascii="仿宋_GB2312" w:hAnsi="仿宋_GB2312" w:eastAsia="仿宋_GB2312" w:cs="仿宋_GB2312"/>
          <w:b w:val="0"/>
          <w:bCs/>
          <w:color w:val="auto"/>
          <w:kern w:val="1"/>
          <w:sz w:val="32"/>
          <w:szCs w:val="32"/>
          <w:highlight w:val="none"/>
          <w:lang w:val="en-US" w:eastAsia="zh-CN" w:bidi="ar-SA"/>
        </w:rPr>
        <w:t xml:space="preserve">（二）中选人中选以后应严格按照采购文件约定与采购方签定供需合同，并按合同约定做好服务工作。对中选人所有违背采购文件及合同约定的行为，采购人均可持续保留与中选方中止合作的一切权利。 </w:t>
      </w:r>
    </w:p>
    <w:p w14:paraId="1B2191F3">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b w:val="0"/>
          <w:bCs/>
          <w:color w:val="auto"/>
          <w:kern w:val="1"/>
          <w:sz w:val="32"/>
          <w:szCs w:val="32"/>
          <w:highlight w:val="none"/>
          <w:lang w:val="en-US" w:eastAsia="zh-CN" w:bidi="ar-SA"/>
        </w:rPr>
      </w:pPr>
      <w:r>
        <w:rPr>
          <w:rFonts w:hint="eastAsia" w:ascii="仿宋_GB2312" w:hAnsi="仿宋_GB2312" w:eastAsia="仿宋_GB2312" w:cs="仿宋_GB2312"/>
          <w:b w:val="0"/>
          <w:bCs/>
          <w:color w:val="auto"/>
          <w:kern w:val="1"/>
          <w:sz w:val="32"/>
          <w:szCs w:val="32"/>
          <w:highlight w:val="none"/>
          <w:lang w:val="en-US" w:eastAsia="zh-CN" w:bidi="ar-SA"/>
        </w:rPr>
        <w:t>（三）如报价人不能正常履约，对采购人生产经营活动造成影响的，根据《索普集团供应商负面清单管理规定(2025年修订版)》（详见附件1），采购人有权对违反规定的报价人进行考核扣分，对列入负面清单的供应商，索普集团本部及各分子公司将不接受其报价，产生严重影响的，采购人将依法追究报价人法律责任。索普集团供应商负面清单的公示地址为：www.sopo.com.cn。</w:t>
      </w:r>
    </w:p>
    <w:p w14:paraId="148A6C99">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b w:val="0"/>
          <w:bCs/>
          <w:color w:val="auto"/>
          <w:kern w:val="1"/>
          <w:sz w:val="32"/>
          <w:szCs w:val="32"/>
          <w:highlight w:val="none"/>
          <w:lang w:val="en-US" w:eastAsia="zh-CN" w:bidi="ar-SA"/>
        </w:rPr>
      </w:pPr>
      <w:r>
        <w:rPr>
          <w:rFonts w:hint="eastAsia" w:ascii="仿宋_GB2312" w:hAnsi="仿宋_GB2312" w:eastAsia="仿宋_GB2312" w:cs="仿宋_GB2312"/>
          <w:b w:val="0"/>
          <w:bCs/>
          <w:color w:val="auto"/>
          <w:kern w:val="1"/>
          <w:sz w:val="32"/>
          <w:szCs w:val="32"/>
          <w:highlight w:val="none"/>
          <w:lang w:val="en-US" w:eastAsia="zh-CN" w:bidi="ar-SA"/>
        </w:rPr>
        <w:t>（四）报价人应详细阅读本采购文件，参与报价即视为对本采购文件所列之条款均表示接受。</w:t>
      </w:r>
    </w:p>
    <w:p w14:paraId="6B435FFE">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b w:val="0"/>
          <w:bCs/>
          <w:color w:val="auto"/>
          <w:kern w:val="1"/>
          <w:sz w:val="32"/>
          <w:szCs w:val="32"/>
          <w:highlight w:val="none"/>
          <w:lang w:val="en-US" w:eastAsia="zh-CN" w:bidi="ar-SA"/>
        </w:rPr>
      </w:pPr>
      <w:r>
        <w:rPr>
          <w:rFonts w:hint="eastAsia" w:ascii="仿宋_GB2312" w:hAnsi="仿宋_GB2312" w:eastAsia="仿宋_GB2312" w:cs="仿宋_GB2312"/>
          <w:b w:val="0"/>
          <w:bCs/>
          <w:color w:val="auto"/>
          <w:kern w:val="1"/>
          <w:sz w:val="32"/>
          <w:szCs w:val="32"/>
          <w:highlight w:val="none"/>
          <w:lang w:val="en-US" w:eastAsia="zh-CN" w:bidi="ar-SA"/>
        </w:rPr>
        <w:t>（五）本次采购解释权归江苏索普（集团）有限公司商务合作部所有。</w:t>
      </w:r>
    </w:p>
    <w:p w14:paraId="701FD8A3">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b w:val="0"/>
          <w:bCs/>
          <w:color w:val="auto"/>
          <w:kern w:val="1"/>
          <w:sz w:val="32"/>
          <w:szCs w:val="32"/>
          <w:highlight w:val="none"/>
          <w:lang w:val="en-US" w:eastAsia="zh-CN" w:bidi="ar-SA"/>
        </w:rPr>
      </w:pPr>
      <w:r>
        <w:rPr>
          <w:rFonts w:hint="eastAsia" w:ascii="仿宋_GB2312" w:hAnsi="仿宋_GB2312" w:eastAsia="仿宋_GB2312" w:cs="仿宋_GB2312"/>
          <w:b w:val="0"/>
          <w:bCs/>
          <w:color w:val="auto"/>
          <w:kern w:val="1"/>
          <w:sz w:val="32"/>
          <w:szCs w:val="32"/>
          <w:highlight w:val="none"/>
          <w:lang w:val="en-US" w:eastAsia="zh-CN" w:bidi="ar-SA"/>
        </w:rPr>
        <w:t>（六）本次采购中选信息公示网址：</w:t>
      </w:r>
    </w:p>
    <w:p w14:paraId="159BEE19">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b w:val="0"/>
          <w:bCs/>
          <w:color w:val="auto"/>
          <w:kern w:val="1"/>
          <w:sz w:val="32"/>
          <w:szCs w:val="32"/>
          <w:highlight w:val="none"/>
          <w:lang w:val="en-US" w:eastAsia="zh-CN" w:bidi="ar-SA"/>
        </w:rPr>
      </w:pPr>
      <w:r>
        <w:rPr>
          <w:rFonts w:hint="eastAsia" w:ascii="仿宋_GB2312" w:hAnsi="仿宋_GB2312" w:eastAsia="仿宋_GB2312" w:cs="仿宋_GB2312"/>
          <w:b w:val="0"/>
          <w:bCs/>
          <w:color w:val="auto"/>
          <w:kern w:val="1"/>
          <w:sz w:val="32"/>
          <w:szCs w:val="32"/>
          <w:highlight w:val="none"/>
          <w:lang w:val="en-US" w:eastAsia="zh-CN" w:bidi="ar-SA"/>
        </w:rPr>
        <w:t>http://www.sopo.com.cn/list/91-93.html。</w:t>
      </w:r>
    </w:p>
    <w:p w14:paraId="0F9E0784">
      <w:pPr>
        <w:pStyle w:val="4"/>
        <w:keepNext w:val="0"/>
        <w:keepLines w:val="0"/>
        <w:pageBreakBefore w:val="0"/>
        <w:widowControl w:val="0"/>
        <w:kinsoku/>
        <w:wordWrap/>
        <w:overflowPunct/>
        <w:topLinePunct w:val="0"/>
        <w:autoSpaceDE/>
        <w:autoSpaceDN/>
        <w:bidi w:val="0"/>
        <w:spacing w:beforeAutospacing="0" w:afterAutospacing="0" w:line="560" w:lineRule="exact"/>
        <w:textAlignment w:val="auto"/>
        <w:rPr>
          <w:rFonts w:hint="eastAsia" w:ascii="仿宋_GB2312" w:hAnsi="仿宋_GB2312" w:eastAsia="仿宋_GB2312" w:cs="仿宋_GB2312"/>
          <w:bCs/>
          <w:color w:val="auto"/>
          <w:kern w:val="1"/>
          <w:sz w:val="32"/>
          <w:szCs w:val="32"/>
          <w:highlight w:val="none"/>
          <w:lang w:val="en-US" w:eastAsia="zh-CN" w:bidi="ar-SA"/>
        </w:rPr>
      </w:pPr>
    </w:p>
    <w:p w14:paraId="66902C8B">
      <w:pPr>
        <w:pStyle w:val="4"/>
        <w:keepNext w:val="0"/>
        <w:keepLines w:val="0"/>
        <w:pageBreakBefore w:val="0"/>
        <w:widowControl w:val="0"/>
        <w:kinsoku/>
        <w:wordWrap/>
        <w:overflowPunct/>
        <w:topLinePunct w:val="0"/>
        <w:autoSpaceDE/>
        <w:autoSpaceDN/>
        <w:bidi w:val="0"/>
        <w:spacing w:beforeAutospacing="0" w:afterAutospacing="0" w:line="560" w:lineRule="exact"/>
        <w:textAlignment w:val="auto"/>
        <w:rPr>
          <w:rFonts w:hint="eastAsia" w:ascii="仿宋_GB2312" w:hAnsi="仿宋_GB2312" w:eastAsia="仿宋_GB2312" w:cs="仿宋_GB2312"/>
          <w:bCs/>
          <w:color w:val="auto"/>
          <w:kern w:val="1"/>
          <w:sz w:val="32"/>
          <w:szCs w:val="32"/>
          <w:highlight w:val="none"/>
          <w:lang w:val="en-US" w:eastAsia="zh-CN" w:bidi="ar-SA"/>
        </w:rPr>
      </w:pPr>
    </w:p>
    <w:p w14:paraId="0D6034BF">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textAlignment w:val="auto"/>
        <w:rPr>
          <w:rFonts w:hint="eastAsia" w:ascii="仿宋_GB2312" w:hAnsi="仿宋_GB2312" w:eastAsia="仿宋_GB2312" w:cs="仿宋_GB2312"/>
          <w:bCs/>
          <w:color w:val="auto"/>
          <w:kern w:val="1"/>
          <w:sz w:val="32"/>
          <w:szCs w:val="32"/>
          <w:highlight w:val="none"/>
          <w:lang w:val="en-US" w:eastAsia="zh-CN" w:bidi="ar-SA"/>
        </w:rPr>
      </w:pPr>
    </w:p>
    <w:p w14:paraId="481C2F05">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textAlignment w:val="auto"/>
        <w:rPr>
          <w:rFonts w:hint="eastAsia" w:ascii="仿宋_GB2312" w:hAnsi="仿宋_GB2312" w:eastAsia="仿宋_GB2312" w:cs="仿宋_GB2312"/>
          <w:bCs/>
          <w:color w:val="auto"/>
          <w:kern w:val="1"/>
          <w:sz w:val="32"/>
          <w:szCs w:val="32"/>
          <w:highlight w:val="none"/>
          <w:lang w:val="en-US" w:eastAsia="zh-CN" w:bidi="ar-SA"/>
        </w:rPr>
      </w:pPr>
    </w:p>
    <w:p w14:paraId="0CE8F778">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textAlignment w:val="auto"/>
        <w:rPr>
          <w:rFonts w:hint="eastAsia" w:ascii="仿宋_GB2312" w:hAnsi="仿宋_GB2312" w:eastAsia="仿宋_GB2312" w:cs="仿宋_GB2312"/>
          <w:bCs/>
          <w:color w:val="auto"/>
          <w:kern w:val="1"/>
          <w:sz w:val="32"/>
          <w:szCs w:val="32"/>
          <w:highlight w:val="none"/>
          <w:lang w:val="en-US" w:eastAsia="zh-CN" w:bidi="ar-SA"/>
        </w:rPr>
      </w:pPr>
    </w:p>
    <w:p w14:paraId="40CBBD34">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textAlignment w:val="auto"/>
        <w:rPr>
          <w:rFonts w:hint="eastAsia" w:ascii="仿宋_GB2312" w:hAnsi="仿宋_GB2312" w:eastAsia="仿宋_GB2312" w:cs="仿宋_GB2312"/>
          <w:bCs/>
          <w:color w:val="auto"/>
          <w:kern w:val="1"/>
          <w:sz w:val="32"/>
          <w:szCs w:val="32"/>
          <w:highlight w:val="none"/>
          <w:lang w:val="en-US" w:eastAsia="zh-CN" w:bidi="ar-SA"/>
        </w:rPr>
      </w:pPr>
    </w:p>
    <w:p w14:paraId="7FADAB91">
      <w:pPr>
        <w:keepNext w:val="0"/>
        <w:keepLines w:val="0"/>
        <w:pageBreakBefore w:val="0"/>
        <w:widowControl w:val="0"/>
        <w:kinsoku/>
        <w:wordWrap/>
        <w:overflowPunct/>
        <w:topLinePunct w:val="0"/>
        <w:autoSpaceDE/>
        <w:autoSpaceDN/>
        <w:bidi w:val="0"/>
        <w:spacing w:line="560" w:lineRule="exact"/>
        <w:jc w:val="left"/>
        <w:textAlignment w:val="auto"/>
        <w:rPr>
          <w:rFonts w:hint="eastAsia" w:ascii="仿宋_GB2312" w:hAnsi="仿宋_GB2312" w:eastAsia="仿宋_GB2312" w:cs="仿宋_GB2312"/>
          <w:bCs/>
          <w:color w:val="000000"/>
          <w:sz w:val="34"/>
          <w:szCs w:val="34"/>
        </w:rPr>
      </w:pPr>
    </w:p>
    <w:p w14:paraId="65D6E8BA">
      <w:pPr>
        <w:keepNext w:val="0"/>
        <w:keepLines w:val="0"/>
        <w:pageBreakBefore w:val="0"/>
        <w:widowControl w:val="0"/>
        <w:kinsoku/>
        <w:wordWrap/>
        <w:overflowPunct/>
        <w:topLinePunct w:val="0"/>
        <w:autoSpaceDE/>
        <w:autoSpaceDN/>
        <w:bidi w:val="0"/>
        <w:spacing w:line="560" w:lineRule="exact"/>
        <w:jc w:val="left"/>
        <w:textAlignment w:val="auto"/>
        <w:rPr>
          <w:rFonts w:hint="eastAsia" w:ascii="仿宋_GB2312" w:hAnsi="仿宋_GB2312" w:eastAsia="仿宋_GB2312" w:cs="仿宋_GB2312"/>
          <w:bCs/>
          <w:color w:val="000000"/>
          <w:sz w:val="34"/>
          <w:szCs w:val="34"/>
        </w:rPr>
      </w:pPr>
    </w:p>
    <w:p w14:paraId="4A9D685B">
      <w:pPr>
        <w:keepNext w:val="0"/>
        <w:keepLines w:val="0"/>
        <w:pageBreakBefore w:val="0"/>
        <w:widowControl w:val="0"/>
        <w:kinsoku/>
        <w:wordWrap/>
        <w:overflowPunct/>
        <w:topLinePunct w:val="0"/>
        <w:autoSpaceDE/>
        <w:autoSpaceDN/>
        <w:bidi w:val="0"/>
        <w:spacing w:line="560" w:lineRule="exact"/>
        <w:jc w:val="left"/>
        <w:textAlignment w:val="auto"/>
        <w:rPr>
          <w:rFonts w:hint="eastAsia" w:ascii="仿宋_GB2312" w:hAnsi="仿宋_GB2312" w:eastAsia="仿宋_GB2312" w:cs="仿宋_GB2312"/>
          <w:bCs/>
          <w:color w:val="000000"/>
          <w:sz w:val="34"/>
          <w:szCs w:val="34"/>
        </w:rPr>
      </w:pPr>
    </w:p>
    <w:p w14:paraId="0F11B7CD">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报价函</w:t>
      </w:r>
    </w:p>
    <w:p w14:paraId="2C578626">
      <w:pPr>
        <w:keepNext w:val="0"/>
        <w:keepLines w:val="0"/>
        <w:pageBreakBefore w:val="0"/>
        <w:widowControl w:val="0"/>
        <w:tabs>
          <w:tab w:val="left" w:pos="180"/>
        </w:tabs>
        <w:kinsoku/>
        <w:wordWrap w:val="0"/>
        <w:overflowPunct/>
        <w:topLinePunct w:val="0"/>
        <w:autoSpaceDE/>
        <w:autoSpaceDN/>
        <w:bidi w:val="0"/>
        <w:adjustRightInd w:val="0"/>
        <w:snapToGrid w:val="0"/>
        <w:spacing w:line="540" w:lineRule="exact"/>
        <w:ind w:left="0" w:leftChars="0" w:right="0" w:rightChars="0"/>
        <w:textAlignment w:val="auto"/>
        <w:outlineLvl w:val="9"/>
        <w:rPr>
          <w:rFonts w:hint="eastAsia" w:ascii="仿宋_GB2312" w:hAnsi="仿宋_GB2312" w:eastAsia="仿宋_GB2312" w:cs="仿宋_GB2312"/>
          <w:kern w:val="1"/>
          <w:sz w:val="32"/>
          <w:szCs w:val="32"/>
        </w:rPr>
      </w:pPr>
    </w:p>
    <w:p w14:paraId="3E838D60">
      <w:pPr>
        <w:keepNext w:val="0"/>
        <w:keepLines w:val="0"/>
        <w:pageBreakBefore w:val="0"/>
        <w:widowControl w:val="0"/>
        <w:tabs>
          <w:tab w:val="left" w:pos="180"/>
        </w:tabs>
        <w:kinsoku/>
        <w:wordWrap w:val="0"/>
        <w:overflowPunct/>
        <w:topLinePunct w:val="0"/>
        <w:autoSpaceDE/>
        <w:autoSpaceDN/>
        <w:bidi w:val="0"/>
        <w:adjustRightInd w:val="0"/>
        <w:snapToGrid w:val="0"/>
        <w:spacing w:line="540" w:lineRule="exact"/>
        <w:ind w:left="0" w:leftChars="0" w:right="0" w:rightChars="0"/>
        <w:textAlignment w:val="auto"/>
        <w:outlineLvl w:val="9"/>
        <w:rPr>
          <w:rFonts w:ascii="仿宋_GB2312" w:hAnsi="仿宋_GB2312" w:eastAsia="仿宋_GB2312" w:cs="仿宋_GB2312"/>
          <w:kern w:val="1"/>
          <w:sz w:val="32"/>
          <w:szCs w:val="32"/>
        </w:rPr>
      </w:pPr>
      <w:r>
        <w:rPr>
          <w:rFonts w:hint="eastAsia" w:ascii="仿宋_GB2312" w:hAnsi="仿宋_GB2312" w:eastAsia="仿宋_GB2312" w:cs="仿宋_GB2312"/>
          <w:kern w:val="1"/>
          <w:sz w:val="32"/>
          <w:szCs w:val="32"/>
        </w:rPr>
        <w:t>江苏索普（集团）有限公司：</w:t>
      </w:r>
    </w:p>
    <w:p w14:paraId="06B9D0EC">
      <w:pPr>
        <w:keepNext w:val="0"/>
        <w:keepLines w:val="0"/>
        <w:pageBreakBefore w:val="0"/>
        <w:widowControl w:val="0"/>
        <w:kinsoku/>
        <w:wordWrap w:val="0"/>
        <w:overflowPunct/>
        <w:topLinePunct w:val="0"/>
        <w:autoSpaceDE/>
        <w:autoSpaceDN/>
        <w:bidi w:val="0"/>
        <w:adjustRightInd w:val="0"/>
        <w:snapToGrid w:val="0"/>
        <w:spacing w:line="540" w:lineRule="exact"/>
        <w:ind w:left="0" w:leftChars="0" w:right="0" w:rightChars="0" w:firstLine="640" w:firstLineChars="200"/>
        <w:jc w:val="left"/>
        <w:textAlignment w:val="auto"/>
        <w:outlineLvl w:val="9"/>
        <w:rPr>
          <w:rFonts w:ascii="仿宋_GB2312" w:hAnsi="仿宋_GB2312" w:eastAsia="仿宋_GB2312" w:cs="仿宋_GB2312"/>
          <w:color w:val="auto"/>
          <w:kern w:val="1"/>
          <w:sz w:val="32"/>
          <w:szCs w:val="32"/>
        </w:rPr>
      </w:pPr>
      <w:r>
        <w:rPr>
          <w:rFonts w:hint="eastAsia" w:ascii="仿宋_GB2312" w:hAnsi="仿宋_GB2312" w:eastAsia="仿宋_GB2312" w:cs="仿宋_GB2312"/>
          <w:color w:val="auto"/>
          <w:kern w:val="1"/>
          <w:sz w:val="32"/>
          <w:szCs w:val="32"/>
          <w:u w:val="single"/>
          <w:lang w:val="en-US" w:eastAsia="zh-CN"/>
        </w:rPr>
        <w:t xml:space="preserve">                          </w:t>
      </w:r>
      <w:r>
        <w:rPr>
          <w:rFonts w:hint="eastAsia" w:ascii="仿宋_GB2312" w:hAnsi="仿宋_GB2312" w:eastAsia="仿宋_GB2312" w:cs="仿宋_GB2312"/>
          <w:color w:val="auto"/>
          <w:kern w:val="1"/>
          <w:sz w:val="32"/>
          <w:szCs w:val="32"/>
        </w:rPr>
        <w:t>授权</w:t>
      </w:r>
      <w:r>
        <w:rPr>
          <w:rFonts w:hint="eastAsia" w:ascii="仿宋_GB2312" w:hAnsi="仿宋_GB2312" w:eastAsia="仿宋_GB2312" w:cs="仿宋_GB2312"/>
          <w:color w:val="auto"/>
          <w:kern w:val="1"/>
          <w:sz w:val="32"/>
          <w:szCs w:val="32"/>
          <w:u w:val="single"/>
          <w:lang w:val="en-US" w:eastAsia="zh-CN"/>
        </w:rPr>
        <w:t xml:space="preserve">             </w:t>
      </w:r>
      <w:r>
        <w:rPr>
          <w:rFonts w:hint="eastAsia" w:ascii="仿宋_GB2312" w:hAnsi="仿宋_GB2312" w:eastAsia="仿宋_GB2312" w:cs="仿宋_GB2312"/>
          <w:color w:val="auto"/>
          <w:kern w:val="1"/>
          <w:sz w:val="32"/>
          <w:szCs w:val="32"/>
        </w:rPr>
        <w:t>为全权代表，参加贵方组织的</w:t>
      </w:r>
      <w:r>
        <w:rPr>
          <w:rFonts w:hint="eastAsia" w:ascii="仿宋_GB2312" w:hAnsi="仿宋_GB2312" w:eastAsia="仿宋_GB2312" w:cs="仿宋_GB2312"/>
          <w:color w:val="auto"/>
          <w:kern w:val="1"/>
          <w:sz w:val="32"/>
          <w:szCs w:val="32"/>
          <w:lang w:val="en-US" w:eastAsia="zh-CN"/>
        </w:rPr>
        <w:t>采购</w:t>
      </w:r>
      <w:r>
        <w:rPr>
          <w:rFonts w:hint="eastAsia" w:ascii="仿宋_GB2312" w:hAnsi="仿宋_GB2312" w:eastAsia="仿宋_GB2312" w:cs="仿宋_GB2312"/>
          <w:color w:val="auto"/>
          <w:kern w:val="1"/>
          <w:sz w:val="32"/>
          <w:szCs w:val="32"/>
        </w:rPr>
        <w:t>有关活动，并对该项目进行</w:t>
      </w:r>
      <w:r>
        <w:rPr>
          <w:rFonts w:hint="eastAsia" w:ascii="仿宋_GB2312" w:hAnsi="仿宋_GB2312" w:eastAsia="仿宋_GB2312" w:cs="仿宋_GB2312"/>
          <w:color w:val="auto"/>
          <w:kern w:val="1"/>
          <w:sz w:val="32"/>
          <w:szCs w:val="32"/>
          <w:lang w:val="en-US" w:eastAsia="zh-CN"/>
        </w:rPr>
        <w:t>报价</w:t>
      </w:r>
      <w:r>
        <w:rPr>
          <w:rFonts w:hint="eastAsia" w:ascii="仿宋_GB2312" w:hAnsi="仿宋_GB2312" w:eastAsia="仿宋_GB2312" w:cs="仿宋_GB2312"/>
          <w:color w:val="auto"/>
          <w:kern w:val="1"/>
          <w:sz w:val="32"/>
          <w:szCs w:val="32"/>
        </w:rPr>
        <w:t>。</w:t>
      </w:r>
    </w:p>
    <w:p w14:paraId="6141F485">
      <w:pPr>
        <w:keepNext w:val="0"/>
        <w:keepLines w:val="0"/>
        <w:pageBreakBefore w:val="0"/>
        <w:widowControl w:val="0"/>
        <w:kinsoku/>
        <w:wordWrap w:val="0"/>
        <w:overflowPunct/>
        <w:topLinePunct w:val="0"/>
        <w:autoSpaceDE/>
        <w:autoSpaceDN/>
        <w:bidi w:val="0"/>
        <w:adjustRightInd w:val="0"/>
        <w:snapToGrid w:val="0"/>
        <w:spacing w:line="540" w:lineRule="exact"/>
        <w:ind w:right="0" w:rightChars="0" w:firstLine="640" w:firstLineChars="200"/>
        <w:jc w:val="left"/>
        <w:textAlignment w:val="auto"/>
        <w:outlineLvl w:val="9"/>
        <w:rPr>
          <w:rFonts w:hint="eastAsia" w:ascii="仿宋_GB2312" w:hAnsi="仿宋_GB2312" w:eastAsia="仿宋_GB2312" w:cs="仿宋_GB2312"/>
          <w:color w:val="auto"/>
          <w:kern w:val="1"/>
          <w:sz w:val="32"/>
          <w:szCs w:val="32"/>
          <w:lang w:eastAsia="zh-CN"/>
        </w:rPr>
      </w:pPr>
      <w:r>
        <w:rPr>
          <w:rFonts w:hint="eastAsia" w:ascii="仿宋_GB2312" w:hAnsi="仿宋_GB2312" w:eastAsia="仿宋_GB2312" w:cs="仿宋_GB2312"/>
          <w:color w:val="auto"/>
          <w:kern w:val="1"/>
          <w:sz w:val="32"/>
          <w:szCs w:val="32"/>
          <w:lang w:val="en-US" w:eastAsia="zh-CN"/>
        </w:rPr>
        <w:t>报价</w:t>
      </w:r>
      <w:r>
        <w:rPr>
          <w:rFonts w:hint="eastAsia" w:ascii="仿宋_GB2312" w:hAnsi="仿宋_GB2312" w:eastAsia="仿宋_GB2312" w:cs="仿宋_GB2312"/>
          <w:color w:val="auto"/>
          <w:kern w:val="1"/>
          <w:sz w:val="32"/>
          <w:szCs w:val="32"/>
        </w:rPr>
        <w:t>项目的总价（含税）为</w:t>
      </w:r>
      <w:r>
        <w:rPr>
          <w:rFonts w:ascii="仿宋_GB2312" w:hAnsi="仿宋_GB2312" w:eastAsia="仿宋_GB2312" w:cs="仿宋_GB2312"/>
          <w:color w:val="auto"/>
          <w:kern w:val="1"/>
          <w:sz w:val="32"/>
          <w:szCs w:val="32"/>
          <w:u w:val="single"/>
        </w:rPr>
        <w:softHyphen/>
      </w:r>
      <w:r>
        <w:rPr>
          <w:rFonts w:hint="eastAsia" w:ascii="仿宋_GB2312" w:hAnsi="仿宋_GB2312" w:eastAsia="仿宋_GB2312" w:cs="仿宋_GB2312"/>
          <w:color w:val="auto"/>
          <w:kern w:val="1"/>
          <w:sz w:val="32"/>
          <w:szCs w:val="32"/>
          <w:u w:val="single"/>
        </w:rPr>
        <w:t xml:space="preserve">    </w:t>
      </w:r>
      <w:r>
        <w:rPr>
          <w:rFonts w:hint="eastAsia" w:ascii="仿宋_GB2312" w:hAnsi="仿宋_GB2312" w:eastAsia="仿宋_GB2312" w:cs="仿宋_GB2312"/>
          <w:color w:val="auto"/>
          <w:kern w:val="1"/>
          <w:sz w:val="32"/>
          <w:szCs w:val="32"/>
          <w:u w:val="single"/>
          <w:lang w:val="en-US" w:eastAsia="zh-CN"/>
        </w:rPr>
        <w:t xml:space="preserve">   </w:t>
      </w:r>
      <w:r>
        <w:rPr>
          <w:rFonts w:hint="eastAsia" w:ascii="仿宋_GB2312" w:hAnsi="仿宋_GB2312" w:eastAsia="仿宋_GB2312" w:cs="仿宋_GB2312"/>
          <w:color w:val="auto"/>
          <w:kern w:val="1"/>
          <w:sz w:val="32"/>
          <w:szCs w:val="32"/>
          <w:u w:val="single"/>
        </w:rPr>
        <w:t xml:space="preserve">   </w:t>
      </w:r>
      <w:r>
        <w:rPr>
          <w:rFonts w:hint="eastAsia" w:ascii="仿宋_GB2312" w:hAnsi="仿宋_GB2312" w:eastAsia="仿宋_GB2312" w:cs="仿宋_GB2312"/>
          <w:color w:val="auto"/>
          <w:kern w:val="1"/>
          <w:sz w:val="32"/>
          <w:szCs w:val="32"/>
        </w:rPr>
        <w:t>(大写)：</w:t>
      </w:r>
      <w:r>
        <w:rPr>
          <w:rFonts w:hint="eastAsia" w:ascii="仿宋_GB2312" w:hAnsi="仿宋_GB2312" w:eastAsia="仿宋_GB2312" w:cs="仿宋_GB2312"/>
          <w:color w:val="auto"/>
          <w:kern w:val="1"/>
          <w:sz w:val="32"/>
          <w:szCs w:val="32"/>
          <w:u w:val="single"/>
        </w:rPr>
        <w:t xml:space="preserve">    </w:t>
      </w:r>
      <w:r>
        <w:rPr>
          <w:rFonts w:hint="eastAsia" w:ascii="仿宋_GB2312" w:hAnsi="仿宋_GB2312" w:eastAsia="仿宋_GB2312" w:cs="仿宋_GB2312"/>
          <w:color w:val="auto"/>
          <w:kern w:val="1"/>
          <w:sz w:val="32"/>
          <w:szCs w:val="32"/>
          <w:u w:val="single"/>
          <w:lang w:val="en-US" w:eastAsia="zh-CN"/>
        </w:rPr>
        <w:t xml:space="preserve">   </w:t>
      </w:r>
      <w:r>
        <w:rPr>
          <w:rFonts w:hint="eastAsia" w:ascii="仿宋_GB2312" w:hAnsi="仿宋_GB2312" w:eastAsia="仿宋_GB2312" w:cs="仿宋_GB2312"/>
          <w:color w:val="auto"/>
          <w:kern w:val="1"/>
          <w:sz w:val="32"/>
          <w:szCs w:val="32"/>
          <w:u w:val="single"/>
        </w:rPr>
        <w:t xml:space="preserve">  </w:t>
      </w:r>
      <w:r>
        <w:rPr>
          <w:rFonts w:hint="eastAsia" w:ascii="仿宋_GB2312" w:hAnsi="仿宋_GB2312" w:eastAsia="仿宋_GB2312" w:cs="仿宋_GB2312"/>
          <w:color w:val="auto"/>
          <w:kern w:val="1"/>
          <w:sz w:val="32"/>
          <w:szCs w:val="32"/>
        </w:rPr>
        <w:t>元人民币；税率</w:t>
      </w:r>
      <w:r>
        <w:rPr>
          <w:rFonts w:hint="eastAsia" w:ascii="仿宋_GB2312" w:hAnsi="仿宋_GB2312" w:eastAsia="仿宋_GB2312" w:cs="仿宋_GB2312"/>
          <w:color w:val="auto"/>
          <w:kern w:val="1"/>
          <w:sz w:val="32"/>
          <w:szCs w:val="32"/>
          <w:u w:val="single"/>
        </w:rPr>
        <w:t xml:space="preserve">       </w:t>
      </w:r>
      <w:r>
        <w:rPr>
          <w:rFonts w:hint="eastAsia" w:ascii="仿宋_GB2312" w:hAnsi="仿宋_GB2312" w:eastAsia="仿宋_GB2312" w:cs="仿宋_GB2312"/>
          <w:color w:val="auto"/>
          <w:kern w:val="1"/>
          <w:sz w:val="32"/>
          <w:szCs w:val="32"/>
        </w:rPr>
        <w:t>%</w:t>
      </w:r>
      <w:r>
        <w:rPr>
          <w:rFonts w:hint="eastAsia" w:ascii="仿宋_GB2312" w:hAnsi="仿宋_GB2312" w:eastAsia="仿宋_GB2312" w:cs="仿宋_GB2312"/>
          <w:color w:val="auto"/>
          <w:kern w:val="1"/>
          <w:sz w:val="32"/>
          <w:szCs w:val="32"/>
          <w:lang w:eastAsia="zh-CN"/>
        </w:rPr>
        <w:t>，</w:t>
      </w:r>
      <w:r>
        <w:rPr>
          <w:rFonts w:hint="eastAsia" w:ascii="仿宋_GB2312" w:hAnsi="仿宋_GB2312" w:eastAsia="仿宋_GB2312" w:cs="仿宋_GB2312"/>
          <w:color w:val="auto"/>
          <w:kern w:val="1"/>
          <w:sz w:val="32"/>
          <w:szCs w:val="32"/>
        </w:rPr>
        <w:t>如有分项报价，请另附分项报价清单</w:t>
      </w:r>
      <w:r>
        <w:rPr>
          <w:rFonts w:hint="eastAsia" w:ascii="仿宋_GB2312" w:hAnsi="仿宋_GB2312" w:eastAsia="仿宋_GB2312" w:cs="仿宋_GB2312"/>
          <w:color w:val="auto"/>
          <w:kern w:val="1"/>
          <w:sz w:val="32"/>
          <w:szCs w:val="32"/>
          <w:lang w:eastAsia="zh-CN"/>
        </w:rPr>
        <w:t>。</w:t>
      </w:r>
    </w:p>
    <w:p w14:paraId="789FECF0">
      <w:pPr>
        <w:keepNext w:val="0"/>
        <w:keepLines w:val="0"/>
        <w:pageBreakBefore w:val="0"/>
        <w:widowControl w:val="0"/>
        <w:numPr>
          <w:ilvl w:val="0"/>
          <w:numId w:val="0"/>
        </w:numPr>
        <w:kinsoku/>
        <w:wordWrap/>
        <w:overflowPunct/>
        <w:topLinePunct w:val="0"/>
        <w:autoSpaceDE/>
        <w:autoSpaceDN/>
        <w:bidi w:val="0"/>
        <w:adjustRightInd/>
        <w:snapToGrid/>
        <w:spacing w:line="240" w:lineRule="exact"/>
        <w:textAlignment w:val="auto"/>
        <w:rPr>
          <w:rFonts w:ascii="仿宋" w:hAnsi="仿宋" w:eastAsia="仿宋" w:cs="仿宋"/>
          <w:color w:val="000000"/>
          <w:sz w:val="34"/>
          <w:szCs w:val="34"/>
        </w:rPr>
      </w:pPr>
    </w:p>
    <w:tbl>
      <w:tblPr>
        <w:tblStyle w:val="9"/>
        <w:tblW w:w="91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07"/>
        <w:gridCol w:w="2002"/>
        <w:gridCol w:w="885"/>
        <w:gridCol w:w="1050"/>
        <w:gridCol w:w="1455"/>
        <w:gridCol w:w="825"/>
      </w:tblGrid>
      <w:tr w14:paraId="6B834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7" w:type="dxa"/>
            <w:noWrap w:val="0"/>
            <w:vAlign w:val="center"/>
          </w:tcPr>
          <w:p w14:paraId="455CB8F7">
            <w:pPr>
              <w:spacing w:line="5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项目</w:t>
            </w:r>
          </w:p>
        </w:tc>
        <w:tc>
          <w:tcPr>
            <w:tcW w:w="2002" w:type="dxa"/>
            <w:noWrap w:val="0"/>
            <w:vAlign w:val="center"/>
          </w:tcPr>
          <w:p w14:paraId="7438080E">
            <w:pPr>
              <w:spacing w:line="5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元/次/人</w:t>
            </w:r>
          </w:p>
          <w:p w14:paraId="069D2496">
            <w:pPr>
              <w:spacing w:line="5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（含税价）</w:t>
            </w:r>
          </w:p>
        </w:tc>
        <w:tc>
          <w:tcPr>
            <w:tcW w:w="885" w:type="dxa"/>
            <w:noWrap w:val="0"/>
            <w:vAlign w:val="center"/>
          </w:tcPr>
          <w:p w14:paraId="6BD44A62">
            <w:pPr>
              <w:spacing w:line="5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人数</w:t>
            </w:r>
          </w:p>
        </w:tc>
        <w:tc>
          <w:tcPr>
            <w:tcW w:w="1050" w:type="dxa"/>
            <w:noWrap w:val="0"/>
            <w:vAlign w:val="center"/>
          </w:tcPr>
          <w:p w14:paraId="66B6F7F1">
            <w:pPr>
              <w:spacing w:line="5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总次数</w:t>
            </w:r>
          </w:p>
        </w:tc>
        <w:tc>
          <w:tcPr>
            <w:tcW w:w="1455" w:type="dxa"/>
            <w:noWrap w:val="0"/>
            <w:vAlign w:val="center"/>
          </w:tcPr>
          <w:p w14:paraId="0DDE036C">
            <w:pPr>
              <w:spacing w:line="500" w:lineRule="exact"/>
              <w:jc w:val="center"/>
              <w:rPr>
                <w:rFonts w:hint="eastAsia" w:ascii="宋体" w:hAnsi="宋体" w:eastAsia="宋体" w:cs="宋体"/>
                <w:bCs/>
                <w:color w:val="000000"/>
                <w:spacing w:val="-6"/>
                <w:sz w:val="24"/>
                <w:szCs w:val="24"/>
              </w:rPr>
            </w:pPr>
            <w:r>
              <w:rPr>
                <w:rFonts w:hint="eastAsia" w:ascii="宋体" w:hAnsi="宋体" w:eastAsia="宋体" w:cs="宋体"/>
                <w:bCs/>
                <w:color w:val="000000"/>
                <w:spacing w:val="-6"/>
                <w:sz w:val="24"/>
                <w:szCs w:val="24"/>
              </w:rPr>
              <w:t>总价</w:t>
            </w:r>
          </w:p>
          <w:p w14:paraId="4001E53E">
            <w:pPr>
              <w:spacing w:line="500" w:lineRule="exact"/>
              <w:jc w:val="center"/>
              <w:rPr>
                <w:rFonts w:hint="eastAsia" w:ascii="宋体" w:hAnsi="宋体" w:eastAsia="宋体" w:cs="宋体"/>
                <w:bCs/>
                <w:color w:val="000000"/>
                <w:spacing w:val="-6"/>
                <w:sz w:val="24"/>
                <w:szCs w:val="24"/>
              </w:rPr>
            </w:pPr>
            <w:r>
              <w:rPr>
                <w:rFonts w:hint="eastAsia" w:ascii="宋体" w:hAnsi="宋体" w:eastAsia="宋体" w:cs="宋体"/>
                <w:bCs/>
                <w:color w:val="000000"/>
                <w:spacing w:val="-6"/>
                <w:sz w:val="24"/>
                <w:szCs w:val="24"/>
              </w:rPr>
              <w:t>（含税价）</w:t>
            </w:r>
          </w:p>
        </w:tc>
        <w:tc>
          <w:tcPr>
            <w:tcW w:w="825" w:type="dxa"/>
            <w:noWrap w:val="0"/>
            <w:vAlign w:val="center"/>
          </w:tcPr>
          <w:p w14:paraId="1940A45F">
            <w:pPr>
              <w:spacing w:line="500" w:lineRule="exact"/>
              <w:jc w:val="center"/>
              <w:rPr>
                <w:rFonts w:hint="eastAsia" w:ascii="宋体" w:hAnsi="宋体" w:eastAsia="宋体" w:cs="宋体"/>
                <w:bCs/>
                <w:color w:val="000000"/>
                <w:spacing w:val="-6"/>
                <w:sz w:val="24"/>
                <w:szCs w:val="24"/>
              </w:rPr>
            </w:pPr>
            <w:r>
              <w:rPr>
                <w:rFonts w:hint="eastAsia" w:ascii="宋体" w:hAnsi="宋体" w:eastAsia="宋体" w:cs="宋体"/>
                <w:bCs/>
                <w:color w:val="000000"/>
                <w:spacing w:val="-6"/>
                <w:sz w:val="24"/>
                <w:szCs w:val="24"/>
              </w:rPr>
              <w:t>税率</w:t>
            </w:r>
          </w:p>
        </w:tc>
      </w:tr>
      <w:tr w14:paraId="6B6E3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7" w:type="dxa"/>
            <w:noWrap w:val="0"/>
            <w:vAlign w:val="center"/>
          </w:tcPr>
          <w:p w14:paraId="7ADC6BD9">
            <w:pPr>
              <w:spacing w:line="5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专家检查费</w:t>
            </w:r>
          </w:p>
        </w:tc>
        <w:tc>
          <w:tcPr>
            <w:tcW w:w="2002" w:type="dxa"/>
            <w:noWrap w:val="0"/>
            <w:vAlign w:val="center"/>
          </w:tcPr>
          <w:p w14:paraId="51C3A911">
            <w:pPr>
              <w:spacing w:line="500" w:lineRule="exact"/>
              <w:jc w:val="center"/>
              <w:rPr>
                <w:rFonts w:hint="eastAsia" w:ascii="宋体" w:hAnsi="宋体" w:eastAsia="宋体" w:cs="宋体"/>
                <w:color w:val="auto"/>
                <w:sz w:val="24"/>
                <w:szCs w:val="24"/>
              </w:rPr>
            </w:pPr>
          </w:p>
        </w:tc>
        <w:tc>
          <w:tcPr>
            <w:tcW w:w="885" w:type="dxa"/>
            <w:noWrap w:val="0"/>
            <w:vAlign w:val="center"/>
          </w:tcPr>
          <w:p w14:paraId="36F6BCED">
            <w:pPr>
              <w:spacing w:line="5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p>
        </w:tc>
        <w:tc>
          <w:tcPr>
            <w:tcW w:w="1050" w:type="dxa"/>
            <w:noWrap w:val="0"/>
            <w:vAlign w:val="center"/>
          </w:tcPr>
          <w:p w14:paraId="51E0C998">
            <w:pPr>
              <w:spacing w:line="5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w:t>
            </w:r>
          </w:p>
        </w:tc>
        <w:tc>
          <w:tcPr>
            <w:tcW w:w="1455" w:type="dxa"/>
            <w:noWrap w:val="0"/>
            <w:vAlign w:val="center"/>
          </w:tcPr>
          <w:p w14:paraId="5643533E">
            <w:pPr>
              <w:spacing w:line="500" w:lineRule="exact"/>
              <w:rPr>
                <w:rFonts w:hint="eastAsia" w:ascii="宋体" w:hAnsi="宋体" w:eastAsia="宋体" w:cs="宋体"/>
                <w:bCs/>
                <w:color w:val="000000"/>
                <w:spacing w:val="-6"/>
                <w:sz w:val="24"/>
                <w:szCs w:val="24"/>
              </w:rPr>
            </w:pPr>
          </w:p>
        </w:tc>
        <w:tc>
          <w:tcPr>
            <w:tcW w:w="825" w:type="dxa"/>
            <w:noWrap w:val="0"/>
            <w:vAlign w:val="center"/>
          </w:tcPr>
          <w:p w14:paraId="1401EB66">
            <w:pPr>
              <w:spacing w:line="500" w:lineRule="exact"/>
              <w:rPr>
                <w:rFonts w:hint="eastAsia" w:ascii="宋体" w:hAnsi="宋体" w:eastAsia="宋体" w:cs="宋体"/>
                <w:bCs/>
                <w:color w:val="000000"/>
                <w:spacing w:val="-6"/>
                <w:sz w:val="24"/>
                <w:szCs w:val="24"/>
              </w:rPr>
            </w:pPr>
          </w:p>
        </w:tc>
      </w:tr>
      <w:tr w14:paraId="3C733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7" w:type="dxa"/>
            <w:noWrap w:val="0"/>
            <w:vAlign w:val="center"/>
          </w:tcPr>
          <w:p w14:paraId="3B3C4C8A">
            <w:pPr>
              <w:spacing w:line="500" w:lineRule="exact"/>
              <w:jc w:val="center"/>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一述四评</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费用</w:t>
            </w:r>
          </w:p>
        </w:tc>
        <w:tc>
          <w:tcPr>
            <w:tcW w:w="2002" w:type="dxa"/>
            <w:noWrap w:val="0"/>
            <w:vAlign w:val="center"/>
          </w:tcPr>
          <w:p w14:paraId="7AB9B257">
            <w:pPr>
              <w:spacing w:line="500" w:lineRule="exact"/>
              <w:jc w:val="center"/>
              <w:rPr>
                <w:rFonts w:hint="eastAsia" w:ascii="宋体" w:hAnsi="宋体" w:eastAsia="宋体" w:cs="宋体"/>
                <w:color w:val="auto"/>
                <w:sz w:val="24"/>
                <w:szCs w:val="24"/>
              </w:rPr>
            </w:pPr>
          </w:p>
        </w:tc>
        <w:tc>
          <w:tcPr>
            <w:tcW w:w="885" w:type="dxa"/>
            <w:noWrap w:val="0"/>
            <w:vAlign w:val="center"/>
          </w:tcPr>
          <w:p w14:paraId="6C55BAFE">
            <w:pPr>
              <w:spacing w:line="5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p>
        </w:tc>
        <w:tc>
          <w:tcPr>
            <w:tcW w:w="1050" w:type="dxa"/>
            <w:noWrap w:val="0"/>
            <w:vAlign w:val="center"/>
          </w:tcPr>
          <w:p w14:paraId="7F5A26C4">
            <w:pPr>
              <w:spacing w:line="5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1455" w:type="dxa"/>
            <w:noWrap w:val="0"/>
            <w:vAlign w:val="center"/>
          </w:tcPr>
          <w:p w14:paraId="1012D245">
            <w:pPr>
              <w:spacing w:line="500" w:lineRule="exact"/>
              <w:rPr>
                <w:rFonts w:hint="eastAsia" w:ascii="宋体" w:hAnsi="宋体" w:eastAsia="宋体" w:cs="宋体"/>
                <w:bCs/>
                <w:color w:val="000000"/>
                <w:spacing w:val="-6"/>
                <w:sz w:val="24"/>
                <w:szCs w:val="24"/>
              </w:rPr>
            </w:pPr>
          </w:p>
        </w:tc>
        <w:tc>
          <w:tcPr>
            <w:tcW w:w="825" w:type="dxa"/>
            <w:noWrap w:val="0"/>
            <w:vAlign w:val="center"/>
          </w:tcPr>
          <w:p w14:paraId="57008D6B">
            <w:pPr>
              <w:spacing w:line="500" w:lineRule="exact"/>
              <w:rPr>
                <w:rFonts w:hint="eastAsia" w:ascii="宋体" w:hAnsi="宋体" w:eastAsia="宋体" w:cs="宋体"/>
                <w:bCs/>
                <w:color w:val="000000"/>
                <w:spacing w:val="-6"/>
                <w:sz w:val="24"/>
                <w:szCs w:val="24"/>
              </w:rPr>
            </w:pPr>
          </w:p>
        </w:tc>
      </w:tr>
      <w:tr w14:paraId="1444F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7" w:type="dxa"/>
            <w:noWrap w:val="0"/>
            <w:vAlign w:val="center"/>
          </w:tcPr>
          <w:p w14:paraId="3E575AA6">
            <w:pPr>
              <w:spacing w:line="5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协助编制</w:t>
            </w:r>
            <w:r>
              <w:rPr>
                <w:rFonts w:hint="eastAsia" w:ascii="宋体" w:hAnsi="宋体" w:cs="宋体"/>
                <w:color w:val="auto"/>
                <w:sz w:val="24"/>
                <w:szCs w:val="24"/>
                <w:lang w:val="en-US" w:eastAsia="zh-CN"/>
              </w:rPr>
              <w:t>应急</w:t>
            </w:r>
            <w:r>
              <w:rPr>
                <w:rFonts w:hint="eastAsia" w:ascii="宋体" w:hAnsi="宋体" w:eastAsia="宋体" w:cs="宋体"/>
                <w:color w:val="auto"/>
                <w:sz w:val="24"/>
                <w:szCs w:val="24"/>
                <w:lang w:val="en-US" w:eastAsia="zh-CN"/>
              </w:rPr>
              <w:t>预案费用</w:t>
            </w:r>
            <w:r>
              <w:rPr>
                <w:rFonts w:hint="eastAsia" w:ascii="宋体" w:hAnsi="宋体" w:cs="宋体"/>
                <w:color w:val="auto"/>
                <w:sz w:val="24"/>
                <w:szCs w:val="24"/>
                <w:lang w:val="en-US" w:eastAsia="zh-CN"/>
              </w:rPr>
              <w:t>（含应急</w:t>
            </w:r>
            <w:r>
              <w:rPr>
                <w:rFonts w:hint="eastAsia" w:ascii="宋体" w:hAnsi="宋体" w:eastAsia="宋体" w:cs="宋体"/>
                <w:color w:val="auto"/>
                <w:sz w:val="24"/>
                <w:szCs w:val="24"/>
                <w:lang w:val="en-US" w:eastAsia="zh-CN"/>
              </w:rPr>
              <w:t>预案评审费用</w:t>
            </w:r>
            <w:r>
              <w:rPr>
                <w:rFonts w:hint="eastAsia" w:ascii="宋体" w:hAnsi="宋体" w:cs="宋体"/>
                <w:color w:val="auto"/>
                <w:sz w:val="24"/>
                <w:szCs w:val="24"/>
                <w:lang w:val="en-US" w:eastAsia="zh-CN"/>
              </w:rPr>
              <w:t>）</w:t>
            </w:r>
          </w:p>
        </w:tc>
        <w:tc>
          <w:tcPr>
            <w:tcW w:w="2002" w:type="dxa"/>
            <w:noWrap w:val="0"/>
            <w:vAlign w:val="center"/>
          </w:tcPr>
          <w:p w14:paraId="4CAB5352">
            <w:pPr>
              <w:spacing w:line="500" w:lineRule="exact"/>
              <w:jc w:val="center"/>
              <w:rPr>
                <w:rFonts w:hint="eastAsia" w:ascii="宋体" w:hAnsi="宋体" w:eastAsia="宋体" w:cs="宋体"/>
                <w:color w:val="auto"/>
                <w:sz w:val="24"/>
                <w:szCs w:val="24"/>
              </w:rPr>
            </w:pPr>
          </w:p>
        </w:tc>
        <w:tc>
          <w:tcPr>
            <w:tcW w:w="885" w:type="dxa"/>
            <w:noWrap w:val="0"/>
            <w:vAlign w:val="center"/>
          </w:tcPr>
          <w:p w14:paraId="5B1AAED8">
            <w:pPr>
              <w:spacing w:line="500" w:lineRule="exact"/>
              <w:jc w:val="center"/>
              <w:rPr>
                <w:rFonts w:hint="eastAsia" w:ascii="宋体" w:hAnsi="宋体" w:eastAsia="宋体" w:cs="宋体"/>
                <w:color w:val="auto"/>
                <w:sz w:val="24"/>
                <w:szCs w:val="24"/>
                <w:lang w:val="en-US" w:eastAsia="zh-CN"/>
              </w:rPr>
            </w:pPr>
          </w:p>
        </w:tc>
        <w:tc>
          <w:tcPr>
            <w:tcW w:w="1050" w:type="dxa"/>
            <w:noWrap w:val="0"/>
            <w:vAlign w:val="center"/>
          </w:tcPr>
          <w:p w14:paraId="26F42FCF">
            <w:pPr>
              <w:spacing w:line="500" w:lineRule="exact"/>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1</w:t>
            </w:r>
          </w:p>
        </w:tc>
        <w:tc>
          <w:tcPr>
            <w:tcW w:w="1455" w:type="dxa"/>
            <w:noWrap w:val="0"/>
            <w:vAlign w:val="center"/>
          </w:tcPr>
          <w:p w14:paraId="2DDF835E">
            <w:pPr>
              <w:spacing w:line="500" w:lineRule="exact"/>
              <w:rPr>
                <w:rFonts w:hint="eastAsia" w:ascii="宋体" w:hAnsi="宋体" w:eastAsia="宋体" w:cs="宋体"/>
                <w:bCs/>
                <w:color w:val="000000"/>
                <w:spacing w:val="-6"/>
                <w:sz w:val="24"/>
                <w:szCs w:val="24"/>
              </w:rPr>
            </w:pPr>
          </w:p>
        </w:tc>
        <w:tc>
          <w:tcPr>
            <w:tcW w:w="825" w:type="dxa"/>
            <w:noWrap w:val="0"/>
            <w:vAlign w:val="center"/>
          </w:tcPr>
          <w:p w14:paraId="59112C71">
            <w:pPr>
              <w:spacing w:line="500" w:lineRule="exact"/>
              <w:rPr>
                <w:rFonts w:hint="eastAsia" w:ascii="宋体" w:hAnsi="宋体" w:eastAsia="宋体" w:cs="宋体"/>
                <w:bCs/>
                <w:color w:val="000000"/>
                <w:spacing w:val="-6"/>
                <w:sz w:val="24"/>
                <w:szCs w:val="24"/>
              </w:rPr>
            </w:pPr>
          </w:p>
        </w:tc>
      </w:tr>
      <w:tr w14:paraId="1DDF2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7" w:type="dxa"/>
            <w:noWrap w:val="0"/>
            <w:vAlign w:val="center"/>
          </w:tcPr>
          <w:p w14:paraId="77AAC8FF">
            <w:pPr>
              <w:spacing w:line="500" w:lineRule="exact"/>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专家日常服务费用（单价）</w:t>
            </w:r>
          </w:p>
        </w:tc>
        <w:tc>
          <w:tcPr>
            <w:tcW w:w="2002" w:type="dxa"/>
            <w:noWrap w:val="0"/>
            <w:vAlign w:val="center"/>
          </w:tcPr>
          <w:p w14:paraId="100B89B4">
            <w:pPr>
              <w:spacing w:line="500" w:lineRule="exact"/>
              <w:jc w:val="center"/>
              <w:rPr>
                <w:rFonts w:hint="eastAsia" w:ascii="宋体" w:hAnsi="宋体" w:eastAsia="宋体" w:cs="宋体"/>
                <w:color w:val="auto"/>
                <w:sz w:val="24"/>
                <w:szCs w:val="24"/>
              </w:rPr>
            </w:pPr>
          </w:p>
        </w:tc>
        <w:tc>
          <w:tcPr>
            <w:tcW w:w="885" w:type="dxa"/>
            <w:noWrap w:val="0"/>
            <w:vAlign w:val="center"/>
          </w:tcPr>
          <w:p w14:paraId="05E8F3AF">
            <w:pPr>
              <w:spacing w:line="500" w:lineRule="exact"/>
              <w:jc w:val="center"/>
              <w:rPr>
                <w:rFonts w:hint="eastAsia" w:ascii="宋体" w:hAnsi="宋体" w:eastAsia="宋体" w:cs="宋体"/>
                <w:color w:val="auto"/>
                <w:sz w:val="24"/>
                <w:szCs w:val="24"/>
                <w:lang w:val="en-US" w:eastAsia="zh-CN"/>
              </w:rPr>
            </w:pPr>
          </w:p>
        </w:tc>
        <w:tc>
          <w:tcPr>
            <w:tcW w:w="1050" w:type="dxa"/>
            <w:noWrap w:val="0"/>
            <w:vAlign w:val="center"/>
          </w:tcPr>
          <w:p w14:paraId="0EDE00FE">
            <w:pPr>
              <w:spacing w:line="500" w:lineRule="exact"/>
              <w:jc w:val="center"/>
              <w:rPr>
                <w:rFonts w:hint="eastAsia" w:ascii="宋体" w:hAnsi="宋体" w:eastAsia="宋体" w:cs="宋体"/>
                <w:color w:val="auto"/>
                <w:sz w:val="24"/>
                <w:szCs w:val="24"/>
                <w:lang w:val="en-US" w:eastAsia="zh-CN"/>
              </w:rPr>
            </w:pPr>
          </w:p>
        </w:tc>
        <w:tc>
          <w:tcPr>
            <w:tcW w:w="1455" w:type="dxa"/>
            <w:noWrap w:val="0"/>
            <w:vAlign w:val="center"/>
          </w:tcPr>
          <w:p w14:paraId="4FA91139">
            <w:pPr>
              <w:spacing w:line="500" w:lineRule="exact"/>
              <w:rPr>
                <w:rFonts w:hint="eastAsia" w:ascii="宋体" w:hAnsi="宋体" w:eastAsia="宋体" w:cs="宋体"/>
                <w:bCs/>
                <w:color w:val="000000"/>
                <w:spacing w:val="-6"/>
                <w:sz w:val="24"/>
                <w:szCs w:val="24"/>
              </w:rPr>
            </w:pPr>
          </w:p>
        </w:tc>
        <w:tc>
          <w:tcPr>
            <w:tcW w:w="825" w:type="dxa"/>
            <w:noWrap w:val="0"/>
            <w:vAlign w:val="center"/>
          </w:tcPr>
          <w:p w14:paraId="2A335A41">
            <w:pPr>
              <w:spacing w:line="500" w:lineRule="exact"/>
              <w:rPr>
                <w:rFonts w:hint="eastAsia" w:ascii="宋体" w:hAnsi="宋体" w:eastAsia="宋体" w:cs="宋体"/>
                <w:bCs/>
                <w:color w:val="000000"/>
                <w:spacing w:val="-6"/>
                <w:sz w:val="24"/>
                <w:szCs w:val="24"/>
              </w:rPr>
            </w:pPr>
          </w:p>
        </w:tc>
      </w:tr>
      <w:tr w14:paraId="040ED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4" w:type="dxa"/>
            <w:gridSpan w:val="4"/>
            <w:noWrap w:val="0"/>
            <w:vAlign w:val="center"/>
          </w:tcPr>
          <w:p w14:paraId="4304FCB5">
            <w:pPr>
              <w:spacing w:line="5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总计</w:t>
            </w:r>
          </w:p>
        </w:tc>
        <w:tc>
          <w:tcPr>
            <w:tcW w:w="1455" w:type="dxa"/>
            <w:noWrap w:val="0"/>
            <w:vAlign w:val="center"/>
          </w:tcPr>
          <w:p w14:paraId="60EDE8BF">
            <w:pPr>
              <w:spacing w:line="500" w:lineRule="exact"/>
              <w:rPr>
                <w:rFonts w:hint="eastAsia" w:ascii="宋体" w:hAnsi="宋体" w:eastAsia="宋体" w:cs="宋体"/>
                <w:bCs/>
                <w:color w:val="000000"/>
                <w:spacing w:val="-6"/>
                <w:sz w:val="24"/>
                <w:szCs w:val="24"/>
              </w:rPr>
            </w:pPr>
          </w:p>
        </w:tc>
        <w:tc>
          <w:tcPr>
            <w:tcW w:w="825" w:type="dxa"/>
            <w:noWrap w:val="0"/>
            <w:vAlign w:val="center"/>
          </w:tcPr>
          <w:p w14:paraId="5545F233">
            <w:pPr>
              <w:spacing w:line="500" w:lineRule="exact"/>
              <w:rPr>
                <w:rFonts w:hint="eastAsia" w:ascii="宋体" w:hAnsi="宋体" w:eastAsia="宋体" w:cs="宋体"/>
                <w:bCs/>
                <w:color w:val="000000"/>
                <w:spacing w:val="-6"/>
                <w:sz w:val="24"/>
                <w:szCs w:val="24"/>
              </w:rPr>
            </w:pPr>
          </w:p>
        </w:tc>
      </w:tr>
      <w:tr w14:paraId="4994D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24" w:type="dxa"/>
            <w:gridSpan w:val="6"/>
            <w:noWrap w:val="0"/>
            <w:vAlign w:val="center"/>
          </w:tcPr>
          <w:p w14:paraId="20280DCE">
            <w:pPr>
              <w:spacing w:line="500" w:lineRule="exact"/>
              <w:rPr>
                <w:rFonts w:hint="eastAsia" w:ascii="宋体" w:hAnsi="宋体" w:eastAsia="宋体" w:cs="宋体"/>
                <w:bCs/>
                <w:spacing w:val="-6"/>
                <w:sz w:val="24"/>
                <w:szCs w:val="24"/>
              </w:rPr>
            </w:pPr>
            <w:r>
              <w:rPr>
                <w:rFonts w:hint="eastAsia" w:ascii="宋体" w:hAnsi="宋体" w:eastAsia="宋体" w:cs="宋体"/>
                <w:bCs/>
                <w:spacing w:val="-6"/>
                <w:sz w:val="24"/>
                <w:szCs w:val="24"/>
              </w:rPr>
              <w:t>支付方式：现汇</w:t>
            </w:r>
          </w:p>
        </w:tc>
      </w:tr>
      <w:tr w14:paraId="4E533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24" w:type="dxa"/>
            <w:gridSpan w:val="6"/>
            <w:noWrap w:val="0"/>
            <w:vAlign w:val="center"/>
          </w:tcPr>
          <w:p w14:paraId="05ED5D27">
            <w:pPr>
              <w:spacing w:line="500" w:lineRule="exact"/>
              <w:rPr>
                <w:rFonts w:hint="eastAsia" w:ascii="宋体" w:hAnsi="宋体" w:eastAsia="宋体" w:cs="宋体"/>
                <w:color w:val="000000"/>
                <w:sz w:val="24"/>
                <w:szCs w:val="24"/>
              </w:rPr>
            </w:pPr>
            <w:r>
              <w:rPr>
                <w:rFonts w:hint="eastAsia" w:ascii="宋体" w:hAnsi="宋体" w:eastAsia="宋体" w:cs="宋体"/>
                <w:color w:val="000000"/>
                <w:sz w:val="24"/>
                <w:szCs w:val="24"/>
              </w:rPr>
              <w:t>1.备注：至少一名专家必须具备化工专业；</w:t>
            </w:r>
          </w:p>
          <w:p w14:paraId="0788B920">
            <w:pPr>
              <w:spacing w:line="500" w:lineRule="exact"/>
              <w:rPr>
                <w:rFonts w:hint="eastAsia" w:ascii="宋体" w:hAnsi="宋体" w:eastAsia="宋体" w:cs="宋体"/>
                <w:color w:val="000000"/>
                <w:sz w:val="24"/>
                <w:szCs w:val="24"/>
              </w:rPr>
            </w:pPr>
            <w:r>
              <w:rPr>
                <w:rFonts w:hint="eastAsia" w:ascii="宋体" w:hAnsi="宋体" w:eastAsia="宋体" w:cs="宋体"/>
                <w:color w:val="000000"/>
                <w:sz w:val="24"/>
                <w:szCs w:val="24"/>
              </w:rPr>
              <w:t>2.费用包含专家费、管理费、交通费等所有费用；</w:t>
            </w:r>
          </w:p>
          <w:p w14:paraId="2FFE2D5A">
            <w:pPr>
              <w:spacing w:line="500" w:lineRule="exact"/>
              <w:rPr>
                <w:rFonts w:hint="eastAsia" w:ascii="宋体" w:hAnsi="宋体" w:eastAsia="宋体" w:cs="宋体"/>
                <w:color w:val="000000"/>
                <w:sz w:val="24"/>
                <w:szCs w:val="24"/>
              </w:rPr>
            </w:pPr>
            <w:r>
              <w:rPr>
                <w:rFonts w:hint="eastAsia" w:ascii="宋体" w:hAnsi="宋体" w:eastAsia="宋体" w:cs="宋体"/>
                <w:color w:val="000000"/>
                <w:sz w:val="24"/>
                <w:szCs w:val="24"/>
              </w:rPr>
              <w:t>3.总次数为预估量，按实际结算。</w:t>
            </w:r>
          </w:p>
        </w:tc>
      </w:tr>
    </w:tbl>
    <w:p w14:paraId="164AB899">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_GB2312" w:hAnsi="仿宋_GB2312" w:eastAsia="仿宋_GB2312" w:cs="仿宋_GB2312"/>
          <w:bCs/>
          <w:color w:val="000000"/>
          <w:spacing w:val="-6"/>
          <w:sz w:val="34"/>
          <w:szCs w:val="34"/>
        </w:rPr>
      </w:pPr>
    </w:p>
    <w:p w14:paraId="5989D2B5">
      <w:pPr>
        <w:keepNext w:val="0"/>
        <w:keepLines w:val="0"/>
        <w:pageBreakBefore w:val="0"/>
        <w:widowControl w:val="0"/>
        <w:kinsoku/>
        <w:wordWrap w:val="0"/>
        <w:overflowPunct/>
        <w:topLinePunct w:val="0"/>
        <w:autoSpaceDE/>
        <w:autoSpaceDN/>
        <w:bidi w:val="0"/>
        <w:adjustRightInd w:val="0"/>
        <w:snapToGrid w:val="0"/>
        <w:spacing w:line="540" w:lineRule="exact"/>
        <w:ind w:right="0" w:rightChars="0" w:firstLine="640" w:firstLineChars="200"/>
        <w:jc w:val="left"/>
        <w:textAlignment w:val="auto"/>
        <w:outlineLvl w:val="9"/>
        <w:rPr>
          <w:rFonts w:ascii="仿宋_GB2312" w:hAnsi="仿宋_GB2312" w:eastAsia="仿宋_GB2312" w:cs="仿宋_GB2312"/>
          <w:color w:val="auto"/>
          <w:kern w:val="1"/>
          <w:sz w:val="32"/>
          <w:szCs w:val="32"/>
        </w:rPr>
      </w:pPr>
      <w:r>
        <w:rPr>
          <w:rFonts w:hint="eastAsia" w:ascii="仿宋_GB2312" w:hAnsi="仿宋_GB2312" w:eastAsia="仿宋_GB2312" w:cs="仿宋_GB2312"/>
          <w:color w:val="auto"/>
          <w:kern w:val="1"/>
          <w:sz w:val="32"/>
          <w:szCs w:val="32"/>
          <w:lang w:val="en-US" w:eastAsia="zh-CN"/>
        </w:rPr>
        <w:t>1.</w:t>
      </w:r>
      <w:r>
        <w:rPr>
          <w:rFonts w:hint="eastAsia" w:ascii="仿宋_GB2312" w:hAnsi="仿宋_GB2312" w:eastAsia="仿宋_GB2312" w:cs="仿宋_GB2312"/>
          <w:color w:val="auto"/>
          <w:kern w:val="1"/>
          <w:sz w:val="32"/>
          <w:szCs w:val="32"/>
        </w:rPr>
        <w:t>我方保证遵守</w:t>
      </w:r>
      <w:r>
        <w:rPr>
          <w:rFonts w:hint="eastAsia" w:ascii="仿宋_GB2312" w:hAnsi="仿宋_GB2312" w:eastAsia="仿宋_GB2312" w:cs="仿宋_GB2312"/>
          <w:color w:val="auto"/>
          <w:kern w:val="1"/>
          <w:sz w:val="32"/>
          <w:szCs w:val="32"/>
          <w:lang w:val="en-US" w:eastAsia="zh-CN"/>
        </w:rPr>
        <w:t>采购</w:t>
      </w:r>
      <w:r>
        <w:rPr>
          <w:rFonts w:hint="eastAsia" w:ascii="仿宋_GB2312" w:hAnsi="仿宋_GB2312" w:eastAsia="仿宋_GB2312" w:cs="仿宋_GB2312"/>
          <w:color w:val="auto"/>
          <w:kern w:val="1"/>
          <w:sz w:val="32"/>
          <w:szCs w:val="32"/>
        </w:rPr>
        <w:t>文件中的全部规定；</w:t>
      </w:r>
    </w:p>
    <w:p w14:paraId="3A75AB1A">
      <w:pPr>
        <w:keepNext w:val="0"/>
        <w:keepLines w:val="0"/>
        <w:pageBreakBefore w:val="0"/>
        <w:widowControl w:val="0"/>
        <w:kinsoku/>
        <w:wordWrap w:val="0"/>
        <w:overflowPunct/>
        <w:topLinePunct w:val="0"/>
        <w:autoSpaceDE/>
        <w:autoSpaceDN/>
        <w:bidi w:val="0"/>
        <w:adjustRightInd w:val="0"/>
        <w:snapToGrid w:val="0"/>
        <w:spacing w:line="540" w:lineRule="exact"/>
        <w:ind w:left="0" w:leftChars="0" w:right="0" w:rightChars="0" w:firstLine="640" w:firstLineChars="200"/>
        <w:jc w:val="left"/>
        <w:textAlignment w:val="auto"/>
        <w:outlineLvl w:val="9"/>
        <w:rPr>
          <w:rFonts w:ascii="仿宋_GB2312" w:hAnsi="仿宋_GB2312" w:eastAsia="仿宋_GB2312" w:cs="仿宋_GB2312"/>
          <w:bCs/>
          <w:color w:val="auto"/>
          <w:kern w:val="1"/>
          <w:sz w:val="32"/>
          <w:szCs w:val="32"/>
        </w:rPr>
      </w:pPr>
      <w:r>
        <w:rPr>
          <w:rFonts w:hint="eastAsia" w:ascii="仿宋_GB2312" w:hAnsi="仿宋_GB2312" w:eastAsia="仿宋_GB2312" w:cs="仿宋_GB2312"/>
          <w:bCs/>
          <w:color w:val="auto"/>
          <w:kern w:val="1"/>
          <w:sz w:val="32"/>
          <w:szCs w:val="32"/>
          <w:lang w:val="en-US" w:eastAsia="zh-CN"/>
        </w:rPr>
        <w:t>2.</w:t>
      </w:r>
      <w:r>
        <w:rPr>
          <w:rFonts w:hint="eastAsia" w:ascii="仿宋_GB2312" w:hAnsi="仿宋_GB2312" w:eastAsia="仿宋_GB2312" w:cs="仿宋_GB2312"/>
          <w:bCs/>
          <w:color w:val="auto"/>
          <w:kern w:val="1"/>
          <w:sz w:val="32"/>
          <w:szCs w:val="32"/>
        </w:rPr>
        <w:t>我方保证忠实地执行双方签订的合同,并承担合同规定的责任义务；</w:t>
      </w:r>
    </w:p>
    <w:p w14:paraId="4B1A12FB">
      <w:pPr>
        <w:keepNext w:val="0"/>
        <w:keepLines w:val="0"/>
        <w:pageBreakBefore w:val="0"/>
        <w:widowControl w:val="0"/>
        <w:kinsoku/>
        <w:wordWrap w:val="0"/>
        <w:overflowPunct/>
        <w:topLinePunct w:val="0"/>
        <w:autoSpaceDE/>
        <w:autoSpaceDN/>
        <w:bidi w:val="0"/>
        <w:adjustRightInd w:val="0"/>
        <w:snapToGrid w:val="0"/>
        <w:spacing w:line="540" w:lineRule="exact"/>
        <w:ind w:left="0" w:leftChars="0" w:right="0" w:rightChars="0" w:firstLine="640" w:firstLineChars="200"/>
        <w:jc w:val="left"/>
        <w:textAlignment w:val="auto"/>
        <w:outlineLvl w:val="9"/>
        <w:rPr>
          <w:rFonts w:ascii="仿宋_GB2312" w:hAnsi="仿宋_GB2312" w:eastAsia="仿宋_GB2312" w:cs="仿宋_GB2312"/>
          <w:bCs/>
          <w:color w:val="auto"/>
          <w:kern w:val="1"/>
          <w:sz w:val="32"/>
          <w:szCs w:val="32"/>
        </w:rPr>
      </w:pPr>
      <w:r>
        <w:rPr>
          <w:rFonts w:hint="eastAsia" w:ascii="仿宋_GB2312" w:hAnsi="仿宋_GB2312" w:eastAsia="仿宋_GB2312" w:cs="仿宋_GB2312"/>
          <w:color w:val="auto"/>
          <w:sz w:val="32"/>
          <w:szCs w:val="32"/>
          <w:shd w:val="clear" w:color="auto" w:fill="FFFFFF"/>
          <w:lang w:val="en-US" w:eastAsia="zh-CN"/>
        </w:rPr>
        <w:t>3.</w:t>
      </w:r>
      <w:r>
        <w:rPr>
          <w:rFonts w:hint="eastAsia" w:ascii="仿宋_GB2312" w:hAnsi="仿宋_GB2312" w:eastAsia="仿宋_GB2312" w:cs="仿宋_GB2312"/>
          <w:color w:val="auto"/>
          <w:sz w:val="32"/>
          <w:szCs w:val="32"/>
          <w:shd w:val="clear" w:color="auto" w:fill="FFFFFF"/>
        </w:rPr>
        <w:t>我方已详细审查全部</w:t>
      </w:r>
      <w:r>
        <w:rPr>
          <w:rFonts w:hint="eastAsia" w:ascii="仿宋_GB2312" w:hAnsi="仿宋_GB2312" w:eastAsia="仿宋_GB2312" w:cs="仿宋_GB2312"/>
          <w:color w:val="auto"/>
          <w:sz w:val="32"/>
          <w:szCs w:val="32"/>
          <w:shd w:val="clear" w:color="auto" w:fill="FFFFFF"/>
          <w:lang w:val="en-US" w:eastAsia="zh-CN"/>
        </w:rPr>
        <w:t>采购</w:t>
      </w:r>
      <w:r>
        <w:rPr>
          <w:rFonts w:hint="eastAsia" w:ascii="仿宋_GB2312" w:hAnsi="仿宋_GB2312" w:eastAsia="仿宋_GB2312" w:cs="仿宋_GB2312"/>
          <w:color w:val="auto"/>
          <w:sz w:val="32"/>
          <w:szCs w:val="32"/>
          <w:shd w:val="clear" w:color="auto" w:fill="FFFFFF"/>
        </w:rPr>
        <w:t>文件，包括</w:t>
      </w:r>
      <w:r>
        <w:rPr>
          <w:rFonts w:hint="eastAsia" w:ascii="仿宋_GB2312" w:hAnsi="仿宋_GB2312" w:eastAsia="仿宋_GB2312" w:cs="仿宋_GB2312"/>
          <w:color w:val="auto"/>
          <w:sz w:val="32"/>
          <w:szCs w:val="32"/>
          <w:shd w:val="clear" w:color="auto" w:fill="FFFFFF"/>
          <w:lang w:val="en-US" w:eastAsia="zh-CN"/>
        </w:rPr>
        <w:t>采购</w:t>
      </w:r>
      <w:r>
        <w:rPr>
          <w:rFonts w:hint="eastAsia" w:ascii="仿宋_GB2312" w:hAnsi="仿宋_GB2312" w:eastAsia="仿宋_GB2312" w:cs="仿宋_GB2312"/>
          <w:color w:val="auto"/>
          <w:sz w:val="32"/>
          <w:szCs w:val="32"/>
          <w:shd w:val="clear" w:color="auto" w:fill="FFFFFF"/>
        </w:rPr>
        <w:t>文件的补充文件（如有）。我方完全理解并同意放弃对这方面有不明及误解的权力，同时完全接受</w:t>
      </w:r>
      <w:r>
        <w:rPr>
          <w:rFonts w:hint="eastAsia" w:ascii="仿宋_GB2312" w:hAnsi="仿宋_GB2312" w:eastAsia="仿宋_GB2312" w:cs="仿宋_GB2312"/>
          <w:color w:val="auto"/>
          <w:sz w:val="32"/>
          <w:szCs w:val="32"/>
          <w:shd w:val="clear" w:color="auto" w:fill="FFFFFF"/>
          <w:lang w:val="en-US" w:eastAsia="zh-CN"/>
        </w:rPr>
        <w:t>采购</w:t>
      </w:r>
      <w:r>
        <w:rPr>
          <w:rFonts w:hint="eastAsia" w:ascii="仿宋_GB2312" w:hAnsi="仿宋_GB2312" w:eastAsia="仿宋_GB2312" w:cs="仿宋_GB2312"/>
          <w:color w:val="auto"/>
          <w:sz w:val="32"/>
          <w:szCs w:val="32"/>
          <w:shd w:val="clear" w:color="auto" w:fill="FFFFFF"/>
        </w:rPr>
        <w:t>文件所有条款。如果</w:t>
      </w:r>
      <w:r>
        <w:rPr>
          <w:rFonts w:hint="eastAsia" w:ascii="仿宋_GB2312" w:hAnsi="仿宋_GB2312" w:eastAsia="仿宋_GB2312" w:cs="仿宋_GB2312"/>
          <w:color w:val="auto"/>
          <w:sz w:val="32"/>
          <w:szCs w:val="32"/>
          <w:shd w:val="clear" w:color="auto" w:fill="FFFFFF"/>
          <w:lang w:val="en-US" w:eastAsia="zh-CN"/>
        </w:rPr>
        <w:t>采购</w:t>
      </w:r>
      <w:r>
        <w:rPr>
          <w:rFonts w:hint="eastAsia" w:ascii="仿宋_GB2312" w:hAnsi="仿宋_GB2312" w:eastAsia="仿宋_GB2312" w:cs="仿宋_GB2312"/>
          <w:color w:val="auto"/>
          <w:sz w:val="32"/>
          <w:szCs w:val="32"/>
          <w:shd w:val="clear" w:color="auto" w:fill="FFFFFF"/>
        </w:rPr>
        <w:t>文件有相互矛盾之处，我方同意按</w:t>
      </w:r>
      <w:r>
        <w:rPr>
          <w:rFonts w:hint="eastAsia" w:ascii="仿宋_GB2312" w:hAnsi="仿宋_GB2312" w:eastAsia="仿宋_GB2312" w:cs="仿宋_GB2312"/>
          <w:color w:val="auto"/>
          <w:sz w:val="32"/>
          <w:szCs w:val="32"/>
          <w:shd w:val="clear" w:color="auto" w:fill="FFFFFF"/>
          <w:lang w:val="en-US" w:eastAsia="zh-CN"/>
        </w:rPr>
        <w:t>采购</w:t>
      </w:r>
      <w:r>
        <w:rPr>
          <w:rFonts w:hint="eastAsia" w:ascii="仿宋_GB2312" w:hAnsi="仿宋_GB2312" w:eastAsia="仿宋_GB2312" w:cs="仿宋_GB2312"/>
          <w:color w:val="auto"/>
          <w:sz w:val="32"/>
          <w:szCs w:val="32"/>
          <w:shd w:val="clear" w:color="auto" w:fill="FFFFFF"/>
        </w:rPr>
        <w:t>方的解释处理；</w:t>
      </w:r>
    </w:p>
    <w:p w14:paraId="2D3A6A6C">
      <w:pPr>
        <w:keepNext w:val="0"/>
        <w:keepLines w:val="0"/>
        <w:pageBreakBefore w:val="0"/>
        <w:widowControl w:val="0"/>
        <w:kinsoku/>
        <w:wordWrap w:val="0"/>
        <w:overflowPunct/>
        <w:topLinePunct w:val="0"/>
        <w:autoSpaceDE/>
        <w:autoSpaceDN/>
        <w:bidi w:val="0"/>
        <w:adjustRightInd w:val="0"/>
        <w:snapToGrid w:val="0"/>
        <w:spacing w:line="54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bCs/>
          <w:color w:val="auto"/>
          <w:kern w:val="1"/>
          <w:sz w:val="32"/>
          <w:szCs w:val="32"/>
          <w:lang w:val="en-US" w:eastAsia="zh-CN"/>
        </w:rPr>
        <w:t>4.</w:t>
      </w:r>
      <w:r>
        <w:rPr>
          <w:rFonts w:hint="eastAsia" w:ascii="仿宋_GB2312" w:hAnsi="仿宋_GB2312" w:eastAsia="仿宋_GB2312" w:cs="仿宋_GB2312"/>
          <w:bCs/>
          <w:color w:val="auto"/>
          <w:kern w:val="1"/>
          <w:sz w:val="32"/>
          <w:szCs w:val="32"/>
        </w:rPr>
        <w:t>愿意向贵方提供任何与该项</w:t>
      </w:r>
      <w:r>
        <w:rPr>
          <w:rFonts w:hint="eastAsia" w:ascii="仿宋_GB2312" w:hAnsi="仿宋_GB2312" w:eastAsia="仿宋_GB2312" w:cs="仿宋_GB2312"/>
          <w:bCs/>
          <w:color w:val="auto"/>
          <w:kern w:val="1"/>
          <w:sz w:val="32"/>
          <w:szCs w:val="32"/>
          <w:lang w:val="en-US" w:eastAsia="zh-CN"/>
        </w:rPr>
        <w:t>采购</w:t>
      </w:r>
      <w:r>
        <w:rPr>
          <w:rFonts w:hint="eastAsia" w:ascii="仿宋_GB2312" w:hAnsi="仿宋_GB2312" w:eastAsia="仿宋_GB2312" w:cs="仿宋_GB2312"/>
          <w:bCs/>
          <w:color w:val="auto"/>
          <w:kern w:val="1"/>
          <w:sz w:val="32"/>
          <w:szCs w:val="32"/>
        </w:rPr>
        <w:t>有关的数据、情况和技术资料，</w:t>
      </w:r>
      <w:r>
        <w:rPr>
          <w:rFonts w:hint="eastAsia" w:ascii="仿宋_GB2312" w:hAnsi="仿宋_GB2312" w:eastAsia="仿宋_GB2312" w:cs="仿宋_GB2312"/>
          <w:color w:val="auto"/>
          <w:sz w:val="32"/>
          <w:szCs w:val="32"/>
          <w:shd w:val="clear" w:color="auto" w:fill="FFFFFF"/>
        </w:rPr>
        <w:t>完全理解贵方不一定接受最低价的报价或收到的任何报价。</w:t>
      </w:r>
    </w:p>
    <w:p w14:paraId="7C3610F1">
      <w:pPr>
        <w:pStyle w:val="4"/>
        <w:keepNext w:val="0"/>
        <w:keepLines w:val="0"/>
        <w:pageBreakBefore w:val="0"/>
        <w:widowControl w:val="0"/>
        <w:kinsoku/>
        <w:overflowPunct/>
        <w:topLinePunct w:val="0"/>
        <w:autoSpaceDE/>
        <w:autoSpaceDN/>
        <w:bidi w:val="0"/>
        <w:adjustRightInd w:val="0"/>
        <w:snapToGrid w:val="0"/>
        <w:spacing w:after="0" w:line="540" w:lineRule="exact"/>
        <w:ind w:left="0" w:leftChars="0" w:right="0" w:rightChars="0" w:firstLine="640" w:firstLineChars="200"/>
        <w:textAlignment w:val="auto"/>
        <w:outlineLvl w:val="9"/>
        <w:rPr>
          <w:rFonts w:hint="eastAsia" w:ascii="仿宋_GB2312" w:hAnsi="仿宋_GB2312" w:eastAsia="仿宋_GB2312" w:cs="仿宋_GB2312"/>
          <w:color w:val="auto"/>
          <w:kern w:val="1"/>
          <w:sz w:val="32"/>
          <w:szCs w:val="32"/>
          <w:u w:val="single"/>
        </w:rPr>
      </w:pPr>
      <w:r>
        <w:rPr>
          <w:rFonts w:hint="eastAsia" w:ascii="仿宋_GB2312" w:hAnsi="仿宋_GB2312" w:eastAsia="仿宋_GB2312" w:cs="仿宋_GB2312"/>
          <w:color w:val="auto"/>
          <w:sz w:val="32"/>
          <w:szCs w:val="32"/>
          <w:shd w:val="clear" w:color="auto" w:fill="FFFFFF"/>
          <w:lang w:val="en-US" w:eastAsia="zh-CN"/>
        </w:rPr>
        <w:t>5.</w:t>
      </w:r>
      <w:r>
        <w:rPr>
          <w:rFonts w:hint="eastAsia" w:ascii="仿宋_GB2312" w:hAnsi="仿宋_GB2312" w:eastAsia="仿宋_GB2312" w:cs="仿宋_GB2312"/>
          <w:bCs/>
          <w:color w:val="auto"/>
          <w:kern w:val="1"/>
          <w:sz w:val="32"/>
          <w:szCs w:val="32"/>
        </w:rPr>
        <w:t>对</w:t>
      </w:r>
      <w:r>
        <w:rPr>
          <w:rFonts w:hint="eastAsia" w:ascii="仿宋_GB2312" w:hAnsi="仿宋_GB2312" w:eastAsia="仿宋_GB2312" w:cs="仿宋_GB2312"/>
          <w:color w:val="auto"/>
          <w:sz w:val="32"/>
          <w:szCs w:val="32"/>
          <w:shd w:val="clear" w:color="auto" w:fill="FFFFFF"/>
        </w:rPr>
        <w:t>自主公开</w:t>
      </w:r>
      <w:r>
        <w:rPr>
          <w:rFonts w:hint="eastAsia" w:ascii="仿宋_GB2312" w:hAnsi="仿宋_GB2312" w:eastAsia="仿宋_GB2312" w:cs="仿宋_GB2312"/>
          <w:color w:val="auto"/>
          <w:sz w:val="32"/>
          <w:szCs w:val="32"/>
          <w:shd w:val="clear" w:color="auto" w:fill="FFFFFF"/>
          <w:lang w:val="en-US" w:eastAsia="zh-CN"/>
        </w:rPr>
        <w:t>采购</w:t>
      </w:r>
      <w:r>
        <w:rPr>
          <w:rFonts w:hint="eastAsia" w:ascii="仿宋_GB2312" w:hAnsi="仿宋_GB2312" w:eastAsia="仿宋_GB2312" w:cs="仿宋_GB2312"/>
          <w:color w:val="auto"/>
          <w:sz w:val="32"/>
          <w:szCs w:val="32"/>
          <w:shd w:val="clear" w:color="auto" w:fill="FFFFFF"/>
        </w:rPr>
        <w:t>文件</w:t>
      </w:r>
      <w:r>
        <w:rPr>
          <w:rFonts w:hint="eastAsia" w:ascii="仿宋_GB2312" w:hAnsi="仿宋_GB2312" w:eastAsia="仿宋_GB2312" w:cs="仿宋_GB2312"/>
          <w:bCs/>
          <w:color w:val="auto"/>
          <w:kern w:val="1"/>
          <w:sz w:val="32"/>
          <w:szCs w:val="32"/>
        </w:rPr>
        <w:t>的不接受项：</w:t>
      </w:r>
      <w:r>
        <w:rPr>
          <w:rFonts w:hint="eastAsia" w:ascii="仿宋_GB2312" w:hAnsi="仿宋_GB2312" w:eastAsia="仿宋_GB2312" w:cs="仿宋_GB2312"/>
          <w:color w:val="auto"/>
          <w:kern w:val="1"/>
          <w:sz w:val="32"/>
          <w:szCs w:val="32"/>
          <w:u w:val="single"/>
        </w:rPr>
        <w:t xml:space="preserve">                                       </w:t>
      </w:r>
    </w:p>
    <w:p w14:paraId="21B65557">
      <w:pPr>
        <w:pStyle w:val="4"/>
        <w:keepNext w:val="0"/>
        <w:keepLines w:val="0"/>
        <w:pageBreakBefore w:val="0"/>
        <w:widowControl w:val="0"/>
        <w:kinsoku/>
        <w:overflowPunct/>
        <w:topLinePunct w:val="0"/>
        <w:autoSpaceDE/>
        <w:autoSpaceDN/>
        <w:bidi w:val="0"/>
        <w:adjustRightInd w:val="0"/>
        <w:snapToGrid w:val="0"/>
        <w:spacing w:after="0" w:line="540" w:lineRule="exact"/>
        <w:ind w:left="0" w:leftChars="0" w:right="0" w:rightChars="0"/>
        <w:textAlignment w:val="auto"/>
        <w:outlineLvl w:val="9"/>
        <w:rPr>
          <w:rFonts w:hint="eastAsia" w:ascii="仿宋_GB2312" w:hAnsi="仿宋_GB2312" w:eastAsia="仿宋_GB2312" w:cs="仿宋_GB2312"/>
          <w:color w:val="auto"/>
          <w:kern w:val="1"/>
          <w:sz w:val="32"/>
          <w:szCs w:val="32"/>
          <w:u w:val="single"/>
        </w:rPr>
      </w:pPr>
      <w:r>
        <w:rPr>
          <w:rFonts w:hint="eastAsia" w:ascii="仿宋_GB2312" w:hAnsi="仿宋_GB2312" w:eastAsia="仿宋_GB2312" w:cs="仿宋_GB2312"/>
          <w:color w:val="auto"/>
          <w:kern w:val="1"/>
          <w:sz w:val="32"/>
          <w:szCs w:val="32"/>
          <w:u w:val="single"/>
        </w:rPr>
        <w:t xml:space="preserve">                                                       </w:t>
      </w:r>
    </w:p>
    <w:p w14:paraId="63C766AF">
      <w:pPr>
        <w:keepNext w:val="0"/>
        <w:keepLines w:val="0"/>
        <w:pageBreakBefore w:val="0"/>
        <w:widowControl w:val="0"/>
        <w:kinsoku/>
        <w:overflowPunct/>
        <w:topLinePunct w:val="0"/>
        <w:autoSpaceDE/>
        <w:autoSpaceDN/>
        <w:bidi w:val="0"/>
        <w:spacing w:line="540" w:lineRule="exact"/>
        <w:ind w:firstLine="640" w:firstLineChars="200"/>
        <w:jc w:val="left"/>
        <w:textAlignment w:val="auto"/>
        <w:rPr>
          <w:rFonts w:hint="eastAsia" w:ascii="仿宋_GB2312" w:hAnsi="仿宋_GB2312" w:eastAsia="仿宋_GB2312" w:cs="仿宋_GB2312"/>
          <w:bCs/>
          <w:color w:val="auto"/>
          <w:kern w:val="1"/>
          <w:sz w:val="32"/>
          <w:szCs w:val="32"/>
        </w:rPr>
      </w:pPr>
      <w:r>
        <w:rPr>
          <w:rFonts w:hint="eastAsia" w:ascii="仿宋_GB2312" w:hAnsi="仿宋_GB2312" w:eastAsia="仿宋_GB2312" w:cs="仿宋_GB2312"/>
          <w:bCs/>
          <w:color w:val="auto"/>
          <w:kern w:val="1"/>
          <w:sz w:val="32"/>
          <w:szCs w:val="32"/>
        </w:rPr>
        <w:t>我公司郑重承诺：</w:t>
      </w:r>
      <w:r>
        <w:rPr>
          <w:rFonts w:hint="eastAsia" w:ascii="仿宋_GB2312" w:hAnsi="仿宋_GB2312" w:eastAsia="仿宋_GB2312" w:cs="仿宋_GB2312"/>
          <w:color w:val="auto"/>
          <w:kern w:val="1"/>
          <w:sz w:val="32"/>
          <w:szCs w:val="32"/>
        </w:rPr>
        <w:t>遵守</w:t>
      </w:r>
      <w:r>
        <w:rPr>
          <w:rFonts w:hint="eastAsia" w:ascii="仿宋_GB2312" w:hAnsi="仿宋_GB2312" w:eastAsia="仿宋_GB2312" w:cs="仿宋_GB2312"/>
          <w:bCs/>
          <w:color w:val="auto"/>
          <w:kern w:val="1"/>
          <w:sz w:val="32"/>
          <w:szCs w:val="32"/>
        </w:rPr>
        <w:t>江苏索普</w:t>
      </w:r>
      <w:r>
        <w:rPr>
          <w:rFonts w:hint="eastAsia" w:ascii="仿宋_GB2312" w:hAnsi="仿宋_GB2312" w:eastAsia="仿宋_GB2312" w:cs="仿宋_GB2312"/>
          <w:bCs/>
          <w:color w:val="auto"/>
          <w:kern w:val="1"/>
          <w:sz w:val="32"/>
          <w:szCs w:val="32"/>
          <w:lang w:eastAsia="zh-CN"/>
        </w:rPr>
        <w:t>（</w:t>
      </w:r>
      <w:r>
        <w:rPr>
          <w:rFonts w:hint="eastAsia" w:ascii="仿宋_GB2312" w:hAnsi="仿宋_GB2312" w:eastAsia="仿宋_GB2312" w:cs="仿宋_GB2312"/>
          <w:bCs/>
          <w:color w:val="auto"/>
          <w:kern w:val="1"/>
          <w:sz w:val="32"/>
          <w:szCs w:val="32"/>
          <w:lang w:val="en-US" w:eastAsia="zh-CN"/>
        </w:rPr>
        <w:t>集团</w:t>
      </w:r>
      <w:r>
        <w:rPr>
          <w:rFonts w:hint="eastAsia" w:ascii="仿宋_GB2312" w:hAnsi="仿宋_GB2312" w:eastAsia="仿宋_GB2312" w:cs="仿宋_GB2312"/>
          <w:bCs/>
          <w:color w:val="auto"/>
          <w:kern w:val="1"/>
          <w:sz w:val="32"/>
          <w:szCs w:val="32"/>
          <w:lang w:eastAsia="zh-CN"/>
        </w:rPr>
        <w:t>）</w:t>
      </w:r>
      <w:r>
        <w:rPr>
          <w:rFonts w:hint="eastAsia" w:ascii="仿宋_GB2312" w:hAnsi="仿宋_GB2312" w:eastAsia="仿宋_GB2312" w:cs="仿宋_GB2312"/>
          <w:bCs/>
          <w:color w:val="auto"/>
          <w:kern w:val="1"/>
          <w:sz w:val="32"/>
          <w:szCs w:val="32"/>
        </w:rPr>
        <w:t>有限公司</w:t>
      </w:r>
      <w:r>
        <w:rPr>
          <w:rFonts w:hint="eastAsia" w:ascii="仿宋_GB2312" w:hAnsi="仿宋_GB2312" w:eastAsia="仿宋_GB2312" w:cs="仿宋_GB2312"/>
          <w:color w:val="auto"/>
          <w:sz w:val="32"/>
          <w:szCs w:val="32"/>
          <w:shd w:val="clear" w:color="auto" w:fill="FFFFFF"/>
          <w:lang w:val="en-US" w:eastAsia="zh-CN"/>
        </w:rPr>
        <w:t>采购文件</w:t>
      </w:r>
      <w:r>
        <w:rPr>
          <w:rFonts w:hint="eastAsia" w:ascii="仿宋_GB2312" w:hAnsi="仿宋_GB2312" w:eastAsia="仿宋_GB2312" w:cs="仿宋_GB2312"/>
          <w:color w:val="auto"/>
          <w:kern w:val="1"/>
          <w:sz w:val="32"/>
          <w:szCs w:val="32"/>
        </w:rPr>
        <w:t>中的全部规定，</w:t>
      </w:r>
      <w:r>
        <w:rPr>
          <w:rFonts w:hint="eastAsia" w:ascii="仿宋_GB2312" w:hAnsi="仿宋_GB2312" w:eastAsia="仿宋_GB2312" w:cs="仿宋_GB2312"/>
          <w:bCs/>
          <w:color w:val="auto"/>
          <w:kern w:val="1"/>
          <w:sz w:val="32"/>
          <w:szCs w:val="32"/>
          <w:lang w:val="en-US" w:eastAsia="zh-CN"/>
        </w:rPr>
        <w:t>评定</w:t>
      </w:r>
      <w:r>
        <w:rPr>
          <w:rFonts w:hint="eastAsia" w:ascii="仿宋_GB2312" w:hAnsi="仿宋_GB2312" w:eastAsia="仿宋_GB2312" w:cs="仿宋_GB2312"/>
          <w:bCs/>
          <w:color w:val="auto"/>
          <w:kern w:val="1"/>
          <w:sz w:val="32"/>
          <w:szCs w:val="32"/>
        </w:rPr>
        <w:t>后及时签订合同,并承担合同规定的责任和义务；在报价过程中将严格遵守江苏索普</w:t>
      </w:r>
      <w:r>
        <w:rPr>
          <w:rFonts w:hint="eastAsia" w:ascii="仿宋_GB2312" w:hAnsi="仿宋_GB2312" w:eastAsia="仿宋_GB2312" w:cs="仿宋_GB2312"/>
          <w:bCs/>
          <w:color w:val="auto"/>
          <w:kern w:val="1"/>
          <w:sz w:val="32"/>
          <w:szCs w:val="32"/>
          <w:lang w:eastAsia="zh-CN"/>
        </w:rPr>
        <w:t>（</w:t>
      </w:r>
      <w:r>
        <w:rPr>
          <w:rFonts w:hint="eastAsia" w:ascii="仿宋_GB2312" w:hAnsi="仿宋_GB2312" w:eastAsia="仿宋_GB2312" w:cs="仿宋_GB2312"/>
          <w:bCs/>
          <w:color w:val="auto"/>
          <w:kern w:val="1"/>
          <w:sz w:val="32"/>
          <w:szCs w:val="32"/>
          <w:lang w:val="en-US" w:eastAsia="zh-CN"/>
        </w:rPr>
        <w:t>集团</w:t>
      </w:r>
      <w:r>
        <w:rPr>
          <w:rFonts w:hint="eastAsia" w:ascii="仿宋_GB2312" w:hAnsi="仿宋_GB2312" w:eastAsia="仿宋_GB2312" w:cs="仿宋_GB2312"/>
          <w:bCs/>
          <w:color w:val="auto"/>
          <w:kern w:val="1"/>
          <w:sz w:val="32"/>
          <w:szCs w:val="32"/>
          <w:lang w:eastAsia="zh-CN"/>
        </w:rPr>
        <w:t>）</w:t>
      </w:r>
      <w:r>
        <w:rPr>
          <w:rFonts w:hint="eastAsia" w:ascii="仿宋_GB2312" w:hAnsi="仿宋_GB2312" w:eastAsia="仿宋_GB2312" w:cs="仿宋_GB2312"/>
          <w:bCs/>
          <w:color w:val="auto"/>
          <w:kern w:val="1"/>
          <w:sz w:val="32"/>
          <w:szCs w:val="32"/>
        </w:rPr>
        <w:t>有限公司</w:t>
      </w:r>
      <w:r>
        <w:rPr>
          <w:rFonts w:hint="eastAsia" w:ascii="仿宋_GB2312" w:hAnsi="仿宋_GB2312" w:eastAsia="仿宋_GB2312" w:cs="仿宋_GB2312"/>
          <w:color w:val="auto"/>
          <w:sz w:val="32"/>
          <w:szCs w:val="32"/>
          <w:shd w:val="clear" w:color="auto" w:fill="FFFFFF"/>
          <w:lang w:val="en-US" w:eastAsia="zh-CN"/>
        </w:rPr>
        <w:t>采购文件</w:t>
      </w:r>
      <w:r>
        <w:rPr>
          <w:rFonts w:hint="eastAsia" w:ascii="仿宋_GB2312" w:hAnsi="仿宋_GB2312" w:eastAsia="仿宋_GB2312" w:cs="仿宋_GB2312"/>
          <w:bCs/>
          <w:color w:val="auto"/>
          <w:kern w:val="1"/>
          <w:sz w:val="32"/>
          <w:szCs w:val="32"/>
        </w:rPr>
        <w:t>的各项管理要求；不发生与关联公司共同参与报价竞争情况，不发生</w:t>
      </w:r>
      <w:r>
        <w:rPr>
          <w:rFonts w:hint="eastAsia" w:ascii="仿宋_GB2312" w:hAnsi="仿宋_GB2312" w:eastAsia="仿宋_GB2312" w:cs="仿宋_GB2312"/>
          <w:bCs/>
          <w:color w:val="auto"/>
          <w:kern w:val="1"/>
          <w:sz w:val="32"/>
          <w:szCs w:val="32"/>
          <w:lang w:eastAsia="zh-CN"/>
        </w:rPr>
        <w:t>私下比价等不正当行为</w:t>
      </w:r>
      <w:r>
        <w:rPr>
          <w:rFonts w:hint="eastAsia" w:ascii="仿宋_GB2312" w:hAnsi="仿宋_GB2312" w:eastAsia="仿宋_GB2312" w:cs="仿宋_GB2312"/>
          <w:bCs/>
          <w:color w:val="auto"/>
          <w:kern w:val="1"/>
          <w:sz w:val="32"/>
          <w:szCs w:val="32"/>
        </w:rPr>
        <w:t>；所提供信息真实、准确、合法、有效，不存在为规避江苏索普</w:t>
      </w:r>
      <w:r>
        <w:rPr>
          <w:rFonts w:hint="eastAsia" w:ascii="仿宋_GB2312" w:hAnsi="仿宋_GB2312" w:eastAsia="仿宋_GB2312" w:cs="仿宋_GB2312"/>
          <w:bCs/>
          <w:color w:val="auto"/>
          <w:kern w:val="1"/>
          <w:sz w:val="32"/>
          <w:szCs w:val="32"/>
          <w:lang w:eastAsia="zh-CN"/>
        </w:rPr>
        <w:t>（</w:t>
      </w:r>
      <w:r>
        <w:rPr>
          <w:rFonts w:hint="eastAsia" w:ascii="仿宋_GB2312" w:hAnsi="仿宋_GB2312" w:eastAsia="仿宋_GB2312" w:cs="仿宋_GB2312"/>
          <w:bCs/>
          <w:color w:val="auto"/>
          <w:kern w:val="1"/>
          <w:sz w:val="32"/>
          <w:szCs w:val="32"/>
          <w:lang w:val="en-US" w:eastAsia="zh-CN"/>
        </w:rPr>
        <w:t>集团</w:t>
      </w:r>
      <w:r>
        <w:rPr>
          <w:rFonts w:hint="eastAsia" w:ascii="仿宋_GB2312" w:hAnsi="仿宋_GB2312" w:eastAsia="仿宋_GB2312" w:cs="仿宋_GB2312"/>
          <w:bCs/>
          <w:color w:val="auto"/>
          <w:kern w:val="1"/>
          <w:sz w:val="32"/>
          <w:szCs w:val="32"/>
          <w:lang w:eastAsia="zh-CN"/>
        </w:rPr>
        <w:t>）</w:t>
      </w:r>
      <w:r>
        <w:rPr>
          <w:rFonts w:hint="eastAsia" w:ascii="仿宋_GB2312" w:hAnsi="仿宋_GB2312" w:eastAsia="仿宋_GB2312" w:cs="仿宋_GB2312"/>
          <w:bCs/>
          <w:color w:val="auto"/>
          <w:kern w:val="1"/>
          <w:sz w:val="32"/>
          <w:szCs w:val="32"/>
        </w:rPr>
        <w:t>有限公司有关要求采取的变通行为。上述信息如有虚假我公司将承担法律责任，同意按江苏索普</w:t>
      </w:r>
      <w:r>
        <w:rPr>
          <w:rFonts w:hint="eastAsia" w:ascii="仿宋_GB2312" w:hAnsi="仿宋_GB2312" w:eastAsia="仿宋_GB2312" w:cs="仿宋_GB2312"/>
          <w:bCs/>
          <w:color w:val="auto"/>
          <w:kern w:val="1"/>
          <w:sz w:val="32"/>
          <w:szCs w:val="32"/>
          <w:lang w:eastAsia="zh-CN"/>
        </w:rPr>
        <w:t>（</w:t>
      </w:r>
      <w:r>
        <w:rPr>
          <w:rFonts w:hint="eastAsia" w:ascii="仿宋_GB2312" w:hAnsi="仿宋_GB2312" w:eastAsia="仿宋_GB2312" w:cs="仿宋_GB2312"/>
          <w:bCs/>
          <w:color w:val="auto"/>
          <w:kern w:val="1"/>
          <w:sz w:val="32"/>
          <w:szCs w:val="32"/>
          <w:lang w:val="en-US" w:eastAsia="zh-CN"/>
        </w:rPr>
        <w:t>集团</w:t>
      </w:r>
      <w:r>
        <w:rPr>
          <w:rFonts w:hint="eastAsia" w:ascii="仿宋_GB2312" w:hAnsi="仿宋_GB2312" w:eastAsia="仿宋_GB2312" w:cs="仿宋_GB2312"/>
          <w:bCs/>
          <w:color w:val="auto"/>
          <w:kern w:val="1"/>
          <w:sz w:val="32"/>
          <w:szCs w:val="32"/>
          <w:lang w:eastAsia="zh-CN"/>
        </w:rPr>
        <w:t>）</w:t>
      </w:r>
      <w:r>
        <w:rPr>
          <w:rFonts w:hint="eastAsia" w:ascii="仿宋_GB2312" w:hAnsi="仿宋_GB2312" w:eastAsia="仿宋_GB2312" w:cs="仿宋_GB2312"/>
          <w:bCs/>
          <w:color w:val="auto"/>
          <w:kern w:val="1"/>
          <w:sz w:val="32"/>
          <w:szCs w:val="32"/>
        </w:rPr>
        <w:t>有限公司相关管理规定接受处理。我公司将严格遵守江苏索普</w:t>
      </w:r>
      <w:r>
        <w:rPr>
          <w:rFonts w:hint="eastAsia" w:ascii="仿宋_GB2312" w:hAnsi="仿宋_GB2312" w:eastAsia="仿宋_GB2312" w:cs="仿宋_GB2312"/>
          <w:bCs/>
          <w:color w:val="auto"/>
          <w:kern w:val="1"/>
          <w:sz w:val="32"/>
          <w:szCs w:val="32"/>
          <w:lang w:eastAsia="zh-CN"/>
        </w:rPr>
        <w:t>（</w:t>
      </w:r>
      <w:r>
        <w:rPr>
          <w:rFonts w:hint="eastAsia" w:ascii="仿宋_GB2312" w:hAnsi="仿宋_GB2312" w:eastAsia="仿宋_GB2312" w:cs="仿宋_GB2312"/>
          <w:bCs/>
          <w:color w:val="auto"/>
          <w:kern w:val="1"/>
          <w:sz w:val="32"/>
          <w:szCs w:val="32"/>
          <w:lang w:val="en-US" w:eastAsia="zh-CN"/>
        </w:rPr>
        <w:t>集团</w:t>
      </w:r>
      <w:r>
        <w:rPr>
          <w:rFonts w:hint="eastAsia" w:ascii="仿宋_GB2312" w:hAnsi="仿宋_GB2312" w:eastAsia="仿宋_GB2312" w:cs="仿宋_GB2312"/>
          <w:bCs/>
          <w:color w:val="auto"/>
          <w:kern w:val="1"/>
          <w:sz w:val="32"/>
          <w:szCs w:val="32"/>
          <w:lang w:eastAsia="zh-CN"/>
        </w:rPr>
        <w:t>）</w:t>
      </w:r>
      <w:r>
        <w:rPr>
          <w:rFonts w:hint="eastAsia" w:ascii="仿宋_GB2312" w:hAnsi="仿宋_GB2312" w:eastAsia="仿宋_GB2312" w:cs="仿宋_GB2312"/>
          <w:bCs/>
          <w:color w:val="auto"/>
          <w:kern w:val="1"/>
          <w:sz w:val="32"/>
          <w:szCs w:val="32"/>
        </w:rPr>
        <w:t>有限公司对供应商管理的要求，无条件接受和配合江苏索普</w:t>
      </w:r>
      <w:r>
        <w:rPr>
          <w:rFonts w:hint="eastAsia" w:ascii="仿宋_GB2312" w:hAnsi="仿宋_GB2312" w:eastAsia="仿宋_GB2312" w:cs="仿宋_GB2312"/>
          <w:bCs/>
          <w:color w:val="auto"/>
          <w:kern w:val="1"/>
          <w:sz w:val="32"/>
          <w:szCs w:val="32"/>
          <w:lang w:eastAsia="zh-CN"/>
        </w:rPr>
        <w:t>（</w:t>
      </w:r>
      <w:r>
        <w:rPr>
          <w:rFonts w:hint="eastAsia" w:ascii="仿宋_GB2312" w:hAnsi="仿宋_GB2312" w:eastAsia="仿宋_GB2312" w:cs="仿宋_GB2312"/>
          <w:bCs/>
          <w:color w:val="auto"/>
          <w:kern w:val="1"/>
          <w:sz w:val="32"/>
          <w:szCs w:val="32"/>
          <w:lang w:val="en-US" w:eastAsia="zh-CN"/>
        </w:rPr>
        <w:t>集团</w:t>
      </w:r>
      <w:r>
        <w:rPr>
          <w:rFonts w:hint="eastAsia" w:ascii="仿宋_GB2312" w:hAnsi="仿宋_GB2312" w:eastAsia="仿宋_GB2312" w:cs="仿宋_GB2312"/>
          <w:bCs/>
          <w:color w:val="auto"/>
          <w:kern w:val="1"/>
          <w:sz w:val="32"/>
          <w:szCs w:val="32"/>
          <w:lang w:eastAsia="zh-CN"/>
        </w:rPr>
        <w:t>）</w:t>
      </w:r>
      <w:r>
        <w:rPr>
          <w:rFonts w:hint="eastAsia" w:ascii="仿宋_GB2312" w:hAnsi="仿宋_GB2312" w:eastAsia="仿宋_GB2312" w:cs="仿宋_GB2312"/>
          <w:bCs/>
          <w:color w:val="auto"/>
          <w:kern w:val="1"/>
          <w:sz w:val="32"/>
          <w:szCs w:val="32"/>
        </w:rPr>
        <w:t>有限公司或其委托的有关机构进行的与上述内容相关的核查与审计。</w:t>
      </w:r>
    </w:p>
    <w:p w14:paraId="54A15738">
      <w:pPr>
        <w:pStyle w:val="4"/>
        <w:keepNext w:val="0"/>
        <w:keepLines w:val="0"/>
        <w:pageBreakBefore w:val="0"/>
        <w:widowControl w:val="0"/>
        <w:kinsoku/>
        <w:overflowPunct/>
        <w:topLinePunct w:val="0"/>
        <w:autoSpaceDE/>
        <w:autoSpaceDN/>
        <w:bidi w:val="0"/>
        <w:adjustRightInd w:val="0"/>
        <w:snapToGrid w:val="0"/>
        <w:spacing w:after="0" w:line="540" w:lineRule="exact"/>
        <w:ind w:left="0" w:leftChars="0" w:right="0" w:rightChars="0"/>
        <w:textAlignment w:val="auto"/>
        <w:outlineLvl w:val="9"/>
        <w:rPr>
          <w:rFonts w:hint="eastAsia" w:eastAsia="仿宋_GB2312"/>
          <w:color w:val="auto"/>
          <w:sz w:val="32"/>
          <w:szCs w:val="32"/>
          <w:lang w:val="en-US" w:eastAsia="zh-CN"/>
        </w:rPr>
      </w:pPr>
    </w:p>
    <w:p w14:paraId="08C5357F">
      <w:pPr>
        <w:keepNext w:val="0"/>
        <w:keepLines w:val="0"/>
        <w:pageBreakBefore w:val="0"/>
        <w:widowControl w:val="0"/>
        <w:kinsoku/>
        <w:wordWrap w:val="0"/>
        <w:overflowPunct/>
        <w:topLinePunct w:val="0"/>
        <w:autoSpaceDE/>
        <w:autoSpaceDN/>
        <w:bidi w:val="0"/>
        <w:adjustRightInd w:val="0"/>
        <w:snapToGrid w:val="0"/>
        <w:spacing w:before="156" w:beforeLines="50" w:line="540" w:lineRule="exact"/>
        <w:ind w:left="0" w:leftChars="0" w:right="0" w:rightChars="0"/>
        <w:jc w:val="left"/>
        <w:textAlignment w:val="auto"/>
        <w:outlineLvl w:val="9"/>
        <w:rPr>
          <w:rFonts w:hint="eastAsia" w:ascii="仿宋_GB2312" w:hAnsi="仿宋_GB2312" w:eastAsia="仿宋_GB2312" w:cs="仿宋_GB2312"/>
          <w:color w:val="auto"/>
          <w:kern w:val="1"/>
          <w:sz w:val="32"/>
          <w:szCs w:val="32"/>
        </w:rPr>
      </w:pPr>
      <w:r>
        <w:rPr>
          <w:rFonts w:hint="eastAsia" w:ascii="仿宋_GB2312" w:hAnsi="仿宋_GB2312" w:eastAsia="仿宋_GB2312" w:cs="仿宋_GB2312"/>
          <w:color w:val="auto"/>
          <w:kern w:val="1"/>
          <w:sz w:val="32"/>
          <w:szCs w:val="32"/>
        </w:rPr>
        <w:t>全权代表（签字）：</w:t>
      </w:r>
    </w:p>
    <w:p w14:paraId="39ACAEE5">
      <w:pPr>
        <w:keepNext w:val="0"/>
        <w:keepLines w:val="0"/>
        <w:pageBreakBefore w:val="0"/>
        <w:widowControl w:val="0"/>
        <w:kinsoku/>
        <w:wordWrap w:val="0"/>
        <w:overflowPunct/>
        <w:topLinePunct w:val="0"/>
        <w:autoSpaceDE/>
        <w:autoSpaceDN/>
        <w:bidi w:val="0"/>
        <w:adjustRightInd w:val="0"/>
        <w:snapToGrid w:val="0"/>
        <w:spacing w:before="156" w:beforeLines="50" w:line="540" w:lineRule="exact"/>
        <w:ind w:left="0" w:leftChars="0" w:right="0" w:rightChars="0"/>
        <w:jc w:val="left"/>
        <w:textAlignment w:val="auto"/>
        <w:outlineLvl w:val="9"/>
        <w:rPr>
          <w:rFonts w:ascii="仿宋_GB2312" w:hAnsi="仿宋_GB2312" w:eastAsia="仿宋_GB2312" w:cs="仿宋_GB2312"/>
          <w:color w:val="auto"/>
          <w:kern w:val="1"/>
          <w:sz w:val="32"/>
          <w:szCs w:val="32"/>
        </w:rPr>
      </w:pPr>
      <w:r>
        <w:rPr>
          <w:rFonts w:hint="eastAsia" w:ascii="仿宋_GB2312" w:hAnsi="仿宋_GB2312" w:eastAsia="仿宋_GB2312" w:cs="仿宋_GB2312"/>
          <w:color w:val="auto"/>
          <w:kern w:val="1"/>
          <w:sz w:val="32"/>
          <w:szCs w:val="32"/>
        </w:rPr>
        <w:t>联系电话：</w:t>
      </w:r>
    </w:p>
    <w:p w14:paraId="7D3DC2D5">
      <w:pPr>
        <w:keepNext w:val="0"/>
        <w:keepLines w:val="0"/>
        <w:pageBreakBefore w:val="0"/>
        <w:widowControl w:val="0"/>
        <w:kinsoku/>
        <w:wordWrap w:val="0"/>
        <w:overflowPunct/>
        <w:topLinePunct w:val="0"/>
        <w:autoSpaceDE/>
        <w:autoSpaceDN/>
        <w:bidi w:val="0"/>
        <w:adjustRightInd w:val="0"/>
        <w:snapToGrid w:val="0"/>
        <w:spacing w:before="156" w:beforeLines="50" w:line="540" w:lineRule="exact"/>
        <w:ind w:left="0" w:leftChars="0" w:right="0" w:rightChars="0"/>
        <w:jc w:val="left"/>
        <w:textAlignment w:val="auto"/>
        <w:outlineLvl w:val="9"/>
        <w:rPr>
          <w:rFonts w:ascii="仿宋_GB2312" w:hAnsi="仿宋_GB2312" w:eastAsia="仿宋_GB2312" w:cs="仿宋_GB2312"/>
          <w:color w:val="auto"/>
          <w:kern w:val="1"/>
          <w:sz w:val="32"/>
          <w:szCs w:val="32"/>
        </w:rPr>
      </w:pPr>
      <w:r>
        <w:rPr>
          <w:rFonts w:hint="eastAsia" w:ascii="仿宋_GB2312" w:hAnsi="仿宋_GB2312" w:eastAsia="仿宋_GB2312" w:cs="仿宋_GB2312"/>
          <w:color w:val="auto"/>
          <w:kern w:val="1"/>
          <w:sz w:val="32"/>
          <w:szCs w:val="32"/>
          <w:lang w:val="en-US" w:eastAsia="zh-CN"/>
        </w:rPr>
        <w:t>报价</w:t>
      </w:r>
      <w:r>
        <w:rPr>
          <w:rFonts w:hint="eastAsia" w:ascii="仿宋_GB2312" w:hAnsi="仿宋_GB2312" w:eastAsia="仿宋_GB2312" w:cs="仿宋_GB2312"/>
          <w:color w:val="auto"/>
          <w:kern w:val="1"/>
          <w:sz w:val="32"/>
          <w:szCs w:val="32"/>
        </w:rPr>
        <w:t>单位（盖章）：</w:t>
      </w:r>
    </w:p>
    <w:p w14:paraId="304B3276">
      <w:pPr>
        <w:keepNext w:val="0"/>
        <w:keepLines w:val="0"/>
        <w:pageBreakBefore w:val="0"/>
        <w:widowControl w:val="0"/>
        <w:kinsoku/>
        <w:wordWrap w:val="0"/>
        <w:overflowPunct/>
        <w:topLinePunct w:val="0"/>
        <w:autoSpaceDE/>
        <w:autoSpaceDN/>
        <w:bidi w:val="0"/>
        <w:adjustRightInd w:val="0"/>
        <w:snapToGrid w:val="0"/>
        <w:spacing w:before="156" w:beforeLines="50" w:line="540" w:lineRule="exact"/>
        <w:ind w:left="0" w:leftChars="0" w:right="0" w:rightChars="0"/>
        <w:jc w:val="left"/>
        <w:textAlignment w:val="auto"/>
        <w:outlineLvl w:val="9"/>
        <w:rPr>
          <w:rFonts w:ascii="仿宋_GB2312" w:hAnsi="仿宋_GB2312" w:eastAsia="仿宋_GB2312" w:cs="仿宋_GB2312"/>
          <w:bCs/>
          <w:kern w:val="1"/>
          <w:sz w:val="32"/>
          <w:szCs w:val="32"/>
        </w:rPr>
      </w:pPr>
      <w:r>
        <w:rPr>
          <w:rFonts w:hint="eastAsia" w:ascii="仿宋_GB2312" w:hAnsi="仿宋_GB2312" w:eastAsia="仿宋_GB2312" w:cs="仿宋_GB2312"/>
          <w:kern w:val="1"/>
          <w:sz w:val="32"/>
          <w:szCs w:val="32"/>
        </w:rPr>
        <w:t>日期：</w:t>
      </w:r>
    </w:p>
    <w:p w14:paraId="512C7CE5">
      <w:pPr>
        <w:tabs>
          <w:tab w:val="left" w:pos="2565"/>
        </w:tabs>
        <w:spacing w:line="600" w:lineRule="exact"/>
        <w:jc w:val="both"/>
        <w:rPr>
          <w:rFonts w:hint="eastAsia" w:ascii="黑体" w:hAnsi="黑体" w:eastAsia="黑体" w:cs="黑体"/>
          <w:b w:val="0"/>
          <w:bCs/>
          <w:color w:val="auto"/>
          <w:kern w:val="0"/>
          <w:sz w:val="34"/>
          <w:szCs w:val="34"/>
          <w:lang w:val="en-US" w:eastAsia="zh-CN" w:bidi="ar-SA"/>
        </w:rPr>
      </w:pPr>
      <w:r>
        <w:rPr>
          <w:rFonts w:hint="eastAsia" w:ascii="黑体" w:hAnsi="黑体" w:eastAsia="黑体" w:cs="黑体"/>
          <w:b w:val="0"/>
          <w:bCs/>
          <w:color w:val="auto"/>
          <w:kern w:val="0"/>
          <w:sz w:val="34"/>
          <w:szCs w:val="34"/>
          <w:lang w:val="en-US" w:eastAsia="zh-CN" w:bidi="ar-SA"/>
        </w:rPr>
        <w:t>附件1</w:t>
      </w:r>
    </w:p>
    <w:p w14:paraId="0202B052">
      <w:pPr>
        <w:tabs>
          <w:tab w:val="left" w:pos="2565"/>
        </w:tabs>
        <w:spacing w:line="600" w:lineRule="exact"/>
        <w:jc w:val="center"/>
        <w:rPr>
          <w:rFonts w:hint="eastAsia" w:ascii="方正小标宋简体" w:hAnsi="方正小标宋简体" w:eastAsia="方正小标宋简体" w:cs="方正小标宋简体"/>
          <w:b w:val="0"/>
          <w:bCs/>
          <w:color w:val="auto"/>
          <w:kern w:val="0"/>
          <w:sz w:val="44"/>
          <w:szCs w:val="44"/>
          <w:u w:val="none"/>
          <w:lang w:val="en-US" w:eastAsia="zh-CN" w:bidi="ar-SA"/>
        </w:rPr>
      </w:pPr>
    </w:p>
    <w:p w14:paraId="074915E0">
      <w:pPr>
        <w:tabs>
          <w:tab w:val="left" w:pos="2565"/>
        </w:tabs>
        <w:spacing w:line="600" w:lineRule="exact"/>
        <w:jc w:val="center"/>
        <w:rPr>
          <w:rFonts w:hint="eastAsia" w:ascii="方正小标宋简体" w:hAnsi="方正小标宋简体" w:eastAsia="方正小标宋简体" w:cs="方正小标宋简体"/>
          <w:b w:val="0"/>
          <w:bCs/>
          <w:color w:val="auto"/>
          <w:kern w:val="0"/>
          <w:sz w:val="44"/>
          <w:szCs w:val="44"/>
          <w:u w:val="none"/>
          <w:lang w:val="en-US" w:eastAsia="zh-CN" w:bidi="ar-SA"/>
        </w:rPr>
      </w:pPr>
      <w:r>
        <w:rPr>
          <w:rFonts w:hint="eastAsia" w:ascii="方正小标宋简体" w:hAnsi="方正小标宋简体" w:eastAsia="方正小标宋简体" w:cs="方正小标宋简体"/>
          <w:b w:val="0"/>
          <w:bCs/>
          <w:color w:val="auto"/>
          <w:kern w:val="0"/>
          <w:sz w:val="44"/>
          <w:szCs w:val="44"/>
          <w:u w:val="none"/>
          <w:lang w:val="en-US" w:eastAsia="zh-CN" w:bidi="ar-SA"/>
        </w:rPr>
        <w:t>索普集团供应商负面清单管理规定</w:t>
      </w:r>
    </w:p>
    <w:p w14:paraId="089A6AE2">
      <w:pPr>
        <w:tabs>
          <w:tab w:val="left" w:pos="2565"/>
        </w:tabs>
        <w:spacing w:line="600" w:lineRule="exact"/>
        <w:jc w:val="center"/>
        <w:rPr>
          <w:rFonts w:hint="eastAsia" w:ascii="方正小标宋简体" w:hAnsi="方正小标宋简体" w:eastAsia="方正小标宋简体" w:cs="方正小标宋简体"/>
          <w:b w:val="0"/>
          <w:bCs/>
          <w:color w:val="auto"/>
          <w:sz w:val="44"/>
          <w:szCs w:val="44"/>
          <w:u w:val="none"/>
          <w:lang w:eastAsia="zh-CN"/>
        </w:rPr>
      </w:pPr>
      <w:r>
        <w:rPr>
          <w:rFonts w:hint="eastAsia" w:ascii="方正小标宋简体" w:hAnsi="方正小标宋简体" w:eastAsia="方正小标宋简体" w:cs="方正小标宋简体"/>
          <w:b w:val="0"/>
          <w:bCs/>
          <w:color w:val="auto"/>
          <w:sz w:val="44"/>
          <w:szCs w:val="44"/>
          <w:u w:val="none"/>
          <w:lang w:eastAsia="zh-CN"/>
        </w:rPr>
        <w:t>（</w:t>
      </w:r>
      <w:r>
        <w:rPr>
          <w:rFonts w:hint="eastAsia" w:ascii="方正小标宋简体" w:hAnsi="方正小标宋简体" w:eastAsia="方正小标宋简体" w:cs="方正小标宋简体"/>
          <w:b w:val="0"/>
          <w:bCs/>
          <w:color w:val="auto"/>
          <w:sz w:val="44"/>
          <w:szCs w:val="44"/>
          <w:u w:val="none"/>
          <w:lang w:val="en-US" w:eastAsia="zh-CN"/>
        </w:rPr>
        <w:t>2025年修订版</w:t>
      </w:r>
      <w:r>
        <w:rPr>
          <w:rFonts w:hint="eastAsia" w:ascii="方正小标宋简体" w:hAnsi="方正小标宋简体" w:eastAsia="方正小标宋简体" w:cs="方正小标宋简体"/>
          <w:b w:val="0"/>
          <w:bCs/>
          <w:color w:val="auto"/>
          <w:sz w:val="44"/>
          <w:szCs w:val="44"/>
          <w:u w:val="none"/>
          <w:lang w:eastAsia="zh-CN"/>
        </w:rPr>
        <w:t>）</w:t>
      </w:r>
    </w:p>
    <w:p w14:paraId="6E0CB5FA">
      <w:pPr>
        <w:keepNext w:val="0"/>
        <w:keepLines w:val="0"/>
        <w:pageBreakBefore w:val="0"/>
        <w:widowControl/>
        <w:tabs>
          <w:tab w:val="left" w:pos="2565"/>
        </w:tabs>
        <w:kinsoku/>
        <w:wordWrap/>
        <w:overflowPunct/>
        <w:topLinePunct w:val="0"/>
        <w:autoSpaceDE/>
        <w:autoSpaceDN/>
        <w:bidi w:val="0"/>
        <w:adjustRightInd w:val="0"/>
        <w:snapToGrid w:val="0"/>
        <w:spacing w:beforeLines="0" w:afterLines="0" w:line="600" w:lineRule="exact"/>
        <w:ind w:right="0" w:rightChars="0"/>
        <w:jc w:val="both"/>
        <w:textAlignment w:val="auto"/>
        <w:outlineLvl w:val="9"/>
        <w:rPr>
          <w:rFonts w:hint="eastAsia" w:ascii="黑体" w:hAnsi="黑体" w:eastAsia="黑体"/>
          <w:b w:val="0"/>
          <w:bCs/>
          <w:color w:val="auto"/>
          <w:sz w:val="34"/>
          <w:szCs w:val="34"/>
          <w:u w:val="none"/>
          <w:lang w:eastAsia="zh-CN"/>
        </w:rPr>
      </w:pPr>
    </w:p>
    <w:p w14:paraId="36781EC7">
      <w:pPr>
        <w:keepNext w:val="0"/>
        <w:keepLines w:val="0"/>
        <w:pageBreakBefore w:val="0"/>
        <w:widowControl/>
        <w:tabs>
          <w:tab w:val="left" w:pos="2565"/>
        </w:tabs>
        <w:kinsoku/>
        <w:wordWrap/>
        <w:overflowPunct/>
        <w:topLinePunct w:val="0"/>
        <w:autoSpaceDE/>
        <w:autoSpaceDN/>
        <w:bidi w:val="0"/>
        <w:adjustRightInd w:val="0"/>
        <w:snapToGrid w:val="0"/>
        <w:spacing w:beforeLines="0" w:afterLines="0" w:line="600" w:lineRule="exact"/>
        <w:ind w:right="0" w:rightChars="0"/>
        <w:jc w:val="center"/>
        <w:textAlignment w:val="auto"/>
        <w:outlineLvl w:val="9"/>
        <w:rPr>
          <w:rFonts w:hint="eastAsia" w:ascii="仿宋_GB2312" w:hAnsi="仿宋" w:eastAsia="黑体"/>
          <w:b w:val="0"/>
          <w:bCs/>
          <w:color w:val="auto"/>
          <w:sz w:val="34"/>
          <w:szCs w:val="34"/>
          <w:u w:val="none"/>
          <w:lang w:eastAsia="zh-CN"/>
        </w:rPr>
      </w:pPr>
      <w:r>
        <w:rPr>
          <w:rFonts w:hint="eastAsia" w:ascii="黑体" w:hAnsi="黑体" w:eastAsia="黑体"/>
          <w:b w:val="0"/>
          <w:bCs/>
          <w:color w:val="auto"/>
          <w:sz w:val="34"/>
          <w:szCs w:val="34"/>
          <w:u w:val="none"/>
          <w:lang w:eastAsia="zh-CN"/>
        </w:rPr>
        <w:t>第一章</w:t>
      </w:r>
      <w:r>
        <w:rPr>
          <w:rFonts w:hint="eastAsia" w:ascii="黑体" w:hAnsi="黑体" w:eastAsia="黑体"/>
          <w:b w:val="0"/>
          <w:bCs/>
          <w:color w:val="auto"/>
          <w:sz w:val="34"/>
          <w:szCs w:val="34"/>
          <w:u w:val="none"/>
          <w:lang w:val="en-US" w:eastAsia="zh-CN"/>
        </w:rPr>
        <w:t xml:space="preserve"> </w:t>
      </w:r>
      <w:r>
        <w:rPr>
          <w:rFonts w:hint="eastAsia" w:ascii="黑体" w:hAnsi="黑体" w:eastAsia="黑体"/>
          <w:b w:val="0"/>
          <w:bCs/>
          <w:color w:val="auto"/>
          <w:sz w:val="34"/>
          <w:szCs w:val="34"/>
          <w:u w:val="none"/>
          <w:lang w:eastAsia="zh-CN"/>
        </w:rPr>
        <w:t>总则</w:t>
      </w:r>
    </w:p>
    <w:p w14:paraId="03BFC85A">
      <w:pPr>
        <w:keepNext w:val="0"/>
        <w:keepLines w:val="0"/>
        <w:pageBreakBefore w:val="0"/>
        <w:widowControl/>
        <w:tabs>
          <w:tab w:val="left" w:pos="2565"/>
        </w:tabs>
        <w:kinsoku/>
        <w:wordWrap/>
        <w:overflowPunct/>
        <w:topLinePunct w:val="0"/>
        <w:autoSpaceDE/>
        <w:autoSpaceDN/>
        <w:bidi w:val="0"/>
        <w:adjustRightInd w:val="0"/>
        <w:snapToGrid w:val="0"/>
        <w:spacing w:beforeLines="0" w:afterLines="0" w:line="600" w:lineRule="exact"/>
        <w:ind w:left="0" w:leftChars="0" w:right="0" w:rightChars="0" w:firstLine="683" w:firstLineChars="200"/>
        <w:textAlignment w:val="auto"/>
        <w:outlineLvl w:val="9"/>
        <w:rPr>
          <w:rFonts w:hint="eastAsia" w:ascii="仿宋_GB2312" w:hAnsi="仿宋" w:eastAsia="仿宋_GB2312"/>
          <w:b w:val="0"/>
          <w:bCs/>
          <w:color w:val="auto"/>
          <w:sz w:val="34"/>
          <w:szCs w:val="34"/>
          <w:u w:val="none"/>
        </w:rPr>
      </w:pPr>
      <w:r>
        <w:rPr>
          <w:rFonts w:hint="eastAsia" w:ascii="仿宋_GB2312" w:hAnsi="楷体" w:eastAsia="仿宋_GB2312" w:cs="Times New Roman"/>
          <w:b/>
          <w:bCs w:val="0"/>
          <w:color w:val="auto"/>
          <w:sz w:val="34"/>
          <w:szCs w:val="34"/>
          <w:u w:val="none"/>
          <w:lang w:eastAsia="zh-CN"/>
        </w:rPr>
        <w:t>第一条</w:t>
      </w:r>
      <w:r>
        <w:rPr>
          <w:rFonts w:hint="eastAsia" w:ascii="仿宋_GB2312" w:hAnsi="楷体" w:eastAsia="仿宋_GB2312" w:cs="Times New Roman"/>
          <w:b w:val="0"/>
          <w:bCs/>
          <w:color w:val="auto"/>
          <w:sz w:val="34"/>
          <w:szCs w:val="34"/>
          <w:u w:val="none"/>
          <w:lang w:val="en-US" w:eastAsia="zh-CN"/>
        </w:rPr>
        <w:t xml:space="preserve"> 凡按国家标准及相关准则或规定组织生产销售的产品供应商及承包商，证照齐全且资质满足公司采购要求的，均可参与公司组织的公开采购商务活动。</w:t>
      </w:r>
    </w:p>
    <w:p w14:paraId="18C71755">
      <w:pPr>
        <w:keepNext w:val="0"/>
        <w:keepLines w:val="0"/>
        <w:pageBreakBefore w:val="0"/>
        <w:widowControl/>
        <w:tabs>
          <w:tab w:val="left" w:pos="2565"/>
        </w:tabs>
        <w:kinsoku/>
        <w:wordWrap/>
        <w:overflowPunct/>
        <w:topLinePunct w:val="0"/>
        <w:autoSpaceDE/>
        <w:autoSpaceDN/>
        <w:bidi w:val="0"/>
        <w:adjustRightInd w:val="0"/>
        <w:snapToGrid w:val="0"/>
        <w:spacing w:beforeLines="0" w:afterLines="0" w:line="600" w:lineRule="exact"/>
        <w:ind w:left="0" w:leftChars="0" w:right="0" w:rightChars="0" w:firstLine="683" w:firstLineChars="200"/>
        <w:jc w:val="left"/>
        <w:textAlignment w:val="auto"/>
        <w:outlineLvl w:val="9"/>
        <w:rPr>
          <w:rFonts w:hint="eastAsia" w:ascii="黑体" w:hAnsi="黑体" w:eastAsia="黑体"/>
          <w:b w:val="0"/>
          <w:bCs/>
          <w:color w:val="auto"/>
          <w:sz w:val="34"/>
          <w:szCs w:val="34"/>
          <w:u w:val="none"/>
          <w:lang w:val="en-US" w:eastAsia="zh-CN"/>
        </w:rPr>
      </w:pPr>
      <w:r>
        <w:rPr>
          <w:rFonts w:hint="eastAsia" w:ascii="仿宋_GB2312" w:hAnsi="楷体" w:eastAsia="仿宋_GB2312" w:cs="Times New Roman"/>
          <w:b/>
          <w:bCs w:val="0"/>
          <w:color w:val="auto"/>
          <w:sz w:val="34"/>
          <w:szCs w:val="34"/>
          <w:u w:val="none"/>
          <w:lang w:eastAsia="zh-CN"/>
        </w:rPr>
        <w:t>第二条</w:t>
      </w:r>
      <w:r>
        <w:rPr>
          <w:rFonts w:hint="eastAsia" w:ascii="仿宋_GB2312" w:hAnsi="楷体" w:eastAsia="仿宋_GB2312" w:cs="Times New Roman"/>
          <w:b w:val="0"/>
          <w:bCs/>
          <w:color w:val="auto"/>
          <w:sz w:val="34"/>
          <w:szCs w:val="34"/>
          <w:u w:val="none"/>
          <w:lang w:val="en-US" w:eastAsia="zh-CN"/>
        </w:rPr>
        <w:t xml:space="preserve"> </w:t>
      </w:r>
      <w:r>
        <w:rPr>
          <w:rFonts w:hint="eastAsia" w:ascii="Times New Roman" w:hAnsi="Times New Roman" w:eastAsia="仿宋_GB2312" w:cs="Times New Roman"/>
          <w:b w:val="0"/>
          <w:bCs/>
          <w:color w:val="auto"/>
          <w:kern w:val="2"/>
          <w:sz w:val="34"/>
          <w:szCs w:val="34"/>
          <w:u w:val="none"/>
        </w:rPr>
        <w:t>本制度适用于</w:t>
      </w:r>
      <w:r>
        <w:rPr>
          <w:rFonts w:hint="eastAsia" w:ascii="Times New Roman" w:hAnsi="Times New Roman" w:eastAsia="仿宋_GB2312" w:cs="Times New Roman"/>
          <w:b w:val="0"/>
          <w:bCs/>
          <w:color w:val="auto"/>
          <w:kern w:val="2"/>
          <w:sz w:val="34"/>
          <w:szCs w:val="34"/>
          <w:u w:val="none"/>
          <w:lang w:eastAsia="zh-CN"/>
        </w:rPr>
        <w:t>索普集团本部各部门</w:t>
      </w:r>
      <w:r>
        <w:rPr>
          <w:rFonts w:hint="eastAsia" w:eastAsia="仿宋_GB2312" w:cs="Times New Roman"/>
          <w:b w:val="0"/>
          <w:bCs/>
          <w:color w:val="auto"/>
          <w:kern w:val="2"/>
          <w:sz w:val="34"/>
          <w:szCs w:val="34"/>
          <w:u w:val="none"/>
          <w:lang w:eastAsia="zh-CN"/>
        </w:rPr>
        <w:t>，</w:t>
      </w:r>
      <w:r>
        <w:rPr>
          <w:rFonts w:hint="eastAsia" w:eastAsia="仿宋_GB2312" w:cs="Times New Roman"/>
          <w:b w:val="0"/>
          <w:bCs/>
          <w:color w:val="auto"/>
          <w:kern w:val="2"/>
          <w:sz w:val="34"/>
          <w:szCs w:val="34"/>
          <w:u w:val="none"/>
          <w:lang w:val="en-US" w:eastAsia="zh-CN"/>
        </w:rPr>
        <w:t>同时也对各直属单位有明确的指导和约束作用。</w:t>
      </w:r>
      <w:r>
        <w:rPr>
          <w:rFonts w:hint="eastAsia" w:ascii="黑体" w:hAnsi="黑体" w:eastAsia="黑体"/>
          <w:b w:val="0"/>
          <w:bCs/>
          <w:color w:val="auto"/>
          <w:sz w:val="34"/>
          <w:szCs w:val="34"/>
          <w:u w:val="none"/>
          <w:lang w:val="en-US" w:eastAsia="zh-CN"/>
        </w:rPr>
        <w:t xml:space="preserve"> </w:t>
      </w:r>
    </w:p>
    <w:p w14:paraId="63ED6F95">
      <w:pPr>
        <w:keepNext w:val="0"/>
        <w:keepLines w:val="0"/>
        <w:pageBreakBefore w:val="0"/>
        <w:widowControl/>
        <w:tabs>
          <w:tab w:val="left" w:pos="2565"/>
        </w:tabs>
        <w:kinsoku/>
        <w:wordWrap/>
        <w:overflowPunct/>
        <w:topLinePunct w:val="0"/>
        <w:autoSpaceDE/>
        <w:autoSpaceDN/>
        <w:bidi w:val="0"/>
        <w:adjustRightInd w:val="0"/>
        <w:snapToGrid w:val="0"/>
        <w:spacing w:beforeLines="0" w:afterLines="0" w:line="600" w:lineRule="exact"/>
        <w:ind w:left="0" w:leftChars="0" w:right="0" w:rightChars="0" w:firstLine="683" w:firstLineChars="200"/>
        <w:textAlignment w:val="auto"/>
        <w:outlineLvl w:val="9"/>
        <w:rPr>
          <w:rFonts w:ascii="Segoe UI" w:hAnsi="Segoe UI" w:eastAsia="Segoe UI" w:cs="Segoe UI"/>
          <w:i w:val="0"/>
          <w:iCs w:val="0"/>
          <w:caps w:val="0"/>
          <w:color w:val="auto"/>
          <w:spacing w:val="0"/>
          <w:sz w:val="22"/>
          <w:szCs w:val="22"/>
          <w:u w:val="none"/>
          <w:shd w:val="clear" w:color="auto" w:fill="FDFDFE"/>
        </w:rPr>
      </w:pPr>
      <w:r>
        <w:rPr>
          <w:rFonts w:hint="eastAsia" w:ascii="仿宋_GB2312" w:hAnsi="楷体" w:eastAsia="仿宋_GB2312" w:cs="Times New Roman"/>
          <w:b/>
          <w:bCs w:val="0"/>
          <w:color w:val="auto"/>
          <w:sz w:val="34"/>
          <w:szCs w:val="34"/>
          <w:u w:val="none"/>
          <w:lang w:val="en-US" w:eastAsia="zh-CN"/>
        </w:rPr>
        <w:t xml:space="preserve">第三条 </w:t>
      </w:r>
      <w:r>
        <w:rPr>
          <w:rFonts w:hint="eastAsia" w:ascii="黑体" w:hAnsi="黑体" w:eastAsia="黑体"/>
          <w:b w:val="0"/>
          <w:bCs/>
          <w:color w:val="auto"/>
          <w:sz w:val="34"/>
          <w:szCs w:val="34"/>
          <w:u w:val="none"/>
          <w:lang w:val="en-US" w:eastAsia="zh-CN"/>
        </w:rPr>
        <w:t xml:space="preserve"> </w:t>
      </w:r>
      <w:r>
        <w:rPr>
          <w:rFonts w:hint="eastAsia" w:ascii="仿宋_GB2312" w:hAnsi="仿宋" w:eastAsia="仿宋_GB2312" w:cs="Times New Roman"/>
          <w:bCs/>
          <w:i w:val="0"/>
          <w:iCs w:val="0"/>
          <w:caps w:val="0"/>
          <w:color w:val="auto"/>
          <w:spacing w:val="0"/>
          <w:sz w:val="34"/>
          <w:szCs w:val="34"/>
          <w:u w:val="none"/>
          <w:shd w:val="clear" w:color="auto" w:fill="auto"/>
          <w:lang w:val="en-US" w:eastAsia="zh-CN"/>
        </w:rPr>
        <w:t>集团供应商负面清单管理采取共享机制，由全集团共同参与构建并统一使用</w:t>
      </w:r>
      <w:r>
        <w:rPr>
          <w:rFonts w:hint="eastAsia" w:ascii="仿宋_GB2312" w:hAnsi="仿宋" w:eastAsia="仿宋_GB2312" w:cs="Times New Roman"/>
          <w:bCs/>
          <w:i w:val="0"/>
          <w:iCs w:val="0"/>
          <w:caps w:val="0"/>
          <w:color w:val="auto"/>
          <w:spacing w:val="0"/>
          <w:sz w:val="34"/>
          <w:szCs w:val="34"/>
          <w:u w:val="none"/>
          <w:lang w:val="en-US" w:eastAsia="zh-CN"/>
        </w:rPr>
        <w:t>，确保全集团采购活动中负面清单供应商范围一致</w:t>
      </w:r>
      <w:r>
        <w:rPr>
          <w:rFonts w:hint="eastAsia" w:ascii="仿宋_GB2312" w:hAnsi="仿宋" w:eastAsia="仿宋_GB2312" w:cs="Times New Roman"/>
          <w:bCs/>
          <w:i w:val="0"/>
          <w:iCs w:val="0"/>
          <w:caps w:val="0"/>
          <w:color w:val="auto"/>
          <w:spacing w:val="0"/>
          <w:sz w:val="34"/>
          <w:szCs w:val="34"/>
          <w:u w:val="none"/>
          <w:shd w:val="clear" w:color="auto" w:fill="auto"/>
          <w:lang w:val="en-US" w:eastAsia="zh-CN"/>
        </w:rPr>
        <w:t>。</w:t>
      </w:r>
    </w:p>
    <w:p w14:paraId="04FA4ADA">
      <w:pPr>
        <w:keepNext w:val="0"/>
        <w:keepLines w:val="0"/>
        <w:pageBreakBefore w:val="0"/>
        <w:widowControl/>
        <w:tabs>
          <w:tab w:val="left" w:pos="2565"/>
        </w:tabs>
        <w:kinsoku/>
        <w:wordWrap/>
        <w:overflowPunct/>
        <w:topLinePunct w:val="0"/>
        <w:autoSpaceDE/>
        <w:autoSpaceDN/>
        <w:bidi w:val="0"/>
        <w:adjustRightInd w:val="0"/>
        <w:snapToGrid w:val="0"/>
        <w:spacing w:beforeLines="0" w:afterLines="0" w:line="600" w:lineRule="exact"/>
        <w:ind w:right="0" w:rightChars="0"/>
        <w:jc w:val="center"/>
        <w:textAlignment w:val="auto"/>
        <w:outlineLvl w:val="9"/>
        <w:rPr>
          <w:rFonts w:hint="eastAsia" w:ascii="仿宋_GB2312" w:hAnsi="仿宋" w:eastAsia="仿宋_GB2312" w:cs="Times New Roman"/>
          <w:b w:val="0"/>
          <w:bCs/>
          <w:color w:val="auto"/>
          <w:sz w:val="34"/>
          <w:szCs w:val="34"/>
          <w:u w:val="none"/>
        </w:rPr>
      </w:pPr>
      <w:r>
        <w:rPr>
          <w:rFonts w:hint="eastAsia" w:ascii="黑体" w:hAnsi="黑体" w:eastAsia="黑体" w:cs="Times New Roman"/>
          <w:b w:val="0"/>
          <w:bCs/>
          <w:color w:val="auto"/>
          <w:sz w:val="34"/>
          <w:szCs w:val="34"/>
          <w:u w:val="none"/>
          <w:lang w:val="en-US" w:eastAsia="zh-CN"/>
        </w:rPr>
        <w:t>第二章 管理</w:t>
      </w:r>
      <w:r>
        <w:rPr>
          <w:rFonts w:hint="eastAsia" w:ascii="黑体" w:hAnsi="黑体" w:eastAsia="黑体" w:cs="Times New Roman"/>
          <w:b w:val="0"/>
          <w:bCs/>
          <w:color w:val="auto"/>
          <w:sz w:val="34"/>
          <w:szCs w:val="34"/>
          <w:u w:val="none"/>
          <w:lang w:eastAsia="zh-CN"/>
        </w:rPr>
        <w:t>职责</w:t>
      </w:r>
    </w:p>
    <w:p w14:paraId="7B73A348">
      <w:pPr>
        <w:keepNext w:val="0"/>
        <w:keepLines w:val="0"/>
        <w:pageBreakBefore w:val="0"/>
        <w:widowControl/>
        <w:tabs>
          <w:tab w:val="left" w:pos="2565"/>
        </w:tabs>
        <w:kinsoku/>
        <w:wordWrap/>
        <w:overflowPunct/>
        <w:topLinePunct w:val="0"/>
        <w:autoSpaceDE/>
        <w:autoSpaceDN/>
        <w:bidi w:val="0"/>
        <w:adjustRightInd w:val="0"/>
        <w:snapToGrid w:val="0"/>
        <w:spacing w:beforeLines="0" w:afterLines="0" w:line="600" w:lineRule="exact"/>
        <w:ind w:left="0" w:leftChars="0" w:right="0" w:rightChars="0" w:firstLine="683" w:firstLineChars="200"/>
        <w:textAlignment w:val="auto"/>
        <w:outlineLvl w:val="9"/>
        <w:rPr>
          <w:rFonts w:hint="eastAsia" w:ascii="仿宋_GB2312" w:hAnsi="仿宋" w:eastAsia="仿宋_GB2312" w:cs="Times New Roman"/>
          <w:bCs/>
          <w:i w:val="0"/>
          <w:iCs w:val="0"/>
          <w:caps w:val="0"/>
          <w:color w:val="auto"/>
          <w:spacing w:val="0"/>
          <w:sz w:val="34"/>
          <w:szCs w:val="34"/>
          <w:u w:val="none"/>
          <w:lang w:val="en-US" w:eastAsia="zh-CN"/>
        </w:rPr>
      </w:pPr>
      <w:r>
        <w:rPr>
          <w:rFonts w:hint="eastAsia" w:ascii="仿宋_GB2312" w:hAnsi="楷体" w:eastAsia="仿宋_GB2312" w:cs="Times New Roman"/>
          <w:b/>
          <w:bCs w:val="0"/>
          <w:color w:val="auto"/>
          <w:sz w:val="34"/>
          <w:szCs w:val="34"/>
          <w:u w:val="none"/>
          <w:lang w:val="en-US" w:eastAsia="zh-CN"/>
        </w:rPr>
        <w:t>第四条</w:t>
      </w:r>
      <w:r>
        <w:rPr>
          <w:rFonts w:hint="eastAsia" w:ascii="仿宋_GB2312" w:hAnsi="仿宋" w:eastAsia="仿宋_GB2312" w:cs="Times New Roman"/>
          <w:bCs/>
          <w:i w:val="0"/>
          <w:iCs w:val="0"/>
          <w:caps w:val="0"/>
          <w:color w:val="auto"/>
          <w:spacing w:val="0"/>
          <w:sz w:val="34"/>
          <w:szCs w:val="34"/>
          <w:u w:val="none"/>
          <w:shd w:val="clear" w:color="auto" w:fill="auto"/>
          <w:lang w:val="en-US" w:eastAsia="zh-CN"/>
        </w:rPr>
        <w:t xml:space="preserve">  集团本部及各</w:t>
      </w:r>
      <w:r>
        <w:rPr>
          <w:rFonts w:hint="eastAsia" w:ascii="仿宋_GB2312" w:hAnsi="仿宋" w:eastAsia="仿宋_GB2312" w:cs="Times New Roman"/>
          <w:bCs/>
          <w:i w:val="0"/>
          <w:iCs w:val="0"/>
          <w:caps w:val="0"/>
          <w:color w:val="auto"/>
          <w:spacing w:val="0"/>
          <w:sz w:val="34"/>
          <w:szCs w:val="34"/>
          <w:u w:val="none"/>
          <w:lang w:val="en-US" w:eastAsia="zh-CN"/>
        </w:rPr>
        <w:t>单位拥有对负面清单供应商进行考核评价及解除的权限，负面清单供应商的增减变动须报集团商务合作部公示后生效执行。</w:t>
      </w:r>
    </w:p>
    <w:p w14:paraId="3FC6DED2">
      <w:pPr>
        <w:keepNext w:val="0"/>
        <w:keepLines w:val="0"/>
        <w:pageBreakBefore w:val="0"/>
        <w:tabs>
          <w:tab w:val="left" w:pos="2565"/>
        </w:tabs>
        <w:kinsoku/>
        <w:wordWrap/>
        <w:overflowPunct/>
        <w:topLinePunct w:val="0"/>
        <w:autoSpaceDE/>
        <w:autoSpaceDN/>
        <w:bidi w:val="0"/>
        <w:adjustRightInd w:val="0"/>
        <w:snapToGrid w:val="0"/>
        <w:spacing w:beforeLines="0" w:afterLines="0" w:line="600" w:lineRule="exact"/>
        <w:ind w:left="0" w:leftChars="0" w:right="0" w:rightChars="0" w:firstLine="683" w:firstLineChars="200"/>
        <w:textAlignment w:val="auto"/>
        <w:outlineLvl w:val="9"/>
        <w:rPr>
          <w:rFonts w:ascii="仿宋" w:hAnsi="仿宋" w:eastAsia="仿宋"/>
          <w:b w:val="0"/>
          <w:bCs/>
          <w:color w:val="auto"/>
          <w:sz w:val="34"/>
          <w:szCs w:val="34"/>
          <w:u w:val="none"/>
        </w:rPr>
      </w:pPr>
      <w:r>
        <w:rPr>
          <w:rFonts w:hint="eastAsia" w:ascii="仿宋_GB2312" w:hAnsi="楷体" w:eastAsia="仿宋_GB2312" w:cs="Times New Roman"/>
          <w:b/>
          <w:bCs w:val="0"/>
          <w:color w:val="auto"/>
          <w:sz w:val="34"/>
          <w:szCs w:val="34"/>
          <w:u w:val="none"/>
          <w:lang w:val="en-US" w:eastAsia="zh-CN"/>
        </w:rPr>
        <w:t xml:space="preserve">第五条 </w:t>
      </w:r>
      <w:r>
        <w:rPr>
          <w:rFonts w:hint="eastAsia" w:ascii="仿宋_GB2312" w:hAnsi="仿宋" w:eastAsia="仿宋_GB2312" w:cs="Times New Roman"/>
          <w:bCs/>
          <w:i w:val="0"/>
          <w:iCs w:val="0"/>
          <w:caps w:val="0"/>
          <w:color w:val="auto"/>
          <w:spacing w:val="0"/>
          <w:sz w:val="34"/>
          <w:szCs w:val="34"/>
          <w:u w:val="none"/>
          <w:shd w:val="clear" w:color="auto" w:fill="auto"/>
          <w:lang w:val="en-US" w:eastAsia="zh-CN"/>
        </w:rPr>
        <w:t xml:space="preserve"> 集团本部的负面清单管理工作由集团商务合作部直接负责，集团各部门</w:t>
      </w:r>
      <w:r>
        <w:rPr>
          <w:rFonts w:hint="eastAsia" w:ascii="仿宋_GB2312" w:hAnsi="仿宋" w:eastAsia="仿宋_GB2312" w:cs="Times New Roman"/>
          <w:bCs/>
          <w:i w:val="0"/>
          <w:iCs w:val="0"/>
          <w:caps w:val="0"/>
          <w:color w:val="auto"/>
          <w:spacing w:val="0"/>
          <w:sz w:val="34"/>
          <w:szCs w:val="34"/>
          <w:u w:val="none"/>
          <w:lang w:val="en-US" w:eastAsia="zh-CN"/>
        </w:rPr>
        <w:t>在采购、合同履约、物资使用等环节中产生的供应商考核意见，须实时报送集团商务合作部汇总管理，确保清单动态更新与信息共享。</w:t>
      </w:r>
    </w:p>
    <w:p w14:paraId="27A8E3A5">
      <w:pPr>
        <w:spacing w:line="600" w:lineRule="exact"/>
        <w:ind w:firstLine="0" w:firstLineChars="0"/>
        <w:jc w:val="center"/>
        <w:rPr>
          <w:rFonts w:hint="eastAsia" w:ascii="黑体" w:hAnsi="黑体" w:eastAsia="黑体" w:cs="Times New Roman"/>
          <w:b w:val="0"/>
          <w:bCs/>
          <w:color w:val="auto"/>
          <w:sz w:val="34"/>
          <w:szCs w:val="34"/>
          <w:u w:val="none"/>
          <w:lang w:eastAsia="zh-CN"/>
        </w:rPr>
      </w:pPr>
      <w:r>
        <w:rPr>
          <w:rFonts w:hint="eastAsia" w:ascii="黑体" w:hAnsi="黑体" w:eastAsia="黑体" w:cs="Times New Roman"/>
          <w:b w:val="0"/>
          <w:bCs/>
          <w:color w:val="auto"/>
          <w:sz w:val="34"/>
          <w:szCs w:val="34"/>
          <w:u w:val="none"/>
          <w:lang w:eastAsia="zh-CN"/>
        </w:rPr>
        <w:t>第</w:t>
      </w:r>
      <w:r>
        <w:rPr>
          <w:rFonts w:hint="eastAsia" w:ascii="黑体" w:hAnsi="黑体" w:eastAsia="黑体" w:cs="Times New Roman"/>
          <w:b w:val="0"/>
          <w:bCs/>
          <w:color w:val="auto"/>
          <w:sz w:val="34"/>
          <w:szCs w:val="34"/>
          <w:u w:val="none"/>
          <w:lang w:val="en-US" w:eastAsia="zh-CN"/>
        </w:rPr>
        <w:t>三</w:t>
      </w:r>
      <w:r>
        <w:rPr>
          <w:rFonts w:hint="eastAsia" w:ascii="黑体" w:hAnsi="黑体" w:eastAsia="黑体" w:cs="Times New Roman"/>
          <w:b w:val="0"/>
          <w:bCs/>
          <w:color w:val="auto"/>
          <w:sz w:val="34"/>
          <w:szCs w:val="34"/>
          <w:u w:val="none"/>
          <w:lang w:eastAsia="zh-CN"/>
        </w:rPr>
        <w:t>章　</w:t>
      </w:r>
      <w:r>
        <w:rPr>
          <w:rFonts w:hint="eastAsia" w:ascii="黑体" w:hAnsi="黑体" w:eastAsia="黑体" w:cs="Times New Roman"/>
          <w:b w:val="0"/>
          <w:bCs/>
          <w:color w:val="auto"/>
          <w:sz w:val="34"/>
          <w:szCs w:val="34"/>
          <w:u w:val="none"/>
        </w:rPr>
        <w:t>供应商</w:t>
      </w:r>
      <w:r>
        <w:rPr>
          <w:rFonts w:hint="eastAsia" w:ascii="黑体" w:hAnsi="黑体" w:eastAsia="黑体" w:cs="Times New Roman"/>
          <w:b w:val="0"/>
          <w:bCs/>
          <w:color w:val="auto"/>
          <w:sz w:val="34"/>
          <w:szCs w:val="34"/>
          <w:u w:val="none"/>
          <w:lang w:val="en-US" w:eastAsia="zh-CN"/>
        </w:rPr>
        <w:t>分级</w:t>
      </w:r>
      <w:r>
        <w:rPr>
          <w:rFonts w:hint="eastAsia" w:ascii="黑体" w:hAnsi="黑体" w:eastAsia="黑体" w:cs="Times New Roman"/>
          <w:b w:val="0"/>
          <w:bCs/>
          <w:color w:val="auto"/>
          <w:sz w:val="34"/>
          <w:szCs w:val="34"/>
          <w:u w:val="none"/>
          <w:lang w:eastAsia="zh-CN"/>
        </w:rPr>
        <w:t>管理</w:t>
      </w:r>
    </w:p>
    <w:p w14:paraId="444DD366">
      <w:pPr>
        <w:keepNext w:val="0"/>
        <w:keepLines w:val="0"/>
        <w:pageBreakBefore w:val="0"/>
        <w:widowControl/>
        <w:tabs>
          <w:tab w:val="left" w:pos="2565"/>
        </w:tabs>
        <w:kinsoku/>
        <w:wordWrap/>
        <w:overflowPunct/>
        <w:topLinePunct w:val="0"/>
        <w:autoSpaceDE/>
        <w:autoSpaceDN/>
        <w:bidi w:val="0"/>
        <w:adjustRightInd w:val="0"/>
        <w:snapToGrid w:val="0"/>
        <w:spacing w:beforeLines="0" w:afterLines="0" w:line="600" w:lineRule="exact"/>
        <w:ind w:left="0" w:leftChars="0" w:firstLine="683" w:firstLineChars="200"/>
        <w:textAlignment w:val="auto"/>
        <w:outlineLvl w:val="9"/>
        <w:rPr>
          <w:rFonts w:hint="eastAsia" w:ascii="仿宋_GB2312" w:hAnsi="楷体" w:eastAsia="仿宋_GB2312" w:cs="Times New Roman"/>
          <w:b w:val="0"/>
          <w:bCs/>
          <w:color w:val="auto"/>
          <w:sz w:val="34"/>
          <w:szCs w:val="34"/>
          <w:u w:val="none"/>
          <w:lang w:val="en-US" w:eastAsia="zh-CN"/>
        </w:rPr>
      </w:pPr>
      <w:r>
        <w:rPr>
          <w:rFonts w:hint="eastAsia" w:ascii="仿宋_GB2312" w:hAnsi="楷体" w:eastAsia="仿宋_GB2312" w:cs="Times New Roman"/>
          <w:b/>
          <w:bCs w:val="0"/>
          <w:color w:val="auto"/>
          <w:sz w:val="34"/>
          <w:szCs w:val="34"/>
          <w:u w:val="none"/>
          <w:lang w:val="en-US" w:eastAsia="zh-CN"/>
        </w:rPr>
        <w:t xml:space="preserve">第六条  </w:t>
      </w:r>
      <w:r>
        <w:rPr>
          <w:rFonts w:hint="eastAsia" w:ascii="仿宋_GB2312" w:hAnsi="楷体" w:eastAsia="仿宋_GB2312" w:cs="Times New Roman"/>
          <w:b w:val="0"/>
          <w:bCs/>
          <w:color w:val="auto"/>
          <w:sz w:val="34"/>
          <w:szCs w:val="34"/>
          <w:u w:val="none"/>
          <w:lang w:val="en-US" w:eastAsia="zh-CN"/>
        </w:rPr>
        <w:t>根据考核扣分及违规严重性，将供应商分为以下三类管理：</w:t>
      </w:r>
    </w:p>
    <w:p w14:paraId="16915ED3">
      <w:pPr>
        <w:keepNext w:val="0"/>
        <w:keepLines w:val="0"/>
        <w:pageBreakBefore w:val="0"/>
        <w:widowControl/>
        <w:tabs>
          <w:tab w:val="left" w:pos="2565"/>
        </w:tabs>
        <w:kinsoku/>
        <w:wordWrap/>
        <w:overflowPunct/>
        <w:topLinePunct w:val="0"/>
        <w:autoSpaceDE/>
        <w:autoSpaceDN/>
        <w:bidi w:val="0"/>
        <w:adjustRightInd w:val="0"/>
        <w:snapToGrid w:val="0"/>
        <w:spacing w:beforeLines="0" w:afterLines="0" w:line="600" w:lineRule="exact"/>
        <w:ind w:left="0" w:leftChars="0" w:firstLine="680" w:firstLineChars="200"/>
        <w:textAlignment w:val="auto"/>
        <w:outlineLvl w:val="9"/>
        <w:rPr>
          <w:rFonts w:hint="eastAsia" w:ascii="仿宋_GB2312" w:hAnsi="楷体" w:eastAsia="仿宋_GB2312" w:cs="Times New Roman"/>
          <w:b w:val="0"/>
          <w:bCs/>
          <w:color w:val="auto"/>
          <w:sz w:val="34"/>
          <w:szCs w:val="34"/>
          <w:u w:val="none"/>
          <w:lang w:val="en-US" w:eastAsia="zh-CN"/>
        </w:rPr>
      </w:pPr>
      <w:r>
        <w:rPr>
          <w:rFonts w:hint="eastAsia" w:ascii="仿宋_GB2312" w:hAnsi="楷体" w:eastAsia="仿宋_GB2312" w:cs="Times New Roman"/>
          <w:b w:val="0"/>
          <w:bCs/>
          <w:color w:val="auto"/>
          <w:sz w:val="34"/>
          <w:szCs w:val="34"/>
          <w:u w:val="none"/>
          <w:lang w:val="en-US" w:eastAsia="zh-CN"/>
        </w:rPr>
        <w:t>（一）合格供应商</w:t>
      </w:r>
    </w:p>
    <w:p w14:paraId="646B5ABC">
      <w:pPr>
        <w:keepNext w:val="0"/>
        <w:keepLines w:val="0"/>
        <w:pageBreakBefore w:val="0"/>
        <w:widowControl/>
        <w:tabs>
          <w:tab w:val="left" w:pos="2565"/>
        </w:tabs>
        <w:kinsoku/>
        <w:wordWrap/>
        <w:overflowPunct/>
        <w:topLinePunct w:val="0"/>
        <w:autoSpaceDE/>
        <w:autoSpaceDN/>
        <w:bidi w:val="0"/>
        <w:adjustRightInd w:val="0"/>
        <w:snapToGrid w:val="0"/>
        <w:spacing w:beforeLines="0" w:afterLines="0" w:line="600" w:lineRule="exact"/>
        <w:ind w:left="0" w:leftChars="0" w:firstLine="680" w:firstLineChars="200"/>
        <w:textAlignment w:val="auto"/>
        <w:outlineLvl w:val="9"/>
        <w:rPr>
          <w:rFonts w:hint="eastAsia" w:ascii="仿宋_GB2312" w:hAnsi="楷体" w:eastAsia="仿宋_GB2312" w:cs="Times New Roman"/>
          <w:b w:val="0"/>
          <w:bCs/>
          <w:color w:val="auto"/>
          <w:sz w:val="34"/>
          <w:szCs w:val="34"/>
          <w:u w:val="none"/>
          <w:lang w:val="en-US" w:eastAsia="zh-CN"/>
        </w:rPr>
      </w:pPr>
      <w:r>
        <w:rPr>
          <w:rFonts w:hint="eastAsia" w:ascii="仿宋_GB2312" w:hAnsi="楷体" w:eastAsia="仿宋_GB2312" w:cs="Times New Roman"/>
          <w:b w:val="0"/>
          <w:bCs/>
          <w:color w:val="auto"/>
          <w:sz w:val="34"/>
          <w:szCs w:val="34"/>
          <w:u w:val="none"/>
          <w:lang w:val="en-US" w:eastAsia="zh-CN"/>
        </w:rPr>
        <w:t>1.考核标准：</w:t>
      </w:r>
      <w:r>
        <w:rPr>
          <w:rFonts w:hint="eastAsia" w:ascii="仿宋_GB2312" w:hAnsi="楷体" w:eastAsia="仿宋_GB2312" w:cs="Times New Roman"/>
          <w:bCs/>
          <w:i w:val="0"/>
          <w:iCs w:val="0"/>
          <w:caps w:val="0"/>
          <w:color w:val="auto"/>
          <w:spacing w:val="0"/>
          <w:sz w:val="34"/>
          <w:szCs w:val="34"/>
          <w:u w:val="none"/>
          <w:lang w:val="en-US" w:eastAsia="zh-CN"/>
        </w:rPr>
        <w:t>滚动周期</w:t>
      </w:r>
      <w:r>
        <w:rPr>
          <w:rFonts w:hint="eastAsia" w:ascii="仿宋_GB2312" w:hAnsi="楷体" w:eastAsia="仿宋_GB2312" w:cs="Times New Roman"/>
          <w:b w:val="0"/>
          <w:bCs/>
          <w:color w:val="auto"/>
          <w:sz w:val="34"/>
          <w:szCs w:val="34"/>
          <w:u w:val="none"/>
          <w:lang w:val="en-US" w:eastAsia="zh-CN"/>
        </w:rPr>
        <w:t>扣分（一年内）＜10分。</w:t>
      </w:r>
    </w:p>
    <w:p w14:paraId="7B21AF38">
      <w:pPr>
        <w:keepNext w:val="0"/>
        <w:keepLines w:val="0"/>
        <w:pageBreakBefore w:val="0"/>
        <w:widowControl/>
        <w:tabs>
          <w:tab w:val="left" w:pos="2565"/>
        </w:tabs>
        <w:kinsoku/>
        <w:wordWrap/>
        <w:overflowPunct/>
        <w:topLinePunct w:val="0"/>
        <w:autoSpaceDE/>
        <w:autoSpaceDN/>
        <w:bidi w:val="0"/>
        <w:adjustRightInd w:val="0"/>
        <w:snapToGrid w:val="0"/>
        <w:spacing w:beforeLines="0" w:afterLines="0" w:line="600" w:lineRule="exact"/>
        <w:ind w:left="0" w:leftChars="0" w:firstLine="680" w:firstLineChars="200"/>
        <w:textAlignment w:val="auto"/>
        <w:outlineLvl w:val="9"/>
        <w:rPr>
          <w:rFonts w:hint="eastAsia" w:ascii="仿宋_GB2312" w:hAnsi="楷体" w:eastAsia="仿宋_GB2312" w:cs="Times New Roman"/>
          <w:b w:val="0"/>
          <w:bCs/>
          <w:color w:val="auto"/>
          <w:sz w:val="34"/>
          <w:szCs w:val="34"/>
          <w:u w:val="none"/>
          <w:lang w:val="en-US" w:eastAsia="zh-CN"/>
        </w:rPr>
      </w:pPr>
      <w:r>
        <w:rPr>
          <w:rFonts w:hint="eastAsia" w:ascii="仿宋_GB2312" w:hAnsi="楷体" w:eastAsia="仿宋_GB2312" w:cs="Times New Roman"/>
          <w:b w:val="0"/>
          <w:bCs/>
          <w:color w:val="auto"/>
          <w:sz w:val="34"/>
          <w:szCs w:val="34"/>
          <w:u w:val="none"/>
          <w:lang w:val="en-US" w:eastAsia="zh-CN"/>
        </w:rPr>
        <w:t>2.管理措施：可正常参与公司公开采购及合作，扣分自首次扣除满一年自动清零。</w:t>
      </w:r>
    </w:p>
    <w:p w14:paraId="6498075B">
      <w:pPr>
        <w:keepNext w:val="0"/>
        <w:keepLines w:val="0"/>
        <w:pageBreakBefore w:val="0"/>
        <w:widowControl/>
        <w:tabs>
          <w:tab w:val="left" w:pos="2565"/>
        </w:tabs>
        <w:kinsoku/>
        <w:wordWrap/>
        <w:overflowPunct/>
        <w:topLinePunct w:val="0"/>
        <w:autoSpaceDE/>
        <w:autoSpaceDN/>
        <w:bidi w:val="0"/>
        <w:adjustRightInd w:val="0"/>
        <w:snapToGrid w:val="0"/>
        <w:spacing w:beforeLines="0" w:afterLines="0" w:line="600" w:lineRule="exact"/>
        <w:ind w:left="0" w:leftChars="0" w:firstLine="680" w:firstLineChars="200"/>
        <w:textAlignment w:val="auto"/>
        <w:outlineLvl w:val="9"/>
        <w:rPr>
          <w:rFonts w:hint="eastAsia" w:ascii="仿宋_GB2312" w:hAnsi="楷体" w:eastAsia="仿宋_GB2312" w:cs="Times New Roman"/>
          <w:b w:val="0"/>
          <w:bCs/>
          <w:color w:val="auto"/>
          <w:sz w:val="34"/>
          <w:szCs w:val="34"/>
          <w:u w:val="none"/>
          <w:lang w:val="en-US" w:eastAsia="zh-CN"/>
        </w:rPr>
      </w:pPr>
      <w:r>
        <w:rPr>
          <w:rFonts w:hint="eastAsia" w:ascii="仿宋_GB2312" w:hAnsi="楷体" w:eastAsia="仿宋_GB2312" w:cs="Times New Roman"/>
          <w:b w:val="0"/>
          <w:bCs/>
          <w:color w:val="auto"/>
          <w:sz w:val="34"/>
          <w:szCs w:val="34"/>
          <w:u w:val="none"/>
          <w:lang w:val="en-US" w:eastAsia="zh-CN"/>
        </w:rPr>
        <w:t>（二）暂停合作供应商</w:t>
      </w:r>
    </w:p>
    <w:p w14:paraId="0A90064B">
      <w:pPr>
        <w:keepNext w:val="0"/>
        <w:keepLines w:val="0"/>
        <w:pageBreakBefore w:val="0"/>
        <w:widowControl/>
        <w:tabs>
          <w:tab w:val="left" w:pos="2565"/>
        </w:tabs>
        <w:kinsoku/>
        <w:wordWrap/>
        <w:overflowPunct/>
        <w:topLinePunct w:val="0"/>
        <w:autoSpaceDE/>
        <w:autoSpaceDN/>
        <w:bidi w:val="0"/>
        <w:adjustRightInd w:val="0"/>
        <w:snapToGrid w:val="0"/>
        <w:spacing w:beforeLines="0" w:afterLines="0" w:line="600" w:lineRule="exact"/>
        <w:ind w:left="0" w:leftChars="0" w:firstLine="680" w:firstLineChars="200"/>
        <w:textAlignment w:val="auto"/>
        <w:outlineLvl w:val="9"/>
        <w:rPr>
          <w:rFonts w:hint="eastAsia" w:ascii="仿宋_GB2312" w:hAnsi="楷体" w:eastAsia="仿宋_GB2312" w:cs="Times New Roman"/>
          <w:b w:val="0"/>
          <w:bCs/>
          <w:color w:val="auto"/>
          <w:sz w:val="34"/>
          <w:szCs w:val="34"/>
          <w:u w:val="none"/>
          <w:lang w:val="en-US" w:eastAsia="zh-CN"/>
        </w:rPr>
      </w:pPr>
      <w:r>
        <w:rPr>
          <w:rFonts w:hint="eastAsia" w:ascii="仿宋_GB2312" w:hAnsi="楷体" w:eastAsia="仿宋_GB2312" w:cs="Times New Roman"/>
          <w:b w:val="0"/>
          <w:bCs/>
          <w:color w:val="auto"/>
          <w:sz w:val="34"/>
          <w:szCs w:val="34"/>
          <w:u w:val="none"/>
          <w:lang w:val="en-US" w:eastAsia="zh-CN"/>
        </w:rPr>
        <w:t>1.考核标准：同一</w:t>
      </w:r>
      <w:r>
        <w:rPr>
          <w:rFonts w:hint="eastAsia" w:ascii="仿宋_GB2312" w:hAnsi="仿宋" w:eastAsia="仿宋_GB2312" w:cs="Times New Roman"/>
          <w:b w:val="0"/>
          <w:bCs/>
          <w:color w:val="auto"/>
          <w:sz w:val="34"/>
          <w:szCs w:val="34"/>
          <w:u w:val="none"/>
          <w:lang w:val="en-US" w:eastAsia="zh-CN"/>
        </w:rPr>
        <w:t>单位对同一供应商一年内的考核扣分累计</w:t>
      </w:r>
      <w:r>
        <w:rPr>
          <w:rFonts w:hint="eastAsia" w:ascii="仿宋_GB2312" w:hAnsi="楷体" w:eastAsia="仿宋_GB2312" w:cs="Times New Roman"/>
          <w:b w:val="0"/>
          <w:bCs/>
          <w:color w:val="auto"/>
          <w:sz w:val="34"/>
          <w:szCs w:val="34"/>
          <w:u w:val="none"/>
          <w:lang w:val="en-US" w:eastAsia="zh-CN"/>
        </w:rPr>
        <w:t>≥10分；</w:t>
      </w:r>
      <w:r>
        <w:rPr>
          <w:rFonts w:hint="eastAsia" w:ascii="仿宋_GB2312" w:hAnsi="仿宋" w:eastAsia="仿宋_GB2312" w:cs="Times New Roman"/>
          <w:b w:val="0"/>
          <w:bCs/>
          <w:color w:val="auto"/>
          <w:sz w:val="34"/>
          <w:szCs w:val="34"/>
          <w:u w:val="none"/>
          <w:lang w:val="en-US" w:eastAsia="zh-CN"/>
        </w:rPr>
        <w:t>不同单位对同一供应商一年内的考核扣分累计</w:t>
      </w:r>
      <w:r>
        <w:rPr>
          <w:rFonts w:hint="eastAsia" w:ascii="仿宋_GB2312" w:hAnsi="楷体" w:eastAsia="仿宋_GB2312" w:cs="Times New Roman"/>
          <w:b w:val="0"/>
          <w:bCs/>
          <w:color w:val="auto"/>
          <w:sz w:val="34"/>
          <w:szCs w:val="34"/>
          <w:u w:val="none"/>
          <w:lang w:val="en-US" w:eastAsia="zh-CN"/>
        </w:rPr>
        <w:t>≥15分。</w:t>
      </w:r>
    </w:p>
    <w:p w14:paraId="3018FBEC">
      <w:pPr>
        <w:keepNext w:val="0"/>
        <w:keepLines w:val="0"/>
        <w:pageBreakBefore w:val="0"/>
        <w:widowControl/>
        <w:tabs>
          <w:tab w:val="left" w:pos="2565"/>
        </w:tabs>
        <w:kinsoku/>
        <w:wordWrap/>
        <w:overflowPunct/>
        <w:topLinePunct w:val="0"/>
        <w:autoSpaceDE/>
        <w:autoSpaceDN/>
        <w:bidi w:val="0"/>
        <w:adjustRightInd w:val="0"/>
        <w:snapToGrid w:val="0"/>
        <w:spacing w:beforeLines="0" w:afterLines="0" w:line="600" w:lineRule="exact"/>
        <w:ind w:left="0" w:leftChars="0" w:firstLine="680" w:firstLineChars="200"/>
        <w:textAlignment w:val="auto"/>
        <w:outlineLvl w:val="9"/>
        <w:rPr>
          <w:rFonts w:hint="default"/>
          <w:color w:val="auto"/>
          <w:u w:val="none"/>
          <w:lang w:val="en-US" w:eastAsia="zh-CN"/>
        </w:rPr>
      </w:pPr>
      <w:r>
        <w:rPr>
          <w:rFonts w:hint="eastAsia" w:ascii="仿宋_GB2312" w:hAnsi="楷体" w:eastAsia="仿宋_GB2312" w:cs="Times New Roman"/>
          <w:b w:val="0"/>
          <w:bCs/>
          <w:color w:val="auto"/>
          <w:sz w:val="34"/>
          <w:szCs w:val="34"/>
          <w:u w:val="none"/>
          <w:lang w:val="en-US" w:eastAsia="zh-CN"/>
        </w:rPr>
        <w:t>2.管理措施：一年内停止与其产生新的合作。建立到期提示机制，到期前一个月内考核部门应主动告知相应供应商，并同步开放整改材料提交通道。</w:t>
      </w:r>
    </w:p>
    <w:p w14:paraId="722AC1FB">
      <w:pPr>
        <w:keepNext w:val="0"/>
        <w:keepLines w:val="0"/>
        <w:pageBreakBefore w:val="0"/>
        <w:widowControl/>
        <w:tabs>
          <w:tab w:val="left" w:pos="2565"/>
        </w:tabs>
        <w:kinsoku/>
        <w:wordWrap/>
        <w:overflowPunct/>
        <w:topLinePunct w:val="0"/>
        <w:autoSpaceDE/>
        <w:autoSpaceDN/>
        <w:bidi w:val="0"/>
        <w:adjustRightInd w:val="0"/>
        <w:snapToGrid w:val="0"/>
        <w:spacing w:beforeLines="0" w:afterLines="0" w:line="600" w:lineRule="exact"/>
        <w:ind w:left="0" w:leftChars="0" w:firstLine="680" w:firstLineChars="200"/>
        <w:textAlignment w:val="auto"/>
        <w:outlineLvl w:val="9"/>
        <w:rPr>
          <w:rFonts w:hint="default" w:ascii="仿宋_GB2312" w:hAnsi="楷体" w:eastAsia="仿宋_GB2312" w:cs="Times New Roman"/>
          <w:b w:val="0"/>
          <w:bCs/>
          <w:color w:val="auto"/>
          <w:sz w:val="34"/>
          <w:szCs w:val="34"/>
          <w:u w:val="none"/>
          <w:lang w:val="en-US" w:eastAsia="zh-CN"/>
        </w:rPr>
      </w:pPr>
      <w:r>
        <w:rPr>
          <w:rFonts w:hint="eastAsia" w:ascii="仿宋_GB2312" w:hAnsi="楷体" w:eastAsia="仿宋_GB2312" w:cs="Times New Roman"/>
          <w:b w:val="0"/>
          <w:bCs/>
          <w:color w:val="auto"/>
          <w:sz w:val="34"/>
          <w:szCs w:val="34"/>
          <w:u w:val="none"/>
          <w:lang w:val="en-US" w:eastAsia="zh-CN"/>
        </w:rPr>
        <w:t>3.评审优先级：在采购评审过程中，同等情况下应优先选择未曾被列入暂停合作供应商清单的供应商。</w:t>
      </w:r>
    </w:p>
    <w:p w14:paraId="763BED22">
      <w:pPr>
        <w:keepNext w:val="0"/>
        <w:keepLines w:val="0"/>
        <w:pageBreakBefore w:val="0"/>
        <w:widowControl/>
        <w:tabs>
          <w:tab w:val="left" w:pos="2565"/>
        </w:tabs>
        <w:kinsoku/>
        <w:wordWrap/>
        <w:overflowPunct/>
        <w:topLinePunct w:val="0"/>
        <w:autoSpaceDE/>
        <w:autoSpaceDN/>
        <w:bidi w:val="0"/>
        <w:adjustRightInd w:val="0"/>
        <w:snapToGrid w:val="0"/>
        <w:spacing w:beforeLines="0" w:afterLines="0" w:line="600" w:lineRule="exact"/>
        <w:ind w:left="0" w:leftChars="0" w:firstLine="680" w:firstLineChars="200"/>
        <w:textAlignment w:val="auto"/>
        <w:outlineLvl w:val="9"/>
        <w:rPr>
          <w:rFonts w:hint="eastAsia" w:ascii="仿宋_GB2312" w:hAnsi="楷体" w:eastAsia="仿宋_GB2312" w:cs="Times New Roman"/>
          <w:b w:val="0"/>
          <w:bCs/>
          <w:color w:val="auto"/>
          <w:sz w:val="34"/>
          <w:szCs w:val="34"/>
          <w:u w:val="none"/>
          <w:lang w:val="en-US" w:eastAsia="zh-CN"/>
        </w:rPr>
      </w:pPr>
      <w:r>
        <w:rPr>
          <w:rFonts w:hint="eastAsia" w:ascii="仿宋_GB2312" w:hAnsi="楷体" w:eastAsia="仿宋_GB2312" w:cs="Times New Roman"/>
          <w:b w:val="0"/>
          <w:bCs/>
          <w:color w:val="auto"/>
          <w:sz w:val="34"/>
          <w:szCs w:val="34"/>
          <w:u w:val="none"/>
          <w:lang w:val="en-US" w:eastAsia="zh-CN"/>
        </w:rPr>
        <w:t>（三）禁止合作供应商</w:t>
      </w:r>
    </w:p>
    <w:p w14:paraId="35D74AA4">
      <w:pPr>
        <w:keepNext w:val="0"/>
        <w:keepLines w:val="0"/>
        <w:pageBreakBefore w:val="0"/>
        <w:widowControl/>
        <w:tabs>
          <w:tab w:val="left" w:pos="2565"/>
        </w:tabs>
        <w:kinsoku/>
        <w:wordWrap/>
        <w:overflowPunct/>
        <w:topLinePunct w:val="0"/>
        <w:autoSpaceDE/>
        <w:autoSpaceDN/>
        <w:bidi w:val="0"/>
        <w:adjustRightInd w:val="0"/>
        <w:snapToGrid w:val="0"/>
        <w:spacing w:beforeLines="0" w:afterLines="0" w:line="600" w:lineRule="exact"/>
        <w:ind w:left="0" w:leftChars="0" w:firstLine="680" w:firstLineChars="200"/>
        <w:textAlignment w:val="auto"/>
        <w:outlineLvl w:val="9"/>
        <w:rPr>
          <w:rFonts w:hint="eastAsia" w:ascii="仿宋_GB2312" w:hAnsi="楷体" w:eastAsia="仿宋_GB2312" w:cs="Times New Roman"/>
          <w:b w:val="0"/>
          <w:bCs/>
          <w:color w:val="auto"/>
          <w:sz w:val="34"/>
          <w:szCs w:val="34"/>
          <w:u w:val="none"/>
          <w:lang w:val="en-US" w:eastAsia="zh-CN"/>
        </w:rPr>
      </w:pPr>
      <w:r>
        <w:rPr>
          <w:rFonts w:hint="eastAsia" w:ascii="仿宋_GB2312" w:hAnsi="楷体" w:eastAsia="仿宋_GB2312" w:cs="Times New Roman"/>
          <w:b w:val="0"/>
          <w:bCs/>
          <w:color w:val="auto"/>
          <w:sz w:val="34"/>
          <w:szCs w:val="34"/>
          <w:u w:val="none"/>
          <w:lang w:val="en-US" w:eastAsia="zh-CN"/>
        </w:rPr>
        <w:t>1.考核标准：供应商发生以下恶意行为的，将直接列入禁止合作供应商清单：</w:t>
      </w:r>
    </w:p>
    <w:p w14:paraId="44CDC201">
      <w:pPr>
        <w:keepNext w:val="0"/>
        <w:keepLines w:val="0"/>
        <w:pageBreakBefore w:val="0"/>
        <w:widowControl/>
        <w:tabs>
          <w:tab w:val="left" w:pos="2565"/>
        </w:tabs>
        <w:kinsoku/>
        <w:wordWrap/>
        <w:overflowPunct/>
        <w:topLinePunct w:val="0"/>
        <w:autoSpaceDE/>
        <w:autoSpaceDN/>
        <w:bidi w:val="0"/>
        <w:adjustRightInd w:val="0"/>
        <w:snapToGrid w:val="0"/>
        <w:spacing w:beforeLines="0" w:afterLines="0" w:line="600" w:lineRule="exact"/>
        <w:ind w:left="0" w:leftChars="0" w:firstLine="680" w:firstLineChars="200"/>
        <w:textAlignment w:val="auto"/>
        <w:outlineLvl w:val="9"/>
        <w:rPr>
          <w:rFonts w:hint="eastAsia" w:ascii="仿宋_GB2312" w:hAnsi="楷体" w:eastAsia="仿宋_GB2312" w:cs="Times New Roman"/>
          <w:b w:val="0"/>
          <w:bCs/>
          <w:color w:val="auto"/>
          <w:sz w:val="34"/>
          <w:szCs w:val="34"/>
          <w:u w:val="none"/>
          <w:lang w:val="en-US" w:eastAsia="zh-CN"/>
        </w:rPr>
      </w:pPr>
      <w:r>
        <w:rPr>
          <w:rFonts w:hint="eastAsia" w:ascii="仿宋_GB2312" w:hAnsi="楷体" w:eastAsia="仿宋_GB2312" w:cs="Times New Roman"/>
          <w:b w:val="0"/>
          <w:bCs/>
          <w:color w:val="auto"/>
          <w:sz w:val="34"/>
          <w:szCs w:val="34"/>
          <w:u w:val="none"/>
          <w:lang w:val="en-US" w:eastAsia="zh-CN"/>
        </w:rPr>
        <w:t>（1）主观恶意且对公司生产经营活动造成重大损害的；</w:t>
      </w:r>
    </w:p>
    <w:p w14:paraId="6DF9951B">
      <w:pPr>
        <w:keepNext w:val="0"/>
        <w:keepLines w:val="0"/>
        <w:pageBreakBefore w:val="0"/>
        <w:widowControl/>
        <w:tabs>
          <w:tab w:val="left" w:pos="2565"/>
        </w:tabs>
        <w:kinsoku/>
        <w:wordWrap/>
        <w:overflowPunct/>
        <w:topLinePunct w:val="0"/>
        <w:autoSpaceDE/>
        <w:autoSpaceDN/>
        <w:bidi w:val="0"/>
        <w:adjustRightInd w:val="0"/>
        <w:snapToGrid w:val="0"/>
        <w:spacing w:beforeLines="0" w:afterLines="0" w:line="600" w:lineRule="exact"/>
        <w:ind w:left="0" w:leftChars="0" w:firstLine="680" w:firstLineChars="200"/>
        <w:textAlignment w:val="auto"/>
        <w:outlineLvl w:val="9"/>
        <w:rPr>
          <w:rFonts w:hint="eastAsia" w:ascii="仿宋_GB2312" w:hAnsi="仿宋" w:eastAsia="仿宋_GB2312" w:cs="Times New Roman"/>
          <w:b w:val="0"/>
          <w:bCs/>
          <w:color w:val="auto"/>
          <w:sz w:val="34"/>
          <w:szCs w:val="34"/>
          <w:u w:val="none"/>
          <w:lang w:val="en-US" w:eastAsia="zh-CN"/>
        </w:rPr>
      </w:pPr>
      <w:r>
        <w:rPr>
          <w:rFonts w:hint="eastAsia" w:ascii="仿宋_GB2312" w:hAnsi="楷体" w:eastAsia="仿宋_GB2312" w:cs="Times New Roman"/>
          <w:bCs/>
          <w:i w:val="0"/>
          <w:iCs w:val="0"/>
          <w:caps w:val="0"/>
          <w:color w:val="auto"/>
          <w:spacing w:val="0"/>
          <w:sz w:val="34"/>
          <w:szCs w:val="34"/>
          <w:u w:val="none"/>
          <w:lang w:val="en-US" w:eastAsia="zh-CN"/>
        </w:rPr>
        <w:t>（2）</w:t>
      </w:r>
      <w:r>
        <w:rPr>
          <w:rFonts w:hint="eastAsia" w:ascii="仿宋_GB2312" w:hAnsi="仿宋" w:eastAsia="仿宋_GB2312" w:cs="Times New Roman"/>
          <w:b w:val="0"/>
          <w:bCs/>
          <w:color w:val="auto"/>
          <w:sz w:val="34"/>
          <w:szCs w:val="34"/>
          <w:u w:val="none"/>
          <w:lang w:val="en-US" w:eastAsia="zh-CN"/>
        </w:rPr>
        <w:t>恶意法律诉讼起诉我公司最终被法院裁定为败诉的；</w:t>
      </w:r>
    </w:p>
    <w:p w14:paraId="77122529">
      <w:pPr>
        <w:keepNext w:val="0"/>
        <w:keepLines w:val="0"/>
        <w:pageBreakBefore w:val="0"/>
        <w:widowControl/>
        <w:kinsoku/>
        <w:wordWrap/>
        <w:overflowPunct/>
        <w:topLinePunct w:val="0"/>
        <w:autoSpaceDE/>
        <w:autoSpaceDN/>
        <w:bidi w:val="0"/>
        <w:adjustRightInd w:val="0"/>
        <w:snapToGrid w:val="0"/>
        <w:spacing w:beforeLines="0" w:beforeAutospacing="0" w:afterLines="0" w:afterAutospacing="0" w:line="600" w:lineRule="exact"/>
        <w:ind w:left="0" w:leftChars="0" w:firstLine="0" w:firstLineChars="0"/>
        <w:textAlignment w:val="auto"/>
        <w:outlineLvl w:val="9"/>
        <w:rPr>
          <w:rFonts w:hint="eastAsia" w:ascii="仿宋_GB2312" w:hAnsi="仿宋" w:eastAsia="仿宋_GB2312" w:cs="Times New Roman"/>
          <w:b w:val="0"/>
          <w:bCs/>
          <w:color w:val="auto"/>
          <w:sz w:val="34"/>
          <w:szCs w:val="34"/>
          <w:u w:val="none"/>
          <w:lang w:val="en-US" w:eastAsia="zh-CN"/>
        </w:rPr>
      </w:pPr>
      <w:r>
        <w:rPr>
          <w:rFonts w:hint="eastAsia" w:ascii="仿宋_GB2312" w:hAnsi="仿宋" w:eastAsia="仿宋_GB2312" w:cs="Times New Roman"/>
          <w:b w:val="0"/>
          <w:bCs/>
          <w:color w:val="auto"/>
          <w:sz w:val="34"/>
          <w:szCs w:val="34"/>
          <w:u w:val="none"/>
          <w:lang w:val="en-US" w:eastAsia="zh-CN"/>
        </w:rPr>
        <w:t xml:space="preserve">    （3）</w:t>
      </w:r>
      <w:r>
        <w:rPr>
          <w:rFonts w:hint="eastAsia" w:ascii="仿宋_GB2312" w:hAnsi="楷体" w:eastAsia="仿宋_GB2312" w:cs="Times New Roman"/>
          <w:b w:val="0"/>
          <w:bCs/>
          <w:color w:val="auto"/>
          <w:sz w:val="34"/>
          <w:szCs w:val="34"/>
          <w:u w:val="none"/>
          <w:lang w:val="en-US" w:eastAsia="zh-CN"/>
        </w:rPr>
        <w:t>两次列入暂停合作供应商的；</w:t>
      </w:r>
    </w:p>
    <w:p w14:paraId="48B798FE">
      <w:pPr>
        <w:keepNext w:val="0"/>
        <w:keepLines w:val="0"/>
        <w:pageBreakBefore w:val="0"/>
        <w:widowControl/>
        <w:tabs>
          <w:tab w:val="left" w:pos="2565"/>
        </w:tabs>
        <w:kinsoku/>
        <w:wordWrap/>
        <w:overflowPunct/>
        <w:topLinePunct w:val="0"/>
        <w:autoSpaceDE/>
        <w:autoSpaceDN/>
        <w:bidi w:val="0"/>
        <w:adjustRightInd w:val="0"/>
        <w:snapToGrid w:val="0"/>
        <w:spacing w:beforeAutospacing="0" w:afterAutospacing="0" w:line="600" w:lineRule="exact"/>
        <w:ind w:firstLine="680" w:firstLineChars="200"/>
        <w:textAlignment w:val="auto"/>
        <w:outlineLvl w:val="9"/>
        <w:rPr>
          <w:rFonts w:hint="eastAsia" w:ascii="仿宋_GB2312" w:hAnsi="楷体" w:eastAsia="仿宋_GB2312" w:cs="Times New Roman"/>
          <w:b w:val="0"/>
          <w:bCs/>
          <w:color w:val="auto"/>
          <w:sz w:val="34"/>
          <w:szCs w:val="34"/>
          <w:u w:val="none"/>
          <w:lang w:val="en-US" w:eastAsia="zh-CN"/>
        </w:rPr>
      </w:pPr>
      <w:r>
        <w:rPr>
          <w:rFonts w:hint="eastAsia" w:ascii="仿宋_GB2312" w:hAnsi="楷体" w:eastAsia="仿宋_GB2312" w:cs="Times New Roman"/>
          <w:b w:val="0"/>
          <w:bCs/>
          <w:color w:val="auto"/>
          <w:sz w:val="34"/>
          <w:szCs w:val="34"/>
          <w:u w:val="none"/>
          <w:lang w:val="en-US" w:eastAsia="zh-CN"/>
        </w:rPr>
        <w:t>（4）</w:t>
      </w:r>
      <w:r>
        <w:rPr>
          <w:rFonts w:hint="eastAsia" w:ascii="仿宋_GB2312" w:hAnsi="仿宋" w:eastAsia="仿宋_GB2312" w:cs="Times New Roman"/>
          <w:b w:val="0"/>
          <w:bCs/>
          <w:color w:val="auto"/>
          <w:sz w:val="34"/>
          <w:szCs w:val="34"/>
          <w:u w:val="none"/>
        </w:rPr>
        <w:t>违反廉</w:t>
      </w:r>
      <w:r>
        <w:rPr>
          <w:rFonts w:hint="eastAsia" w:ascii="仿宋_GB2312" w:hAnsi="仿宋" w:eastAsia="仿宋_GB2312" w:cs="Times New Roman"/>
          <w:b w:val="0"/>
          <w:bCs/>
          <w:color w:val="auto"/>
          <w:sz w:val="34"/>
          <w:szCs w:val="34"/>
          <w:u w:val="none"/>
          <w:lang w:eastAsia="zh-CN"/>
        </w:rPr>
        <w:t>政</w:t>
      </w:r>
      <w:r>
        <w:rPr>
          <w:rFonts w:hint="eastAsia" w:ascii="仿宋_GB2312" w:hAnsi="仿宋" w:eastAsia="仿宋_GB2312" w:cs="Times New Roman"/>
          <w:b w:val="0"/>
          <w:bCs/>
          <w:color w:val="auto"/>
          <w:sz w:val="34"/>
          <w:szCs w:val="34"/>
          <w:u w:val="none"/>
        </w:rPr>
        <w:t>协议，滋生腐败现象</w:t>
      </w:r>
      <w:r>
        <w:rPr>
          <w:rFonts w:hint="eastAsia" w:ascii="仿宋_GB2312" w:hAnsi="仿宋" w:eastAsia="仿宋_GB2312" w:cs="Times New Roman"/>
          <w:b w:val="0"/>
          <w:bCs/>
          <w:color w:val="auto"/>
          <w:sz w:val="34"/>
          <w:szCs w:val="34"/>
          <w:u w:val="none"/>
          <w:lang w:eastAsia="zh-CN"/>
        </w:rPr>
        <w:t>的；</w:t>
      </w:r>
    </w:p>
    <w:p w14:paraId="01E92C64">
      <w:pPr>
        <w:pStyle w:val="3"/>
        <w:keepNext w:val="0"/>
        <w:keepLines w:val="0"/>
        <w:pageBreakBefore w:val="0"/>
        <w:widowControl/>
        <w:kinsoku/>
        <w:wordWrap/>
        <w:overflowPunct/>
        <w:topLinePunct w:val="0"/>
        <w:autoSpaceDE/>
        <w:autoSpaceDN/>
        <w:bidi w:val="0"/>
        <w:adjustRightInd w:val="0"/>
        <w:snapToGrid w:val="0"/>
        <w:spacing w:beforeAutospacing="0" w:afterAutospacing="0" w:line="600" w:lineRule="exact"/>
        <w:ind w:firstLine="680" w:firstLineChars="200"/>
        <w:textAlignment w:val="auto"/>
        <w:rPr>
          <w:rFonts w:hint="default"/>
          <w:color w:val="auto"/>
          <w:u w:val="none"/>
          <w:lang w:val="en-US" w:eastAsia="zh-CN"/>
        </w:rPr>
      </w:pPr>
      <w:r>
        <w:rPr>
          <w:rFonts w:hint="eastAsia" w:ascii="仿宋_GB2312" w:hAnsi="楷体" w:eastAsia="仿宋_GB2312" w:cs="Times New Roman"/>
          <w:b w:val="0"/>
          <w:bCs/>
          <w:color w:val="auto"/>
          <w:sz w:val="34"/>
          <w:szCs w:val="34"/>
          <w:u w:val="none"/>
          <w:lang w:val="en-US" w:eastAsia="zh-CN"/>
        </w:rPr>
        <w:t>（5）存在其他严重侵害公司利益行为的。</w:t>
      </w:r>
    </w:p>
    <w:p w14:paraId="5C08A675">
      <w:pPr>
        <w:keepNext w:val="0"/>
        <w:keepLines w:val="0"/>
        <w:pageBreakBefore w:val="0"/>
        <w:widowControl/>
        <w:tabs>
          <w:tab w:val="left" w:pos="2565"/>
        </w:tabs>
        <w:kinsoku/>
        <w:wordWrap/>
        <w:overflowPunct/>
        <w:topLinePunct w:val="0"/>
        <w:autoSpaceDE/>
        <w:autoSpaceDN/>
        <w:bidi w:val="0"/>
        <w:adjustRightInd w:val="0"/>
        <w:snapToGrid w:val="0"/>
        <w:spacing w:beforeLines="0" w:beforeAutospacing="0" w:afterLines="0" w:afterAutospacing="0" w:line="600" w:lineRule="exact"/>
        <w:ind w:left="0" w:leftChars="0" w:firstLine="680" w:firstLineChars="200"/>
        <w:textAlignment w:val="auto"/>
        <w:outlineLvl w:val="9"/>
        <w:rPr>
          <w:rFonts w:hint="eastAsia" w:ascii="仿宋_GB2312" w:hAnsi="楷体" w:eastAsia="仿宋_GB2312" w:cs="Times New Roman"/>
          <w:b w:val="0"/>
          <w:bCs/>
          <w:color w:val="auto"/>
          <w:sz w:val="34"/>
          <w:szCs w:val="34"/>
          <w:u w:val="none"/>
          <w:lang w:val="en-US" w:eastAsia="zh-CN"/>
        </w:rPr>
      </w:pPr>
      <w:r>
        <w:rPr>
          <w:rFonts w:hint="eastAsia" w:ascii="仿宋_GB2312" w:hAnsi="楷体" w:eastAsia="仿宋_GB2312" w:cs="Times New Roman"/>
          <w:b w:val="0"/>
          <w:bCs/>
          <w:color w:val="auto"/>
          <w:sz w:val="34"/>
          <w:szCs w:val="34"/>
          <w:u w:val="none"/>
          <w:lang w:val="en-US" w:eastAsia="zh-CN"/>
        </w:rPr>
        <w:t>2.管理措施：原则上</w:t>
      </w:r>
      <w:r>
        <w:rPr>
          <w:rFonts w:hint="eastAsia" w:ascii="仿宋_GB2312" w:hAnsi="楷体" w:eastAsia="仿宋_GB2312" w:cs="Times New Roman"/>
          <w:bCs/>
          <w:i w:val="0"/>
          <w:iCs w:val="0"/>
          <w:caps w:val="0"/>
          <w:color w:val="auto"/>
          <w:spacing w:val="0"/>
          <w:sz w:val="34"/>
          <w:szCs w:val="34"/>
          <w:u w:val="none"/>
          <w:lang w:val="en-US" w:eastAsia="zh-CN"/>
        </w:rPr>
        <w:t>永久禁止合作。</w:t>
      </w:r>
    </w:p>
    <w:p w14:paraId="520F7A2B">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jc w:val="center"/>
        <w:textAlignment w:val="auto"/>
        <w:outlineLvl w:val="9"/>
        <w:rPr>
          <w:rFonts w:hint="default" w:ascii="黑体" w:hAnsi="黑体" w:eastAsia="黑体" w:cs="Times New Roman"/>
          <w:b w:val="0"/>
          <w:bCs/>
          <w:color w:val="auto"/>
          <w:sz w:val="34"/>
          <w:szCs w:val="34"/>
          <w:u w:val="none"/>
          <w:lang w:val="en-US" w:eastAsia="zh-CN"/>
        </w:rPr>
      </w:pPr>
      <w:r>
        <w:rPr>
          <w:rFonts w:hint="eastAsia" w:ascii="黑体" w:hAnsi="黑体" w:eastAsia="黑体" w:cs="Times New Roman"/>
          <w:b w:val="0"/>
          <w:bCs/>
          <w:color w:val="auto"/>
          <w:sz w:val="34"/>
          <w:szCs w:val="34"/>
          <w:u w:val="none"/>
          <w:lang w:val="en-US" w:eastAsia="zh-CN"/>
        </w:rPr>
        <w:t>第四章 积分考核细则</w:t>
      </w:r>
    </w:p>
    <w:p w14:paraId="1092259F">
      <w:pPr>
        <w:keepNext w:val="0"/>
        <w:keepLines w:val="0"/>
        <w:pageBreakBefore w:val="0"/>
        <w:widowControl/>
        <w:kinsoku/>
        <w:wordWrap/>
        <w:overflowPunct/>
        <w:topLinePunct w:val="0"/>
        <w:autoSpaceDE/>
        <w:autoSpaceDN/>
        <w:bidi w:val="0"/>
        <w:spacing w:beforeLines="0" w:afterLines="0" w:line="600" w:lineRule="exact"/>
        <w:ind w:left="0" w:leftChars="0" w:firstLine="683" w:firstLineChars="200"/>
        <w:textAlignment w:val="auto"/>
        <w:outlineLvl w:val="9"/>
        <w:rPr>
          <w:rFonts w:hint="eastAsia" w:ascii="仿宋_GB2312" w:hAnsi="楷体" w:eastAsia="仿宋_GB2312" w:cs="Times New Roman"/>
          <w:b w:val="0"/>
          <w:bCs/>
          <w:color w:val="auto"/>
          <w:sz w:val="34"/>
          <w:szCs w:val="34"/>
          <w:u w:val="none"/>
          <w:lang w:val="en-US" w:eastAsia="zh-CN"/>
        </w:rPr>
      </w:pPr>
      <w:r>
        <w:rPr>
          <w:rFonts w:hint="eastAsia" w:ascii="仿宋_GB2312" w:hAnsi="楷体" w:eastAsia="仿宋_GB2312" w:cs="Times New Roman"/>
          <w:b/>
          <w:bCs w:val="0"/>
          <w:color w:val="auto"/>
          <w:sz w:val="34"/>
          <w:szCs w:val="34"/>
          <w:u w:val="none"/>
          <w:lang w:val="en-US" w:eastAsia="zh-CN"/>
        </w:rPr>
        <w:t xml:space="preserve">第七条 </w:t>
      </w:r>
      <w:r>
        <w:rPr>
          <w:rFonts w:hint="eastAsia" w:ascii="仿宋_GB2312" w:hAnsi="楷体" w:eastAsia="仿宋_GB2312" w:cs="Times New Roman"/>
          <w:b w:val="0"/>
          <w:bCs/>
          <w:color w:val="auto"/>
          <w:sz w:val="34"/>
          <w:szCs w:val="34"/>
          <w:u w:val="none"/>
          <w:lang w:val="en-US" w:eastAsia="zh-CN"/>
        </w:rPr>
        <w:t>供应商的积分考核主要包括供货质量、交货周期、售后服务、资质信誉等方面，每项各10分，各相关部门均可提出书面考核意见。商务合作部负责对各相关部门提出的考核意见进行收集汇总，并及时公示。</w:t>
      </w:r>
    </w:p>
    <w:p w14:paraId="787207B5">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u w:val="none"/>
        </w:rPr>
      </w:pPr>
      <w:r>
        <w:rPr>
          <w:rFonts w:hint="eastAsia" w:ascii="仿宋_GB2312" w:hAnsi="仿宋" w:eastAsia="仿宋_GB2312" w:cs="Times New Roman"/>
          <w:b w:val="0"/>
          <w:bCs/>
          <w:color w:val="auto"/>
          <w:sz w:val="34"/>
          <w:szCs w:val="34"/>
          <w:u w:val="none"/>
          <w:lang w:eastAsia="zh-CN"/>
        </w:rPr>
        <w:t>　　（</w:t>
      </w:r>
      <w:r>
        <w:rPr>
          <w:rFonts w:hint="eastAsia" w:ascii="仿宋_GB2312" w:hAnsi="仿宋" w:eastAsia="仿宋_GB2312" w:cs="Times New Roman"/>
          <w:b w:val="0"/>
          <w:bCs/>
          <w:color w:val="auto"/>
          <w:sz w:val="34"/>
          <w:szCs w:val="34"/>
          <w:u w:val="none"/>
          <w:lang w:val="en-US" w:eastAsia="zh-CN"/>
        </w:rPr>
        <w:t>一</w:t>
      </w:r>
      <w:r>
        <w:rPr>
          <w:rFonts w:hint="eastAsia" w:ascii="仿宋_GB2312" w:hAnsi="仿宋" w:eastAsia="仿宋_GB2312" w:cs="Times New Roman"/>
          <w:b w:val="0"/>
          <w:bCs/>
          <w:color w:val="auto"/>
          <w:sz w:val="34"/>
          <w:szCs w:val="34"/>
          <w:u w:val="none"/>
          <w:lang w:eastAsia="zh-CN"/>
        </w:rPr>
        <w:t>）</w:t>
      </w:r>
      <w:r>
        <w:rPr>
          <w:rFonts w:hint="eastAsia" w:ascii="仿宋_GB2312" w:hAnsi="仿宋" w:eastAsia="仿宋_GB2312" w:cs="Times New Roman"/>
          <w:b w:val="0"/>
          <w:bCs/>
          <w:color w:val="auto"/>
          <w:sz w:val="34"/>
          <w:szCs w:val="34"/>
          <w:u w:val="none"/>
        </w:rPr>
        <w:t>质量方面</w:t>
      </w:r>
    </w:p>
    <w:p w14:paraId="390CE763">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u w:val="none"/>
        </w:rPr>
      </w:pPr>
      <w:r>
        <w:rPr>
          <w:rFonts w:hint="eastAsia" w:ascii="仿宋_GB2312" w:hAnsi="仿宋" w:eastAsia="仿宋_GB2312" w:cs="Times New Roman"/>
          <w:b w:val="0"/>
          <w:bCs/>
          <w:color w:val="auto"/>
          <w:sz w:val="34"/>
          <w:szCs w:val="34"/>
          <w:u w:val="none"/>
          <w:lang w:val="en-US" w:eastAsia="zh-CN"/>
        </w:rPr>
        <w:t xml:space="preserve">    1.</w:t>
      </w:r>
      <w:r>
        <w:rPr>
          <w:rFonts w:hint="eastAsia" w:ascii="仿宋_GB2312" w:hAnsi="仿宋" w:eastAsia="仿宋_GB2312" w:cs="Times New Roman"/>
          <w:b w:val="0"/>
          <w:bCs/>
          <w:color w:val="auto"/>
          <w:sz w:val="34"/>
          <w:szCs w:val="34"/>
          <w:u w:val="none"/>
        </w:rPr>
        <w:t>所供产品出现质量问题，未对</w:t>
      </w:r>
      <w:r>
        <w:rPr>
          <w:rFonts w:hint="eastAsia" w:ascii="仿宋_GB2312" w:hAnsi="仿宋" w:eastAsia="仿宋_GB2312" w:cs="Times New Roman"/>
          <w:b w:val="0"/>
          <w:bCs/>
          <w:color w:val="auto"/>
          <w:sz w:val="34"/>
          <w:szCs w:val="34"/>
          <w:u w:val="none"/>
          <w:lang w:eastAsia="zh-CN"/>
        </w:rPr>
        <w:t>公司</w:t>
      </w:r>
      <w:r>
        <w:rPr>
          <w:rFonts w:hint="eastAsia" w:ascii="仿宋_GB2312" w:hAnsi="仿宋" w:eastAsia="仿宋_GB2312" w:cs="Times New Roman"/>
          <w:b w:val="0"/>
          <w:bCs/>
          <w:color w:val="auto"/>
          <w:sz w:val="34"/>
          <w:szCs w:val="34"/>
          <w:u w:val="none"/>
        </w:rPr>
        <w:t>造成影响，单次扣</w:t>
      </w:r>
      <w:r>
        <w:rPr>
          <w:rFonts w:hint="eastAsia" w:ascii="仿宋_GB2312" w:hAnsi="仿宋" w:eastAsia="仿宋_GB2312" w:cs="Times New Roman"/>
          <w:b w:val="0"/>
          <w:bCs/>
          <w:color w:val="auto"/>
          <w:sz w:val="34"/>
          <w:szCs w:val="34"/>
          <w:u w:val="none"/>
          <w:lang w:val="en-US" w:eastAsia="zh-CN"/>
        </w:rPr>
        <w:t>1-</w:t>
      </w:r>
      <w:r>
        <w:rPr>
          <w:rFonts w:hint="eastAsia" w:ascii="仿宋_GB2312" w:hAnsi="仿宋" w:eastAsia="仿宋_GB2312" w:cs="Times New Roman"/>
          <w:b w:val="0"/>
          <w:bCs/>
          <w:color w:val="auto"/>
          <w:sz w:val="34"/>
          <w:szCs w:val="34"/>
          <w:u w:val="none"/>
        </w:rPr>
        <w:t>3分。</w:t>
      </w:r>
    </w:p>
    <w:p w14:paraId="31B59A65">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u w:val="none"/>
          <w:lang w:val="en-US" w:eastAsia="zh-CN"/>
        </w:rPr>
      </w:pPr>
      <w:r>
        <w:rPr>
          <w:rFonts w:hint="eastAsia" w:ascii="仿宋_GB2312" w:hAnsi="仿宋" w:eastAsia="仿宋_GB2312" w:cs="Times New Roman"/>
          <w:b w:val="0"/>
          <w:bCs/>
          <w:color w:val="auto"/>
          <w:sz w:val="34"/>
          <w:szCs w:val="34"/>
          <w:u w:val="none"/>
          <w:lang w:eastAsia="zh-CN"/>
        </w:rPr>
        <w:t>　　</w:t>
      </w:r>
      <w:r>
        <w:rPr>
          <w:rFonts w:hint="eastAsia" w:ascii="仿宋_GB2312" w:hAnsi="仿宋" w:eastAsia="仿宋_GB2312" w:cs="Times New Roman"/>
          <w:b w:val="0"/>
          <w:bCs/>
          <w:color w:val="auto"/>
          <w:sz w:val="34"/>
          <w:szCs w:val="34"/>
          <w:u w:val="none"/>
          <w:lang w:val="en-US" w:eastAsia="zh-CN"/>
        </w:rPr>
        <w:t>2.</w:t>
      </w:r>
      <w:r>
        <w:rPr>
          <w:rFonts w:hint="eastAsia" w:ascii="仿宋_GB2312" w:hAnsi="仿宋" w:eastAsia="仿宋_GB2312" w:cs="Times New Roman"/>
          <w:b w:val="0"/>
          <w:bCs/>
          <w:color w:val="auto"/>
          <w:sz w:val="34"/>
          <w:szCs w:val="34"/>
          <w:u w:val="none"/>
        </w:rPr>
        <w:t>所供产品出现质量问题，对</w:t>
      </w:r>
      <w:r>
        <w:rPr>
          <w:rFonts w:hint="eastAsia" w:ascii="仿宋_GB2312" w:hAnsi="仿宋" w:eastAsia="仿宋_GB2312" w:cs="Times New Roman"/>
          <w:b w:val="0"/>
          <w:bCs/>
          <w:color w:val="auto"/>
          <w:sz w:val="34"/>
          <w:szCs w:val="34"/>
          <w:u w:val="none"/>
          <w:lang w:eastAsia="zh-CN"/>
        </w:rPr>
        <w:t>公司</w:t>
      </w:r>
      <w:r>
        <w:rPr>
          <w:rFonts w:hint="eastAsia" w:ascii="仿宋_GB2312" w:hAnsi="仿宋" w:eastAsia="仿宋_GB2312" w:cs="Times New Roman"/>
          <w:b w:val="0"/>
          <w:bCs/>
          <w:color w:val="auto"/>
          <w:sz w:val="34"/>
          <w:szCs w:val="34"/>
          <w:u w:val="none"/>
        </w:rPr>
        <w:t>造成</w:t>
      </w:r>
      <w:r>
        <w:rPr>
          <w:rFonts w:hint="eastAsia" w:ascii="仿宋_GB2312" w:hAnsi="仿宋" w:eastAsia="仿宋_GB2312" w:cs="Times New Roman"/>
          <w:b w:val="0"/>
          <w:bCs/>
          <w:color w:val="auto"/>
          <w:sz w:val="34"/>
          <w:szCs w:val="34"/>
          <w:u w:val="none"/>
          <w:lang w:eastAsia="zh-CN"/>
        </w:rPr>
        <w:t>了一定</w:t>
      </w:r>
      <w:r>
        <w:rPr>
          <w:rFonts w:hint="eastAsia" w:ascii="仿宋_GB2312" w:hAnsi="仿宋" w:eastAsia="仿宋_GB2312" w:cs="Times New Roman"/>
          <w:b w:val="0"/>
          <w:bCs/>
          <w:color w:val="auto"/>
          <w:sz w:val="34"/>
          <w:szCs w:val="34"/>
          <w:u w:val="none"/>
        </w:rPr>
        <w:t>影响，单次扣</w:t>
      </w:r>
      <w:r>
        <w:rPr>
          <w:rFonts w:hint="eastAsia" w:ascii="仿宋_GB2312" w:hAnsi="仿宋" w:eastAsia="仿宋_GB2312" w:cs="Times New Roman"/>
          <w:b w:val="0"/>
          <w:bCs/>
          <w:color w:val="auto"/>
          <w:sz w:val="34"/>
          <w:szCs w:val="34"/>
          <w:u w:val="none"/>
          <w:lang w:val="en-US" w:eastAsia="zh-CN"/>
        </w:rPr>
        <w:t>3-5分。</w:t>
      </w:r>
    </w:p>
    <w:p w14:paraId="11190A14">
      <w:pPr>
        <w:spacing w:line="600" w:lineRule="exact"/>
        <w:ind w:firstLine="680"/>
        <w:outlineLvl w:val="9"/>
        <w:rPr>
          <w:rFonts w:hint="eastAsia" w:ascii="仿宋_GB2312" w:hAnsi="仿宋" w:eastAsia="仿宋_GB2312" w:cs="Times New Roman"/>
          <w:b w:val="0"/>
          <w:bCs/>
          <w:color w:val="auto"/>
          <w:sz w:val="34"/>
          <w:szCs w:val="34"/>
          <w:u w:val="none"/>
        </w:rPr>
      </w:pPr>
      <w:r>
        <w:rPr>
          <w:rFonts w:hint="eastAsia" w:ascii="仿宋_GB2312" w:hAnsi="仿宋" w:eastAsia="仿宋_GB2312" w:cs="Times New Roman"/>
          <w:b w:val="0"/>
          <w:bCs/>
          <w:color w:val="auto"/>
          <w:sz w:val="34"/>
          <w:szCs w:val="34"/>
          <w:u w:val="none"/>
          <w:lang w:val="en-US" w:eastAsia="zh-CN"/>
        </w:rPr>
        <w:t>3.</w:t>
      </w:r>
      <w:r>
        <w:rPr>
          <w:rFonts w:hint="eastAsia" w:ascii="仿宋_GB2312" w:hAnsi="仿宋" w:eastAsia="仿宋_GB2312" w:cs="Times New Roman"/>
          <w:b w:val="0"/>
          <w:bCs/>
          <w:color w:val="auto"/>
          <w:sz w:val="34"/>
          <w:szCs w:val="34"/>
          <w:u w:val="none"/>
        </w:rPr>
        <w:t>所供产品出现质量问题，</w:t>
      </w:r>
      <w:r>
        <w:rPr>
          <w:rFonts w:hint="eastAsia" w:ascii="仿宋_GB2312" w:hAnsi="仿宋" w:eastAsia="仿宋_GB2312" w:cs="Times New Roman"/>
          <w:b w:val="0"/>
          <w:bCs/>
          <w:color w:val="auto"/>
          <w:sz w:val="34"/>
          <w:szCs w:val="34"/>
          <w:u w:val="none"/>
          <w:lang w:eastAsia="zh-CN"/>
        </w:rPr>
        <w:t>对公司造成了严重影响</w:t>
      </w:r>
      <w:r>
        <w:rPr>
          <w:rFonts w:hint="eastAsia" w:ascii="仿宋_GB2312" w:hAnsi="仿宋" w:eastAsia="仿宋_GB2312" w:cs="Times New Roman"/>
          <w:b w:val="0"/>
          <w:bCs/>
          <w:color w:val="auto"/>
          <w:sz w:val="34"/>
          <w:szCs w:val="34"/>
          <w:u w:val="none"/>
        </w:rPr>
        <w:t>，单次扣</w:t>
      </w:r>
      <w:r>
        <w:rPr>
          <w:rFonts w:hint="eastAsia" w:ascii="仿宋_GB2312" w:hAnsi="仿宋" w:eastAsia="仿宋_GB2312" w:cs="Times New Roman"/>
          <w:b w:val="0"/>
          <w:bCs/>
          <w:color w:val="auto"/>
          <w:sz w:val="34"/>
          <w:szCs w:val="34"/>
          <w:u w:val="none"/>
          <w:lang w:val="en-US" w:eastAsia="zh-CN"/>
        </w:rPr>
        <w:t>5-</w:t>
      </w:r>
      <w:r>
        <w:rPr>
          <w:rFonts w:hint="eastAsia" w:ascii="仿宋_GB2312" w:hAnsi="仿宋" w:eastAsia="仿宋_GB2312" w:cs="Times New Roman"/>
          <w:b w:val="0"/>
          <w:bCs/>
          <w:color w:val="auto"/>
          <w:sz w:val="34"/>
          <w:szCs w:val="34"/>
          <w:u w:val="none"/>
        </w:rPr>
        <w:t>10分。</w:t>
      </w:r>
    </w:p>
    <w:p w14:paraId="09302C96">
      <w:pPr>
        <w:spacing w:line="600" w:lineRule="exact"/>
        <w:ind w:firstLine="0"/>
        <w:outlineLvl w:val="9"/>
        <w:rPr>
          <w:rFonts w:hint="eastAsia" w:ascii="仿宋_GB2312" w:hAnsi="仿宋" w:eastAsia="仿宋_GB2312" w:cs="Times New Roman"/>
          <w:b w:val="0"/>
          <w:bCs/>
          <w:color w:val="auto"/>
          <w:sz w:val="34"/>
          <w:szCs w:val="34"/>
          <w:u w:val="none"/>
        </w:rPr>
      </w:pPr>
      <w:r>
        <w:rPr>
          <w:rFonts w:hint="eastAsia" w:ascii="仿宋_GB2312" w:hAnsi="仿宋" w:eastAsia="仿宋_GB2312" w:cs="Times New Roman"/>
          <w:b w:val="0"/>
          <w:bCs/>
          <w:color w:val="auto"/>
          <w:sz w:val="34"/>
          <w:szCs w:val="34"/>
          <w:u w:val="none"/>
          <w:lang w:val="en-US" w:eastAsia="zh-CN"/>
        </w:rPr>
        <w:t xml:space="preserve">    4.</w:t>
      </w:r>
      <w:r>
        <w:rPr>
          <w:rFonts w:hint="eastAsia" w:ascii="仿宋_GB2312" w:hAnsi="仿宋" w:eastAsia="仿宋_GB2312" w:cs="Times New Roman"/>
          <w:b w:val="0"/>
          <w:bCs/>
          <w:color w:val="auto"/>
          <w:sz w:val="34"/>
          <w:szCs w:val="34"/>
          <w:u w:val="none"/>
        </w:rPr>
        <w:t>所供产品故意隐瞒质量缺陷或以次充好，单次扣10分。</w:t>
      </w:r>
    </w:p>
    <w:p w14:paraId="428B5D75">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u w:val="none"/>
        </w:rPr>
      </w:pPr>
      <w:r>
        <w:rPr>
          <w:rFonts w:hint="eastAsia" w:ascii="仿宋_GB2312" w:hAnsi="仿宋" w:eastAsia="仿宋_GB2312" w:cs="Times New Roman"/>
          <w:b w:val="0"/>
          <w:bCs/>
          <w:color w:val="auto"/>
          <w:sz w:val="34"/>
          <w:szCs w:val="34"/>
          <w:u w:val="none"/>
          <w:lang w:eastAsia="zh-CN"/>
        </w:rPr>
        <w:t>　　（</w:t>
      </w:r>
      <w:r>
        <w:rPr>
          <w:rFonts w:hint="eastAsia" w:ascii="仿宋_GB2312" w:hAnsi="仿宋" w:eastAsia="仿宋_GB2312" w:cs="Times New Roman"/>
          <w:b w:val="0"/>
          <w:bCs/>
          <w:color w:val="auto"/>
          <w:sz w:val="34"/>
          <w:szCs w:val="34"/>
          <w:u w:val="none"/>
          <w:lang w:val="en-US" w:eastAsia="zh-CN"/>
        </w:rPr>
        <w:t>二</w:t>
      </w:r>
      <w:r>
        <w:rPr>
          <w:rFonts w:hint="eastAsia" w:ascii="仿宋_GB2312" w:hAnsi="仿宋" w:eastAsia="仿宋_GB2312" w:cs="Times New Roman"/>
          <w:b w:val="0"/>
          <w:bCs/>
          <w:color w:val="auto"/>
          <w:sz w:val="34"/>
          <w:szCs w:val="34"/>
          <w:u w:val="none"/>
          <w:lang w:eastAsia="zh-CN"/>
        </w:rPr>
        <w:t>）</w:t>
      </w:r>
      <w:r>
        <w:rPr>
          <w:rFonts w:hint="eastAsia" w:ascii="仿宋_GB2312" w:hAnsi="仿宋" w:eastAsia="仿宋_GB2312" w:cs="Times New Roman"/>
          <w:b w:val="0"/>
          <w:bCs/>
          <w:color w:val="auto"/>
          <w:sz w:val="34"/>
          <w:szCs w:val="34"/>
          <w:u w:val="none"/>
        </w:rPr>
        <w:t>交货方面</w:t>
      </w:r>
    </w:p>
    <w:p w14:paraId="3629C986">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u w:val="none"/>
        </w:rPr>
      </w:pPr>
      <w:r>
        <w:rPr>
          <w:rFonts w:hint="eastAsia" w:ascii="仿宋_GB2312" w:hAnsi="仿宋" w:eastAsia="仿宋_GB2312" w:cs="Times New Roman"/>
          <w:b w:val="0"/>
          <w:bCs/>
          <w:color w:val="auto"/>
          <w:sz w:val="34"/>
          <w:szCs w:val="34"/>
          <w:u w:val="none"/>
          <w:lang w:val="en-US" w:eastAsia="zh-CN"/>
        </w:rPr>
        <w:t xml:space="preserve">    1.</w:t>
      </w:r>
      <w:r>
        <w:rPr>
          <w:rFonts w:hint="eastAsia" w:ascii="仿宋_GB2312" w:hAnsi="仿宋" w:eastAsia="仿宋_GB2312" w:cs="Times New Roman"/>
          <w:b w:val="0"/>
          <w:bCs/>
          <w:color w:val="auto"/>
          <w:sz w:val="34"/>
          <w:szCs w:val="34"/>
          <w:u w:val="none"/>
        </w:rPr>
        <w:t>交货时无质检报告或合格证等必要资料的，单次扣1</w:t>
      </w:r>
      <w:r>
        <w:rPr>
          <w:rFonts w:hint="eastAsia" w:ascii="仿宋_GB2312" w:hAnsi="仿宋" w:eastAsia="仿宋_GB2312" w:cs="Times New Roman"/>
          <w:b w:val="0"/>
          <w:bCs/>
          <w:color w:val="auto"/>
          <w:sz w:val="34"/>
          <w:szCs w:val="34"/>
          <w:u w:val="none"/>
          <w:lang w:val="en-US" w:eastAsia="zh-CN"/>
        </w:rPr>
        <w:t>-3</w:t>
      </w:r>
      <w:r>
        <w:rPr>
          <w:rFonts w:hint="eastAsia" w:ascii="仿宋_GB2312" w:hAnsi="仿宋" w:eastAsia="仿宋_GB2312" w:cs="Times New Roman"/>
          <w:b w:val="0"/>
          <w:bCs/>
          <w:color w:val="auto"/>
          <w:sz w:val="34"/>
          <w:szCs w:val="34"/>
          <w:u w:val="none"/>
        </w:rPr>
        <w:t>分。</w:t>
      </w:r>
    </w:p>
    <w:p w14:paraId="63F181CD">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u w:val="none"/>
        </w:rPr>
      </w:pPr>
      <w:r>
        <w:rPr>
          <w:rFonts w:hint="eastAsia" w:ascii="仿宋_GB2312" w:hAnsi="仿宋" w:eastAsia="仿宋_GB2312" w:cs="Times New Roman"/>
          <w:b w:val="0"/>
          <w:bCs/>
          <w:color w:val="auto"/>
          <w:sz w:val="34"/>
          <w:szCs w:val="34"/>
          <w:u w:val="none"/>
          <w:lang w:val="en-US" w:eastAsia="zh-CN"/>
        </w:rPr>
        <w:t xml:space="preserve">    2.</w:t>
      </w:r>
      <w:r>
        <w:rPr>
          <w:rFonts w:hint="eastAsia" w:ascii="仿宋_GB2312" w:hAnsi="仿宋" w:eastAsia="仿宋_GB2312" w:cs="Times New Roman"/>
          <w:b w:val="0"/>
          <w:bCs/>
          <w:color w:val="auto"/>
          <w:sz w:val="34"/>
          <w:szCs w:val="34"/>
          <w:u w:val="none"/>
        </w:rPr>
        <w:t>交货时未按规定包装的，单次扣</w:t>
      </w:r>
      <w:r>
        <w:rPr>
          <w:rFonts w:hint="eastAsia" w:ascii="仿宋_GB2312" w:hAnsi="仿宋" w:eastAsia="仿宋_GB2312" w:cs="Times New Roman"/>
          <w:b w:val="0"/>
          <w:bCs/>
          <w:color w:val="auto"/>
          <w:sz w:val="34"/>
          <w:szCs w:val="34"/>
          <w:u w:val="none"/>
          <w:lang w:val="en-US" w:eastAsia="zh-CN"/>
        </w:rPr>
        <w:t>1-3</w:t>
      </w:r>
      <w:r>
        <w:rPr>
          <w:rFonts w:hint="eastAsia" w:ascii="仿宋_GB2312" w:hAnsi="仿宋" w:eastAsia="仿宋_GB2312" w:cs="Times New Roman"/>
          <w:b w:val="0"/>
          <w:bCs/>
          <w:color w:val="auto"/>
          <w:sz w:val="34"/>
          <w:szCs w:val="34"/>
          <w:u w:val="none"/>
        </w:rPr>
        <w:t>分。</w:t>
      </w:r>
    </w:p>
    <w:p w14:paraId="1C9D919B">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u w:val="none"/>
        </w:rPr>
      </w:pPr>
      <w:r>
        <w:rPr>
          <w:rFonts w:hint="eastAsia" w:ascii="仿宋_GB2312" w:hAnsi="仿宋" w:eastAsia="仿宋_GB2312" w:cs="Times New Roman"/>
          <w:b w:val="0"/>
          <w:bCs/>
          <w:color w:val="auto"/>
          <w:sz w:val="34"/>
          <w:szCs w:val="34"/>
          <w:u w:val="none"/>
          <w:lang w:val="en-US" w:eastAsia="zh-CN"/>
        </w:rPr>
        <w:t xml:space="preserve">    3.</w:t>
      </w:r>
      <w:r>
        <w:rPr>
          <w:rFonts w:hint="eastAsia" w:ascii="仿宋_GB2312" w:hAnsi="仿宋" w:eastAsia="仿宋_GB2312" w:cs="Times New Roman"/>
          <w:b w:val="0"/>
          <w:bCs/>
          <w:color w:val="auto"/>
          <w:sz w:val="34"/>
          <w:szCs w:val="34"/>
          <w:u w:val="none"/>
        </w:rPr>
        <w:t>延期交货，</w:t>
      </w:r>
      <w:r>
        <w:rPr>
          <w:rFonts w:hint="eastAsia" w:ascii="仿宋_GB2312" w:hAnsi="仿宋" w:eastAsia="仿宋_GB2312" w:cs="Times New Roman"/>
          <w:b w:val="0"/>
          <w:bCs/>
          <w:color w:val="auto"/>
          <w:sz w:val="34"/>
          <w:szCs w:val="34"/>
          <w:u w:val="none"/>
          <w:lang w:eastAsia="zh-CN"/>
        </w:rPr>
        <w:t>但</w:t>
      </w:r>
      <w:r>
        <w:rPr>
          <w:rFonts w:hint="eastAsia" w:ascii="仿宋_GB2312" w:hAnsi="仿宋" w:eastAsia="仿宋_GB2312" w:cs="Times New Roman"/>
          <w:b w:val="0"/>
          <w:bCs/>
          <w:color w:val="auto"/>
          <w:sz w:val="34"/>
          <w:szCs w:val="34"/>
          <w:u w:val="none"/>
        </w:rPr>
        <w:t>未对</w:t>
      </w:r>
      <w:r>
        <w:rPr>
          <w:rFonts w:hint="eastAsia" w:ascii="仿宋_GB2312" w:hAnsi="仿宋" w:eastAsia="仿宋_GB2312" w:cs="Times New Roman"/>
          <w:b w:val="0"/>
          <w:bCs/>
          <w:color w:val="auto"/>
          <w:sz w:val="34"/>
          <w:szCs w:val="34"/>
          <w:u w:val="none"/>
          <w:lang w:eastAsia="zh-CN"/>
        </w:rPr>
        <w:t>公司</w:t>
      </w:r>
      <w:r>
        <w:rPr>
          <w:rFonts w:hint="eastAsia" w:ascii="仿宋_GB2312" w:hAnsi="仿宋" w:eastAsia="仿宋_GB2312" w:cs="Times New Roman"/>
          <w:b w:val="0"/>
          <w:bCs/>
          <w:color w:val="auto"/>
          <w:sz w:val="34"/>
          <w:szCs w:val="34"/>
          <w:u w:val="none"/>
        </w:rPr>
        <w:t>造成影响，单次扣</w:t>
      </w:r>
      <w:r>
        <w:rPr>
          <w:rFonts w:hint="eastAsia" w:ascii="仿宋_GB2312" w:hAnsi="仿宋" w:eastAsia="仿宋_GB2312" w:cs="Times New Roman"/>
          <w:b w:val="0"/>
          <w:bCs/>
          <w:color w:val="auto"/>
          <w:sz w:val="34"/>
          <w:szCs w:val="34"/>
          <w:u w:val="none"/>
          <w:lang w:val="en-US" w:eastAsia="zh-CN"/>
        </w:rPr>
        <w:t>1-</w:t>
      </w:r>
      <w:r>
        <w:rPr>
          <w:rFonts w:hint="eastAsia" w:ascii="仿宋_GB2312" w:hAnsi="仿宋" w:eastAsia="仿宋_GB2312" w:cs="Times New Roman"/>
          <w:b w:val="0"/>
          <w:bCs/>
          <w:color w:val="auto"/>
          <w:sz w:val="34"/>
          <w:szCs w:val="34"/>
          <w:u w:val="none"/>
        </w:rPr>
        <w:t>3分；</w:t>
      </w:r>
      <w:r>
        <w:rPr>
          <w:rFonts w:hint="eastAsia" w:ascii="仿宋_GB2312" w:hAnsi="仿宋" w:eastAsia="仿宋_GB2312" w:cs="Times New Roman"/>
          <w:b w:val="0"/>
          <w:bCs/>
          <w:color w:val="auto"/>
          <w:sz w:val="34"/>
          <w:szCs w:val="34"/>
          <w:u w:val="none"/>
          <w:lang w:eastAsia="zh-CN"/>
        </w:rPr>
        <w:t>造成一定影响，单次扣</w:t>
      </w:r>
      <w:r>
        <w:rPr>
          <w:rFonts w:hint="eastAsia" w:ascii="仿宋_GB2312" w:hAnsi="仿宋" w:eastAsia="仿宋_GB2312" w:cs="Times New Roman"/>
          <w:b w:val="0"/>
          <w:bCs/>
          <w:color w:val="auto"/>
          <w:sz w:val="34"/>
          <w:szCs w:val="34"/>
          <w:u w:val="none"/>
          <w:lang w:val="en-US" w:eastAsia="zh-CN"/>
        </w:rPr>
        <w:t>3-5分</w:t>
      </w:r>
      <w:r>
        <w:rPr>
          <w:rFonts w:hint="eastAsia" w:ascii="仿宋_GB2312" w:hAnsi="仿宋" w:eastAsia="仿宋_GB2312" w:cs="Times New Roman"/>
          <w:b w:val="0"/>
          <w:bCs/>
          <w:color w:val="auto"/>
          <w:sz w:val="34"/>
          <w:szCs w:val="34"/>
          <w:u w:val="none"/>
        </w:rPr>
        <w:t>；</w:t>
      </w:r>
      <w:r>
        <w:rPr>
          <w:rFonts w:hint="eastAsia" w:ascii="仿宋_GB2312" w:hAnsi="仿宋" w:eastAsia="仿宋_GB2312" w:cs="Times New Roman"/>
          <w:b w:val="0"/>
          <w:bCs/>
          <w:color w:val="auto"/>
          <w:sz w:val="34"/>
          <w:szCs w:val="34"/>
          <w:u w:val="none"/>
          <w:lang w:val="en-US" w:eastAsia="zh-CN"/>
        </w:rPr>
        <w:t>造成严重影响，</w:t>
      </w:r>
      <w:r>
        <w:rPr>
          <w:rFonts w:hint="eastAsia" w:ascii="仿宋_GB2312" w:hAnsi="仿宋" w:eastAsia="仿宋_GB2312" w:cs="Times New Roman"/>
          <w:b w:val="0"/>
          <w:bCs/>
          <w:color w:val="auto"/>
          <w:sz w:val="34"/>
          <w:szCs w:val="34"/>
          <w:u w:val="none"/>
        </w:rPr>
        <w:t>单次扣</w:t>
      </w:r>
      <w:r>
        <w:rPr>
          <w:rFonts w:hint="eastAsia" w:ascii="仿宋_GB2312" w:hAnsi="仿宋" w:eastAsia="仿宋_GB2312" w:cs="Times New Roman"/>
          <w:b w:val="0"/>
          <w:bCs/>
          <w:color w:val="auto"/>
          <w:sz w:val="34"/>
          <w:szCs w:val="34"/>
          <w:u w:val="none"/>
          <w:lang w:val="en-US" w:eastAsia="zh-CN"/>
        </w:rPr>
        <w:t>5-</w:t>
      </w:r>
      <w:r>
        <w:rPr>
          <w:rFonts w:hint="eastAsia" w:ascii="仿宋_GB2312" w:hAnsi="仿宋" w:eastAsia="仿宋_GB2312" w:cs="Times New Roman"/>
          <w:b w:val="0"/>
          <w:bCs/>
          <w:color w:val="auto"/>
          <w:sz w:val="34"/>
          <w:szCs w:val="34"/>
          <w:u w:val="none"/>
        </w:rPr>
        <w:t>10分。</w:t>
      </w:r>
    </w:p>
    <w:p w14:paraId="2099A635">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u w:val="none"/>
        </w:rPr>
      </w:pPr>
      <w:r>
        <w:rPr>
          <w:rFonts w:hint="eastAsia" w:ascii="仿宋_GB2312" w:hAnsi="仿宋" w:eastAsia="仿宋_GB2312" w:cs="Times New Roman"/>
          <w:b w:val="0"/>
          <w:bCs/>
          <w:color w:val="auto"/>
          <w:sz w:val="34"/>
          <w:szCs w:val="34"/>
          <w:u w:val="none"/>
          <w:lang w:val="en-US" w:eastAsia="zh-CN"/>
        </w:rPr>
        <w:t xml:space="preserve">   （三）</w:t>
      </w:r>
      <w:r>
        <w:rPr>
          <w:rFonts w:hint="eastAsia" w:ascii="仿宋_GB2312" w:hAnsi="仿宋" w:eastAsia="仿宋_GB2312" w:cs="Times New Roman"/>
          <w:b w:val="0"/>
          <w:bCs/>
          <w:color w:val="auto"/>
          <w:sz w:val="34"/>
          <w:szCs w:val="34"/>
          <w:u w:val="none"/>
        </w:rPr>
        <w:t>售后方面</w:t>
      </w:r>
    </w:p>
    <w:p w14:paraId="23B12D32">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u w:val="none"/>
        </w:rPr>
      </w:pPr>
      <w:r>
        <w:rPr>
          <w:rFonts w:hint="eastAsia" w:ascii="仿宋_GB2312" w:hAnsi="仿宋" w:eastAsia="仿宋_GB2312" w:cs="Times New Roman"/>
          <w:b w:val="0"/>
          <w:bCs/>
          <w:color w:val="auto"/>
          <w:sz w:val="34"/>
          <w:szCs w:val="34"/>
          <w:u w:val="none"/>
          <w:lang w:val="en-US" w:eastAsia="zh-CN"/>
        </w:rPr>
        <w:t xml:space="preserve">    1.</w:t>
      </w:r>
      <w:r>
        <w:rPr>
          <w:rFonts w:hint="eastAsia" w:ascii="仿宋_GB2312" w:hAnsi="仿宋" w:eastAsia="仿宋_GB2312" w:cs="Times New Roman"/>
          <w:b w:val="0"/>
          <w:bCs/>
          <w:color w:val="auto"/>
          <w:sz w:val="34"/>
          <w:szCs w:val="34"/>
          <w:u w:val="none"/>
        </w:rPr>
        <w:t>对我公司的售后服务要求不能及时响应，单次扣1</w:t>
      </w:r>
      <w:r>
        <w:rPr>
          <w:rFonts w:hint="eastAsia" w:ascii="仿宋_GB2312" w:hAnsi="仿宋" w:eastAsia="仿宋_GB2312" w:cs="Times New Roman"/>
          <w:b w:val="0"/>
          <w:bCs/>
          <w:color w:val="auto"/>
          <w:sz w:val="34"/>
          <w:szCs w:val="34"/>
          <w:u w:val="none"/>
          <w:lang w:val="en-US" w:eastAsia="zh-CN"/>
        </w:rPr>
        <w:t>-3</w:t>
      </w:r>
      <w:r>
        <w:rPr>
          <w:rFonts w:hint="eastAsia" w:ascii="仿宋_GB2312" w:hAnsi="仿宋" w:eastAsia="仿宋_GB2312" w:cs="Times New Roman"/>
          <w:b w:val="0"/>
          <w:bCs/>
          <w:color w:val="auto"/>
          <w:sz w:val="34"/>
          <w:szCs w:val="34"/>
          <w:u w:val="none"/>
        </w:rPr>
        <w:t>分</w:t>
      </w:r>
      <w:r>
        <w:rPr>
          <w:rFonts w:hint="eastAsia" w:ascii="仿宋_GB2312" w:hAnsi="仿宋" w:eastAsia="仿宋_GB2312" w:cs="Times New Roman"/>
          <w:b w:val="0"/>
          <w:bCs/>
          <w:color w:val="auto"/>
          <w:sz w:val="34"/>
          <w:szCs w:val="34"/>
          <w:u w:val="none"/>
          <w:lang w:eastAsia="zh-CN"/>
        </w:rPr>
        <w:t>；已造成一定影响，单次扣</w:t>
      </w:r>
      <w:r>
        <w:rPr>
          <w:rFonts w:hint="eastAsia" w:ascii="仿宋_GB2312" w:hAnsi="仿宋" w:eastAsia="仿宋_GB2312" w:cs="Times New Roman"/>
          <w:b w:val="0"/>
          <w:bCs/>
          <w:color w:val="auto"/>
          <w:sz w:val="34"/>
          <w:szCs w:val="34"/>
          <w:u w:val="none"/>
          <w:lang w:val="en-US" w:eastAsia="zh-CN"/>
        </w:rPr>
        <w:t>3-5分</w:t>
      </w:r>
      <w:r>
        <w:rPr>
          <w:rFonts w:hint="eastAsia" w:ascii="仿宋_GB2312" w:hAnsi="仿宋" w:eastAsia="仿宋_GB2312" w:cs="Times New Roman"/>
          <w:b w:val="0"/>
          <w:bCs/>
          <w:color w:val="auto"/>
          <w:sz w:val="34"/>
          <w:szCs w:val="34"/>
          <w:u w:val="none"/>
        </w:rPr>
        <w:t>；</w:t>
      </w:r>
      <w:r>
        <w:rPr>
          <w:rFonts w:hint="eastAsia" w:ascii="仿宋_GB2312" w:hAnsi="仿宋" w:eastAsia="仿宋_GB2312" w:cs="Times New Roman"/>
          <w:b w:val="0"/>
          <w:bCs/>
          <w:color w:val="auto"/>
          <w:sz w:val="34"/>
          <w:szCs w:val="34"/>
          <w:u w:val="none"/>
          <w:lang w:val="en-US" w:eastAsia="zh-CN"/>
        </w:rPr>
        <w:t>造成严重影响，</w:t>
      </w:r>
      <w:r>
        <w:rPr>
          <w:rFonts w:hint="eastAsia" w:ascii="仿宋_GB2312" w:hAnsi="仿宋" w:eastAsia="仿宋_GB2312" w:cs="Times New Roman"/>
          <w:b w:val="0"/>
          <w:bCs/>
          <w:color w:val="auto"/>
          <w:sz w:val="34"/>
          <w:szCs w:val="34"/>
          <w:u w:val="none"/>
        </w:rPr>
        <w:t>单次扣</w:t>
      </w:r>
      <w:r>
        <w:rPr>
          <w:rFonts w:hint="eastAsia" w:ascii="仿宋_GB2312" w:hAnsi="仿宋" w:eastAsia="仿宋_GB2312" w:cs="Times New Roman"/>
          <w:b w:val="0"/>
          <w:bCs/>
          <w:color w:val="auto"/>
          <w:sz w:val="34"/>
          <w:szCs w:val="34"/>
          <w:u w:val="none"/>
          <w:lang w:val="en-US" w:eastAsia="zh-CN"/>
        </w:rPr>
        <w:t>5-10</w:t>
      </w:r>
      <w:r>
        <w:rPr>
          <w:rFonts w:hint="eastAsia" w:ascii="仿宋_GB2312" w:hAnsi="仿宋" w:eastAsia="仿宋_GB2312" w:cs="Times New Roman"/>
          <w:b w:val="0"/>
          <w:bCs/>
          <w:color w:val="auto"/>
          <w:sz w:val="34"/>
          <w:szCs w:val="34"/>
          <w:u w:val="none"/>
        </w:rPr>
        <w:t>分。</w:t>
      </w:r>
    </w:p>
    <w:p w14:paraId="46E2B2B0">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u w:val="none"/>
        </w:rPr>
      </w:pPr>
      <w:r>
        <w:rPr>
          <w:rFonts w:hint="eastAsia" w:ascii="仿宋_GB2312" w:hAnsi="仿宋" w:eastAsia="仿宋_GB2312" w:cs="Times New Roman"/>
          <w:b w:val="0"/>
          <w:bCs/>
          <w:color w:val="auto"/>
          <w:sz w:val="34"/>
          <w:szCs w:val="34"/>
          <w:u w:val="none"/>
          <w:lang w:val="en-US" w:eastAsia="zh-CN"/>
        </w:rPr>
        <w:t xml:space="preserve">    2.</w:t>
      </w:r>
      <w:r>
        <w:rPr>
          <w:rFonts w:hint="eastAsia" w:ascii="仿宋_GB2312" w:hAnsi="仿宋" w:eastAsia="仿宋_GB2312" w:cs="Times New Roman"/>
          <w:b w:val="0"/>
          <w:bCs/>
          <w:color w:val="auto"/>
          <w:sz w:val="34"/>
          <w:szCs w:val="34"/>
          <w:u w:val="none"/>
        </w:rPr>
        <w:t>售后人员不能及时解决问题，单次扣</w:t>
      </w:r>
      <w:r>
        <w:rPr>
          <w:rFonts w:hint="eastAsia" w:ascii="仿宋_GB2312" w:hAnsi="仿宋" w:eastAsia="仿宋_GB2312" w:cs="Times New Roman"/>
          <w:b w:val="0"/>
          <w:bCs/>
          <w:color w:val="auto"/>
          <w:sz w:val="34"/>
          <w:szCs w:val="34"/>
          <w:u w:val="none"/>
          <w:lang w:val="en-US" w:eastAsia="zh-CN"/>
        </w:rPr>
        <w:t>1-</w:t>
      </w:r>
      <w:r>
        <w:rPr>
          <w:rFonts w:hint="eastAsia" w:ascii="仿宋_GB2312" w:hAnsi="仿宋" w:eastAsia="仿宋_GB2312" w:cs="Times New Roman"/>
          <w:b w:val="0"/>
          <w:bCs/>
          <w:color w:val="auto"/>
          <w:sz w:val="34"/>
          <w:szCs w:val="34"/>
          <w:u w:val="none"/>
        </w:rPr>
        <w:t>3分。</w:t>
      </w:r>
    </w:p>
    <w:p w14:paraId="2A0F6E91">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u w:val="none"/>
        </w:rPr>
      </w:pPr>
      <w:r>
        <w:rPr>
          <w:rFonts w:hint="eastAsia" w:ascii="仿宋_GB2312" w:hAnsi="仿宋" w:eastAsia="仿宋_GB2312" w:cs="Times New Roman"/>
          <w:b w:val="0"/>
          <w:bCs/>
          <w:color w:val="auto"/>
          <w:sz w:val="34"/>
          <w:szCs w:val="34"/>
          <w:u w:val="none"/>
          <w:lang w:val="en-US" w:eastAsia="zh-CN"/>
        </w:rPr>
        <w:t xml:space="preserve">    3.</w:t>
      </w:r>
      <w:r>
        <w:rPr>
          <w:rFonts w:hint="eastAsia" w:ascii="仿宋_GB2312" w:hAnsi="仿宋" w:eastAsia="仿宋_GB2312" w:cs="Times New Roman"/>
          <w:b w:val="0"/>
          <w:bCs/>
          <w:color w:val="auto"/>
          <w:sz w:val="34"/>
          <w:szCs w:val="34"/>
          <w:u w:val="none"/>
        </w:rPr>
        <w:t>在质保期之内，拒绝按合同提供售后服务，单次扣</w:t>
      </w:r>
      <w:r>
        <w:rPr>
          <w:rFonts w:hint="eastAsia" w:ascii="仿宋_GB2312" w:hAnsi="仿宋" w:eastAsia="仿宋_GB2312" w:cs="Times New Roman"/>
          <w:b w:val="0"/>
          <w:bCs/>
          <w:color w:val="auto"/>
          <w:sz w:val="34"/>
          <w:szCs w:val="34"/>
          <w:u w:val="none"/>
          <w:lang w:val="en-US" w:eastAsia="zh-CN"/>
        </w:rPr>
        <w:t>5-</w:t>
      </w:r>
      <w:r>
        <w:rPr>
          <w:rFonts w:hint="eastAsia" w:ascii="仿宋_GB2312" w:hAnsi="仿宋" w:eastAsia="仿宋_GB2312" w:cs="Times New Roman"/>
          <w:b w:val="0"/>
          <w:bCs/>
          <w:color w:val="auto"/>
          <w:sz w:val="34"/>
          <w:szCs w:val="34"/>
          <w:u w:val="none"/>
        </w:rPr>
        <w:t>10分。</w:t>
      </w:r>
    </w:p>
    <w:p w14:paraId="3A7F9324">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u w:val="none"/>
        </w:rPr>
      </w:pPr>
      <w:r>
        <w:rPr>
          <w:rFonts w:hint="eastAsia" w:ascii="仿宋_GB2312" w:hAnsi="仿宋" w:eastAsia="仿宋_GB2312" w:cs="Times New Roman"/>
          <w:b w:val="0"/>
          <w:bCs/>
          <w:color w:val="auto"/>
          <w:sz w:val="34"/>
          <w:szCs w:val="34"/>
          <w:u w:val="none"/>
          <w:lang w:val="en-US" w:eastAsia="zh-CN"/>
        </w:rPr>
        <w:t xml:space="preserve">    </w:t>
      </w:r>
      <w:r>
        <w:rPr>
          <w:rFonts w:hint="eastAsia" w:ascii="仿宋_GB2312" w:hAnsi="仿宋" w:eastAsia="仿宋_GB2312" w:cs="Times New Roman"/>
          <w:b w:val="0"/>
          <w:bCs/>
          <w:color w:val="auto"/>
          <w:sz w:val="34"/>
          <w:szCs w:val="34"/>
          <w:u w:val="none"/>
          <w:lang w:eastAsia="zh-CN"/>
        </w:rPr>
        <w:t>（</w:t>
      </w:r>
      <w:r>
        <w:rPr>
          <w:rFonts w:hint="eastAsia" w:ascii="仿宋_GB2312" w:hAnsi="仿宋" w:eastAsia="仿宋_GB2312" w:cs="Times New Roman"/>
          <w:b w:val="0"/>
          <w:bCs/>
          <w:color w:val="auto"/>
          <w:sz w:val="34"/>
          <w:szCs w:val="34"/>
          <w:u w:val="none"/>
          <w:lang w:val="en-US" w:eastAsia="zh-CN"/>
        </w:rPr>
        <w:t>四</w:t>
      </w:r>
      <w:r>
        <w:rPr>
          <w:rFonts w:hint="eastAsia" w:ascii="仿宋_GB2312" w:hAnsi="仿宋" w:eastAsia="仿宋_GB2312" w:cs="Times New Roman"/>
          <w:b w:val="0"/>
          <w:bCs/>
          <w:color w:val="auto"/>
          <w:sz w:val="34"/>
          <w:szCs w:val="34"/>
          <w:u w:val="none"/>
          <w:lang w:eastAsia="zh-CN"/>
        </w:rPr>
        <w:t>）</w:t>
      </w:r>
      <w:r>
        <w:rPr>
          <w:rFonts w:hint="eastAsia" w:ascii="仿宋_GB2312" w:hAnsi="仿宋" w:eastAsia="仿宋_GB2312" w:cs="Times New Roman"/>
          <w:b w:val="0"/>
          <w:bCs/>
          <w:color w:val="auto"/>
          <w:sz w:val="34"/>
          <w:szCs w:val="34"/>
          <w:u w:val="none"/>
        </w:rPr>
        <w:t>资信方面</w:t>
      </w:r>
    </w:p>
    <w:p w14:paraId="4520C1E6">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u w:val="none"/>
          <w:lang w:val="en-US" w:eastAsia="zh-CN"/>
        </w:rPr>
      </w:pPr>
      <w:r>
        <w:rPr>
          <w:rFonts w:hint="eastAsia" w:ascii="仿宋_GB2312" w:hAnsi="仿宋" w:eastAsia="仿宋_GB2312" w:cs="Times New Roman"/>
          <w:b w:val="0"/>
          <w:bCs/>
          <w:color w:val="auto"/>
          <w:sz w:val="34"/>
          <w:szCs w:val="34"/>
          <w:u w:val="none"/>
          <w:lang w:val="en-US" w:eastAsia="zh-CN"/>
        </w:rPr>
        <w:t xml:space="preserve">    1.未提供询价书要求的资质文件、不满足询价书资质要求、报价与技术要求不符等，单次扣1～3 分。   </w:t>
      </w:r>
    </w:p>
    <w:p w14:paraId="6BD00FC8">
      <w:pPr>
        <w:keepNext w:val="0"/>
        <w:keepLines w:val="0"/>
        <w:pageBreakBefore w:val="0"/>
        <w:widowControl/>
        <w:kinsoku/>
        <w:wordWrap/>
        <w:overflowPunct/>
        <w:topLinePunct w:val="0"/>
        <w:autoSpaceDE/>
        <w:autoSpaceDN/>
        <w:bidi w:val="0"/>
        <w:spacing w:beforeLines="0" w:afterLines="0" w:line="600" w:lineRule="exact"/>
        <w:ind w:left="0" w:leftChars="0" w:firstLine="680" w:firstLineChars="200"/>
        <w:textAlignment w:val="auto"/>
        <w:outlineLvl w:val="9"/>
        <w:rPr>
          <w:rFonts w:hint="eastAsia" w:ascii="仿宋_GB2312" w:hAnsi="仿宋" w:eastAsia="仿宋_GB2312" w:cs="Times New Roman"/>
          <w:b w:val="0"/>
          <w:bCs/>
          <w:color w:val="auto"/>
          <w:sz w:val="34"/>
          <w:szCs w:val="34"/>
          <w:u w:val="none"/>
        </w:rPr>
      </w:pPr>
      <w:r>
        <w:rPr>
          <w:rFonts w:hint="eastAsia" w:ascii="仿宋_GB2312" w:hAnsi="仿宋" w:eastAsia="仿宋_GB2312" w:cs="Times New Roman"/>
          <w:b w:val="0"/>
          <w:bCs/>
          <w:color w:val="auto"/>
          <w:sz w:val="34"/>
          <w:szCs w:val="34"/>
          <w:u w:val="none"/>
          <w:lang w:val="en-US" w:eastAsia="zh-CN"/>
        </w:rPr>
        <w:t>2.</w:t>
      </w:r>
      <w:r>
        <w:rPr>
          <w:rFonts w:hint="eastAsia" w:ascii="仿宋_GB2312" w:hAnsi="仿宋" w:eastAsia="仿宋_GB2312" w:cs="Times New Roman"/>
          <w:b w:val="0"/>
          <w:bCs/>
          <w:color w:val="auto"/>
          <w:sz w:val="34"/>
          <w:szCs w:val="34"/>
          <w:u w:val="none"/>
        </w:rPr>
        <w:t>中</w:t>
      </w:r>
      <w:r>
        <w:rPr>
          <w:rFonts w:hint="eastAsia" w:ascii="仿宋_GB2312" w:hAnsi="仿宋" w:eastAsia="仿宋_GB2312" w:cs="Times New Roman"/>
          <w:b w:val="0"/>
          <w:bCs/>
          <w:color w:val="auto"/>
          <w:sz w:val="34"/>
          <w:szCs w:val="34"/>
          <w:u w:val="none"/>
          <w:lang w:val="en-US" w:eastAsia="zh-CN"/>
        </w:rPr>
        <w:t>选</w:t>
      </w:r>
      <w:r>
        <w:rPr>
          <w:rFonts w:hint="eastAsia" w:ascii="仿宋_GB2312" w:hAnsi="仿宋" w:eastAsia="仿宋_GB2312" w:cs="Times New Roman"/>
          <w:b w:val="0"/>
          <w:bCs/>
          <w:color w:val="auto"/>
          <w:sz w:val="34"/>
          <w:szCs w:val="34"/>
          <w:u w:val="none"/>
        </w:rPr>
        <w:t>之后因报价、参数错误等原因，</w:t>
      </w:r>
      <w:r>
        <w:rPr>
          <w:rFonts w:hint="eastAsia" w:ascii="仿宋_GB2312" w:hAnsi="仿宋" w:eastAsia="仿宋_GB2312" w:cs="Times New Roman"/>
          <w:b w:val="0"/>
          <w:bCs/>
          <w:color w:val="auto"/>
          <w:sz w:val="34"/>
          <w:szCs w:val="34"/>
          <w:u w:val="none"/>
          <w:lang w:val="en-US" w:eastAsia="zh-CN"/>
        </w:rPr>
        <w:t>报价人放弃成交</w:t>
      </w:r>
      <w:r>
        <w:rPr>
          <w:rFonts w:hint="eastAsia" w:ascii="仿宋_GB2312" w:hAnsi="仿宋" w:eastAsia="仿宋_GB2312" w:cs="Times New Roman"/>
          <w:b w:val="0"/>
          <w:bCs/>
          <w:color w:val="auto"/>
          <w:sz w:val="34"/>
          <w:szCs w:val="34"/>
          <w:u w:val="none"/>
        </w:rPr>
        <w:t>，单次扣</w:t>
      </w:r>
      <w:r>
        <w:rPr>
          <w:rFonts w:hint="eastAsia" w:ascii="仿宋_GB2312" w:hAnsi="仿宋" w:eastAsia="仿宋_GB2312" w:cs="Times New Roman"/>
          <w:b w:val="0"/>
          <w:bCs/>
          <w:color w:val="auto"/>
          <w:sz w:val="34"/>
          <w:szCs w:val="34"/>
          <w:u w:val="none"/>
          <w:lang w:val="en-US" w:eastAsia="zh-CN"/>
        </w:rPr>
        <w:t>3-5</w:t>
      </w:r>
      <w:r>
        <w:rPr>
          <w:rFonts w:hint="eastAsia" w:ascii="仿宋_GB2312" w:hAnsi="仿宋" w:eastAsia="仿宋_GB2312" w:cs="Times New Roman"/>
          <w:b w:val="0"/>
          <w:bCs/>
          <w:color w:val="auto"/>
          <w:sz w:val="34"/>
          <w:szCs w:val="34"/>
          <w:u w:val="none"/>
        </w:rPr>
        <w:t>分。</w:t>
      </w:r>
    </w:p>
    <w:p w14:paraId="421F82D3">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u w:val="none"/>
        </w:rPr>
      </w:pPr>
      <w:r>
        <w:rPr>
          <w:rFonts w:hint="eastAsia" w:ascii="仿宋_GB2312" w:hAnsi="仿宋" w:eastAsia="仿宋_GB2312" w:cs="Times New Roman"/>
          <w:b w:val="0"/>
          <w:bCs/>
          <w:color w:val="auto"/>
          <w:sz w:val="34"/>
          <w:szCs w:val="34"/>
          <w:u w:val="none"/>
          <w:lang w:val="en-US" w:eastAsia="zh-CN"/>
        </w:rPr>
        <w:t xml:space="preserve">    3.</w:t>
      </w:r>
      <w:r>
        <w:rPr>
          <w:rFonts w:hint="eastAsia" w:ascii="仿宋_GB2312" w:hAnsi="仿宋" w:eastAsia="仿宋_GB2312" w:cs="Times New Roman"/>
          <w:b w:val="0"/>
          <w:bCs/>
          <w:color w:val="auto"/>
          <w:sz w:val="34"/>
          <w:szCs w:val="34"/>
          <w:u w:val="none"/>
        </w:rPr>
        <w:t>中</w:t>
      </w:r>
      <w:r>
        <w:rPr>
          <w:rFonts w:hint="eastAsia" w:ascii="仿宋_GB2312" w:hAnsi="仿宋" w:eastAsia="仿宋_GB2312" w:cs="Times New Roman"/>
          <w:b w:val="0"/>
          <w:bCs/>
          <w:color w:val="auto"/>
          <w:sz w:val="34"/>
          <w:szCs w:val="34"/>
          <w:u w:val="none"/>
          <w:lang w:val="en-US" w:eastAsia="zh-CN"/>
        </w:rPr>
        <w:t>选</w:t>
      </w:r>
      <w:r>
        <w:rPr>
          <w:rFonts w:hint="eastAsia" w:ascii="仿宋_GB2312" w:hAnsi="仿宋" w:eastAsia="仿宋_GB2312" w:cs="Times New Roman"/>
          <w:b w:val="0"/>
          <w:bCs/>
          <w:color w:val="auto"/>
          <w:sz w:val="34"/>
          <w:szCs w:val="34"/>
          <w:u w:val="none"/>
        </w:rPr>
        <w:t>之后拒绝签订合同或拒绝履行合同，单次扣</w:t>
      </w:r>
      <w:r>
        <w:rPr>
          <w:rFonts w:hint="eastAsia" w:ascii="仿宋_GB2312" w:hAnsi="仿宋" w:eastAsia="仿宋_GB2312" w:cs="Times New Roman"/>
          <w:b w:val="0"/>
          <w:bCs/>
          <w:color w:val="auto"/>
          <w:sz w:val="34"/>
          <w:szCs w:val="34"/>
          <w:u w:val="none"/>
          <w:lang w:val="en-US" w:eastAsia="zh-CN"/>
        </w:rPr>
        <w:t>5-</w:t>
      </w:r>
      <w:r>
        <w:rPr>
          <w:rFonts w:hint="eastAsia" w:ascii="仿宋_GB2312" w:hAnsi="仿宋" w:eastAsia="仿宋_GB2312" w:cs="Times New Roman"/>
          <w:b w:val="0"/>
          <w:bCs/>
          <w:color w:val="auto"/>
          <w:sz w:val="34"/>
          <w:szCs w:val="34"/>
          <w:u w:val="none"/>
        </w:rPr>
        <w:t>10分。</w:t>
      </w:r>
    </w:p>
    <w:p w14:paraId="57A4B849">
      <w:pPr>
        <w:keepNext w:val="0"/>
        <w:keepLines w:val="0"/>
        <w:pageBreakBefore w:val="0"/>
        <w:widowControl/>
        <w:kinsoku/>
        <w:wordWrap/>
        <w:overflowPunct/>
        <w:topLinePunct w:val="0"/>
        <w:autoSpaceDE/>
        <w:autoSpaceDN/>
        <w:bidi w:val="0"/>
        <w:spacing w:beforeLines="0" w:afterLines="0" w:line="600" w:lineRule="exact"/>
        <w:ind w:left="0" w:leftChars="0" w:firstLine="680" w:firstLineChars="0"/>
        <w:textAlignment w:val="auto"/>
        <w:outlineLvl w:val="9"/>
        <w:rPr>
          <w:rFonts w:hint="eastAsia" w:ascii="仿宋_GB2312" w:hAnsi="仿宋" w:eastAsia="仿宋_GB2312" w:cs="Times New Roman"/>
          <w:b w:val="0"/>
          <w:bCs/>
          <w:color w:val="auto"/>
          <w:sz w:val="34"/>
          <w:szCs w:val="34"/>
          <w:u w:val="none"/>
        </w:rPr>
      </w:pPr>
      <w:r>
        <w:rPr>
          <w:rFonts w:hint="eastAsia" w:ascii="仿宋_GB2312" w:hAnsi="仿宋" w:eastAsia="仿宋_GB2312" w:cs="Times New Roman"/>
          <w:b w:val="0"/>
          <w:bCs/>
          <w:color w:val="auto"/>
          <w:sz w:val="34"/>
          <w:szCs w:val="34"/>
          <w:u w:val="none"/>
          <w:lang w:val="en-US" w:eastAsia="zh-CN"/>
        </w:rPr>
        <w:t>4.</w:t>
      </w:r>
      <w:r>
        <w:rPr>
          <w:rFonts w:hint="eastAsia" w:ascii="仿宋_GB2312" w:hAnsi="仿宋" w:eastAsia="仿宋_GB2312" w:cs="Times New Roman"/>
          <w:b w:val="0"/>
          <w:bCs/>
          <w:color w:val="auto"/>
          <w:sz w:val="34"/>
          <w:szCs w:val="34"/>
          <w:u w:val="none"/>
        </w:rPr>
        <w:t>无正当理由未及时开具发票给我方</w:t>
      </w:r>
      <w:r>
        <w:rPr>
          <w:rFonts w:hint="eastAsia" w:ascii="仿宋_GB2312" w:hAnsi="仿宋" w:eastAsia="仿宋_GB2312" w:cs="Times New Roman"/>
          <w:b w:val="0"/>
          <w:bCs/>
          <w:color w:val="auto"/>
          <w:sz w:val="34"/>
          <w:szCs w:val="34"/>
          <w:u w:val="none"/>
          <w:lang w:val="en-US" w:eastAsia="zh-CN"/>
        </w:rPr>
        <w:t>或</w:t>
      </w:r>
      <w:r>
        <w:rPr>
          <w:rFonts w:hint="eastAsia" w:ascii="仿宋_GB2312" w:hAnsi="仿宋" w:eastAsia="仿宋_GB2312" w:cs="Times New Roman"/>
          <w:b w:val="0"/>
          <w:bCs/>
          <w:color w:val="auto"/>
          <w:sz w:val="34"/>
          <w:szCs w:val="34"/>
          <w:u w:val="none"/>
        </w:rPr>
        <w:t>未按合同约定价格开票，单次扣1</w:t>
      </w:r>
      <w:r>
        <w:rPr>
          <w:rFonts w:hint="eastAsia" w:ascii="仿宋_GB2312" w:hAnsi="仿宋" w:eastAsia="仿宋_GB2312" w:cs="Times New Roman"/>
          <w:b w:val="0"/>
          <w:bCs/>
          <w:color w:val="auto"/>
          <w:sz w:val="34"/>
          <w:szCs w:val="34"/>
          <w:u w:val="none"/>
          <w:lang w:val="en-US" w:eastAsia="zh-CN"/>
        </w:rPr>
        <w:t>-3</w:t>
      </w:r>
      <w:r>
        <w:rPr>
          <w:rFonts w:hint="eastAsia" w:ascii="仿宋_GB2312" w:hAnsi="仿宋" w:eastAsia="仿宋_GB2312" w:cs="Times New Roman"/>
          <w:b w:val="0"/>
          <w:bCs/>
          <w:color w:val="auto"/>
          <w:sz w:val="34"/>
          <w:szCs w:val="34"/>
          <w:u w:val="none"/>
        </w:rPr>
        <w:t>分。</w:t>
      </w:r>
    </w:p>
    <w:p w14:paraId="5660EAF9">
      <w:pPr>
        <w:keepNext w:val="0"/>
        <w:keepLines w:val="0"/>
        <w:pageBreakBefore w:val="0"/>
        <w:widowControl/>
        <w:kinsoku/>
        <w:wordWrap/>
        <w:overflowPunct/>
        <w:topLinePunct w:val="0"/>
        <w:autoSpaceDE/>
        <w:autoSpaceDN/>
        <w:bidi w:val="0"/>
        <w:spacing w:beforeLines="0" w:afterLines="0" w:line="600" w:lineRule="exact"/>
        <w:ind w:left="0" w:leftChars="0" w:firstLine="680" w:firstLineChars="0"/>
        <w:textAlignment w:val="auto"/>
        <w:outlineLvl w:val="9"/>
        <w:rPr>
          <w:rFonts w:hint="default" w:ascii="仿宋_GB2312" w:hAnsi="仿宋" w:eastAsia="仿宋_GB2312" w:cs="Times New Roman"/>
          <w:b w:val="0"/>
          <w:bCs/>
          <w:color w:val="auto"/>
          <w:sz w:val="34"/>
          <w:szCs w:val="34"/>
          <w:u w:val="none"/>
          <w:lang w:val="en-US" w:eastAsia="zh-CN"/>
        </w:rPr>
      </w:pPr>
      <w:r>
        <w:rPr>
          <w:rFonts w:hint="eastAsia" w:ascii="仿宋_GB2312" w:hAnsi="仿宋" w:eastAsia="仿宋_GB2312" w:cs="Times New Roman"/>
          <w:b w:val="0"/>
          <w:bCs/>
          <w:color w:val="auto"/>
          <w:sz w:val="34"/>
          <w:szCs w:val="34"/>
          <w:u w:val="none"/>
          <w:lang w:val="en-US" w:eastAsia="zh-CN"/>
        </w:rPr>
        <w:t>5.未按照《江苏索普(集团)有限公司工程造价审计管理制度》要求提供工程结算资料，或未按规定进行工程结算确认的，单次扣1-3分。</w:t>
      </w:r>
    </w:p>
    <w:p w14:paraId="3B75E5DE">
      <w:pPr>
        <w:keepNext w:val="0"/>
        <w:keepLines w:val="0"/>
        <w:pageBreakBefore w:val="0"/>
        <w:widowControl/>
        <w:kinsoku/>
        <w:wordWrap/>
        <w:overflowPunct/>
        <w:topLinePunct w:val="0"/>
        <w:autoSpaceDE/>
        <w:autoSpaceDN/>
        <w:bidi w:val="0"/>
        <w:spacing w:beforeLines="0" w:afterLines="0" w:line="600" w:lineRule="exact"/>
        <w:ind w:left="0" w:leftChars="0" w:firstLine="680" w:firstLineChars="0"/>
        <w:textAlignment w:val="auto"/>
        <w:outlineLvl w:val="9"/>
        <w:rPr>
          <w:rFonts w:hint="eastAsia" w:ascii="仿宋_GB2312" w:hAnsi="仿宋" w:eastAsia="仿宋_GB2312" w:cs="Times New Roman"/>
          <w:b w:val="0"/>
          <w:bCs/>
          <w:color w:val="auto"/>
          <w:sz w:val="34"/>
          <w:szCs w:val="34"/>
          <w:u w:val="none"/>
        </w:rPr>
      </w:pPr>
      <w:r>
        <w:rPr>
          <w:rFonts w:hint="eastAsia" w:ascii="仿宋_GB2312" w:hAnsi="仿宋" w:eastAsia="仿宋_GB2312" w:cs="Times New Roman"/>
          <w:b w:val="0"/>
          <w:bCs/>
          <w:color w:val="auto"/>
          <w:sz w:val="34"/>
          <w:szCs w:val="34"/>
          <w:u w:val="none"/>
          <w:lang w:val="en-US" w:eastAsia="zh-CN"/>
        </w:rPr>
        <w:t>6.报价</w:t>
      </w:r>
      <w:r>
        <w:rPr>
          <w:rFonts w:hint="eastAsia" w:ascii="仿宋_GB2312" w:hAnsi="仿宋" w:eastAsia="仿宋_GB2312" w:cs="Times New Roman"/>
          <w:b w:val="0"/>
          <w:bCs/>
          <w:color w:val="auto"/>
          <w:sz w:val="34"/>
          <w:szCs w:val="34"/>
          <w:u w:val="none"/>
        </w:rPr>
        <w:t>人经核实资质造假或因知识产权引起纠纷，单次扣</w:t>
      </w:r>
      <w:r>
        <w:rPr>
          <w:rFonts w:hint="eastAsia" w:ascii="仿宋_GB2312" w:hAnsi="仿宋" w:eastAsia="仿宋_GB2312" w:cs="Times New Roman"/>
          <w:b w:val="0"/>
          <w:bCs/>
          <w:color w:val="auto"/>
          <w:sz w:val="34"/>
          <w:szCs w:val="34"/>
          <w:u w:val="none"/>
          <w:lang w:val="en-US" w:eastAsia="zh-CN"/>
        </w:rPr>
        <w:t>6-</w:t>
      </w:r>
      <w:r>
        <w:rPr>
          <w:rFonts w:hint="eastAsia" w:ascii="仿宋_GB2312" w:hAnsi="仿宋" w:eastAsia="仿宋_GB2312" w:cs="Times New Roman"/>
          <w:b w:val="0"/>
          <w:bCs/>
          <w:color w:val="auto"/>
          <w:sz w:val="34"/>
          <w:szCs w:val="34"/>
          <w:u w:val="none"/>
        </w:rPr>
        <w:t>10分。</w:t>
      </w:r>
    </w:p>
    <w:p w14:paraId="73D09574">
      <w:pPr>
        <w:keepNext w:val="0"/>
        <w:keepLines w:val="0"/>
        <w:pageBreakBefore w:val="0"/>
        <w:widowControl/>
        <w:kinsoku/>
        <w:wordWrap/>
        <w:overflowPunct/>
        <w:topLinePunct w:val="0"/>
        <w:autoSpaceDE/>
        <w:autoSpaceDN/>
        <w:bidi w:val="0"/>
        <w:spacing w:beforeLines="0" w:afterLines="0" w:line="600" w:lineRule="exact"/>
        <w:ind w:left="0" w:leftChars="0" w:firstLine="680" w:firstLineChars="0"/>
        <w:textAlignment w:val="auto"/>
        <w:outlineLvl w:val="9"/>
        <w:rPr>
          <w:rFonts w:hint="eastAsia" w:ascii="仿宋_GB2312" w:hAnsi="仿宋" w:eastAsia="仿宋_GB2312" w:cs="Times New Roman"/>
          <w:b w:val="0"/>
          <w:bCs/>
          <w:color w:val="auto"/>
          <w:sz w:val="34"/>
          <w:szCs w:val="34"/>
          <w:u w:val="none"/>
        </w:rPr>
      </w:pPr>
      <w:r>
        <w:rPr>
          <w:rFonts w:hint="eastAsia" w:ascii="仿宋_GB2312" w:hAnsi="仿宋" w:eastAsia="仿宋_GB2312" w:cs="Times New Roman"/>
          <w:b w:val="0"/>
          <w:bCs/>
          <w:color w:val="auto"/>
          <w:sz w:val="34"/>
          <w:szCs w:val="34"/>
          <w:u w:val="none"/>
          <w:lang w:val="en-US" w:eastAsia="zh-CN"/>
        </w:rPr>
        <w:t>7.</w:t>
      </w:r>
      <w:r>
        <w:rPr>
          <w:rFonts w:hint="eastAsia" w:ascii="仿宋_GB2312" w:hAnsi="仿宋" w:eastAsia="仿宋_GB2312" w:cs="Times New Roman"/>
          <w:bCs/>
          <w:i w:val="0"/>
          <w:iCs w:val="0"/>
          <w:caps w:val="0"/>
          <w:color w:val="auto"/>
          <w:spacing w:val="0"/>
          <w:sz w:val="34"/>
          <w:szCs w:val="34"/>
          <w:u w:val="none"/>
        </w:rPr>
        <w:t>报价低于成本价且无合理说明</w:t>
      </w:r>
      <w:r>
        <w:rPr>
          <w:rFonts w:hint="eastAsia" w:ascii="仿宋_GB2312" w:hAnsi="仿宋" w:eastAsia="仿宋_GB2312" w:cs="Times New Roman"/>
          <w:b w:val="0"/>
          <w:bCs/>
          <w:color w:val="auto"/>
          <w:sz w:val="34"/>
          <w:szCs w:val="34"/>
          <w:u w:val="none"/>
        </w:rPr>
        <w:t>扰乱公开采购秩序,</w:t>
      </w:r>
      <w:r>
        <w:rPr>
          <w:rFonts w:hint="eastAsia" w:ascii="仿宋_GB2312" w:hAnsi="仿宋" w:eastAsia="仿宋_GB2312" w:cs="Times New Roman"/>
          <w:b w:val="0"/>
          <w:bCs/>
          <w:color w:val="auto"/>
          <w:sz w:val="34"/>
          <w:szCs w:val="34"/>
          <w:u w:val="none"/>
          <w:lang w:val="en-US" w:eastAsia="zh-CN"/>
        </w:rPr>
        <w:t>单次扣</w:t>
      </w:r>
      <w:r>
        <w:rPr>
          <w:rFonts w:hint="eastAsia" w:ascii="仿宋_GB2312" w:hAnsi="仿宋" w:eastAsia="仿宋_GB2312" w:cs="Times New Roman"/>
          <w:b w:val="0"/>
          <w:bCs/>
          <w:color w:val="auto"/>
          <w:sz w:val="34"/>
          <w:szCs w:val="34"/>
          <w:u w:val="none"/>
        </w:rPr>
        <w:t>10 分。</w:t>
      </w:r>
    </w:p>
    <w:p w14:paraId="5AE949A0">
      <w:pPr>
        <w:keepNext w:val="0"/>
        <w:keepLines w:val="0"/>
        <w:pageBreakBefore w:val="0"/>
        <w:widowControl/>
        <w:kinsoku/>
        <w:wordWrap/>
        <w:overflowPunct/>
        <w:topLinePunct w:val="0"/>
        <w:autoSpaceDE/>
        <w:autoSpaceDN/>
        <w:bidi w:val="0"/>
        <w:spacing w:beforeLines="0" w:afterLines="0" w:line="600" w:lineRule="exact"/>
        <w:ind w:left="0" w:leftChars="0" w:firstLine="642" w:firstLineChars="0"/>
        <w:textAlignment w:val="auto"/>
        <w:outlineLvl w:val="9"/>
        <w:rPr>
          <w:rFonts w:hint="eastAsia" w:ascii="仿宋_GB2312" w:hAnsi="仿宋" w:eastAsia="仿宋_GB2312" w:cs="Times New Roman"/>
          <w:b w:val="0"/>
          <w:bCs/>
          <w:color w:val="auto"/>
          <w:sz w:val="34"/>
          <w:szCs w:val="34"/>
          <w:u w:val="none"/>
          <w:lang w:val="en-US" w:eastAsia="zh-CN"/>
        </w:rPr>
      </w:pPr>
      <w:r>
        <w:rPr>
          <w:rFonts w:hint="eastAsia" w:ascii="仿宋_GB2312" w:hAnsi="楷体" w:eastAsia="仿宋_GB2312" w:cs="Times New Roman"/>
          <w:b/>
          <w:bCs w:val="0"/>
          <w:color w:val="auto"/>
          <w:sz w:val="34"/>
          <w:szCs w:val="34"/>
          <w:u w:val="none"/>
          <w:lang w:val="en-US" w:eastAsia="zh-CN"/>
        </w:rPr>
        <w:t xml:space="preserve">第八条 </w:t>
      </w:r>
      <w:r>
        <w:rPr>
          <w:rFonts w:hint="eastAsia" w:ascii="仿宋_GB2312" w:hAnsi="仿宋" w:eastAsia="仿宋_GB2312" w:cs="Times New Roman"/>
          <w:b w:val="0"/>
          <w:bCs/>
          <w:color w:val="auto"/>
          <w:sz w:val="34"/>
          <w:szCs w:val="34"/>
          <w:u w:val="none"/>
          <w:lang w:val="en-US" w:eastAsia="zh-CN"/>
        </w:rPr>
        <w:t>关于无效投诉的处理办法</w:t>
      </w:r>
    </w:p>
    <w:p w14:paraId="2B331C7C">
      <w:pPr>
        <w:keepNext w:val="0"/>
        <w:keepLines w:val="0"/>
        <w:pageBreakBefore w:val="0"/>
        <w:widowControl/>
        <w:kinsoku/>
        <w:wordWrap/>
        <w:overflowPunct/>
        <w:topLinePunct w:val="0"/>
        <w:autoSpaceDE/>
        <w:autoSpaceDN/>
        <w:bidi w:val="0"/>
        <w:adjustRightInd/>
        <w:snapToGrid/>
        <w:spacing w:beforeLines="0" w:afterLines="0" w:line="600" w:lineRule="exact"/>
        <w:ind w:left="0" w:leftChars="0" w:firstLine="641" w:firstLineChars="0"/>
        <w:textAlignment w:val="auto"/>
        <w:outlineLvl w:val="9"/>
        <w:rPr>
          <w:rFonts w:hint="eastAsia" w:ascii="仿宋_GB2312" w:hAnsi="仿宋" w:eastAsia="仿宋_GB2312" w:cs="Times New Roman"/>
          <w:b w:val="0"/>
          <w:bCs/>
          <w:color w:val="auto"/>
          <w:sz w:val="34"/>
          <w:szCs w:val="34"/>
          <w:u w:val="none"/>
          <w:lang w:val="en-US" w:eastAsia="zh-CN"/>
        </w:rPr>
      </w:pPr>
      <w:r>
        <w:rPr>
          <w:rFonts w:hint="eastAsia" w:ascii="仿宋_GB2312" w:hAnsi="仿宋" w:eastAsia="仿宋_GB2312" w:cs="Times New Roman"/>
          <w:b w:val="0"/>
          <w:bCs/>
          <w:color w:val="auto"/>
          <w:sz w:val="34"/>
          <w:szCs w:val="34"/>
          <w:u w:val="none"/>
          <w:lang w:val="en-US" w:eastAsia="zh-CN"/>
        </w:rPr>
        <w:t>报价人如对评审结果存有异议，可向监管部门提起投诉。但为了维护公开采购工作的严肃性，报价人所提出的投诉一旦被公司认定为无效投诉，单次扣除投诉人3分；如果报价人仍不接受解释且采取重复投诉，甚至出现捏造事实、无理取闹、聚众围堵、恶意诽谤等严重扰乱公司生产经营秩序的恶劣行为，可再扣除投诉人5-10分；报价人对同一事件进行重复的无效投诉，或一年内累计无效投诉达三次以上（含三次），均直接列入暂停交易清单，情节严重的可直接列入禁止交易供应商清单。</w:t>
      </w:r>
    </w:p>
    <w:p w14:paraId="17DBABE1">
      <w:pPr>
        <w:keepNext w:val="0"/>
        <w:keepLines w:val="0"/>
        <w:pageBreakBefore w:val="0"/>
        <w:widowControl/>
        <w:kinsoku/>
        <w:wordWrap/>
        <w:overflowPunct/>
        <w:topLinePunct w:val="0"/>
        <w:autoSpaceDE/>
        <w:autoSpaceDN/>
        <w:bidi w:val="0"/>
        <w:adjustRightInd w:val="0"/>
        <w:snapToGrid w:val="0"/>
        <w:spacing w:beforeLines="0" w:afterLines="0" w:line="600" w:lineRule="exact"/>
        <w:ind w:left="0" w:leftChars="0" w:right="210" w:rightChars="100"/>
        <w:jc w:val="center"/>
        <w:textAlignment w:val="auto"/>
        <w:outlineLvl w:val="9"/>
        <w:rPr>
          <w:rFonts w:hint="eastAsia" w:ascii="黑体" w:hAnsi="黑体" w:eastAsia="黑体" w:cs="仿宋"/>
          <w:b w:val="0"/>
          <w:bCs/>
          <w:color w:val="auto"/>
          <w:sz w:val="34"/>
          <w:szCs w:val="34"/>
          <w:u w:val="none"/>
          <w:lang w:val="en-US" w:eastAsia="zh-CN"/>
        </w:rPr>
      </w:pPr>
      <w:r>
        <w:rPr>
          <w:rFonts w:hint="eastAsia" w:ascii="黑体" w:hAnsi="黑体" w:eastAsia="黑体" w:cs="仿宋"/>
          <w:b w:val="0"/>
          <w:bCs/>
          <w:color w:val="auto"/>
          <w:sz w:val="34"/>
          <w:szCs w:val="34"/>
          <w:u w:val="none"/>
          <w:lang w:val="en-US" w:eastAsia="zh-CN"/>
        </w:rPr>
        <w:t>第五章  重要事项</w:t>
      </w:r>
    </w:p>
    <w:p w14:paraId="0F42EFB3">
      <w:pPr>
        <w:pStyle w:val="3"/>
        <w:keepNext w:val="0"/>
        <w:keepLines w:val="0"/>
        <w:pageBreakBefore w:val="0"/>
        <w:widowControl/>
        <w:kinsoku/>
        <w:wordWrap/>
        <w:overflowPunct/>
        <w:topLinePunct w:val="0"/>
        <w:autoSpaceDE/>
        <w:autoSpaceDN/>
        <w:bidi w:val="0"/>
        <w:adjustRightInd w:val="0"/>
        <w:snapToGrid w:val="0"/>
        <w:spacing w:beforeAutospacing="0" w:afterAutospacing="0" w:line="600" w:lineRule="exact"/>
        <w:ind w:firstLine="683" w:firstLineChars="200"/>
        <w:textAlignment w:val="auto"/>
        <w:rPr>
          <w:rFonts w:hint="eastAsia" w:ascii="仿宋_GB2312" w:hAnsi="仿宋" w:eastAsia="仿宋_GB2312" w:cs="Times New Roman"/>
          <w:b w:val="0"/>
          <w:bCs/>
          <w:color w:val="auto"/>
          <w:kern w:val="2"/>
          <w:sz w:val="34"/>
          <w:szCs w:val="34"/>
          <w:u w:val="none"/>
          <w:lang w:val="en-US" w:eastAsia="zh-CN"/>
        </w:rPr>
      </w:pPr>
      <w:r>
        <w:rPr>
          <w:rFonts w:hint="eastAsia" w:ascii="仿宋_GB2312" w:hAnsi="仿宋" w:eastAsia="仿宋_GB2312" w:cs="Times New Roman"/>
          <w:b/>
          <w:bCs w:val="0"/>
          <w:color w:val="auto"/>
          <w:kern w:val="2"/>
          <w:sz w:val="34"/>
          <w:szCs w:val="34"/>
          <w:u w:val="none"/>
          <w:lang w:val="en-US" w:eastAsia="zh-CN"/>
        </w:rPr>
        <w:t>第九条</w:t>
      </w:r>
      <w:r>
        <w:rPr>
          <w:rFonts w:hint="eastAsia" w:ascii="仿宋_GB2312" w:hAnsi="仿宋" w:eastAsia="仿宋_GB2312" w:cs="Times New Roman"/>
          <w:b w:val="0"/>
          <w:bCs/>
          <w:color w:val="auto"/>
          <w:kern w:val="2"/>
          <w:sz w:val="34"/>
          <w:szCs w:val="34"/>
          <w:u w:val="none"/>
          <w:lang w:val="en-US" w:eastAsia="zh-CN"/>
        </w:rPr>
        <w:t xml:space="preserve">  为确保集团内部供应商管理的一致性和高效性，各部门应统一按照集团公司制定的供应商管理要求严格执行。</w:t>
      </w:r>
    </w:p>
    <w:p w14:paraId="4ACFDFF2">
      <w:pPr>
        <w:keepNext w:val="0"/>
        <w:keepLines w:val="0"/>
        <w:pageBreakBefore w:val="0"/>
        <w:widowControl/>
        <w:kinsoku/>
        <w:wordWrap/>
        <w:overflowPunct/>
        <w:topLinePunct w:val="0"/>
        <w:autoSpaceDE/>
        <w:autoSpaceDN/>
        <w:bidi w:val="0"/>
        <w:adjustRightInd w:val="0"/>
        <w:snapToGrid w:val="0"/>
        <w:spacing w:beforeAutospacing="0" w:afterAutospacing="0" w:line="600" w:lineRule="exact"/>
        <w:ind w:firstLine="683" w:firstLineChars="200"/>
        <w:textAlignment w:val="auto"/>
        <w:rPr>
          <w:rFonts w:hint="eastAsia" w:ascii="仿宋_GB2312" w:hAnsi="仿宋" w:eastAsia="仿宋_GB2312" w:cs="Times New Roman"/>
          <w:b w:val="0"/>
          <w:bCs/>
          <w:color w:val="auto"/>
          <w:kern w:val="2"/>
          <w:sz w:val="34"/>
          <w:szCs w:val="34"/>
          <w:u w:val="none"/>
          <w:lang w:val="en-US" w:eastAsia="zh-CN"/>
        </w:rPr>
      </w:pPr>
      <w:r>
        <w:rPr>
          <w:rFonts w:hint="eastAsia" w:ascii="仿宋_GB2312" w:hAnsi="仿宋" w:eastAsia="仿宋_GB2312" w:cs="Times New Roman"/>
          <w:b/>
          <w:bCs w:val="0"/>
          <w:color w:val="auto"/>
          <w:kern w:val="2"/>
          <w:sz w:val="34"/>
          <w:szCs w:val="34"/>
          <w:u w:val="none"/>
          <w:lang w:val="en-US" w:eastAsia="zh-CN"/>
        </w:rPr>
        <w:t>第十条</w:t>
      </w:r>
      <w:r>
        <w:rPr>
          <w:rFonts w:hint="eastAsia" w:ascii="仿宋_GB2312" w:hAnsi="仿宋" w:eastAsia="仿宋_GB2312" w:cs="Times New Roman"/>
          <w:b w:val="0"/>
          <w:bCs/>
          <w:color w:val="auto"/>
          <w:kern w:val="2"/>
          <w:sz w:val="34"/>
          <w:szCs w:val="34"/>
          <w:u w:val="none"/>
          <w:lang w:val="en-US" w:eastAsia="zh-CN"/>
        </w:rPr>
        <w:t xml:space="preserve">  各部门将供应商纳入负面清单时应秉持审慎原则，需建立在事实调查与证据收集基础之上，确保决定的合理性与公正性。</w:t>
      </w:r>
    </w:p>
    <w:p w14:paraId="4C656DF5">
      <w:pPr>
        <w:keepNext w:val="0"/>
        <w:keepLines w:val="0"/>
        <w:pageBreakBefore w:val="0"/>
        <w:widowControl/>
        <w:kinsoku/>
        <w:wordWrap/>
        <w:overflowPunct/>
        <w:topLinePunct w:val="0"/>
        <w:autoSpaceDE/>
        <w:autoSpaceDN/>
        <w:bidi w:val="0"/>
        <w:adjustRightInd w:val="0"/>
        <w:snapToGrid w:val="0"/>
        <w:spacing w:beforeAutospacing="0" w:afterAutospacing="0" w:line="600" w:lineRule="exact"/>
        <w:ind w:firstLine="683" w:firstLineChars="200"/>
        <w:textAlignment w:val="auto"/>
        <w:rPr>
          <w:rFonts w:hint="eastAsia" w:ascii="仿宋_GB2312" w:hAnsi="仿宋" w:eastAsia="仿宋_GB2312" w:cs="Times New Roman"/>
          <w:b w:val="0"/>
          <w:bCs/>
          <w:color w:val="auto"/>
          <w:kern w:val="2"/>
          <w:sz w:val="34"/>
          <w:szCs w:val="34"/>
          <w:u w:val="none"/>
          <w:lang w:val="en-US" w:eastAsia="zh-CN"/>
        </w:rPr>
      </w:pPr>
      <w:r>
        <w:rPr>
          <w:rFonts w:hint="eastAsia" w:ascii="仿宋_GB2312" w:hAnsi="仿宋" w:eastAsia="仿宋_GB2312" w:cs="Times New Roman"/>
          <w:b/>
          <w:bCs w:val="0"/>
          <w:color w:val="auto"/>
          <w:kern w:val="2"/>
          <w:sz w:val="34"/>
          <w:szCs w:val="34"/>
          <w:u w:val="none"/>
          <w:lang w:val="en-US" w:eastAsia="zh-CN"/>
        </w:rPr>
        <w:t>第十一条</w:t>
      </w:r>
      <w:r>
        <w:rPr>
          <w:rFonts w:hint="eastAsia" w:ascii="仿宋_GB2312" w:hAnsi="仿宋" w:eastAsia="仿宋_GB2312" w:cs="Times New Roman"/>
          <w:b w:val="0"/>
          <w:bCs/>
          <w:color w:val="auto"/>
          <w:kern w:val="2"/>
          <w:sz w:val="34"/>
          <w:szCs w:val="34"/>
          <w:u w:val="none"/>
          <w:lang w:val="en-US" w:eastAsia="zh-CN"/>
        </w:rPr>
        <w:t xml:space="preserve">  原则上不得与禁止合作的供应商恢复合作关系。如确因生产需要恢复合作的，须经相关审批流程后方可实施。</w:t>
      </w:r>
    </w:p>
    <w:p w14:paraId="11449FEF">
      <w:pPr>
        <w:keepNext w:val="0"/>
        <w:keepLines w:val="0"/>
        <w:pageBreakBefore w:val="0"/>
        <w:widowControl/>
        <w:kinsoku/>
        <w:wordWrap/>
        <w:overflowPunct/>
        <w:topLinePunct w:val="0"/>
        <w:autoSpaceDE/>
        <w:autoSpaceDN/>
        <w:bidi w:val="0"/>
        <w:adjustRightInd w:val="0"/>
        <w:snapToGrid w:val="0"/>
        <w:spacing w:beforeAutospacing="0" w:afterAutospacing="0" w:line="600" w:lineRule="exact"/>
        <w:ind w:firstLine="683" w:firstLineChars="200"/>
        <w:textAlignment w:val="auto"/>
        <w:rPr>
          <w:rFonts w:hint="eastAsia" w:ascii="仿宋_GB2312" w:hAnsi="仿宋" w:eastAsia="仿宋_GB2312" w:cs="Times New Roman"/>
          <w:b w:val="0"/>
          <w:bCs/>
          <w:color w:val="auto"/>
          <w:kern w:val="2"/>
          <w:sz w:val="34"/>
          <w:szCs w:val="34"/>
          <w:u w:val="none"/>
          <w:lang w:val="en-US" w:eastAsia="zh-CN"/>
        </w:rPr>
      </w:pPr>
      <w:r>
        <w:rPr>
          <w:rFonts w:hint="eastAsia" w:ascii="仿宋_GB2312" w:hAnsi="仿宋" w:eastAsia="仿宋_GB2312" w:cs="Times New Roman"/>
          <w:b/>
          <w:bCs w:val="0"/>
          <w:color w:val="auto"/>
          <w:kern w:val="2"/>
          <w:sz w:val="34"/>
          <w:szCs w:val="34"/>
          <w:u w:val="none"/>
          <w:lang w:val="en-US" w:eastAsia="zh-CN"/>
        </w:rPr>
        <w:t>第十二条</w:t>
      </w:r>
      <w:r>
        <w:rPr>
          <w:rFonts w:hint="eastAsia" w:ascii="仿宋_GB2312" w:hAnsi="仿宋" w:eastAsia="仿宋_GB2312" w:cs="Times New Roman"/>
          <w:b w:val="0"/>
          <w:bCs/>
          <w:color w:val="auto"/>
          <w:kern w:val="2"/>
          <w:sz w:val="34"/>
          <w:szCs w:val="34"/>
          <w:u w:val="none"/>
          <w:lang w:val="en-US" w:eastAsia="zh-CN"/>
        </w:rPr>
        <w:t xml:space="preserve">  暂停合作供应商考核满一年后，经审议符合移出暂停合作清单条件的，各部门无正当理由不得拒绝或拖延将其移出负面清单。</w:t>
      </w:r>
    </w:p>
    <w:p w14:paraId="2062314B">
      <w:pPr>
        <w:keepNext w:val="0"/>
        <w:keepLines w:val="0"/>
        <w:pageBreakBefore w:val="0"/>
        <w:widowControl/>
        <w:kinsoku/>
        <w:wordWrap/>
        <w:overflowPunct/>
        <w:topLinePunct w:val="0"/>
        <w:autoSpaceDE/>
        <w:autoSpaceDN/>
        <w:bidi w:val="0"/>
        <w:adjustRightInd w:val="0"/>
        <w:snapToGrid w:val="0"/>
        <w:spacing w:beforeAutospacing="0" w:afterAutospacing="0" w:line="600" w:lineRule="exact"/>
        <w:ind w:firstLine="683" w:firstLineChars="200"/>
        <w:textAlignment w:val="auto"/>
        <w:rPr>
          <w:rFonts w:hint="default" w:ascii="仿宋_GB2312" w:hAnsi="仿宋" w:eastAsia="仿宋_GB2312" w:cs="Times New Roman"/>
          <w:b w:val="0"/>
          <w:bCs/>
          <w:color w:val="auto"/>
          <w:kern w:val="2"/>
          <w:sz w:val="34"/>
          <w:szCs w:val="34"/>
          <w:u w:val="none"/>
          <w:lang w:val="en-US" w:eastAsia="zh-CN"/>
        </w:rPr>
      </w:pPr>
      <w:r>
        <w:rPr>
          <w:rFonts w:hint="eastAsia" w:ascii="仿宋_GB2312" w:hAnsi="仿宋" w:eastAsia="仿宋_GB2312" w:cs="Times New Roman"/>
          <w:b/>
          <w:bCs w:val="0"/>
          <w:color w:val="auto"/>
          <w:kern w:val="2"/>
          <w:sz w:val="34"/>
          <w:szCs w:val="34"/>
          <w:u w:val="none"/>
          <w:lang w:val="en-US" w:eastAsia="zh-CN"/>
        </w:rPr>
        <w:t>第十三条</w:t>
      </w:r>
      <w:r>
        <w:rPr>
          <w:rFonts w:hint="eastAsia" w:ascii="仿宋_GB2312" w:hAnsi="仿宋" w:eastAsia="仿宋_GB2312" w:cs="Times New Roman"/>
          <w:b w:val="0"/>
          <w:bCs/>
          <w:color w:val="auto"/>
          <w:kern w:val="2"/>
          <w:sz w:val="34"/>
          <w:szCs w:val="34"/>
          <w:u w:val="none"/>
          <w:lang w:val="en-US" w:eastAsia="zh-CN"/>
        </w:rPr>
        <w:t xml:space="preserve">  如果被暂停合作供应商在收到我司到期告知后三个月内未能提供有效整改材料或一年内不能完成整改的，相关单位可将其列入禁止合作供应商清单，不再与其开展合作。</w:t>
      </w:r>
    </w:p>
    <w:p w14:paraId="564017B0">
      <w:pPr>
        <w:keepNext w:val="0"/>
        <w:keepLines w:val="0"/>
        <w:pageBreakBefore w:val="0"/>
        <w:widowControl/>
        <w:kinsoku/>
        <w:wordWrap/>
        <w:overflowPunct/>
        <w:topLinePunct w:val="0"/>
        <w:autoSpaceDE/>
        <w:autoSpaceDN/>
        <w:bidi w:val="0"/>
        <w:adjustRightInd w:val="0"/>
        <w:snapToGrid w:val="0"/>
        <w:spacing w:beforeAutospacing="0" w:afterAutospacing="0" w:line="600" w:lineRule="exact"/>
        <w:ind w:firstLine="683" w:firstLineChars="200"/>
        <w:textAlignment w:val="auto"/>
        <w:rPr>
          <w:rFonts w:hint="eastAsia" w:ascii="仿宋_GB2312" w:hAnsi="仿宋" w:eastAsia="仿宋_GB2312" w:cs="Times New Roman"/>
          <w:b w:val="0"/>
          <w:bCs/>
          <w:color w:val="auto"/>
          <w:kern w:val="2"/>
          <w:sz w:val="34"/>
          <w:szCs w:val="34"/>
          <w:u w:val="none"/>
          <w:lang w:val="en-US" w:eastAsia="zh-CN"/>
        </w:rPr>
      </w:pPr>
      <w:r>
        <w:rPr>
          <w:rFonts w:hint="eastAsia" w:ascii="仿宋_GB2312" w:hAnsi="仿宋" w:eastAsia="仿宋_GB2312" w:cs="Times New Roman"/>
          <w:b/>
          <w:bCs w:val="0"/>
          <w:color w:val="auto"/>
          <w:kern w:val="2"/>
          <w:sz w:val="34"/>
          <w:szCs w:val="34"/>
          <w:u w:val="none"/>
          <w:lang w:val="en-US" w:eastAsia="zh-CN"/>
        </w:rPr>
        <w:t xml:space="preserve">第十四条 </w:t>
      </w:r>
      <w:r>
        <w:rPr>
          <w:rFonts w:hint="eastAsia" w:ascii="仿宋_GB2312" w:hAnsi="仿宋" w:eastAsia="仿宋_GB2312" w:cs="Times New Roman"/>
          <w:b w:val="0"/>
          <w:bCs/>
          <w:color w:val="auto"/>
          <w:kern w:val="2"/>
          <w:sz w:val="34"/>
          <w:szCs w:val="34"/>
          <w:u w:val="none"/>
          <w:lang w:val="en-US" w:eastAsia="zh-CN"/>
        </w:rPr>
        <w:t xml:space="preserve"> 各单位、各部门需真实、准确地记录供应商的考核结果，并按照要求及时报送供应商考核信息至集团商务合作部，确保信息及时、透明。</w:t>
      </w:r>
    </w:p>
    <w:p w14:paraId="080853E5">
      <w:pPr>
        <w:keepNext w:val="0"/>
        <w:keepLines w:val="0"/>
        <w:pageBreakBefore w:val="0"/>
        <w:widowControl/>
        <w:kinsoku/>
        <w:wordWrap/>
        <w:overflowPunct/>
        <w:topLinePunct w:val="0"/>
        <w:autoSpaceDE/>
        <w:autoSpaceDN/>
        <w:bidi w:val="0"/>
        <w:adjustRightInd w:val="0"/>
        <w:snapToGrid w:val="0"/>
        <w:spacing w:beforeAutospacing="0" w:afterAutospacing="0" w:line="600" w:lineRule="exact"/>
        <w:ind w:firstLine="683" w:firstLineChars="200"/>
        <w:textAlignment w:val="auto"/>
        <w:rPr>
          <w:rFonts w:hint="default" w:ascii="仿宋_GB2312" w:hAnsi="仿宋" w:eastAsia="仿宋_GB2312" w:cs="Times New Roman"/>
          <w:b w:val="0"/>
          <w:bCs/>
          <w:color w:val="auto"/>
          <w:kern w:val="2"/>
          <w:sz w:val="34"/>
          <w:szCs w:val="34"/>
          <w:u w:val="none"/>
          <w:lang w:val="en-US" w:eastAsia="zh-CN"/>
        </w:rPr>
      </w:pPr>
      <w:r>
        <w:rPr>
          <w:rFonts w:hint="eastAsia" w:ascii="仿宋_GB2312" w:hAnsi="仿宋" w:eastAsia="仿宋_GB2312" w:cs="Times New Roman"/>
          <w:b/>
          <w:bCs w:val="0"/>
          <w:color w:val="auto"/>
          <w:kern w:val="2"/>
          <w:sz w:val="34"/>
          <w:szCs w:val="34"/>
          <w:u w:val="none"/>
          <w:lang w:val="en-US" w:eastAsia="zh-CN"/>
        </w:rPr>
        <w:t>第十五条</w:t>
      </w:r>
      <w:r>
        <w:rPr>
          <w:rFonts w:hint="eastAsia" w:ascii="仿宋_GB2312" w:hAnsi="仿宋" w:eastAsia="仿宋_GB2312" w:cs="Times New Roman"/>
          <w:b w:val="0"/>
          <w:bCs/>
          <w:color w:val="auto"/>
          <w:kern w:val="2"/>
          <w:sz w:val="34"/>
          <w:szCs w:val="34"/>
          <w:u w:val="none"/>
          <w:lang w:val="en-US" w:eastAsia="zh-CN"/>
        </w:rPr>
        <w:t xml:space="preserve">  对于严重侵害我公司利益的供应商，除按照供应商管理制度进行正常考核外，对于存在违法违规行为的供应商，应依法追究其法律责任，包括但不限于通过法律途径索赔、向相关监管机构举报等。</w:t>
      </w:r>
    </w:p>
    <w:p w14:paraId="5E6C2DC8">
      <w:pPr>
        <w:keepNext w:val="0"/>
        <w:keepLines w:val="0"/>
        <w:pageBreakBefore w:val="0"/>
        <w:widowControl/>
        <w:kinsoku/>
        <w:wordWrap/>
        <w:overflowPunct/>
        <w:topLinePunct w:val="0"/>
        <w:autoSpaceDE/>
        <w:autoSpaceDN/>
        <w:bidi w:val="0"/>
        <w:adjustRightInd w:val="0"/>
        <w:snapToGrid w:val="0"/>
        <w:spacing w:beforeLines="0" w:afterLines="0" w:line="600" w:lineRule="exact"/>
        <w:ind w:left="0" w:leftChars="0" w:right="210" w:rightChars="100"/>
        <w:jc w:val="center"/>
        <w:textAlignment w:val="auto"/>
        <w:outlineLvl w:val="9"/>
        <w:rPr>
          <w:rFonts w:hint="eastAsia" w:ascii="黑体" w:hAnsi="黑体" w:eastAsia="黑体" w:cs="仿宋"/>
          <w:b w:val="0"/>
          <w:bCs/>
          <w:color w:val="auto"/>
          <w:sz w:val="34"/>
          <w:szCs w:val="34"/>
          <w:u w:val="none"/>
          <w:lang w:val="en-US" w:eastAsia="zh-CN"/>
        </w:rPr>
      </w:pPr>
      <w:r>
        <w:rPr>
          <w:rFonts w:hint="eastAsia" w:ascii="黑体" w:hAnsi="黑体" w:eastAsia="黑体" w:cs="仿宋"/>
          <w:b w:val="0"/>
          <w:bCs/>
          <w:color w:val="auto"/>
          <w:sz w:val="34"/>
          <w:szCs w:val="34"/>
          <w:u w:val="none"/>
          <w:lang w:eastAsia="zh-CN"/>
        </w:rPr>
        <w:t>第</w:t>
      </w:r>
      <w:r>
        <w:rPr>
          <w:rFonts w:hint="eastAsia" w:ascii="黑体" w:hAnsi="黑体" w:eastAsia="黑体" w:cs="仿宋"/>
          <w:b w:val="0"/>
          <w:bCs/>
          <w:color w:val="auto"/>
          <w:sz w:val="34"/>
          <w:szCs w:val="34"/>
          <w:u w:val="none"/>
          <w:lang w:val="en-US" w:eastAsia="zh-CN"/>
        </w:rPr>
        <w:t>六</w:t>
      </w:r>
      <w:r>
        <w:rPr>
          <w:rFonts w:hint="eastAsia" w:ascii="黑体" w:hAnsi="黑体" w:eastAsia="黑体" w:cs="仿宋"/>
          <w:b w:val="0"/>
          <w:bCs/>
          <w:color w:val="auto"/>
          <w:sz w:val="34"/>
          <w:szCs w:val="34"/>
          <w:u w:val="none"/>
          <w:lang w:eastAsia="zh-CN"/>
        </w:rPr>
        <w:t>章</w:t>
      </w:r>
      <w:r>
        <w:rPr>
          <w:rFonts w:hint="eastAsia" w:ascii="黑体" w:hAnsi="黑体" w:eastAsia="黑体" w:cs="仿宋"/>
          <w:b w:val="0"/>
          <w:bCs/>
          <w:color w:val="auto"/>
          <w:sz w:val="34"/>
          <w:szCs w:val="34"/>
          <w:u w:val="none"/>
          <w:lang w:val="en-US" w:eastAsia="zh-CN"/>
        </w:rPr>
        <w:t xml:space="preserve">  附则</w:t>
      </w:r>
    </w:p>
    <w:p w14:paraId="17439FB3">
      <w:pPr>
        <w:spacing w:line="600" w:lineRule="exact"/>
        <w:ind w:left="0" w:firstLine="642"/>
        <w:outlineLvl w:val="9"/>
        <w:rPr>
          <w:rFonts w:hint="eastAsia" w:ascii="仿宋_GB2312" w:hAnsi="仿宋" w:eastAsia="仿宋_GB2312" w:cs="Times New Roman"/>
          <w:b w:val="0"/>
          <w:bCs/>
          <w:color w:val="auto"/>
          <w:sz w:val="34"/>
          <w:szCs w:val="34"/>
          <w:u w:val="none"/>
          <w:lang w:val="en-US" w:eastAsia="zh-CN"/>
        </w:rPr>
      </w:pPr>
      <w:r>
        <w:rPr>
          <w:rFonts w:hint="eastAsia" w:ascii="仿宋_GB2312" w:hAnsi="楷体" w:eastAsia="仿宋_GB2312" w:cs="Times New Roman"/>
          <w:b/>
          <w:bCs w:val="0"/>
          <w:color w:val="auto"/>
          <w:sz w:val="34"/>
          <w:szCs w:val="34"/>
          <w:u w:val="none"/>
          <w:lang w:val="en-US" w:eastAsia="zh-CN"/>
        </w:rPr>
        <w:t xml:space="preserve">第十六条 </w:t>
      </w:r>
      <w:r>
        <w:rPr>
          <w:rFonts w:hint="eastAsia" w:ascii="仿宋_GB2312" w:hAnsi="仿宋" w:eastAsia="仿宋_GB2312" w:cs="Times New Roman"/>
          <w:b w:val="0"/>
          <w:bCs/>
          <w:color w:val="auto"/>
          <w:sz w:val="34"/>
          <w:szCs w:val="34"/>
          <w:u w:val="none"/>
          <w:lang w:val="en-US" w:eastAsia="zh-CN"/>
        </w:rPr>
        <w:t>各部门、各单位应努力按照公开、公平、公正的原则，做好供应商负面清单的考核和管理工作。</w:t>
      </w:r>
    </w:p>
    <w:p w14:paraId="42AAB75B">
      <w:pPr>
        <w:spacing w:line="600" w:lineRule="exact"/>
        <w:ind w:left="0" w:firstLine="642"/>
        <w:outlineLvl w:val="9"/>
        <w:rPr>
          <w:rFonts w:hint="eastAsia" w:ascii="仿宋_GB2312" w:hAnsi="仿宋" w:eastAsia="仿宋_GB2312" w:cs="Times New Roman"/>
          <w:b w:val="0"/>
          <w:bCs/>
          <w:color w:val="auto"/>
          <w:sz w:val="34"/>
          <w:szCs w:val="34"/>
          <w:u w:val="none"/>
          <w:lang w:val="en-US" w:eastAsia="zh-CN"/>
        </w:rPr>
      </w:pPr>
      <w:r>
        <w:rPr>
          <w:rFonts w:hint="eastAsia" w:ascii="仿宋_GB2312" w:hAnsi="楷体" w:eastAsia="仿宋_GB2312" w:cs="Times New Roman"/>
          <w:b/>
          <w:bCs w:val="0"/>
          <w:color w:val="auto"/>
          <w:sz w:val="34"/>
          <w:szCs w:val="34"/>
          <w:u w:val="none"/>
          <w:lang w:val="en-US" w:eastAsia="zh-CN"/>
        </w:rPr>
        <w:t xml:space="preserve">第十七条 </w:t>
      </w:r>
      <w:r>
        <w:rPr>
          <w:rFonts w:hint="eastAsia" w:ascii="仿宋_GB2312" w:hAnsi="仿宋" w:eastAsia="仿宋_GB2312" w:cs="Times New Roman"/>
          <w:b w:val="0"/>
          <w:bCs/>
          <w:color w:val="auto"/>
          <w:sz w:val="34"/>
          <w:szCs w:val="34"/>
          <w:u w:val="none"/>
          <w:lang w:val="en-US" w:eastAsia="zh-CN"/>
        </w:rPr>
        <w:t>不同单位对同一供应商12个月内的考核扣分累计达到15分及以上的，由集团商务合作部将其列为暂停合作供应商。</w:t>
      </w:r>
    </w:p>
    <w:p w14:paraId="76B5D54C">
      <w:pPr>
        <w:keepNext w:val="0"/>
        <w:keepLines w:val="0"/>
        <w:pageBreakBefore w:val="0"/>
        <w:widowControl/>
        <w:kinsoku/>
        <w:wordWrap/>
        <w:overflowPunct/>
        <w:topLinePunct w:val="0"/>
        <w:autoSpaceDE/>
        <w:autoSpaceDN/>
        <w:bidi w:val="0"/>
        <w:adjustRightInd/>
        <w:snapToGrid/>
        <w:spacing w:beforeLines="0" w:afterLines="0" w:line="600" w:lineRule="exact"/>
        <w:ind w:left="0" w:leftChars="0" w:right="0" w:rightChars="0" w:firstLine="683" w:firstLineChars="200"/>
        <w:jc w:val="left"/>
        <w:textAlignment w:val="auto"/>
        <w:outlineLvl w:val="9"/>
        <w:rPr>
          <w:rFonts w:hint="eastAsia" w:ascii="仿宋_GB2312" w:hAnsi="楷体" w:eastAsia="仿宋_GB2312" w:cs="Times New Roman"/>
          <w:b w:val="0"/>
          <w:bCs/>
          <w:color w:val="auto"/>
          <w:sz w:val="34"/>
          <w:szCs w:val="34"/>
          <w:highlight w:val="none"/>
          <w:u w:val="none"/>
          <w:lang w:val="en-US" w:eastAsia="zh-CN"/>
        </w:rPr>
      </w:pPr>
      <w:r>
        <w:rPr>
          <w:rFonts w:hint="eastAsia" w:ascii="仿宋_GB2312" w:hAnsi="楷体" w:eastAsia="仿宋_GB2312" w:cs="Times New Roman"/>
          <w:b/>
          <w:bCs w:val="0"/>
          <w:color w:val="auto"/>
          <w:sz w:val="34"/>
          <w:szCs w:val="34"/>
          <w:highlight w:val="none"/>
          <w:u w:val="none"/>
          <w:lang w:val="en-US" w:eastAsia="zh-CN"/>
        </w:rPr>
        <w:t>第十八条</w:t>
      </w:r>
      <w:r>
        <w:rPr>
          <w:rFonts w:hint="eastAsia" w:ascii="仿宋_GB2312" w:hAnsi="楷体" w:eastAsia="仿宋_GB2312" w:cs="Times New Roman"/>
          <w:b w:val="0"/>
          <w:bCs/>
          <w:color w:val="auto"/>
          <w:sz w:val="34"/>
          <w:szCs w:val="34"/>
          <w:highlight w:val="none"/>
          <w:u w:val="none"/>
          <w:lang w:val="en-US" w:eastAsia="zh-CN"/>
        </w:rPr>
        <w:t xml:space="preserve"> 自然人、废旧物资处置单位参照本制度进行管理。</w:t>
      </w:r>
    </w:p>
    <w:p w14:paraId="7780D7D4">
      <w:pPr>
        <w:keepNext w:val="0"/>
        <w:keepLines w:val="0"/>
        <w:pageBreakBefore w:val="0"/>
        <w:widowControl/>
        <w:kinsoku/>
        <w:wordWrap/>
        <w:overflowPunct/>
        <w:topLinePunct w:val="0"/>
        <w:autoSpaceDE/>
        <w:autoSpaceDN/>
        <w:bidi w:val="0"/>
        <w:adjustRightInd/>
        <w:snapToGrid/>
        <w:spacing w:beforeLines="0" w:afterLines="0" w:line="600" w:lineRule="exact"/>
        <w:ind w:left="0" w:leftChars="0" w:right="0" w:rightChars="0" w:firstLine="683" w:firstLineChars="200"/>
        <w:jc w:val="left"/>
        <w:textAlignment w:val="auto"/>
        <w:outlineLvl w:val="9"/>
        <w:rPr>
          <w:rFonts w:hint="default" w:ascii="仿宋_GB2312" w:hAnsi="楷体" w:eastAsia="仿宋_GB2312" w:cs="Times New Roman"/>
          <w:b w:val="0"/>
          <w:bCs/>
          <w:color w:val="auto"/>
          <w:sz w:val="34"/>
          <w:szCs w:val="34"/>
          <w:highlight w:val="none"/>
          <w:u w:val="none"/>
          <w:lang w:val="en-US" w:eastAsia="zh-CN"/>
        </w:rPr>
      </w:pPr>
      <w:r>
        <w:rPr>
          <w:rFonts w:hint="eastAsia" w:ascii="仿宋_GB2312" w:hAnsi="楷体" w:eastAsia="仿宋_GB2312" w:cs="Times New Roman"/>
          <w:b/>
          <w:bCs w:val="0"/>
          <w:color w:val="auto"/>
          <w:sz w:val="34"/>
          <w:szCs w:val="34"/>
          <w:highlight w:val="none"/>
          <w:u w:val="none"/>
          <w:lang w:val="en-US" w:eastAsia="zh-CN"/>
        </w:rPr>
        <w:t>第十九条</w:t>
      </w:r>
      <w:r>
        <w:rPr>
          <w:rFonts w:hint="eastAsia" w:ascii="仿宋_GB2312" w:hAnsi="楷体" w:eastAsia="仿宋_GB2312" w:cs="Times New Roman"/>
          <w:b w:val="0"/>
          <w:bCs/>
          <w:color w:val="auto"/>
          <w:sz w:val="34"/>
          <w:szCs w:val="34"/>
          <w:highlight w:val="none"/>
          <w:u w:val="none"/>
          <w:lang w:val="en-US" w:eastAsia="zh-CN"/>
        </w:rPr>
        <w:t xml:space="preserve"> 如某一实际控制人所控制的公司被列入负面清单，该实控人直接或间接控制的所有相关公司也视同列入负面清单。</w:t>
      </w:r>
    </w:p>
    <w:p w14:paraId="44A26F04">
      <w:pPr>
        <w:keepNext w:val="0"/>
        <w:keepLines w:val="0"/>
        <w:pageBreakBefore w:val="0"/>
        <w:widowControl/>
        <w:kinsoku/>
        <w:wordWrap/>
        <w:overflowPunct/>
        <w:topLinePunct w:val="0"/>
        <w:autoSpaceDE/>
        <w:autoSpaceDN/>
        <w:bidi w:val="0"/>
        <w:adjustRightInd/>
        <w:snapToGrid/>
        <w:spacing w:beforeLines="0" w:afterLines="0" w:line="600" w:lineRule="exact"/>
        <w:ind w:left="0" w:leftChars="0" w:right="0" w:rightChars="0" w:firstLine="683" w:firstLineChars="200"/>
        <w:jc w:val="left"/>
        <w:textAlignment w:val="auto"/>
        <w:outlineLvl w:val="9"/>
        <w:rPr>
          <w:rFonts w:hint="default" w:ascii="仿宋_GB2312" w:hAnsi="楷体" w:eastAsia="仿宋_GB2312" w:cs="Times New Roman"/>
          <w:b w:val="0"/>
          <w:bCs/>
          <w:color w:val="auto"/>
          <w:sz w:val="34"/>
          <w:szCs w:val="34"/>
          <w:highlight w:val="none"/>
          <w:u w:val="none"/>
          <w:lang w:val="en-US" w:eastAsia="zh-CN"/>
        </w:rPr>
      </w:pPr>
      <w:r>
        <w:rPr>
          <w:rFonts w:hint="eastAsia" w:ascii="仿宋_GB2312" w:hAnsi="楷体" w:eastAsia="仿宋_GB2312" w:cs="Times New Roman"/>
          <w:b/>
          <w:bCs w:val="0"/>
          <w:color w:val="auto"/>
          <w:sz w:val="34"/>
          <w:szCs w:val="34"/>
          <w:highlight w:val="none"/>
          <w:u w:val="none"/>
          <w:lang w:val="en-US" w:eastAsia="zh-CN"/>
        </w:rPr>
        <w:t>第二十条</w:t>
      </w:r>
      <w:r>
        <w:rPr>
          <w:rFonts w:hint="eastAsia" w:ascii="仿宋_GB2312" w:hAnsi="楷体" w:eastAsia="仿宋_GB2312" w:cs="Times New Roman"/>
          <w:b w:val="0"/>
          <w:bCs/>
          <w:color w:val="auto"/>
          <w:sz w:val="34"/>
          <w:szCs w:val="34"/>
          <w:highlight w:val="none"/>
          <w:u w:val="none"/>
          <w:lang w:val="en-US" w:eastAsia="zh-CN"/>
        </w:rPr>
        <w:t xml:space="preserve"> 集团公司开发供应商管理信息系统，实现扣分、清单更新、公示全流程线上化，并与采购系统联动拦截违规供应商。</w:t>
      </w:r>
    </w:p>
    <w:p w14:paraId="73AADBCE">
      <w:pPr>
        <w:keepNext w:val="0"/>
        <w:keepLines w:val="0"/>
        <w:pageBreakBefore w:val="0"/>
        <w:widowControl/>
        <w:kinsoku/>
        <w:wordWrap/>
        <w:overflowPunct/>
        <w:topLinePunct w:val="0"/>
        <w:autoSpaceDE/>
        <w:autoSpaceDN/>
        <w:bidi w:val="0"/>
        <w:adjustRightInd/>
        <w:snapToGrid/>
        <w:spacing w:beforeLines="0" w:afterLines="0" w:line="600" w:lineRule="exact"/>
        <w:ind w:left="0" w:leftChars="0" w:right="0" w:rightChars="0" w:firstLine="0" w:firstLineChars="0"/>
        <w:jc w:val="left"/>
        <w:textAlignment w:val="auto"/>
        <w:outlineLvl w:val="9"/>
        <w:rPr>
          <w:rFonts w:hint="eastAsia" w:ascii="仿宋_GB2312" w:hAnsi="仿宋" w:eastAsia="仿宋_GB2312" w:cs="Times New Roman"/>
          <w:b w:val="0"/>
          <w:bCs/>
          <w:color w:val="auto"/>
          <w:sz w:val="34"/>
          <w:szCs w:val="34"/>
          <w:highlight w:val="none"/>
          <w:u w:val="none"/>
          <w:lang w:val="en-US" w:eastAsia="zh-CN"/>
        </w:rPr>
        <w:sectPr>
          <w:headerReference r:id="rId3" w:type="default"/>
          <w:footerReference r:id="rId4" w:type="default"/>
          <w:footerReference r:id="rId5" w:type="even"/>
          <w:pgSz w:w="11906" w:h="16838"/>
          <w:pgMar w:top="1701" w:right="1587" w:bottom="1701" w:left="1587" w:header="851" w:footer="1418" w:gutter="0"/>
          <w:cols w:space="720" w:num="1"/>
          <w:docGrid w:linePitch="312" w:charSpace="0"/>
        </w:sectPr>
      </w:pPr>
      <w:r>
        <w:rPr>
          <w:rFonts w:hint="eastAsia" w:ascii="仿宋_GB2312" w:hAnsi="楷体" w:eastAsia="仿宋_GB2312" w:cs="Times New Roman"/>
          <w:b w:val="0"/>
          <w:bCs/>
          <w:color w:val="auto"/>
          <w:sz w:val="34"/>
          <w:szCs w:val="34"/>
          <w:highlight w:val="none"/>
          <w:u w:val="none"/>
          <w:lang w:val="en-US" w:eastAsia="zh-CN"/>
        </w:rPr>
        <w:t>　</w:t>
      </w:r>
      <w:r>
        <w:rPr>
          <w:rFonts w:hint="eastAsia" w:ascii="仿宋_GB2312" w:hAnsi="楷体" w:eastAsia="仿宋_GB2312" w:cs="Times New Roman"/>
          <w:b/>
          <w:bCs w:val="0"/>
          <w:color w:val="auto"/>
          <w:sz w:val="34"/>
          <w:szCs w:val="34"/>
          <w:u w:val="none"/>
          <w:lang w:val="en-US" w:eastAsia="zh-CN"/>
        </w:rPr>
        <w:t>　第二十一条</w:t>
      </w:r>
      <w:r>
        <w:rPr>
          <w:rFonts w:hint="eastAsia" w:ascii="仿宋_GB2312" w:hAnsi="楷体" w:eastAsia="仿宋_GB2312" w:cs="Times New Roman"/>
          <w:b w:val="0"/>
          <w:bCs/>
          <w:color w:val="auto"/>
          <w:sz w:val="34"/>
          <w:szCs w:val="34"/>
          <w:highlight w:val="none"/>
          <w:u w:val="none"/>
          <w:lang w:val="en-US" w:eastAsia="zh-CN"/>
        </w:rPr>
        <w:t xml:space="preserve"> </w:t>
      </w:r>
      <w:r>
        <w:rPr>
          <w:rFonts w:hint="eastAsia" w:ascii="仿宋_GB2312" w:hAnsi="仿宋" w:eastAsia="仿宋_GB2312" w:cs="Times New Roman"/>
          <w:b w:val="0"/>
          <w:bCs/>
          <w:color w:val="auto"/>
          <w:sz w:val="34"/>
          <w:szCs w:val="34"/>
          <w:highlight w:val="none"/>
          <w:u w:val="none"/>
          <w:lang w:val="en-US" w:eastAsia="zh-CN"/>
        </w:rPr>
        <w:t>本规定自颁发之日起生效，由集团商务合作部负责解释，</w:t>
      </w:r>
      <w:r>
        <w:rPr>
          <w:rFonts w:hint="eastAsia" w:ascii="仿宋_GB2312" w:hAnsi="宋体" w:eastAsia="仿宋_GB2312" w:cs="宋体"/>
          <w:b w:val="0"/>
          <w:bCs/>
          <w:color w:val="auto"/>
          <w:kern w:val="0"/>
          <w:sz w:val="34"/>
          <w:szCs w:val="34"/>
          <w:u w:val="none"/>
        </w:rPr>
        <w:t>原《索普集团供应商负面清单管理规定（试行）》</w:t>
      </w:r>
      <w:r>
        <w:rPr>
          <w:rFonts w:hint="eastAsia" w:ascii="仿宋_GB2312" w:eastAsia="仿宋_GB2312"/>
          <w:b w:val="0"/>
          <w:bCs/>
          <w:color w:val="auto"/>
          <w:sz w:val="34"/>
          <w:szCs w:val="34"/>
          <w:u w:val="none"/>
        </w:rPr>
        <w:t>（苏索</w:t>
      </w:r>
      <w:r>
        <w:rPr>
          <w:rFonts w:hint="eastAsia" w:ascii="仿宋_GB2312" w:eastAsia="仿宋_GB2312"/>
          <w:b w:val="0"/>
          <w:bCs/>
          <w:color w:val="auto"/>
          <w:sz w:val="34"/>
          <w:szCs w:val="34"/>
          <w:u w:val="none"/>
          <w:lang w:eastAsia="zh-CN"/>
        </w:rPr>
        <w:t>企</w:t>
      </w:r>
      <w:r>
        <w:rPr>
          <w:rFonts w:hint="eastAsia" w:ascii="仿宋_GB2312" w:eastAsia="仿宋_GB2312"/>
          <w:b w:val="0"/>
          <w:bCs/>
          <w:color w:val="auto"/>
          <w:sz w:val="34"/>
          <w:szCs w:val="34"/>
          <w:u w:val="none"/>
        </w:rPr>
        <w:t>字〔</w:t>
      </w:r>
      <w:r>
        <w:rPr>
          <w:rFonts w:ascii="仿宋_GB2312" w:eastAsia="仿宋_GB2312"/>
          <w:b w:val="0"/>
          <w:bCs/>
          <w:color w:val="auto"/>
          <w:sz w:val="34"/>
          <w:szCs w:val="34"/>
          <w:u w:val="none"/>
        </w:rPr>
        <w:t>20</w:t>
      </w:r>
      <w:r>
        <w:rPr>
          <w:rFonts w:hint="eastAsia" w:ascii="仿宋_GB2312" w:eastAsia="仿宋_GB2312"/>
          <w:b w:val="0"/>
          <w:bCs/>
          <w:color w:val="auto"/>
          <w:sz w:val="34"/>
          <w:szCs w:val="34"/>
          <w:u w:val="none"/>
        </w:rPr>
        <w:t>2</w:t>
      </w:r>
      <w:r>
        <w:rPr>
          <w:rFonts w:hint="eastAsia" w:ascii="仿宋_GB2312" w:eastAsia="仿宋_GB2312"/>
          <w:b w:val="0"/>
          <w:bCs/>
          <w:color w:val="auto"/>
          <w:sz w:val="34"/>
          <w:szCs w:val="34"/>
          <w:u w:val="none"/>
          <w:lang w:val="en-US" w:eastAsia="zh-CN"/>
        </w:rPr>
        <w:t>3</w:t>
      </w:r>
      <w:r>
        <w:rPr>
          <w:rFonts w:hint="eastAsia" w:ascii="仿宋_GB2312" w:eastAsia="仿宋_GB2312"/>
          <w:b w:val="0"/>
          <w:bCs/>
          <w:color w:val="auto"/>
          <w:sz w:val="34"/>
          <w:szCs w:val="34"/>
          <w:u w:val="none"/>
        </w:rPr>
        <w:t>〕</w:t>
      </w:r>
      <w:r>
        <w:rPr>
          <w:rFonts w:hint="eastAsia" w:ascii="仿宋_GB2312" w:eastAsia="仿宋_GB2312"/>
          <w:b w:val="0"/>
          <w:bCs/>
          <w:color w:val="auto"/>
          <w:sz w:val="34"/>
          <w:szCs w:val="34"/>
          <w:u w:val="none"/>
          <w:lang w:val="en-US" w:eastAsia="zh-CN"/>
        </w:rPr>
        <w:t>90</w:t>
      </w:r>
      <w:r>
        <w:rPr>
          <w:rFonts w:hint="eastAsia" w:ascii="仿宋_GB2312" w:eastAsia="仿宋_GB2312"/>
          <w:b w:val="0"/>
          <w:bCs/>
          <w:color w:val="auto"/>
          <w:sz w:val="34"/>
          <w:szCs w:val="34"/>
          <w:u w:val="none"/>
        </w:rPr>
        <w:t>号）同时废止。</w:t>
      </w:r>
    </w:p>
    <w:p w14:paraId="05772774">
      <w:pPr>
        <w:widowControl/>
        <w:jc w:val="left"/>
        <w:rPr>
          <w:rFonts w:hint="eastAsia" w:ascii="黑体" w:hAnsi="黑体" w:eastAsia="黑体" w:cs="黑体"/>
          <w:b w:val="0"/>
          <w:bCs/>
          <w:color w:val="auto"/>
          <w:kern w:val="0"/>
          <w:sz w:val="34"/>
          <w:szCs w:val="34"/>
          <w:u w:val="none"/>
          <w:lang w:eastAsia="zh-CN"/>
        </w:rPr>
      </w:pPr>
      <w:r>
        <w:rPr>
          <w:rFonts w:hint="eastAsia" w:ascii="黑体" w:hAnsi="黑体" w:eastAsia="黑体" w:cs="黑体"/>
          <w:b w:val="0"/>
          <w:bCs/>
          <w:color w:val="auto"/>
          <w:kern w:val="0"/>
          <w:sz w:val="34"/>
          <w:szCs w:val="34"/>
          <w:u w:val="none"/>
        </w:rPr>
        <w:t>附件</w:t>
      </w:r>
      <w:r>
        <w:rPr>
          <w:rFonts w:hint="eastAsia" w:ascii="黑体" w:hAnsi="黑体" w:eastAsia="黑体" w:cs="黑体"/>
          <w:b w:val="0"/>
          <w:bCs/>
          <w:color w:val="auto"/>
          <w:kern w:val="0"/>
          <w:sz w:val="34"/>
          <w:szCs w:val="34"/>
          <w:u w:val="none"/>
          <w:lang w:val="en-US" w:eastAsia="zh-CN"/>
        </w:rPr>
        <w:t>2</w:t>
      </w:r>
    </w:p>
    <w:tbl>
      <w:tblPr>
        <w:tblStyle w:val="9"/>
        <w:tblW w:w="14225" w:type="dxa"/>
        <w:tblInd w:w="0" w:type="dxa"/>
        <w:tblLayout w:type="fixed"/>
        <w:tblCellMar>
          <w:top w:w="0" w:type="dxa"/>
          <w:left w:w="108" w:type="dxa"/>
          <w:bottom w:w="0" w:type="dxa"/>
          <w:right w:w="108" w:type="dxa"/>
        </w:tblCellMar>
      </w:tblPr>
      <w:tblGrid>
        <w:gridCol w:w="705"/>
        <w:gridCol w:w="1685"/>
        <w:gridCol w:w="1328"/>
        <w:gridCol w:w="908"/>
        <w:gridCol w:w="788"/>
        <w:gridCol w:w="824"/>
        <w:gridCol w:w="703"/>
        <w:gridCol w:w="753"/>
        <w:gridCol w:w="806"/>
        <w:gridCol w:w="925"/>
        <w:gridCol w:w="955"/>
        <w:gridCol w:w="1200"/>
        <w:gridCol w:w="1250"/>
        <w:gridCol w:w="109"/>
        <w:gridCol w:w="1286"/>
      </w:tblGrid>
      <w:tr w14:paraId="74C0C77B">
        <w:tblPrEx>
          <w:tblCellMar>
            <w:top w:w="0" w:type="dxa"/>
            <w:left w:w="108" w:type="dxa"/>
            <w:bottom w:w="0" w:type="dxa"/>
            <w:right w:w="108" w:type="dxa"/>
          </w:tblCellMar>
        </w:tblPrEx>
        <w:trPr>
          <w:trHeight w:val="375" w:hRule="atLeast"/>
        </w:trPr>
        <w:tc>
          <w:tcPr>
            <w:tcW w:w="11580" w:type="dxa"/>
            <w:gridSpan w:val="12"/>
            <w:tcBorders>
              <w:top w:val="nil"/>
              <w:left w:val="nil"/>
              <w:bottom w:val="nil"/>
              <w:right w:val="nil"/>
            </w:tcBorders>
            <w:noWrap w:val="0"/>
            <w:vAlign w:val="center"/>
          </w:tcPr>
          <w:p w14:paraId="638CDCF9">
            <w:pPr>
              <w:widowControl/>
              <w:jc w:val="center"/>
              <w:rPr>
                <w:rFonts w:hint="eastAsia" w:ascii="方正小标宋简体" w:hAnsi="宋体" w:eastAsia="方正小标宋简体" w:cs="宋体"/>
                <w:b w:val="0"/>
                <w:bCs/>
                <w:color w:val="auto"/>
                <w:kern w:val="0"/>
                <w:sz w:val="44"/>
                <w:szCs w:val="44"/>
                <w:u w:val="none"/>
              </w:rPr>
            </w:pPr>
            <w:r>
              <w:rPr>
                <w:rFonts w:hint="eastAsia" w:ascii="方正小标宋简体" w:hAnsi="宋体" w:eastAsia="方正小标宋简体" w:cs="宋体"/>
                <w:b w:val="0"/>
                <w:bCs/>
                <w:color w:val="auto"/>
                <w:kern w:val="0"/>
                <w:sz w:val="44"/>
                <w:szCs w:val="44"/>
                <w:u w:val="none"/>
              </w:rPr>
              <w:t>供应商考核表</w:t>
            </w:r>
          </w:p>
        </w:tc>
        <w:tc>
          <w:tcPr>
            <w:tcW w:w="1359" w:type="dxa"/>
            <w:gridSpan w:val="2"/>
            <w:tcBorders>
              <w:top w:val="nil"/>
              <w:left w:val="nil"/>
              <w:bottom w:val="nil"/>
              <w:right w:val="nil"/>
            </w:tcBorders>
            <w:noWrap w:val="0"/>
            <w:vAlign w:val="center"/>
          </w:tcPr>
          <w:p w14:paraId="76A74641">
            <w:pPr>
              <w:widowControl/>
              <w:jc w:val="center"/>
              <w:rPr>
                <w:rFonts w:hint="eastAsia" w:ascii="方正小标宋简体" w:hAnsi="宋体" w:eastAsia="方正小标宋简体" w:cs="宋体"/>
                <w:b w:val="0"/>
                <w:bCs/>
                <w:color w:val="auto"/>
                <w:kern w:val="0"/>
                <w:sz w:val="44"/>
                <w:szCs w:val="44"/>
                <w:u w:val="none"/>
              </w:rPr>
            </w:pPr>
          </w:p>
        </w:tc>
        <w:tc>
          <w:tcPr>
            <w:tcW w:w="1286" w:type="dxa"/>
            <w:tcBorders>
              <w:top w:val="nil"/>
              <w:left w:val="nil"/>
              <w:bottom w:val="nil"/>
              <w:right w:val="nil"/>
            </w:tcBorders>
            <w:noWrap w:val="0"/>
            <w:vAlign w:val="center"/>
          </w:tcPr>
          <w:p w14:paraId="5AF2DB2C">
            <w:pPr>
              <w:widowControl/>
              <w:jc w:val="center"/>
              <w:rPr>
                <w:rFonts w:hint="eastAsia" w:ascii="方正小标宋简体" w:hAnsi="宋体" w:eastAsia="方正小标宋简体" w:cs="宋体"/>
                <w:b w:val="0"/>
                <w:bCs/>
                <w:color w:val="auto"/>
                <w:kern w:val="0"/>
                <w:sz w:val="44"/>
                <w:szCs w:val="44"/>
                <w:u w:val="none"/>
              </w:rPr>
            </w:pPr>
          </w:p>
        </w:tc>
      </w:tr>
      <w:tr w14:paraId="64078E15">
        <w:tblPrEx>
          <w:tblCellMar>
            <w:top w:w="0" w:type="dxa"/>
            <w:left w:w="108" w:type="dxa"/>
            <w:bottom w:w="0" w:type="dxa"/>
            <w:right w:w="108" w:type="dxa"/>
          </w:tblCellMar>
        </w:tblPrEx>
        <w:trPr>
          <w:trHeight w:val="285" w:hRule="atLeast"/>
        </w:trPr>
        <w:tc>
          <w:tcPr>
            <w:tcW w:w="11580" w:type="dxa"/>
            <w:gridSpan w:val="12"/>
            <w:tcBorders>
              <w:top w:val="nil"/>
              <w:left w:val="nil"/>
              <w:bottom w:val="nil"/>
              <w:right w:val="nil"/>
            </w:tcBorders>
            <w:noWrap w:val="0"/>
            <w:vAlign w:val="center"/>
          </w:tcPr>
          <w:p w14:paraId="67D1F9FA">
            <w:pPr>
              <w:widowControl/>
              <w:jc w:val="left"/>
              <w:rPr>
                <w:rFonts w:hint="eastAsia" w:ascii="宋体" w:hAnsi="宋体" w:cs="宋体"/>
                <w:b w:val="0"/>
                <w:bCs/>
                <w:color w:val="auto"/>
                <w:kern w:val="0"/>
                <w:sz w:val="24"/>
                <w:szCs w:val="24"/>
                <w:u w:val="none"/>
              </w:rPr>
            </w:pPr>
            <w:r>
              <w:rPr>
                <w:rFonts w:hint="eastAsia" w:ascii="宋体" w:hAnsi="宋体" w:cs="宋体"/>
                <w:b w:val="0"/>
                <w:bCs/>
                <w:color w:val="auto"/>
                <w:kern w:val="0"/>
                <w:sz w:val="24"/>
                <w:szCs w:val="24"/>
                <w:u w:val="none"/>
              </w:rPr>
              <w:t xml:space="preserve">                                                                      　 时间：    年   月   日                                                           </w:t>
            </w:r>
          </w:p>
        </w:tc>
        <w:tc>
          <w:tcPr>
            <w:tcW w:w="1359" w:type="dxa"/>
            <w:gridSpan w:val="2"/>
            <w:tcBorders>
              <w:top w:val="nil"/>
              <w:left w:val="nil"/>
              <w:bottom w:val="nil"/>
              <w:right w:val="nil"/>
            </w:tcBorders>
            <w:noWrap w:val="0"/>
            <w:vAlign w:val="center"/>
          </w:tcPr>
          <w:p w14:paraId="093BEB18">
            <w:pPr>
              <w:widowControl/>
              <w:jc w:val="left"/>
              <w:rPr>
                <w:rFonts w:hint="eastAsia" w:ascii="宋体" w:hAnsi="宋体" w:cs="宋体"/>
                <w:b w:val="0"/>
                <w:bCs/>
                <w:color w:val="auto"/>
                <w:kern w:val="0"/>
                <w:sz w:val="24"/>
                <w:szCs w:val="24"/>
                <w:u w:val="none"/>
              </w:rPr>
            </w:pPr>
          </w:p>
        </w:tc>
        <w:tc>
          <w:tcPr>
            <w:tcW w:w="1286" w:type="dxa"/>
            <w:tcBorders>
              <w:top w:val="nil"/>
              <w:left w:val="nil"/>
              <w:bottom w:val="nil"/>
              <w:right w:val="nil"/>
            </w:tcBorders>
            <w:noWrap w:val="0"/>
            <w:vAlign w:val="center"/>
          </w:tcPr>
          <w:p w14:paraId="1A8FBCA9">
            <w:pPr>
              <w:widowControl/>
              <w:jc w:val="left"/>
              <w:rPr>
                <w:rFonts w:hint="eastAsia" w:ascii="宋体" w:hAnsi="宋体" w:cs="宋体"/>
                <w:b w:val="0"/>
                <w:bCs/>
                <w:color w:val="auto"/>
                <w:kern w:val="0"/>
                <w:sz w:val="24"/>
                <w:szCs w:val="24"/>
                <w:u w:val="none"/>
              </w:rPr>
            </w:pPr>
          </w:p>
        </w:tc>
      </w:tr>
      <w:tr w14:paraId="3CCAF3D0">
        <w:tblPrEx>
          <w:tblCellMar>
            <w:top w:w="0" w:type="dxa"/>
            <w:left w:w="108" w:type="dxa"/>
            <w:bottom w:w="0" w:type="dxa"/>
            <w:right w:w="108" w:type="dxa"/>
          </w:tblCellMar>
        </w:tblPrEx>
        <w:trPr>
          <w:trHeight w:val="498" w:hRule="atLeast"/>
        </w:trPr>
        <w:tc>
          <w:tcPr>
            <w:tcW w:w="705" w:type="dxa"/>
            <w:vMerge w:val="restart"/>
            <w:tcBorders>
              <w:top w:val="single" w:color="auto" w:sz="4" w:space="0"/>
              <w:left w:val="single" w:color="auto" w:sz="4" w:space="0"/>
              <w:right w:val="single" w:color="auto" w:sz="4" w:space="0"/>
            </w:tcBorders>
            <w:noWrap w:val="0"/>
            <w:vAlign w:val="center"/>
          </w:tcPr>
          <w:p w14:paraId="48F4472E">
            <w:pPr>
              <w:widowControl/>
              <w:jc w:val="center"/>
              <w:rPr>
                <w:rFonts w:ascii="宋体" w:hAnsi="宋体" w:cs="宋体"/>
                <w:b w:val="0"/>
                <w:bCs/>
                <w:color w:val="auto"/>
                <w:kern w:val="0"/>
                <w:sz w:val="24"/>
                <w:szCs w:val="24"/>
                <w:u w:val="none"/>
              </w:rPr>
            </w:pPr>
            <w:r>
              <w:rPr>
                <w:rFonts w:hint="eastAsia" w:ascii="宋体" w:hAnsi="宋体" w:cs="宋体"/>
                <w:b w:val="0"/>
                <w:bCs/>
                <w:color w:val="auto"/>
                <w:kern w:val="0"/>
                <w:sz w:val="24"/>
                <w:szCs w:val="24"/>
                <w:u w:val="none"/>
              </w:rPr>
              <w:t>序号</w:t>
            </w:r>
          </w:p>
        </w:tc>
        <w:tc>
          <w:tcPr>
            <w:tcW w:w="1685" w:type="dxa"/>
            <w:vMerge w:val="restart"/>
            <w:tcBorders>
              <w:top w:val="single" w:color="auto" w:sz="4" w:space="0"/>
              <w:left w:val="single" w:color="auto" w:sz="4" w:space="0"/>
              <w:right w:val="single" w:color="auto" w:sz="4" w:space="0"/>
            </w:tcBorders>
            <w:noWrap w:val="0"/>
            <w:vAlign w:val="center"/>
          </w:tcPr>
          <w:p w14:paraId="6186378A">
            <w:pPr>
              <w:widowControl/>
              <w:jc w:val="center"/>
              <w:rPr>
                <w:rFonts w:ascii="宋体" w:hAnsi="宋体" w:cs="宋体"/>
                <w:b w:val="0"/>
                <w:bCs/>
                <w:color w:val="auto"/>
                <w:kern w:val="0"/>
                <w:sz w:val="24"/>
                <w:szCs w:val="24"/>
                <w:u w:val="none"/>
              </w:rPr>
            </w:pPr>
            <w:r>
              <w:rPr>
                <w:rFonts w:hint="eastAsia" w:ascii="宋体" w:hAnsi="宋体" w:cs="宋体"/>
                <w:b w:val="0"/>
                <w:bCs/>
                <w:color w:val="auto"/>
                <w:kern w:val="0"/>
                <w:sz w:val="24"/>
                <w:szCs w:val="24"/>
                <w:u w:val="none"/>
              </w:rPr>
              <w:t>企业名称</w:t>
            </w:r>
          </w:p>
        </w:tc>
        <w:tc>
          <w:tcPr>
            <w:tcW w:w="1328" w:type="dxa"/>
            <w:vMerge w:val="restart"/>
            <w:tcBorders>
              <w:top w:val="single" w:color="auto" w:sz="4" w:space="0"/>
              <w:left w:val="single" w:color="auto" w:sz="4" w:space="0"/>
              <w:right w:val="single" w:color="auto" w:sz="4" w:space="0"/>
            </w:tcBorders>
            <w:noWrap w:val="0"/>
            <w:vAlign w:val="center"/>
          </w:tcPr>
          <w:p w14:paraId="41DDAF77">
            <w:pPr>
              <w:widowControl/>
              <w:jc w:val="center"/>
              <w:rPr>
                <w:rFonts w:ascii="宋体" w:hAnsi="宋体" w:cs="宋体"/>
                <w:b w:val="0"/>
                <w:bCs/>
                <w:color w:val="auto"/>
                <w:kern w:val="0"/>
                <w:sz w:val="24"/>
                <w:szCs w:val="24"/>
                <w:u w:val="none"/>
              </w:rPr>
            </w:pPr>
            <w:r>
              <w:rPr>
                <w:rFonts w:hint="eastAsia" w:ascii="宋体" w:hAnsi="宋体" w:cs="宋体"/>
                <w:b w:val="0"/>
                <w:bCs/>
                <w:color w:val="auto"/>
                <w:kern w:val="0"/>
                <w:sz w:val="24"/>
                <w:szCs w:val="24"/>
                <w:u w:val="none"/>
              </w:rPr>
              <w:t>供货产品</w:t>
            </w:r>
          </w:p>
        </w:tc>
        <w:tc>
          <w:tcPr>
            <w:tcW w:w="4782" w:type="dxa"/>
            <w:gridSpan w:val="6"/>
            <w:tcBorders>
              <w:top w:val="single" w:color="auto" w:sz="4" w:space="0"/>
              <w:left w:val="single" w:color="auto" w:sz="4" w:space="0"/>
              <w:bottom w:val="single" w:color="auto" w:sz="4" w:space="0"/>
              <w:right w:val="single" w:color="auto" w:sz="4" w:space="0"/>
            </w:tcBorders>
            <w:noWrap w:val="0"/>
            <w:vAlign w:val="center"/>
          </w:tcPr>
          <w:p w14:paraId="5CAB8FD0">
            <w:pPr>
              <w:widowControl/>
              <w:jc w:val="center"/>
              <w:rPr>
                <w:rFonts w:ascii="宋体" w:hAnsi="宋体" w:cs="宋体"/>
                <w:b w:val="0"/>
                <w:bCs/>
                <w:color w:val="auto"/>
                <w:kern w:val="0"/>
                <w:sz w:val="24"/>
                <w:szCs w:val="24"/>
                <w:u w:val="none"/>
              </w:rPr>
            </w:pPr>
            <w:r>
              <w:rPr>
                <w:rFonts w:hint="eastAsia" w:ascii="宋体" w:hAnsi="宋体" w:cs="宋体"/>
                <w:b w:val="0"/>
                <w:bCs/>
                <w:color w:val="auto"/>
                <w:kern w:val="0"/>
                <w:sz w:val="24"/>
                <w:szCs w:val="24"/>
                <w:u w:val="none"/>
              </w:rPr>
              <w:t>考核扣分</w:t>
            </w:r>
          </w:p>
        </w:tc>
        <w:tc>
          <w:tcPr>
            <w:tcW w:w="925" w:type="dxa"/>
            <w:vMerge w:val="restart"/>
            <w:tcBorders>
              <w:top w:val="single" w:color="auto" w:sz="4" w:space="0"/>
              <w:left w:val="single" w:color="auto" w:sz="4" w:space="0"/>
              <w:bottom w:val="single" w:color="auto" w:sz="4" w:space="0"/>
              <w:right w:val="single" w:color="auto" w:sz="4" w:space="0"/>
            </w:tcBorders>
            <w:noWrap w:val="0"/>
            <w:vAlign w:val="center"/>
          </w:tcPr>
          <w:p w14:paraId="0BA95337">
            <w:pPr>
              <w:widowControl/>
              <w:jc w:val="center"/>
              <w:rPr>
                <w:rFonts w:hint="eastAsia" w:ascii="宋体" w:hAnsi="宋体" w:eastAsia="宋体" w:cs="宋体"/>
                <w:b w:val="0"/>
                <w:bCs/>
                <w:color w:val="auto"/>
                <w:kern w:val="0"/>
                <w:sz w:val="24"/>
                <w:szCs w:val="24"/>
                <w:u w:val="none"/>
                <w:lang w:eastAsia="zh-CN"/>
              </w:rPr>
            </w:pPr>
            <w:r>
              <w:rPr>
                <w:rFonts w:hint="eastAsia" w:ascii="宋体" w:hAnsi="宋体" w:cs="宋体"/>
                <w:b w:val="0"/>
                <w:bCs/>
                <w:color w:val="auto"/>
                <w:kern w:val="0"/>
                <w:sz w:val="24"/>
                <w:szCs w:val="24"/>
                <w:u w:val="none"/>
                <w:lang w:eastAsia="zh-CN"/>
              </w:rPr>
              <w:t>扣分时间</w:t>
            </w:r>
          </w:p>
        </w:tc>
        <w:tc>
          <w:tcPr>
            <w:tcW w:w="3405" w:type="dxa"/>
            <w:gridSpan w:val="3"/>
            <w:tcBorders>
              <w:top w:val="single" w:color="auto" w:sz="4" w:space="0"/>
              <w:left w:val="single" w:color="auto" w:sz="4" w:space="0"/>
              <w:bottom w:val="single" w:color="auto" w:sz="4" w:space="0"/>
              <w:right w:val="single" w:color="auto" w:sz="4" w:space="0"/>
            </w:tcBorders>
            <w:noWrap w:val="0"/>
            <w:vAlign w:val="center"/>
          </w:tcPr>
          <w:p w14:paraId="341CF2A9">
            <w:pPr>
              <w:widowControl/>
              <w:jc w:val="center"/>
              <w:rPr>
                <w:rFonts w:hint="eastAsia" w:ascii="宋体" w:hAnsi="宋体" w:cs="宋体"/>
                <w:b w:val="0"/>
                <w:bCs/>
                <w:color w:val="auto"/>
                <w:kern w:val="0"/>
                <w:sz w:val="24"/>
                <w:szCs w:val="24"/>
                <w:u w:val="none"/>
              </w:rPr>
            </w:pPr>
            <w:r>
              <w:rPr>
                <w:rFonts w:hint="eastAsia" w:ascii="宋体" w:hAnsi="宋体" w:cs="宋体"/>
                <w:b w:val="0"/>
                <w:bCs/>
                <w:color w:val="auto"/>
                <w:kern w:val="0"/>
                <w:sz w:val="24"/>
                <w:szCs w:val="24"/>
                <w:u w:val="none"/>
              </w:rPr>
              <w:t>总体评估</w:t>
            </w:r>
          </w:p>
        </w:tc>
        <w:tc>
          <w:tcPr>
            <w:tcW w:w="1395" w:type="dxa"/>
            <w:gridSpan w:val="2"/>
            <w:vMerge w:val="restart"/>
            <w:tcBorders>
              <w:top w:val="single" w:color="auto" w:sz="4" w:space="0"/>
              <w:left w:val="single" w:color="auto" w:sz="4" w:space="0"/>
              <w:right w:val="single" w:color="auto" w:sz="4" w:space="0"/>
            </w:tcBorders>
            <w:noWrap w:val="0"/>
            <w:vAlign w:val="center"/>
          </w:tcPr>
          <w:p w14:paraId="55DD1B29">
            <w:pPr>
              <w:widowControl/>
              <w:jc w:val="center"/>
              <w:rPr>
                <w:rFonts w:hint="eastAsia" w:ascii="宋体" w:hAnsi="宋体" w:cs="宋体"/>
                <w:b w:val="0"/>
                <w:bCs/>
                <w:color w:val="auto"/>
                <w:kern w:val="0"/>
                <w:sz w:val="24"/>
                <w:szCs w:val="24"/>
                <w:u w:val="none"/>
                <w:lang w:eastAsia="zh-CN"/>
              </w:rPr>
            </w:pPr>
            <w:r>
              <w:rPr>
                <w:rFonts w:hint="eastAsia" w:ascii="宋体" w:hAnsi="宋体" w:cs="宋体"/>
                <w:b w:val="0"/>
                <w:bCs/>
                <w:color w:val="auto"/>
                <w:kern w:val="0"/>
                <w:sz w:val="24"/>
                <w:szCs w:val="24"/>
                <w:u w:val="none"/>
                <w:lang w:eastAsia="zh-CN"/>
              </w:rPr>
              <w:t>备注</w:t>
            </w:r>
          </w:p>
        </w:tc>
      </w:tr>
      <w:tr w14:paraId="3AF01630">
        <w:tblPrEx>
          <w:tblCellMar>
            <w:top w:w="0" w:type="dxa"/>
            <w:left w:w="108" w:type="dxa"/>
            <w:bottom w:w="0" w:type="dxa"/>
            <w:right w:w="108" w:type="dxa"/>
          </w:tblCellMar>
        </w:tblPrEx>
        <w:trPr>
          <w:trHeight w:val="534" w:hRule="atLeast"/>
        </w:trPr>
        <w:tc>
          <w:tcPr>
            <w:tcW w:w="705" w:type="dxa"/>
            <w:vMerge w:val="continue"/>
            <w:tcBorders>
              <w:left w:val="single" w:color="auto" w:sz="4" w:space="0"/>
              <w:bottom w:val="single" w:color="auto" w:sz="4" w:space="0"/>
              <w:right w:val="single" w:color="auto" w:sz="4" w:space="0"/>
            </w:tcBorders>
            <w:noWrap w:val="0"/>
            <w:vAlign w:val="center"/>
          </w:tcPr>
          <w:p w14:paraId="12C0E749">
            <w:pPr>
              <w:widowControl/>
              <w:jc w:val="center"/>
              <w:rPr>
                <w:rFonts w:ascii="宋体" w:hAnsi="宋体" w:cs="宋体"/>
                <w:b w:val="0"/>
                <w:bCs/>
                <w:color w:val="auto"/>
                <w:kern w:val="0"/>
                <w:sz w:val="24"/>
                <w:szCs w:val="24"/>
                <w:u w:val="none"/>
              </w:rPr>
            </w:pPr>
          </w:p>
        </w:tc>
        <w:tc>
          <w:tcPr>
            <w:tcW w:w="1685" w:type="dxa"/>
            <w:vMerge w:val="continue"/>
            <w:tcBorders>
              <w:left w:val="single" w:color="auto" w:sz="4" w:space="0"/>
              <w:bottom w:val="single" w:color="auto" w:sz="4" w:space="0"/>
              <w:right w:val="single" w:color="auto" w:sz="4" w:space="0"/>
            </w:tcBorders>
            <w:noWrap w:val="0"/>
            <w:vAlign w:val="center"/>
          </w:tcPr>
          <w:p w14:paraId="6D3791CD">
            <w:pPr>
              <w:widowControl/>
              <w:jc w:val="center"/>
              <w:rPr>
                <w:rFonts w:ascii="宋体" w:hAnsi="宋体" w:cs="宋体"/>
                <w:b w:val="0"/>
                <w:bCs/>
                <w:color w:val="auto"/>
                <w:kern w:val="0"/>
                <w:sz w:val="24"/>
                <w:szCs w:val="24"/>
                <w:u w:val="none"/>
              </w:rPr>
            </w:pPr>
          </w:p>
        </w:tc>
        <w:tc>
          <w:tcPr>
            <w:tcW w:w="1328" w:type="dxa"/>
            <w:vMerge w:val="continue"/>
            <w:tcBorders>
              <w:left w:val="single" w:color="auto" w:sz="4" w:space="0"/>
              <w:bottom w:val="single" w:color="auto" w:sz="4" w:space="0"/>
              <w:right w:val="single" w:color="auto" w:sz="4" w:space="0"/>
            </w:tcBorders>
            <w:noWrap w:val="0"/>
            <w:vAlign w:val="center"/>
          </w:tcPr>
          <w:p w14:paraId="6BAB7F47">
            <w:pPr>
              <w:widowControl/>
              <w:jc w:val="center"/>
              <w:rPr>
                <w:rFonts w:ascii="宋体" w:hAnsi="宋体" w:cs="宋体"/>
                <w:b w:val="0"/>
                <w:bCs/>
                <w:color w:val="auto"/>
                <w:kern w:val="0"/>
                <w:sz w:val="24"/>
                <w:szCs w:val="24"/>
                <w:u w:val="none"/>
              </w:rPr>
            </w:pPr>
          </w:p>
        </w:tc>
        <w:tc>
          <w:tcPr>
            <w:tcW w:w="908" w:type="dxa"/>
            <w:tcBorders>
              <w:top w:val="single" w:color="auto" w:sz="4" w:space="0"/>
              <w:left w:val="nil"/>
              <w:bottom w:val="single" w:color="auto" w:sz="4" w:space="0"/>
              <w:right w:val="single" w:color="auto" w:sz="4" w:space="0"/>
            </w:tcBorders>
            <w:noWrap w:val="0"/>
            <w:vAlign w:val="center"/>
          </w:tcPr>
          <w:p w14:paraId="69C88D71">
            <w:pPr>
              <w:widowControl/>
              <w:jc w:val="center"/>
              <w:rPr>
                <w:rFonts w:ascii="宋体" w:hAnsi="宋体" w:cs="宋体"/>
                <w:b w:val="0"/>
                <w:bCs/>
                <w:color w:val="auto"/>
                <w:kern w:val="0"/>
                <w:sz w:val="24"/>
                <w:szCs w:val="24"/>
                <w:u w:val="none"/>
              </w:rPr>
            </w:pPr>
            <w:r>
              <w:rPr>
                <w:rFonts w:hint="eastAsia" w:ascii="宋体" w:hAnsi="宋体" w:cs="宋体"/>
                <w:b w:val="0"/>
                <w:bCs/>
                <w:color w:val="auto"/>
                <w:kern w:val="0"/>
                <w:sz w:val="24"/>
                <w:szCs w:val="24"/>
                <w:u w:val="none"/>
              </w:rPr>
              <w:t>质量</w:t>
            </w:r>
          </w:p>
        </w:tc>
        <w:tc>
          <w:tcPr>
            <w:tcW w:w="788" w:type="dxa"/>
            <w:tcBorders>
              <w:top w:val="single" w:color="auto" w:sz="4" w:space="0"/>
              <w:left w:val="nil"/>
              <w:bottom w:val="single" w:color="auto" w:sz="4" w:space="0"/>
              <w:right w:val="single" w:color="auto" w:sz="4" w:space="0"/>
            </w:tcBorders>
            <w:noWrap w:val="0"/>
            <w:vAlign w:val="center"/>
          </w:tcPr>
          <w:p w14:paraId="551AFA2D">
            <w:pPr>
              <w:widowControl/>
              <w:jc w:val="center"/>
              <w:rPr>
                <w:rFonts w:ascii="宋体" w:hAnsi="宋体" w:cs="宋体"/>
                <w:b w:val="0"/>
                <w:bCs/>
                <w:color w:val="auto"/>
                <w:kern w:val="0"/>
                <w:sz w:val="24"/>
                <w:szCs w:val="24"/>
                <w:u w:val="none"/>
              </w:rPr>
            </w:pPr>
            <w:r>
              <w:rPr>
                <w:rFonts w:hint="eastAsia" w:ascii="宋体" w:hAnsi="宋体" w:cs="宋体"/>
                <w:b w:val="0"/>
                <w:bCs/>
                <w:color w:val="auto"/>
                <w:kern w:val="0"/>
                <w:sz w:val="24"/>
                <w:szCs w:val="24"/>
                <w:u w:val="none"/>
              </w:rPr>
              <w:t>交货</w:t>
            </w:r>
          </w:p>
        </w:tc>
        <w:tc>
          <w:tcPr>
            <w:tcW w:w="824" w:type="dxa"/>
            <w:tcBorders>
              <w:top w:val="single" w:color="auto" w:sz="4" w:space="0"/>
              <w:left w:val="nil"/>
              <w:bottom w:val="single" w:color="auto" w:sz="4" w:space="0"/>
              <w:right w:val="single" w:color="auto" w:sz="4" w:space="0"/>
            </w:tcBorders>
            <w:noWrap w:val="0"/>
            <w:vAlign w:val="center"/>
          </w:tcPr>
          <w:p w14:paraId="2A638701">
            <w:pPr>
              <w:widowControl/>
              <w:jc w:val="center"/>
              <w:rPr>
                <w:rFonts w:ascii="宋体" w:hAnsi="宋体" w:cs="宋体"/>
                <w:b w:val="0"/>
                <w:bCs/>
                <w:color w:val="auto"/>
                <w:kern w:val="0"/>
                <w:sz w:val="24"/>
                <w:szCs w:val="24"/>
                <w:u w:val="none"/>
              </w:rPr>
            </w:pPr>
            <w:r>
              <w:rPr>
                <w:rFonts w:hint="eastAsia" w:ascii="宋体" w:hAnsi="宋体" w:cs="宋体"/>
                <w:b w:val="0"/>
                <w:bCs/>
                <w:color w:val="auto"/>
                <w:kern w:val="0"/>
                <w:sz w:val="24"/>
                <w:szCs w:val="24"/>
                <w:u w:val="none"/>
              </w:rPr>
              <w:t>售后</w:t>
            </w:r>
          </w:p>
        </w:tc>
        <w:tc>
          <w:tcPr>
            <w:tcW w:w="703" w:type="dxa"/>
            <w:tcBorders>
              <w:top w:val="single" w:color="auto" w:sz="4" w:space="0"/>
              <w:left w:val="nil"/>
              <w:bottom w:val="single" w:color="auto" w:sz="4" w:space="0"/>
              <w:right w:val="single" w:color="auto" w:sz="4" w:space="0"/>
            </w:tcBorders>
            <w:noWrap w:val="0"/>
            <w:vAlign w:val="center"/>
          </w:tcPr>
          <w:p w14:paraId="7567FD34">
            <w:pPr>
              <w:widowControl/>
              <w:jc w:val="center"/>
              <w:rPr>
                <w:rFonts w:ascii="宋体" w:hAnsi="宋体" w:cs="宋体"/>
                <w:b w:val="0"/>
                <w:bCs/>
                <w:color w:val="auto"/>
                <w:kern w:val="0"/>
                <w:sz w:val="24"/>
                <w:szCs w:val="24"/>
                <w:u w:val="none"/>
              </w:rPr>
            </w:pPr>
            <w:r>
              <w:rPr>
                <w:rFonts w:hint="eastAsia" w:ascii="宋体" w:hAnsi="宋体" w:cs="宋体"/>
                <w:b w:val="0"/>
                <w:bCs/>
                <w:color w:val="auto"/>
                <w:kern w:val="0"/>
                <w:sz w:val="24"/>
                <w:szCs w:val="24"/>
                <w:u w:val="none"/>
              </w:rPr>
              <w:t>资信</w:t>
            </w:r>
          </w:p>
        </w:tc>
        <w:tc>
          <w:tcPr>
            <w:tcW w:w="753" w:type="dxa"/>
            <w:tcBorders>
              <w:top w:val="single" w:color="auto" w:sz="4" w:space="0"/>
              <w:left w:val="nil"/>
              <w:bottom w:val="single" w:color="auto" w:sz="4" w:space="0"/>
              <w:right w:val="single" w:color="auto" w:sz="4" w:space="0"/>
            </w:tcBorders>
            <w:noWrap w:val="0"/>
            <w:vAlign w:val="center"/>
          </w:tcPr>
          <w:p w14:paraId="73659F2D">
            <w:pPr>
              <w:widowControl/>
              <w:jc w:val="center"/>
              <w:rPr>
                <w:rFonts w:hint="eastAsia" w:ascii="宋体" w:hAnsi="宋体" w:eastAsia="宋体" w:cs="宋体"/>
                <w:b w:val="0"/>
                <w:bCs/>
                <w:color w:val="auto"/>
                <w:kern w:val="0"/>
                <w:sz w:val="24"/>
                <w:szCs w:val="24"/>
                <w:u w:val="none"/>
                <w:lang w:eastAsia="zh-CN"/>
              </w:rPr>
            </w:pPr>
            <w:r>
              <w:rPr>
                <w:rFonts w:hint="eastAsia" w:ascii="宋体" w:hAnsi="宋体" w:cs="宋体"/>
                <w:b w:val="0"/>
                <w:bCs/>
                <w:color w:val="auto"/>
                <w:kern w:val="0"/>
                <w:sz w:val="24"/>
                <w:szCs w:val="24"/>
                <w:u w:val="none"/>
                <w:lang w:eastAsia="zh-CN"/>
              </w:rPr>
              <w:t>其他</w:t>
            </w:r>
          </w:p>
        </w:tc>
        <w:tc>
          <w:tcPr>
            <w:tcW w:w="806" w:type="dxa"/>
            <w:tcBorders>
              <w:top w:val="single" w:color="auto" w:sz="4" w:space="0"/>
              <w:left w:val="nil"/>
              <w:bottom w:val="single" w:color="auto" w:sz="4" w:space="0"/>
              <w:right w:val="single" w:color="auto" w:sz="4" w:space="0"/>
            </w:tcBorders>
            <w:noWrap w:val="0"/>
            <w:vAlign w:val="center"/>
          </w:tcPr>
          <w:p w14:paraId="0B208DEC">
            <w:pPr>
              <w:widowControl/>
              <w:jc w:val="center"/>
              <w:rPr>
                <w:rFonts w:ascii="宋体" w:hAnsi="宋体" w:cs="宋体"/>
                <w:b w:val="0"/>
                <w:bCs/>
                <w:color w:val="auto"/>
                <w:kern w:val="0"/>
                <w:sz w:val="24"/>
                <w:szCs w:val="24"/>
                <w:u w:val="none"/>
              </w:rPr>
            </w:pPr>
            <w:r>
              <w:rPr>
                <w:rFonts w:hint="eastAsia" w:ascii="宋体" w:hAnsi="宋体" w:cs="宋体"/>
                <w:b w:val="0"/>
                <w:bCs/>
                <w:color w:val="auto"/>
                <w:kern w:val="0"/>
                <w:sz w:val="24"/>
                <w:szCs w:val="24"/>
                <w:u w:val="none"/>
              </w:rPr>
              <w:t>累计</w:t>
            </w:r>
          </w:p>
        </w:tc>
        <w:tc>
          <w:tcPr>
            <w:tcW w:w="925" w:type="dxa"/>
            <w:vMerge w:val="continue"/>
            <w:tcBorders>
              <w:top w:val="single" w:color="auto" w:sz="4" w:space="0"/>
              <w:left w:val="nil"/>
              <w:bottom w:val="single" w:color="auto" w:sz="4" w:space="0"/>
              <w:right w:val="single" w:color="auto" w:sz="4" w:space="0"/>
            </w:tcBorders>
            <w:noWrap w:val="0"/>
            <w:vAlign w:val="center"/>
          </w:tcPr>
          <w:p w14:paraId="53A8A51B">
            <w:pPr>
              <w:widowControl/>
              <w:jc w:val="center"/>
              <w:rPr>
                <w:rFonts w:ascii="宋体" w:hAnsi="宋体" w:cs="宋体"/>
                <w:b w:val="0"/>
                <w:bCs/>
                <w:color w:val="auto"/>
                <w:kern w:val="0"/>
                <w:sz w:val="24"/>
                <w:szCs w:val="24"/>
                <w:u w:val="none"/>
              </w:rPr>
            </w:pPr>
          </w:p>
        </w:tc>
        <w:tc>
          <w:tcPr>
            <w:tcW w:w="955" w:type="dxa"/>
            <w:tcBorders>
              <w:top w:val="single" w:color="auto" w:sz="4" w:space="0"/>
              <w:left w:val="single" w:color="auto" w:sz="4" w:space="0"/>
              <w:bottom w:val="single" w:color="auto" w:sz="4" w:space="0"/>
              <w:right w:val="single" w:color="auto" w:sz="4" w:space="0"/>
            </w:tcBorders>
            <w:noWrap w:val="0"/>
            <w:vAlign w:val="center"/>
          </w:tcPr>
          <w:p w14:paraId="101F8C4F">
            <w:pPr>
              <w:widowControl/>
              <w:jc w:val="center"/>
              <w:rPr>
                <w:rFonts w:hint="eastAsia" w:ascii="宋体" w:hAnsi="宋体" w:eastAsia="宋体" w:cs="宋体"/>
                <w:b w:val="0"/>
                <w:bCs/>
                <w:color w:val="auto"/>
                <w:kern w:val="0"/>
                <w:sz w:val="24"/>
                <w:szCs w:val="24"/>
                <w:u w:val="none"/>
                <w:lang w:eastAsia="zh-CN"/>
              </w:rPr>
            </w:pPr>
            <w:r>
              <w:rPr>
                <w:rFonts w:hint="eastAsia" w:ascii="宋体" w:hAnsi="宋体" w:cs="宋体"/>
                <w:b w:val="0"/>
                <w:bCs/>
                <w:color w:val="auto"/>
                <w:kern w:val="0"/>
                <w:sz w:val="24"/>
                <w:szCs w:val="24"/>
                <w:u w:val="none"/>
                <w:lang w:eastAsia="zh-CN"/>
              </w:rPr>
              <w:t>合格供应商</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5B85A713">
            <w:pPr>
              <w:widowControl/>
              <w:jc w:val="center"/>
              <w:rPr>
                <w:rFonts w:hint="default" w:ascii="宋体" w:hAnsi="宋体" w:eastAsia="宋体" w:cs="宋体"/>
                <w:b w:val="0"/>
                <w:bCs/>
                <w:color w:val="auto"/>
                <w:kern w:val="0"/>
                <w:sz w:val="24"/>
                <w:szCs w:val="24"/>
                <w:u w:val="none"/>
                <w:lang w:val="en-US" w:eastAsia="zh-CN"/>
              </w:rPr>
            </w:pPr>
            <w:r>
              <w:rPr>
                <w:rFonts w:hint="eastAsia" w:ascii="宋体" w:hAnsi="宋体" w:cs="宋体"/>
                <w:b w:val="0"/>
                <w:bCs/>
                <w:color w:val="auto"/>
                <w:kern w:val="0"/>
                <w:sz w:val="24"/>
                <w:szCs w:val="24"/>
                <w:u w:val="none"/>
                <w:lang w:val="en-US" w:eastAsia="zh-CN"/>
              </w:rPr>
              <w:t>暂停合作供应商</w:t>
            </w:r>
          </w:p>
        </w:tc>
        <w:tc>
          <w:tcPr>
            <w:tcW w:w="1250" w:type="dxa"/>
            <w:tcBorders>
              <w:top w:val="single" w:color="auto" w:sz="4" w:space="0"/>
              <w:left w:val="nil"/>
              <w:bottom w:val="single" w:color="auto" w:sz="4" w:space="0"/>
              <w:right w:val="single" w:color="auto" w:sz="4" w:space="0"/>
            </w:tcBorders>
            <w:noWrap w:val="0"/>
            <w:vAlign w:val="center"/>
          </w:tcPr>
          <w:p w14:paraId="16699921">
            <w:pPr>
              <w:widowControl/>
              <w:jc w:val="center"/>
              <w:rPr>
                <w:rFonts w:hint="eastAsia" w:ascii="宋体" w:hAnsi="宋体" w:cs="宋体"/>
                <w:b w:val="0"/>
                <w:bCs/>
                <w:color w:val="auto"/>
                <w:kern w:val="0"/>
                <w:sz w:val="24"/>
                <w:szCs w:val="24"/>
                <w:u w:val="none"/>
              </w:rPr>
            </w:pPr>
            <w:r>
              <w:rPr>
                <w:rFonts w:hint="eastAsia" w:ascii="宋体" w:hAnsi="宋体" w:cs="宋体"/>
                <w:b w:val="0"/>
                <w:bCs/>
                <w:color w:val="auto"/>
                <w:kern w:val="0"/>
                <w:sz w:val="24"/>
                <w:szCs w:val="24"/>
                <w:u w:val="none"/>
                <w:lang w:val="en-US" w:eastAsia="zh-CN"/>
              </w:rPr>
              <w:t>禁止合作供应商</w:t>
            </w:r>
          </w:p>
        </w:tc>
        <w:tc>
          <w:tcPr>
            <w:tcW w:w="1395" w:type="dxa"/>
            <w:gridSpan w:val="2"/>
            <w:vMerge w:val="continue"/>
            <w:tcBorders>
              <w:left w:val="single" w:color="auto" w:sz="4" w:space="0"/>
              <w:bottom w:val="single" w:color="auto" w:sz="4" w:space="0"/>
              <w:right w:val="single" w:color="auto" w:sz="4" w:space="0"/>
            </w:tcBorders>
            <w:noWrap w:val="0"/>
            <w:vAlign w:val="center"/>
          </w:tcPr>
          <w:p w14:paraId="356026E0">
            <w:pPr>
              <w:widowControl/>
              <w:jc w:val="center"/>
              <w:rPr>
                <w:rFonts w:hint="eastAsia" w:ascii="宋体" w:hAnsi="宋体" w:cs="宋体"/>
                <w:b w:val="0"/>
                <w:bCs/>
                <w:color w:val="auto"/>
                <w:kern w:val="0"/>
                <w:sz w:val="24"/>
                <w:szCs w:val="24"/>
                <w:u w:val="none"/>
              </w:rPr>
            </w:pPr>
          </w:p>
        </w:tc>
      </w:tr>
      <w:tr w14:paraId="67421BD3">
        <w:tblPrEx>
          <w:tblCellMar>
            <w:top w:w="0" w:type="dxa"/>
            <w:left w:w="108" w:type="dxa"/>
            <w:bottom w:w="0" w:type="dxa"/>
            <w:right w:w="108" w:type="dxa"/>
          </w:tblCellMar>
        </w:tblPrEx>
        <w:trPr>
          <w:trHeight w:val="285" w:hRule="atLeast"/>
        </w:trPr>
        <w:tc>
          <w:tcPr>
            <w:tcW w:w="705" w:type="dxa"/>
            <w:tcBorders>
              <w:top w:val="nil"/>
              <w:left w:val="single" w:color="auto" w:sz="4" w:space="0"/>
              <w:bottom w:val="single" w:color="auto" w:sz="4" w:space="0"/>
              <w:right w:val="single" w:color="auto" w:sz="4" w:space="0"/>
            </w:tcBorders>
            <w:noWrap w:val="0"/>
            <w:vAlign w:val="center"/>
          </w:tcPr>
          <w:p w14:paraId="58CCBABE">
            <w:pPr>
              <w:widowControl/>
              <w:jc w:val="center"/>
              <w:rPr>
                <w:rFonts w:ascii="Arial" w:hAnsi="Arial" w:cs="Arial"/>
                <w:b w:val="0"/>
                <w:bCs/>
                <w:color w:val="auto"/>
                <w:kern w:val="0"/>
                <w:sz w:val="24"/>
                <w:szCs w:val="24"/>
                <w:u w:val="none"/>
              </w:rPr>
            </w:pPr>
          </w:p>
        </w:tc>
        <w:tc>
          <w:tcPr>
            <w:tcW w:w="1685" w:type="dxa"/>
            <w:tcBorders>
              <w:top w:val="nil"/>
              <w:left w:val="nil"/>
              <w:bottom w:val="single" w:color="auto" w:sz="4" w:space="0"/>
              <w:right w:val="single" w:color="auto" w:sz="4" w:space="0"/>
            </w:tcBorders>
            <w:noWrap w:val="0"/>
            <w:vAlign w:val="center"/>
          </w:tcPr>
          <w:p w14:paraId="54E69351">
            <w:pPr>
              <w:widowControl/>
              <w:jc w:val="center"/>
              <w:rPr>
                <w:rFonts w:ascii="Arial" w:hAnsi="Arial" w:cs="Arial"/>
                <w:b w:val="0"/>
                <w:bCs/>
                <w:color w:val="auto"/>
                <w:kern w:val="0"/>
                <w:sz w:val="24"/>
                <w:szCs w:val="24"/>
                <w:u w:val="none"/>
              </w:rPr>
            </w:pPr>
          </w:p>
        </w:tc>
        <w:tc>
          <w:tcPr>
            <w:tcW w:w="1328" w:type="dxa"/>
            <w:tcBorders>
              <w:top w:val="nil"/>
              <w:left w:val="nil"/>
              <w:bottom w:val="single" w:color="auto" w:sz="4" w:space="0"/>
              <w:right w:val="single" w:color="auto" w:sz="4" w:space="0"/>
            </w:tcBorders>
            <w:noWrap w:val="0"/>
            <w:vAlign w:val="center"/>
          </w:tcPr>
          <w:p w14:paraId="77F531B5">
            <w:pPr>
              <w:widowControl/>
              <w:jc w:val="center"/>
              <w:rPr>
                <w:rFonts w:ascii="Calibri" w:hAnsi="Calibri" w:cs="宋体"/>
                <w:b w:val="0"/>
                <w:bCs/>
                <w:color w:val="auto"/>
                <w:kern w:val="0"/>
                <w:sz w:val="24"/>
                <w:szCs w:val="24"/>
                <w:u w:val="none"/>
              </w:rPr>
            </w:pPr>
          </w:p>
        </w:tc>
        <w:tc>
          <w:tcPr>
            <w:tcW w:w="908" w:type="dxa"/>
            <w:tcBorders>
              <w:top w:val="nil"/>
              <w:left w:val="nil"/>
              <w:bottom w:val="single" w:color="auto" w:sz="4" w:space="0"/>
              <w:right w:val="single" w:color="auto" w:sz="4" w:space="0"/>
            </w:tcBorders>
            <w:noWrap w:val="0"/>
            <w:vAlign w:val="center"/>
          </w:tcPr>
          <w:p w14:paraId="580F261E">
            <w:pPr>
              <w:widowControl/>
              <w:jc w:val="center"/>
              <w:rPr>
                <w:rFonts w:ascii="Calibri" w:hAnsi="Calibri" w:cs="宋体"/>
                <w:b w:val="0"/>
                <w:bCs/>
                <w:color w:val="auto"/>
                <w:kern w:val="0"/>
                <w:sz w:val="24"/>
                <w:szCs w:val="24"/>
                <w:u w:val="none"/>
              </w:rPr>
            </w:pPr>
          </w:p>
        </w:tc>
        <w:tc>
          <w:tcPr>
            <w:tcW w:w="788" w:type="dxa"/>
            <w:tcBorders>
              <w:top w:val="nil"/>
              <w:left w:val="nil"/>
              <w:bottom w:val="single" w:color="auto" w:sz="4" w:space="0"/>
              <w:right w:val="single" w:color="auto" w:sz="4" w:space="0"/>
            </w:tcBorders>
            <w:noWrap w:val="0"/>
            <w:vAlign w:val="center"/>
          </w:tcPr>
          <w:p w14:paraId="446966D2">
            <w:pPr>
              <w:widowControl/>
              <w:jc w:val="center"/>
              <w:rPr>
                <w:rFonts w:ascii="Calibri" w:hAnsi="Calibri" w:cs="宋体"/>
                <w:b w:val="0"/>
                <w:bCs/>
                <w:color w:val="auto"/>
                <w:kern w:val="0"/>
                <w:sz w:val="24"/>
                <w:szCs w:val="24"/>
                <w:u w:val="none"/>
              </w:rPr>
            </w:pPr>
          </w:p>
        </w:tc>
        <w:tc>
          <w:tcPr>
            <w:tcW w:w="824" w:type="dxa"/>
            <w:tcBorders>
              <w:top w:val="nil"/>
              <w:left w:val="nil"/>
              <w:bottom w:val="single" w:color="auto" w:sz="4" w:space="0"/>
              <w:right w:val="single" w:color="auto" w:sz="4" w:space="0"/>
            </w:tcBorders>
            <w:noWrap w:val="0"/>
            <w:vAlign w:val="center"/>
          </w:tcPr>
          <w:p w14:paraId="6DB9DBFA">
            <w:pPr>
              <w:widowControl/>
              <w:jc w:val="center"/>
              <w:rPr>
                <w:rFonts w:ascii="Calibri" w:hAnsi="Calibri" w:cs="宋体"/>
                <w:b w:val="0"/>
                <w:bCs/>
                <w:color w:val="auto"/>
                <w:kern w:val="0"/>
                <w:sz w:val="24"/>
                <w:szCs w:val="24"/>
                <w:u w:val="none"/>
              </w:rPr>
            </w:pPr>
          </w:p>
        </w:tc>
        <w:tc>
          <w:tcPr>
            <w:tcW w:w="703" w:type="dxa"/>
            <w:tcBorders>
              <w:top w:val="nil"/>
              <w:left w:val="nil"/>
              <w:bottom w:val="single" w:color="auto" w:sz="4" w:space="0"/>
              <w:right w:val="single" w:color="auto" w:sz="4" w:space="0"/>
            </w:tcBorders>
            <w:noWrap w:val="0"/>
            <w:vAlign w:val="center"/>
          </w:tcPr>
          <w:p w14:paraId="4C67C192">
            <w:pPr>
              <w:widowControl/>
              <w:jc w:val="center"/>
              <w:rPr>
                <w:rFonts w:ascii="Calibri" w:hAnsi="Calibri" w:cs="宋体"/>
                <w:b w:val="0"/>
                <w:bCs/>
                <w:color w:val="auto"/>
                <w:kern w:val="0"/>
                <w:sz w:val="24"/>
                <w:szCs w:val="24"/>
                <w:u w:val="none"/>
              </w:rPr>
            </w:pPr>
          </w:p>
        </w:tc>
        <w:tc>
          <w:tcPr>
            <w:tcW w:w="753" w:type="dxa"/>
            <w:tcBorders>
              <w:top w:val="single" w:color="auto" w:sz="4" w:space="0"/>
              <w:left w:val="single" w:color="auto" w:sz="4" w:space="0"/>
              <w:bottom w:val="single" w:color="auto" w:sz="4" w:space="0"/>
              <w:right w:val="single" w:color="auto" w:sz="4" w:space="0"/>
            </w:tcBorders>
            <w:noWrap w:val="0"/>
            <w:vAlign w:val="center"/>
          </w:tcPr>
          <w:p w14:paraId="34AF3064">
            <w:pPr>
              <w:widowControl/>
              <w:jc w:val="center"/>
              <w:rPr>
                <w:rFonts w:ascii="Calibri" w:hAnsi="Calibri" w:cs="宋体"/>
                <w:b w:val="0"/>
                <w:bCs/>
                <w:color w:val="auto"/>
                <w:kern w:val="0"/>
                <w:sz w:val="24"/>
                <w:szCs w:val="24"/>
                <w:u w:val="none"/>
              </w:rPr>
            </w:pPr>
          </w:p>
        </w:tc>
        <w:tc>
          <w:tcPr>
            <w:tcW w:w="806" w:type="dxa"/>
            <w:tcBorders>
              <w:top w:val="single" w:color="auto" w:sz="4" w:space="0"/>
              <w:left w:val="single" w:color="auto" w:sz="4" w:space="0"/>
              <w:bottom w:val="single" w:color="auto" w:sz="4" w:space="0"/>
              <w:right w:val="single" w:color="auto" w:sz="4" w:space="0"/>
            </w:tcBorders>
            <w:noWrap w:val="0"/>
            <w:vAlign w:val="center"/>
          </w:tcPr>
          <w:p w14:paraId="44E1A248">
            <w:pPr>
              <w:widowControl/>
              <w:jc w:val="center"/>
              <w:rPr>
                <w:rFonts w:ascii="Calibri" w:hAnsi="Calibri" w:cs="宋体"/>
                <w:b w:val="0"/>
                <w:bCs/>
                <w:color w:val="auto"/>
                <w:kern w:val="0"/>
                <w:sz w:val="24"/>
                <w:szCs w:val="24"/>
                <w:u w:val="none"/>
              </w:rPr>
            </w:pPr>
          </w:p>
        </w:tc>
        <w:tc>
          <w:tcPr>
            <w:tcW w:w="925" w:type="dxa"/>
            <w:tcBorders>
              <w:top w:val="single" w:color="auto" w:sz="4" w:space="0"/>
              <w:left w:val="single" w:color="auto" w:sz="4" w:space="0"/>
              <w:bottom w:val="single" w:color="auto" w:sz="4" w:space="0"/>
              <w:right w:val="single" w:color="auto" w:sz="4" w:space="0"/>
            </w:tcBorders>
            <w:noWrap w:val="0"/>
            <w:vAlign w:val="center"/>
          </w:tcPr>
          <w:p w14:paraId="55417D6A">
            <w:pPr>
              <w:widowControl/>
              <w:jc w:val="center"/>
              <w:rPr>
                <w:rFonts w:hint="eastAsia" w:ascii="宋体" w:hAnsi="宋体" w:cs="宋体"/>
                <w:b w:val="0"/>
                <w:bCs/>
                <w:color w:val="auto"/>
                <w:kern w:val="0"/>
                <w:sz w:val="24"/>
                <w:szCs w:val="24"/>
                <w:u w:val="none"/>
              </w:rPr>
            </w:pPr>
          </w:p>
        </w:tc>
        <w:tc>
          <w:tcPr>
            <w:tcW w:w="955" w:type="dxa"/>
            <w:tcBorders>
              <w:top w:val="single" w:color="auto" w:sz="4" w:space="0"/>
              <w:left w:val="nil"/>
              <w:bottom w:val="single" w:color="auto" w:sz="4" w:space="0"/>
              <w:right w:val="single" w:color="auto" w:sz="4" w:space="0"/>
            </w:tcBorders>
            <w:noWrap w:val="0"/>
            <w:vAlign w:val="center"/>
          </w:tcPr>
          <w:p w14:paraId="03EF4169">
            <w:pPr>
              <w:widowControl/>
              <w:jc w:val="center"/>
              <w:rPr>
                <w:rFonts w:ascii="Calibri" w:hAnsi="Calibri" w:cs="宋体"/>
                <w:b w:val="0"/>
                <w:bCs/>
                <w:color w:val="auto"/>
                <w:kern w:val="0"/>
                <w:sz w:val="24"/>
                <w:szCs w:val="24"/>
                <w:u w:val="none"/>
              </w:rPr>
            </w:pPr>
          </w:p>
        </w:tc>
        <w:tc>
          <w:tcPr>
            <w:tcW w:w="1200" w:type="dxa"/>
            <w:tcBorders>
              <w:top w:val="single" w:color="auto" w:sz="4" w:space="0"/>
              <w:left w:val="nil"/>
              <w:bottom w:val="single" w:color="auto" w:sz="4" w:space="0"/>
              <w:right w:val="single" w:color="auto" w:sz="4" w:space="0"/>
            </w:tcBorders>
            <w:noWrap w:val="0"/>
            <w:vAlign w:val="center"/>
          </w:tcPr>
          <w:p w14:paraId="4FF82291">
            <w:pPr>
              <w:widowControl/>
              <w:jc w:val="center"/>
              <w:rPr>
                <w:rFonts w:ascii="Calibri" w:hAnsi="Calibri" w:cs="宋体"/>
                <w:b w:val="0"/>
                <w:bCs/>
                <w:color w:val="auto"/>
                <w:kern w:val="0"/>
                <w:sz w:val="24"/>
                <w:szCs w:val="24"/>
                <w:u w:val="none"/>
              </w:rPr>
            </w:pPr>
          </w:p>
        </w:tc>
        <w:tc>
          <w:tcPr>
            <w:tcW w:w="1250" w:type="dxa"/>
            <w:tcBorders>
              <w:top w:val="nil"/>
              <w:left w:val="nil"/>
              <w:bottom w:val="single" w:color="auto" w:sz="4" w:space="0"/>
              <w:right w:val="single" w:color="auto" w:sz="4" w:space="0"/>
            </w:tcBorders>
            <w:noWrap w:val="0"/>
            <w:vAlign w:val="center"/>
          </w:tcPr>
          <w:p w14:paraId="503F24B5">
            <w:pPr>
              <w:widowControl/>
              <w:jc w:val="center"/>
              <w:rPr>
                <w:rFonts w:ascii="Calibri" w:hAnsi="Calibri" w:cs="宋体"/>
                <w:b w:val="0"/>
                <w:bCs/>
                <w:color w:val="auto"/>
                <w:kern w:val="0"/>
                <w:sz w:val="24"/>
                <w:szCs w:val="24"/>
                <w:u w:val="none"/>
              </w:rPr>
            </w:pPr>
          </w:p>
        </w:tc>
        <w:tc>
          <w:tcPr>
            <w:tcW w:w="1395" w:type="dxa"/>
            <w:gridSpan w:val="2"/>
            <w:tcBorders>
              <w:top w:val="nil"/>
              <w:left w:val="nil"/>
              <w:bottom w:val="single" w:color="auto" w:sz="4" w:space="0"/>
              <w:right w:val="single" w:color="auto" w:sz="4" w:space="0"/>
            </w:tcBorders>
            <w:noWrap w:val="0"/>
            <w:vAlign w:val="center"/>
          </w:tcPr>
          <w:p w14:paraId="560187C4">
            <w:pPr>
              <w:widowControl/>
              <w:jc w:val="center"/>
              <w:rPr>
                <w:rFonts w:ascii="Calibri" w:hAnsi="Calibri" w:cs="宋体"/>
                <w:b w:val="0"/>
                <w:bCs/>
                <w:color w:val="auto"/>
                <w:kern w:val="0"/>
                <w:sz w:val="24"/>
                <w:szCs w:val="24"/>
                <w:u w:val="none"/>
              </w:rPr>
            </w:pPr>
          </w:p>
        </w:tc>
      </w:tr>
      <w:tr w14:paraId="0689B32E">
        <w:tblPrEx>
          <w:tblCellMar>
            <w:top w:w="0" w:type="dxa"/>
            <w:left w:w="108" w:type="dxa"/>
            <w:bottom w:w="0" w:type="dxa"/>
            <w:right w:w="108" w:type="dxa"/>
          </w:tblCellMar>
        </w:tblPrEx>
        <w:trPr>
          <w:trHeight w:val="343" w:hRule="atLeast"/>
        </w:trPr>
        <w:tc>
          <w:tcPr>
            <w:tcW w:w="705" w:type="dxa"/>
            <w:tcBorders>
              <w:top w:val="nil"/>
              <w:left w:val="single" w:color="auto" w:sz="4" w:space="0"/>
              <w:bottom w:val="single" w:color="auto" w:sz="4" w:space="0"/>
              <w:right w:val="single" w:color="auto" w:sz="4" w:space="0"/>
            </w:tcBorders>
            <w:noWrap w:val="0"/>
            <w:vAlign w:val="center"/>
          </w:tcPr>
          <w:p w14:paraId="10C722B3">
            <w:pPr>
              <w:widowControl/>
              <w:jc w:val="center"/>
              <w:rPr>
                <w:rFonts w:ascii="Arial" w:hAnsi="Arial" w:cs="Arial"/>
                <w:b w:val="0"/>
                <w:bCs/>
                <w:color w:val="auto"/>
                <w:kern w:val="0"/>
                <w:sz w:val="24"/>
                <w:szCs w:val="24"/>
                <w:u w:val="none"/>
              </w:rPr>
            </w:pPr>
          </w:p>
        </w:tc>
        <w:tc>
          <w:tcPr>
            <w:tcW w:w="1685" w:type="dxa"/>
            <w:tcBorders>
              <w:top w:val="nil"/>
              <w:left w:val="nil"/>
              <w:bottom w:val="single" w:color="auto" w:sz="4" w:space="0"/>
              <w:right w:val="single" w:color="auto" w:sz="4" w:space="0"/>
            </w:tcBorders>
            <w:noWrap w:val="0"/>
            <w:vAlign w:val="center"/>
          </w:tcPr>
          <w:p w14:paraId="3179ECBA">
            <w:pPr>
              <w:widowControl/>
              <w:jc w:val="center"/>
              <w:rPr>
                <w:rFonts w:ascii="Arial" w:hAnsi="Arial" w:cs="Arial"/>
                <w:b w:val="0"/>
                <w:bCs/>
                <w:color w:val="auto"/>
                <w:kern w:val="0"/>
                <w:sz w:val="24"/>
                <w:szCs w:val="24"/>
                <w:u w:val="none"/>
              </w:rPr>
            </w:pPr>
          </w:p>
        </w:tc>
        <w:tc>
          <w:tcPr>
            <w:tcW w:w="1328" w:type="dxa"/>
            <w:tcBorders>
              <w:top w:val="nil"/>
              <w:left w:val="nil"/>
              <w:bottom w:val="single" w:color="auto" w:sz="4" w:space="0"/>
              <w:right w:val="single" w:color="auto" w:sz="4" w:space="0"/>
            </w:tcBorders>
            <w:noWrap w:val="0"/>
            <w:vAlign w:val="center"/>
          </w:tcPr>
          <w:p w14:paraId="77D46EF6">
            <w:pPr>
              <w:widowControl/>
              <w:jc w:val="center"/>
              <w:rPr>
                <w:rFonts w:ascii="Calibri" w:hAnsi="Calibri" w:cs="宋体"/>
                <w:b w:val="0"/>
                <w:bCs/>
                <w:color w:val="auto"/>
                <w:kern w:val="0"/>
                <w:sz w:val="24"/>
                <w:szCs w:val="24"/>
                <w:u w:val="none"/>
              </w:rPr>
            </w:pPr>
          </w:p>
        </w:tc>
        <w:tc>
          <w:tcPr>
            <w:tcW w:w="908" w:type="dxa"/>
            <w:tcBorders>
              <w:top w:val="nil"/>
              <w:left w:val="nil"/>
              <w:bottom w:val="single" w:color="auto" w:sz="4" w:space="0"/>
              <w:right w:val="single" w:color="auto" w:sz="4" w:space="0"/>
            </w:tcBorders>
            <w:noWrap w:val="0"/>
            <w:vAlign w:val="center"/>
          </w:tcPr>
          <w:p w14:paraId="565D4F98">
            <w:pPr>
              <w:widowControl/>
              <w:jc w:val="center"/>
              <w:rPr>
                <w:rFonts w:ascii="Calibri" w:hAnsi="Calibri" w:cs="宋体"/>
                <w:b w:val="0"/>
                <w:bCs/>
                <w:color w:val="auto"/>
                <w:kern w:val="0"/>
                <w:sz w:val="24"/>
                <w:szCs w:val="24"/>
                <w:u w:val="none"/>
              </w:rPr>
            </w:pPr>
          </w:p>
        </w:tc>
        <w:tc>
          <w:tcPr>
            <w:tcW w:w="788" w:type="dxa"/>
            <w:tcBorders>
              <w:top w:val="nil"/>
              <w:left w:val="nil"/>
              <w:bottom w:val="single" w:color="auto" w:sz="4" w:space="0"/>
              <w:right w:val="single" w:color="auto" w:sz="4" w:space="0"/>
            </w:tcBorders>
            <w:noWrap w:val="0"/>
            <w:vAlign w:val="center"/>
          </w:tcPr>
          <w:p w14:paraId="68AFB5AC">
            <w:pPr>
              <w:widowControl/>
              <w:jc w:val="center"/>
              <w:rPr>
                <w:rFonts w:ascii="Calibri" w:hAnsi="Calibri" w:cs="宋体"/>
                <w:b w:val="0"/>
                <w:bCs/>
                <w:color w:val="auto"/>
                <w:kern w:val="0"/>
                <w:sz w:val="24"/>
                <w:szCs w:val="24"/>
                <w:u w:val="none"/>
              </w:rPr>
            </w:pPr>
          </w:p>
        </w:tc>
        <w:tc>
          <w:tcPr>
            <w:tcW w:w="824" w:type="dxa"/>
            <w:tcBorders>
              <w:top w:val="nil"/>
              <w:left w:val="nil"/>
              <w:bottom w:val="single" w:color="auto" w:sz="4" w:space="0"/>
              <w:right w:val="single" w:color="auto" w:sz="4" w:space="0"/>
            </w:tcBorders>
            <w:noWrap w:val="0"/>
            <w:vAlign w:val="center"/>
          </w:tcPr>
          <w:p w14:paraId="3EB59CB6">
            <w:pPr>
              <w:widowControl/>
              <w:jc w:val="center"/>
              <w:rPr>
                <w:rFonts w:ascii="Calibri" w:hAnsi="Calibri" w:cs="宋体"/>
                <w:b w:val="0"/>
                <w:bCs/>
                <w:color w:val="auto"/>
                <w:kern w:val="0"/>
                <w:sz w:val="24"/>
                <w:szCs w:val="24"/>
                <w:u w:val="none"/>
              </w:rPr>
            </w:pPr>
          </w:p>
        </w:tc>
        <w:tc>
          <w:tcPr>
            <w:tcW w:w="703" w:type="dxa"/>
            <w:tcBorders>
              <w:top w:val="nil"/>
              <w:left w:val="nil"/>
              <w:bottom w:val="single" w:color="auto" w:sz="4" w:space="0"/>
              <w:right w:val="single" w:color="auto" w:sz="4" w:space="0"/>
            </w:tcBorders>
            <w:noWrap w:val="0"/>
            <w:vAlign w:val="center"/>
          </w:tcPr>
          <w:p w14:paraId="7C59942F">
            <w:pPr>
              <w:widowControl/>
              <w:jc w:val="center"/>
              <w:rPr>
                <w:rFonts w:ascii="Calibri" w:hAnsi="Calibri" w:cs="宋体"/>
                <w:b w:val="0"/>
                <w:bCs/>
                <w:color w:val="auto"/>
                <w:kern w:val="0"/>
                <w:sz w:val="24"/>
                <w:szCs w:val="24"/>
                <w:u w:val="none"/>
              </w:rPr>
            </w:pPr>
          </w:p>
        </w:tc>
        <w:tc>
          <w:tcPr>
            <w:tcW w:w="753" w:type="dxa"/>
            <w:tcBorders>
              <w:top w:val="single" w:color="auto" w:sz="4" w:space="0"/>
              <w:left w:val="single" w:color="auto" w:sz="4" w:space="0"/>
              <w:bottom w:val="single" w:color="auto" w:sz="4" w:space="0"/>
              <w:right w:val="single" w:color="auto" w:sz="4" w:space="0"/>
            </w:tcBorders>
            <w:noWrap w:val="0"/>
            <w:vAlign w:val="center"/>
          </w:tcPr>
          <w:p w14:paraId="3A375929">
            <w:pPr>
              <w:widowControl/>
              <w:jc w:val="center"/>
              <w:rPr>
                <w:rFonts w:ascii="Calibri" w:hAnsi="Calibri" w:cs="宋体"/>
                <w:b w:val="0"/>
                <w:bCs/>
                <w:color w:val="auto"/>
                <w:kern w:val="0"/>
                <w:sz w:val="24"/>
                <w:szCs w:val="24"/>
                <w:u w:val="none"/>
              </w:rPr>
            </w:pPr>
          </w:p>
        </w:tc>
        <w:tc>
          <w:tcPr>
            <w:tcW w:w="806" w:type="dxa"/>
            <w:tcBorders>
              <w:top w:val="single" w:color="auto" w:sz="4" w:space="0"/>
              <w:left w:val="single" w:color="auto" w:sz="4" w:space="0"/>
              <w:bottom w:val="single" w:color="auto" w:sz="4" w:space="0"/>
              <w:right w:val="single" w:color="auto" w:sz="4" w:space="0"/>
            </w:tcBorders>
            <w:noWrap w:val="0"/>
            <w:vAlign w:val="center"/>
          </w:tcPr>
          <w:p w14:paraId="34EB5BBB">
            <w:pPr>
              <w:widowControl/>
              <w:jc w:val="center"/>
              <w:rPr>
                <w:rFonts w:ascii="Calibri" w:hAnsi="Calibri" w:cs="宋体"/>
                <w:b w:val="0"/>
                <w:bCs/>
                <w:color w:val="auto"/>
                <w:kern w:val="0"/>
                <w:sz w:val="24"/>
                <w:szCs w:val="24"/>
                <w:u w:val="none"/>
              </w:rPr>
            </w:pPr>
          </w:p>
        </w:tc>
        <w:tc>
          <w:tcPr>
            <w:tcW w:w="925" w:type="dxa"/>
            <w:tcBorders>
              <w:top w:val="single" w:color="auto" w:sz="4" w:space="0"/>
              <w:left w:val="single" w:color="auto" w:sz="4" w:space="0"/>
              <w:bottom w:val="single" w:color="auto" w:sz="4" w:space="0"/>
              <w:right w:val="single" w:color="auto" w:sz="4" w:space="0"/>
            </w:tcBorders>
            <w:noWrap w:val="0"/>
            <w:vAlign w:val="center"/>
          </w:tcPr>
          <w:p w14:paraId="6250B141">
            <w:pPr>
              <w:widowControl/>
              <w:jc w:val="center"/>
              <w:rPr>
                <w:rFonts w:hint="eastAsia" w:ascii="宋体" w:hAnsi="宋体" w:cs="宋体"/>
                <w:b w:val="0"/>
                <w:bCs/>
                <w:color w:val="auto"/>
                <w:kern w:val="0"/>
                <w:sz w:val="24"/>
                <w:szCs w:val="24"/>
                <w:u w:val="none"/>
              </w:rPr>
            </w:pPr>
          </w:p>
        </w:tc>
        <w:tc>
          <w:tcPr>
            <w:tcW w:w="955" w:type="dxa"/>
            <w:tcBorders>
              <w:top w:val="nil"/>
              <w:left w:val="nil"/>
              <w:bottom w:val="single" w:color="auto" w:sz="4" w:space="0"/>
              <w:right w:val="single" w:color="auto" w:sz="4" w:space="0"/>
            </w:tcBorders>
            <w:noWrap w:val="0"/>
            <w:vAlign w:val="center"/>
          </w:tcPr>
          <w:p w14:paraId="3213F134">
            <w:pPr>
              <w:widowControl/>
              <w:jc w:val="center"/>
              <w:rPr>
                <w:rFonts w:ascii="Calibri" w:hAnsi="Calibri" w:cs="宋体"/>
                <w:b w:val="0"/>
                <w:bCs/>
                <w:color w:val="auto"/>
                <w:kern w:val="0"/>
                <w:sz w:val="24"/>
                <w:szCs w:val="24"/>
                <w:u w:val="none"/>
              </w:rPr>
            </w:pPr>
          </w:p>
        </w:tc>
        <w:tc>
          <w:tcPr>
            <w:tcW w:w="1200" w:type="dxa"/>
            <w:tcBorders>
              <w:top w:val="nil"/>
              <w:left w:val="nil"/>
              <w:bottom w:val="single" w:color="auto" w:sz="4" w:space="0"/>
              <w:right w:val="single" w:color="auto" w:sz="4" w:space="0"/>
            </w:tcBorders>
            <w:noWrap w:val="0"/>
            <w:vAlign w:val="center"/>
          </w:tcPr>
          <w:p w14:paraId="3F0362F6">
            <w:pPr>
              <w:widowControl/>
              <w:jc w:val="center"/>
              <w:rPr>
                <w:rFonts w:ascii="Calibri" w:hAnsi="Calibri" w:cs="宋体"/>
                <w:b w:val="0"/>
                <w:bCs/>
                <w:color w:val="auto"/>
                <w:kern w:val="0"/>
                <w:sz w:val="24"/>
                <w:szCs w:val="24"/>
                <w:u w:val="none"/>
              </w:rPr>
            </w:pPr>
          </w:p>
        </w:tc>
        <w:tc>
          <w:tcPr>
            <w:tcW w:w="1250" w:type="dxa"/>
            <w:tcBorders>
              <w:top w:val="nil"/>
              <w:left w:val="nil"/>
              <w:bottom w:val="single" w:color="auto" w:sz="4" w:space="0"/>
              <w:right w:val="single" w:color="auto" w:sz="4" w:space="0"/>
            </w:tcBorders>
            <w:noWrap w:val="0"/>
            <w:vAlign w:val="center"/>
          </w:tcPr>
          <w:p w14:paraId="5334F859">
            <w:pPr>
              <w:widowControl/>
              <w:jc w:val="center"/>
              <w:rPr>
                <w:rFonts w:ascii="Calibri" w:hAnsi="Calibri" w:cs="宋体"/>
                <w:b w:val="0"/>
                <w:bCs/>
                <w:color w:val="auto"/>
                <w:kern w:val="0"/>
                <w:sz w:val="24"/>
                <w:szCs w:val="24"/>
                <w:u w:val="none"/>
              </w:rPr>
            </w:pPr>
          </w:p>
        </w:tc>
        <w:tc>
          <w:tcPr>
            <w:tcW w:w="1395" w:type="dxa"/>
            <w:gridSpan w:val="2"/>
            <w:tcBorders>
              <w:top w:val="nil"/>
              <w:left w:val="nil"/>
              <w:bottom w:val="single" w:color="auto" w:sz="4" w:space="0"/>
              <w:right w:val="single" w:color="auto" w:sz="4" w:space="0"/>
            </w:tcBorders>
            <w:noWrap w:val="0"/>
            <w:vAlign w:val="center"/>
          </w:tcPr>
          <w:p w14:paraId="34715D12">
            <w:pPr>
              <w:widowControl/>
              <w:jc w:val="center"/>
              <w:rPr>
                <w:rFonts w:ascii="Calibri" w:hAnsi="Calibri" w:cs="宋体"/>
                <w:b w:val="0"/>
                <w:bCs/>
                <w:color w:val="auto"/>
                <w:kern w:val="0"/>
                <w:sz w:val="24"/>
                <w:szCs w:val="24"/>
                <w:u w:val="none"/>
              </w:rPr>
            </w:pPr>
          </w:p>
        </w:tc>
      </w:tr>
      <w:tr w14:paraId="782F0A13">
        <w:tblPrEx>
          <w:tblCellMar>
            <w:top w:w="0" w:type="dxa"/>
            <w:left w:w="108" w:type="dxa"/>
            <w:bottom w:w="0" w:type="dxa"/>
            <w:right w:w="108" w:type="dxa"/>
          </w:tblCellMar>
        </w:tblPrEx>
        <w:trPr>
          <w:trHeight w:val="285" w:hRule="atLeast"/>
        </w:trPr>
        <w:tc>
          <w:tcPr>
            <w:tcW w:w="705" w:type="dxa"/>
            <w:tcBorders>
              <w:top w:val="nil"/>
              <w:left w:val="single" w:color="auto" w:sz="4" w:space="0"/>
              <w:bottom w:val="single" w:color="auto" w:sz="4" w:space="0"/>
              <w:right w:val="single" w:color="auto" w:sz="4" w:space="0"/>
            </w:tcBorders>
            <w:noWrap w:val="0"/>
            <w:vAlign w:val="center"/>
          </w:tcPr>
          <w:p w14:paraId="172B07CB">
            <w:pPr>
              <w:widowControl/>
              <w:jc w:val="center"/>
              <w:rPr>
                <w:rFonts w:ascii="Arial" w:hAnsi="Arial" w:cs="Arial"/>
                <w:b w:val="0"/>
                <w:bCs/>
                <w:color w:val="auto"/>
                <w:kern w:val="0"/>
                <w:sz w:val="24"/>
                <w:szCs w:val="24"/>
                <w:u w:val="none"/>
              </w:rPr>
            </w:pPr>
          </w:p>
        </w:tc>
        <w:tc>
          <w:tcPr>
            <w:tcW w:w="1685" w:type="dxa"/>
            <w:tcBorders>
              <w:top w:val="nil"/>
              <w:left w:val="nil"/>
              <w:bottom w:val="single" w:color="auto" w:sz="4" w:space="0"/>
              <w:right w:val="single" w:color="auto" w:sz="4" w:space="0"/>
            </w:tcBorders>
            <w:noWrap w:val="0"/>
            <w:vAlign w:val="center"/>
          </w:tcPr>
          <w:p w14:paraId="0446D6F5">
            <w:pPr>
              <w:widowControl/>
              <w:jc w:val="center"/>
              <w:rPr>
                <w:rFonts w:ascii="Arial" w:hAnsi="Arial" w:cs="Arial"/>
                <w:b w:val="0"/>
                <w:bCs/>
                <w:color w:val="auto"/>
                <w:kern w:val="0"/>
                <w:sz w:val="24"/>
                <w:szCs w:val="24"/>
                <w:u w:val="none"/>
              </w:rPr>
            </w:pPr>
          </w:p>
        </w:tc>
        <w:tc>
          <w:tcPr>
            <w:tcW w:w="1328" w:type="dxa"/>
            <w:tcBorders>
              <w:top w:val="nil"/>
              <w:left w:val="nil"/>
              <w:bottom w:val="single" w:color="auto" w:sz="4" w:space="0"/>
              <w:right w:val="single" w:color="auto" w:sz="4" w:space="0"/>
            </w:tcBorders>
            <w:noWrap w:val="0"/>
            <w:vAlign w:val="center"/>
          </w:tcPr>
          <w:p w14:paraId="5480C68C">
            <w:pPr>
              <w:widowControl/>
              <w:jc w:val="center"/>
              <w:rPr>
                <w:rFonts w:ascii="Calibri" w:hAnsi="Calibri" w:cs="宋体"/>
                <w:b w:val="0"/>
                <w:bCs/>
                <w:color w:val="auto"/>
                <w:kern w:val="0"/>
                <w:sz w:val="24"/>
                <w:szCs w:val="24"/>
                <w:u w:val="none"/>
              </w:rPr>
            </w:pPr>
          </w:p>
        </w:tc>
        <w:tc>
          <w:tcPr>
            <w:tcW w:w="908" w:type="dxa"/>
            <w:tcBorders>
              <w:top w:val="nil"/>
              <w:left w:val="nil"/>
              <w:bottom w:val="single" w:color="auto" w:sz="4" w:space="0"/>
              <w:right w:val="single" w:color="auto" w:sz="4" w:space="0"/>
            </w:tcBorders>
            <w:noWrap w:val="0"/>
            <w:vAlign w:val="center"/>
          </w:tcPr>
          <w:p w14:paraId="580254BC">
            <w:pPr>
              <w:widowControl/>
              <w:jc w:val="center"/>
              <w:rPr>
                <w:rFonts w:ascii="Calibri" w:hAnsi="Calibri" w:cs="宋体"/>
                <w:b w:val="0"/>
                <w:bCs/>
                <w:color w:val="auto"/>
                <w:kern w:val="0"/>
                <w:sz w:val="24"/>
                <w:szCs w:val="24"/>
                <w:u w:val="none"/>
              </w:rPr>
            </w:pPr>
          </w:p>
        </w:tc>
        <w:tc>
          <w:tcPr>
            <w:tcW w:w="788" w:type="dxa"/>
            <w:tcBorders>
              <w:top w:val="nil"/>
              <w:left w:val="nil"/>
              <w:bottom w:val="single" w:color="auto" w:sz="4" w:space="0"/>
              <w:right w:val="single" w:color="auto" w:sz="4" w:space="0"/>
            </w:tcBorders>
            <w:noWrap w:val="0"/>
            <w:vAlign w:val="center"/>
          </w:tcPr>
          <w:p w14:paraId="53B14546">
            <w:pPr>
              <w:widowControl/>
              <w:jc w:val="center"/>
              <w:rPr>
                <w:rFonts w:ascii="Calibri" w:hAnsi="Calibri" w:cs="宋体"/>
                <w:b w:val="0"/>
                <w:bCs/>
                <w:color w:val="auto"/>
                <w:kern w:val="0"/>
                <w:sz w:val="24"/>
                <w:szCs w:val="24"/>
                <w:u w:val="none"/>
              </w:rPr>
            </w:pPr>
          </w:p>
        </w:tc>
        <w:tc>
          <w:tcPr>
            <w:tcW w:w="824" w:type="dxa"/>
            <w:tcBorders>
              <w:top w:val="nil"/>
              <w:left w:val="nil"/>
              <w:bottom w:val="single" w:color="auto" w:sz="4" w:space="0"/>
              <w:right w:val="single" w:color="auto" w:sz="4" w:space="0"/>
            </w:tcBorders>
            <w:noWrap w:val="0"/>
            <w:vAlign w:val="center"/>
          </w:tcPr>
          <w:p w14:paraId="5AC8D3BB">
            <w:pPr>
              <w:widowControl/>
              <w:jc w:val="center"/>
              <w:rPr>
                <w:rFonts w:ascii="Calibri" w:hAnsi="Calibri" w:cs="宋体"/>
                <w:b w:val="0"/>
                <w:bCs/>
                <w:color w:val="auto"/>
                <w:kern w:val="0"/>
                <w:sz w:val="24"/>
                <w:szCs w:val="24"/>
                <w:u w:val="none"/>
              </w:rPr>
            </w:pPr>
          </w:p>
        </w:tc>
        <w:tc>
          <w:tcPr>
            <w:tcW w:w="703" w:type="dxa"/>
            <w:tcBorders>
              <w:top w:val="nil"/>
              <w:left w:val="nil"/>
              <w:bottom w:val="single" w:color="auto" w:sz="4" w:space="0"/>
              <w:right w:val="single" w:color="auto" w:sz="4" w:space="0"/>
            </w:tcBorders>
            <w:noWrap w:val="0"/>
            <w:vAlign w:val="center"/>
          </w:tcPr>
          <w:p w14:paraId="34BC350B">
            <w:pPr>
              <w:widowControl/>
              <w:jc w:val="center"/>
              <w:rPr>
                <w:rFonts w:ascii="Calibri" w:hAnsi="Calibri" w:cs="宋体"/>
                <w:b w:val="0"/>
                <w:bCs/>
                <w:color w:val="auto"/>
                <w:kern w:val="0"/>
                <w:sz w:val="24"/>
                <w:szCs w:val="24"/>
                <w:u w:val="none"/>
              </w:rPr>
            </w:pPr>
          </w:p>
        </w:tc>
        <w:tc>
          <w:tcPr>
            <w:tcW w:w="753" w:type="dxa"/>
            <w:tcBorders>
              <w:top w:val="single" w:color="auto" w:sz="4" w:space="0"/>
              <w:left w:val="single" w:color="auto" w:sz="4" w:space="0"/>
              <w:bottom w:val="single" w:color="auto" w:sz="4" w:space="0"/>
              <w:right w:val="single" w:color="auto" w:sz="4" w:space="0"/>
            </w:tcBorders>
            <w:noWrap w:val="0"/>
            <w:vAlign w:val="center"/>
          </w:tcPr>
          <w:p w14:paraId="0E6253EE">
            <w:pPr>
              <w:widowControl/>
              <w:jc w:val="center"/>
              <w:rPr>
                <w:rFonts w:ascii="Calibri" w:hAnsi="Calibri" w:cs="宋体"/>
                <w:b w:val="0"/>
                <w:bCs/>
                <w:color w:val="auto"/>
                <w:kern w:val="0"/>
                <w:sz w:val="24"/>
                <w:szCs w:val="24"/>
                <w:u w:val="none"/>
              </w:rPr>
            </w:pPr>
          </w:p>
        </w:tc>
        <w:tc>
          <w:tcPr>
            <w:tcW w:w="806" w:type="dxa"/>
            <w:tcBorders>
              <w:top w:val="single" w:color="auto" w:sz="4" w:space="0"/>
              <w:left w:val="single" w:color="auto" w:sz="4" w:space="0"/>
              <w:bottom w:val="single" w:color="auto" w:sz="4" w:space="0"/>
              <w:right w:val="single" w:color="auto" w:sz="4" w:space="0"/>
            </w:tcBorders>
            <w:noWrap w:val="0"/>
            <w:vAlign w:val="center"/>
          </w:tcPr>
          <w:p w14:paraId="40B3F652">
            <w:pPr>
              <w:widowControl/>
              <w:jc w:val="center"/>
              <w:rPr>
                <w:rFonts w:ascii="Calibri" w:hAnsi="Calibri" w:cs="宋体"/>
                <w:b w:val="0"/>
                <w:bCs/>
                <w:color w:val="auto"/>
                <w:kern w:val="0"/>
                <w:sz w:val="24"/>
                <w:szCs w:val="24"/>
                <w:u w:val="none"/>
              </w:rPr>
            </w:pPr>
          </w:p>
        </w:tc>
        <w:tc>
          <w:tcPr>
            <w:tcW w:w="925" w:type="dxa"/>
            <w:tcBorders>
              <w:top w:val="single" w:color="auto" w:sz="4" w:space="0"/>
              <w:left w:val="single" w:color="auto" w:sz="4" w:space="0"/>
              <w:bottom w:val="single" w:color="auto" w:sz="4" w:space="0"/>
              <w:right w:val="single" w:color="auto" w:sz="4" w:space="0"/>
            </w:tcBorders>
            <w:noWrap w:val="0"/>
            <w:vAlign w:val="center"/>
          </w:tcPr>
          <w:p w14:paraId="2B90F489">
            <w:pPr>
              <w:widowControl/>
              <w:jc w:val="center"/>
              <w:rPr>
                <w:rFonts w:hint="eastAsia" w:ascii="宋体" w:hAnsi="宋体" w:cs="宋体"/>
                <w:b w:val="0"/>
                <w:bCs/>
                <w:color w:val="auto"/>
                <w:kern w:val="0"/>
                <w:sz w:val="24"/>
                <w:szCs w:val="24"/>
                <w:u w:val="none"/>
              </w:rPr>
            </w:pPr>
          </w:p>
        </w:tc>
        <w:tc>
          <w:tcPr>
            <w:tcW w:w="955" w:type="dxa"/>
            <w:tcBorders>
              <w:top w:val="nil"/>
              <w:left w:val="nil"/>
              <w:bottom w:val="single" w:color="auto" w:sz="4" w:space="0"/>
              <w:right w:val="single" w:color="auto" w:sz="4" w:space="0"/>
            </w:tcBorders>
            <w:noWrap w:val="0"/>
            <w:vAlign w:val="center"/>
          </w:tcPr>
          <w:p w14:paraId="2C916666">
            <w:pPr>
              <w:widowControl/>
              <w:jc w:val="center"/>
              <w:rPr>
                <w:rFonts w:ascii="Calibri" w:hAnsi="Calibri" w:cs="宋体"/>
                <w:b w:val="0"/>
                <w:bCs/>
                <w:color w:val="auto"/>
                <w:kern w:val="0"/>
                <w:sz w:val="24"/>
                <w:szCs w:val="24"/>
                <w:u w:val="none"/>
              </w:rPr>
            </w:pPr>
          </w:p>
        </w:tc>
        <w:tc>
          <w:tcPr>
            <w:tcW w:w="1200" w:type="dxa"/>
            <w:tcBorders>
              <w:top w:val="nil"/>
              <w:left w:val="nil"/>
              <w:bottom w:val="single" w:color="auto" w:sz="4" w:space="0"/>
              <w:right w:val="single" w:color="auto" w:sz="4" w:space="0"/>
            </w:tcBorders>
            <w:noWrap w:val="0"/>
            <w:vAlign w:val="center"/>
          </w:tcPr>
          <w:p w14:paraId="5676013B">
            <w:pPr>
              <w:widowControl/>
              <w:jc w:val="center"/>
              <w:rPr>
                <w:rFonts w:ascii="Calibri" w:hAnsi="Calibri" w:cs="宋体"/>
                <w:b w:val="0"/>
                <w:bCs/>
                <w:color w:val="auto"/>
                <w:kern w:val="0"/>
                <w:sz w:val="24"/>
                <w:szCs w:val="24"/>
                <w:u w:val="none"/>
              </w:rPr>
            </w:pPr>
          </w:p>
        </w:tc>
        <w:tc>
          <w:tcPr>
            <w:tcW w:w="1250" w:type="dxa"/>
            <w:tcBorders>
              <w:top w:val="nil"/>
              <w:left w:val="nil"/>
              <w:bottom w:val="single" w:color="auto" w:sz="4" w:space="0"/>
              <w:right w:val="single" w:color="auto" w:sz="4" w:space="0"/>
            </w:tcBorders>
            <w:noWrap w:val="0"/>
            <w:vAlign w:val="center"/>
          </w:tcPr>
          <w:p w14:paraId="2BA93D83">
            <w:pPr>
              <w:widowControl/>
              <w:jc w:val="center"/>
              <w:rPr>
                <w:rFonts w:ascii="Calibri" w:hAnsi="Calibri" w:cs="宋体"/>
                <w:b w:val="0"/>
                <w:bCs/>
                <w:color w:val="auto"/>
                <w:kern w:val="0"/>
                <w:sz w:val="24"/>
                <w:szCs w:val="24"/>
                <w:u w:val="none"/>
              </w:rPr>
            </w:pPr>
          </w:p>
        </w:tc>
        <w:tc>
          <w:tcPr>
            <w:tcW w:w="1395" w:type="dxa"/>
            <w:gridSpan w:val="2"/>
            <w:tcBorders>
              <w:top w:val="nil"/>
              <w:left w:val="nil"/>
              <w:bottom w:val="single" w:color="auto" w:sz="4" w:space="0"/>
              <w:right w:val="single" w:color="auto" w:sz="4" w:space="0"/>
            </w:tcBorders>
            <w:noWrap w:val="0"/>
            <w:vAlign w:val="center"/>
          </w:tcPr>
          <w:p w14:paraId="13629A37">
            <w:pPr>
              <w:widowControl/>
              <w:jc w:val="center"/>
              <w:rPr>
                <w:rFonts w:ascii="Calibri" w:hAnsi="Calibri" w:cs="宋体"/>
                <w:b w:val="0"/>
                <w:bCs/>
                <w:color w:val="auto"/>
                <w:kern w:val="0"/>
                <w:sz w:val="24"/>
                <w:szCs w:val="24"/>
                <w:u w:val="none"/>
              </w:rPr>
            </w:pPr>
          </w:p>
        </w:tc>
      </w:tr>
      <w:tr w14:paraId="4FFB2D7A">
        <w:tblPrEx>
          <w:tblCellMar>
            <w:top w:w="0" w:type="dxa"/>
            <w:left w:w="108" w:type="dxa"/>
            <w:bottom w:w="0" w:type="dxa"/>
            <w:right w:w="108" w:type="dxa"/>
          </w:tblCellMar>
        </w:tblPrEx>
        <w:trPr>
          <w:trHeight w:val="285" w:hRule="atLeast"/>
        </w:trPr>
        <w:tc>
          <w:tcPr>
            <w:tcW w:w="705" w:type="dxa"/>
            <w:tcBorders>
              <w:top w:val="nil"/>
              <w:left w:val="single" w:color="auto" w:sz="4" w:space="0"/>
              <w:bottom w:val="single" w:color="auto" w:sz="4" w:space="0"/>
              <w:right w:val="single" w:color="auto" w:sz="4" w:space="0"/>
            </w:tcBorders>
            <w:noWrap w:val="0"/>
            <w:vAlign w:val="center"/>
          </w:tcPr>
          <w:p w14:paraId="1980E8E8">
            <w:pPr>
              <w:widowControl/>
              <w:jc w:val="center"/>
              <w:rPr>
                <w:rFonts w:ascii="Arial" w:hAnsi="Arial" w:cs="Arial"/>
                <w:b w:val="0"/>
                <w:bCs/>
                <w:color w:val="auto"/>
                <w:kern w:val="0"/>
                <w:sz w:val="24"/>
                <w:szCs w:val="24"/>
                <w:u w:val="none"/>
              </w:rPr>
            </w:pPr>
          </w:p>
        </w:tc>
        <w:tc>
          <w:tcPr>
            <w:tcW w:w="1685" w:type="dxa"/>
            <w:tcBorders>
              <w:top w:val="nil"/>
              <w:left w:val="nil"/>
              <w:bottom w:val="single" w:color="auto" w:sz="4" w:space="0"/>
              <w:right w:val="single" w:color="auto" w:sz="4" w:space="0"/>
            </w:tcBorders>
            <w:noWrap w:val="0"/>
            <w:vAlign w:val="center"/>
          </w:tcPr>
          <w:p w14:paraId="6D435564">
            <w:pPr>
              <w:widowControl/>
              <w:jc w:val="center"/>
              <w:rPr>
                <w:rFonts w:ascii="Arial" w:hAnsi="Arial" w:cs="Arial"/>
                <w:b w:val="0"/>
                <w:bCs/>
                <w:color w:val="auto"/>
                <w:kern w:val="0"/>
                <w:sz w:val="24"/>
                <w:szCs w:val="24"/>
                <w:u w:val="none"/>
              </w:rPr>
            </w:pPr>
          </w:p>
        </w:tc>
        <w:tc>
          <w:tcPr>
            <w:tcW w:w="1328" w:type="dxa"/>
            <w:tcBorders>
              <w:top w:val="nil"/>
              <w:left w:val="nil"/>
              <w:bottom w:val="single" w:color="auto" w:sz="4" w:space="0"/>
              <w:right w:val="single" w:color="auto" w:sz="4" w:space="0"/>
            </w:tcBorders>
            <w:noWrap w:val="0"/>
            <w:vAlign w:val="center"/>
          </w:tcPr>
          <w:p w14:paraId="5D095F5D">
            <w:pPr>
              <w:widowControl/>
              <w:jc w:val="center"/>
              <w:rPr>
                <w:rFonts w:ascii="Calibri" w:hAnsi="Calibri" w:cs="宋体"/>
                <w:b w:val="0"/>
                <w:bCs/>
                <w:color w:val="auto"/>
                <w:kern w:val="0"/>
                <w:sz w:val="24"/>
                <w:szCs w:val="24"/>
                <w:u w:val="none"/>
              </w:rPr>
            </w:pPr>
          </w:p>
        </w:tc>
        <w:tc>
          <w:tcPr>
            <w:tcW w:w="908" w:type="dxa"/>
            <w:tcBorders>
              <w:top w:val="nil"/>
              <w:left w:val="nil"/>
              <w:bottom w:val="single" w:color="auto" w:sz="4" w:space="0"/>
              <w:right w:val="single" w:color="auto" w:sz="4" w:space="0"/>
            </w:tcBorders>
            <w:noWrap w:val="0"/>
            <w:vAlign w:val="center"/>
          </w:tcPr>
          <w:p w14:paraId="622359AE">
            <w:pPr>
              <w:widowControl/>
              <w:jc w:val="center"/>
              <w:rPr>
                <w:rFonts w:ascii="Calibri" w:hAnsi="Calibri" w:cs="宋体"/>
                <w:b w:val="0"/>
                <w:bCs/>
                <w:color w:val="auto"/>
                <w:kern w:val="0"/>
                <w:sz w:val="24"/>
                <w:szCs w:val="24"/>
                <w:u w:val="none"/>
              </w:rPr>
            </w:pPr>
          </w:p>
        </w:tc>
        <w:tc>
          <w:tcPr>
            <w:tcW w:w="788" w:type="dxa"/>
            <w:tcBorders>
              <w:top w:val="nil"/>
              <w:left w:val="nil"/>
              <w:bottom w:val="single" w:color="auto" w:sz="4" w:space="0"/>
              <w:right w:val="single" w:color="auto" w:sz="4" w:space="0"/>
            </w:tcBorders>
            <w:noWrap w:val="0"/>
            <w:vAlign w:val="center"/>
          </w:tcPr>
          <w:p w14:paraId="2AD2F268">
            <w:pPr>
              <w:widowControl/>
              <w:jc w:val="center"/>
              <w:rPr>
                <w:rFonts w:ascii="Calibri" w:hAnsi="Calibri" w:cs="宋体"/>
                <w:b w:val="0"/>
                <w:bCs/>
                <w:color w:val="auto"/>
                <w:kern w:val="0"/>
                <w:sz w:val="24"/>
                <w:szCs w:val="24"/>
                <w:u w:val="none"/>
              </w:rPr>
            </w:pPr>
          </w:p>
        </w:tc>
        <w:tc>
          <w:tcPr>
            <w:tcW w:w="824" w:type="dxa"/>
            <w:tcBorders>
              <w:top w:val="nil"/>
              <w:left w:val="nil"/>
              <w:bottom w:val="single" w:color="auto" w:sz="4" w:space="0"/>
              <w:right w:val="single" w:color="auto" w:sz="4" w:space="0"/>
            </w:tcBorders>
            <w:noWrap w:val="0"/>
            <w:vAlign w:val="center"/>
          </w:tcPr>
          <w:p w14:paraId="20112FA8">
            <w:pPr>
              <w:widowControl/>
              <w:jc w:val="center"/>
              <w:rPr>
                <w:rFonts w:ascii="Calibri" w:hAnsi="Calibri" w:cs="宋体"/>
                <w:b w:val="0"/>
                <w:bCs/>
                <w:color w:val="auto"/>
                <w:kern w:val="0"/>
                <w:sz w:val="24"/>
                <w:szCs w:val="24"/>
                <w:u w:val="none"/>
              </w:rPr>
            </w:pPr>
          </w:p>
        </w:tc>
        <w:tc>
          <w:tcPr>
            <w:tcW w:w="703" w:type="dxa"/>
            <w:tcBorders>
              <w:top w:val="nil"/>
              <w:left w:val="nil"/>
              <w:bottom w:val="single" w:color="auto" w:sz="4" w:space="0"/>
              <w:right w:val="single" w:color="auto" w:sz="4" w:space="0"/>
            </w:tcBorders>
            <w:noWrap w:val="0"/>
            <w:vAlign w:val="center"/>
          </w:tcPr>
          <w:p w14:paraId="3FFE293C">
            <w:pPr>
              <w:widowControl/>
              <w:jc w:val="center"/>
              <w:rPr>
                <w:rFonts w:ascii="Calibri" w:hAnsi="Calibri" w:cs="宋体"/>
                <w:b w:val="0"/>
                <w:bCs/>
                <w:color w:val="auto"/>
                <w:kern w:val="0"/>
                <w:sz w:val="24"/>
                <w:szCs w:val="24"/>
                <w:u w:val="none"/>
              </w:rPr>
            </w:pPr>
          </w:p>
        </w:tc>
        <w:tc>
          <w:tcPr>
            <w:tcW w:w="753" w:type="dxa"/>
            <w:tcBorders>
              <w:top w:val="single" w:color="auto" w:sz="4" w:space="0"/>
              <w:left w:val="single" w:color="auto" w:sz="4" w:space="0"/>
              <w:bottom w:val="single" w:color="auto" w:sz="4" w:space="0"/>
              <w:right w:val="single" w:color="auto" w:sz="4" w:space="0"/>
            </w:tcBorders>
            <w:noWrap w:val="0"/>
            <w:vAlign w:val="center"/>
          </w:tcPr>
          <w:p w14:paraId="6233BF7D">
            <w:pPr>
              <w:widowControl/>
              <w:jc w:val="center"/>
              <w:rPr>
                <w:rFonts w:ascii="Calibri" w:hAnsi="Calibri" w:cs="宋体"/>
                <w:b w:val="0"/>
                <w:bCs/>
                <w:color w:val="auto"/>
                <w:kern w:val="0"/>
                <w:sz w:val="24"/>
                <w:szCs w:val="24"/>
                <w:u w:val="none"/>
              </w:rPr>
            </w:pPr>
          </w:p>
        </w:tc>
        <w:tc>
          <w:tcPr>
            <w:tcW w:w="806" w:type="dxa"/>
            <w:tcBorders>
              <w:top w:val="single" w:color="auto" w:sz="4" w:space="0"/>
              <w:left w:val="single" w:color="auto" w:sz="4" w:space="0"/>
              <w:bottom w:val="single" w:color="auto" w:sz="4" w:space="0"/>
              <w:right w:val="single" w:color="auto" w:sz="4" w:space="0"/>
            </w:tcBorders>
            <w:noWrap w:val="0"/>
            <w:vAlign w:val="center"/>
          </w:tcPr>
          <w:p w14:paraId="62592C21">
            <w:pPr>
              <w:widowControl/>
              <w:jc w:val="center"/>
              <w:rPr>
                <w:rFonts w:ascii="Calibri" w:hAnsi="Calibri" w:cs="宋体"/>
                <w:b w:val="0"/>
                <w:bCs/>
                <w:color w:val="auto"/>
                <w:kern w:val="0"/>
                <w:sz w:val="24"/>
                <w:szCs w:val="24"/>
                <w:u w:val="none"/>
              </w:rPr>
            </w:pPr>
          </w:p>
        </w:tc>
        <w:tc>
          <w:tcPr>
            <w:tcW w:w="925" w:type="dxa"/>
            <w:tcBorders>
              <w:top w:val="single" w:color="auto" w:sz="4" w:space="0"/>
              <w:left w:val="single" w:color="auto" w:sz="4" w:space="0"/>
              <w:bottom w:val="single" w:color="auto" w:sz="4" w:space="0"/>
              <w:right w:val="single" w:color="auto" w:sz="4" w:space="0"/>
            </w:tcBorders>
            <w:noWrap w:val="0"/>
            <w:vAlign w:val="center"/>
          </w:tcPr>
          <w:p w14:paraId="2FD921F0">
            <w:pPr>
              <w:widowControl/>
              <w:jc w:val="center"/>
              <w:rPr>
                <w:rFonts w:hint="eastAsia" w:ascii="宋体" w:hAnsi="宋体" w:cs="宋体"/>
                <w:b w:val="0"/>
                <w:bCs/>
                <w:color w:val="auto"/>
                <w:kern w:val="0"/>
                <w:sz w:val="24"/>
                <w:szCs w:val="24"/>
                <w:u w:val="none"/>
              </w:rPr>
            </w:pPr>
          </w:p>
        </w:tc>
        <w:tc>
          <w:tcPr>
            <w:tcW w:w="955" w:type="dxa"/>
            <w:tcBorders>
              <w:top w:val="nil"/>
              <w:left w:val="nil"/>
              <w:bottom w:val="single" w:color="auto" w:sz="4" w:space="0"/>
              <w:right w:val="single" w:color="auto" w:sz="4" w:space="0"/>
            </w:tcBorders>
            <w:noWrap w:val="0"/>
            <w:vAlign w:val="center"/>
          </w:tcPr>
          <w:p w14:paraId="6FE91CD0">
            <w:pPr>
              <w:widowControl/>
              <w:jc w:val="center"/>
              <w:rPr>
                <w:rFonts w:ascii="Calibri" w:hAnsi="Calibri" w:cs="宋体"/>
                <w:b w:val="0"/>
                <w:bCs/>
                <w:color w:val="auto"/>
                <w:kern w:val="0"/>
                <w:sz w:val="24"/>
                <w:szCs w:val="24"/>
                <w:u w:val="none"/>
              </w:rPr>
            </w:pPr>
          </w:p>
        </w:tc>
        <w:tc>
          <w:tcPr>
            <w:tcW w:w="1200" w:type="dxa"/>
            <w:tcBorders>
              <w:top w:val="nil"/>
              <w:left w:val="nil"/>
              <w:bottom w:val="single" w:color="auto" w:sz="4" w:space="0"/>
              <w:right w:val="single" w:color="auto" w:sz="4" w:space="0"/>
            </w:tcBorders>
            <w:noWrap w:val="0"/>
            <w:vAlign w:val="center"/>
          </w:tcPr>
          <w:p w14:paraId="05EFA270">
            <w:pPr>
              <w:widowControl/>
              <w:jc w:val="center"/>
              <w:rPr>
                <w:rFonts w:ascii="Calibri" w:hAnsi="Calibri" w:cs="宋体"/>
                <w:b w:val="0"/>
                <w:bCs/>
                <w:color w:val="auto"/>
                <w:kern w:val="0"/>
                <w:sz w:val="24"/>
                <w:szCs w:val="24"/>
                <w:u w:val="none"/>
              </w:rPr>
            </w:pPr>
          </w:p>
        </w:tc>
        <w:tc>
          <w:tcPr>
            <w:tcW w:w="1250" w:type="dxa"/>
            <w:tcBorders>
              <w:top w:val="nil"/>
              <w:left w:val="nil"/>
              <w:bottom w:val="single" w:color="auto" w:sz="4" w:space="0"/>
              <w:right w:val="single" w:color="auto" w:sz="4" w:space="0"/>
            </w:tcBorders>
            <w:noWrap w:val="0"/>
            <w:vAlign w:val="center"/>
          </w:tcPr>
          <w:p w14:paraId="53C6F9C4">
            <w:pPr>
              <w:widowControl/>
              <w:jc w:val="center"/>
              <w:rPr>
                <w:rFonts w:ascii="Calibri" w:hAnsi="Calibri" w:cs="宋体"/>
                <w:b w:val="0"/>
                <w:bCs/>
                <w:color w:val="auto"/>
                <w:kern w:val="0"/>
                <w:sz w:val="24"/>
                <w:szCs w:val="24"/>
                <w:u w:val="none"/>
              </w:rPr>
            </w:pPr>
          </w:p>
        </w:tc>
        <w:tc>
          <w:tcPr>
            <w:tcW w:w="1395" w:type="dxa"/>
            <w:gridSpan w:val="2"/>
            <w:tcBorders>
              <w:top w:val="nil"/>
              <w:left w:val="nil"/>
              <w:bottom w:val="single" w:color="auto" w:sz="4" w:space="0"/>
              <w:right w:val="single" w:color="auto" w:sz="4" w:space="0"/>
            </w:tcBorders>
            <w:noWrap w:val="0"/>
            <w:vAlign w:val="center"/>
          </w:tcPr>
          <w:p w14:paraId="4FD9C506">
            <w:pPr>
              <w:widowControl/>
              <w:jc w:val="center"/>
              <w:rPr>
                <w:rFonts w:ascii="Calibri" w:hAnsi="Calibri" w:cs="宋体"/>
                <w:b w:val="0"/>
                <w:bCs/>
                <w:color w:val="auto"/>
                <w:kern w:val="0"/>
                <w:sz w:val="24"/>
                <w:szCs w:val="24"/>
                <w:u w:val="none"/>
              </w:rPr>
            </w:pPr>
          </w:p>
        </w:tc>
      </w:tr>
      <w:tr w14:paraId="76B39418">
        <w:tblPrEx>
          <w:tblCellMar>
            <w:top w:w="0" w:type="dxa"/>
            <w:left w:w="108" w:type="dxa"/>
            <w:bottom w:w="0" w:type="dxa"/>
            <w:right w:w="108" w:type="dxa"/>
          </w:tblCellMar>
        </w:tblPrEx>
        <w:trPr>
          <w:trHeight w:val="285" w:hRule="atLeast"/>
        </w:trPr>
        <w:tc>
          <w:tcPr>
            <w:tcW w:w="705" w:type="dxa"/>
            <w:tcBorders>
              <w:top w:val="nil"/>
              <w:left w:val="single" w:color="auto" w:sz="4" w:space="0"/>
              <w:bottom w:val="single" w:color="auto" w:sz="4" w:space="0"/>
              <w:right w:val="single" w:color="auto" w:sz="4" w:space="0"/>
            </w:tcBorders>
            <w:noWrap w:val="0"/>
            <w:vAlign w:val="center"/>
          </w:tcPr>
          <w:p w14:paraId="44A48074">
            <w:pPr>
              <w:widowControl/>
              <w:jc w:val="center"/>
              <w:rPr>
                <w:rFonts w:ascii="Arial" w:hAnsi="Arial" w:cs="Arial"/>
                <w:b w:val="0"/>
                <w:bCs/>
                <w:color w:val="auto"/>
                <w:kern w:val="0"/>
                <w:sz w:val="24"/>
                <w:szCs w:val="24"/>
                <w:u w:val="none"/>
              </w:rPr>
            </w:pPr>
          </w:p>
        </w:tc>
        <w:tc>
          <w:tcPr>
            <w:tcW w:w="1685" w:type="dxa"/>
            <w:tcBorders>
              <w:top w:val="nil"/>
              <w:left w:val="nil"/>
              <w:bottom w:val="single" w:color="auto" w:sz="4" w:space="0"/>
              <w:right w:val="single" w:color="auto" w:sz="4" w:space="0"/>
            </w:tcBorders>
            <w:noWrap w:val="0"/>
            <w:vAlign w:val="center"/>
          </w:tcPr>
          <w:p w14:paraId="4DBB6C02">
            <w:pPr>
              <w:widowControl/>
              <w:jc w:val="center"/>
              <w:rPr>
                <w:rFonts w:ascii="Arial" w:hAnsi="Arial" w:cs="Arial"/>
                <w:b w:val="0"/>
                <w:bCs/>
                <w:color w:val="auto"/>
                <w:kern w:val="0"/>
                <w:sz w:val="24"/>
                <w:szCs w:val="24"/>
                <w:u w:val="none"/>
              </w:rPr>
            </w:pPr>
          </w:p>
        </w:tc>
        <w:tc>
          <w:tcPr>
            <w:tcW w:w="1328" w:type="dxa"/>
            <w:tcBorders>
              <w:top w:val="nil"/>
              <w:left w:val="nil"/>
              <w:bottom w:val="single" w:color="auto" w:sz="4" w:space="0"/>
              <w:right w:val="single" w:color="auto" w:sz="4" w:space="0"/>
            </w:tcBorders>
            <w:noWrap w:val="0"/>
            <w:vAlign w:val="center"/>
          </w:tcPr>
          <w:p w14:paraId="1E8D4F67">
            <w:pPr>
              <w:widowControl/>
              <w:jc w:val="center"/>
              <w:rPr>
                <w:rFonts w:ascii="Calibri" w:hAnsi="Calibri" w:cs="宋体"/>
                <w:b w:val="0"/>
                <w:bCs/>
                <w:color w:val="auto"/>
                <w:kern w:val="0"/>
                <w:sz w:val="24"/>
                <w:szCs w:val="24"/>
                <w:u w:val="none"/>
              </w:rPr>
            </w:pPr>
          </w:p>
        </w:tc>
        <w:tc>
          <w:tcPr>
            <w:tcW w:w="908" w:type="dxa"/>
            <w:tcBorders>
              <w:top w:val="nil"/>
              <w:left w:val="nil"/>
              <w:bottom w:val="single" w:color="auto" w:sz="4" w:space="0"/>
              <w:right w:val="single" w:color="auto" w:sz="4" w:space="0"/>
            </w:tcBorders>
            <w:noWrap w:val="0"/>
            <w:vAlign w:val="center"/>
          </w:tcPr>
          <w:p w14:paraId="03B11D42">
            <w:pPr>
              <w:widowControl/>
              <w:jc w:val="center"/>
              <w:rPr>
                <w:rFonts w:ascii="Calibri" w:hAnsi="Calibri" w:cs="宋体"/>
                <w:b w:val="0"/>
                <w:bCs/>
                <w:color w:val="auto"/>
                <w:kern w:val="0"/>
                <w:sz w:val="24"/>
                <w:szCs w:val="24"/>
                <w:u w:val="none"/>
              </w:rPr>
            </w:pPr>
          </w:p>
        </w:tc>
        <w:tc>
          <w:tcPr>
            <w:tcW w:w="788" w:type="dxa"/>
            <w:tcBorders>
              <w:top w:val="nil"/>
              <w:left w:val="nil"/>
              <w:bottom w:val="single" w:color="auto" w:sz="4" w:space="0"/>
              <w:right w:val="single" w:color="auto" w:sz="4" w:space="0"/>
            </w:tcBorders>
            <w:noWrap w:val="0"/>
            <w:vAlign w:val="center"/>
          </w:tcPr>
          <w:p w14:paraId="1A9C3196">
            <w:pPr>
              <w:widowControl/>
              <w:jc w:val="center"/>
              <w:rPr>
                <w:rFonts w:ascii="Calibri" w:hAnsi="Calibri" w:cs="宋体"/>
                <w:b w:val="0"/>
                <w:bCs/>
                <w:color w:val="auto"/>
                <w:kern w:val="0"/>
                <w:sz w:val="24"/>
                <w:szCs w:val="24"/>
                <w:u w:val="none"/>
              </w:rPr>
            </w:pPr>
          </w:p>
        </w:tc>
        <w:tc>
          <w:tcPr>
            <w:tcW w:w="824" w:type="dxa"/>
            <w:tcBorders>
              <w:top w:val="nil"/>
              <w:left w:val="nil"/>
              <w:bottom w:val="single" w:color="auto" w:sz="4" w:space="0"/>
              <w:right w:val="single" w:color="auto" w:sz="4" w:space="0"/>
            </w:tcBorders>
            <w:noWrap w:val="0"/>
            <w:vAlign w:val="center"/>
          </w:tcPr>
          <w:p w14:paraId="0E4E2EE8">
            <w:pPr>
              <w:widowControl/>
              <w:jc w:val="center"/>
              <w:rPr>
                <w:rFonts w:ascii="Calibri" w:hAnsi="Calibri" w:cs="宋体"/>
                <w:b w:val="0"/>
                <w:bCs/>
                <w:color w:val="auto"/>
                <w:kern w:val="0"/>
                <w:sz w:val="24"/>
                <w:szCs w:val="24"/>
                <w:u w:val="none"/>
              </w:rPr>
            </w:pPr>
          </w:p>
        </w:tc>
        <w:tc>
          <w:tcPr>
            <w:tcW w:w="703" w:type="dxa"/>
            <w:tcBorders>
              <w:top w:val="nil"/>
              <w:left w:val="nil"/>
              <w:bottom w:val="single" w:color="auto" w:sz="4" w:space="0"/>
              <w:right w:val="single" w:color="auto" w:sz="4" w:space="0"/>
            </w:tcBorders>
            <w:noWrap w:val="0"/>
            <w:vAlign w:val="center"/>
          </w:tcPr>
          <w:p w14:paraId="7485C43C">
            <w:pPr>
              <w:widowControl/>
              <w:jc w:val="center"/>
              <w:rPr>
                <w:rFonts w:ascii="Calibri" w:hAnsi="Calibri" w:cs="宋体"/>
                <w:b w:val="0"/>
                <w:bCs/>
                <w:color w:val="auto"/>
                <w:kern w:val="0"/>
                <w:sz w:val="24"/>
                <w:szCs w:val="24"/>
                <w:u w:val="none"/>
              </w:rPr>
            </w:pPr>
          </w:p>
        </w:tc>
        <w:tc>
          <w:tcPr>
            <w:tcW w:w="753" w:type="dxa"/>
            <w:tcBorders>
              <w:top w:val="single" w:color="auto" w:sz="4" w:space="0"/>
              <w:left w:val="single" w:color="auto" w:sz="4" w:space="0"/>
              <w:bottom w:val="single" w:color="auto" w:sz="4" w:space="0"/>
              <w:right w:val="single" w:color="auto" w:sz="4" w:space="0"/>
            </w:tcBorders>
            <w:noWrap w:val="0"/>
            <w:vAlign w:val="center"/>
          </w:tcPr>
          <w:p w14:paraId="058DD550">
            <w:pPr>
              <w:widowControl/>
              <w:jc w:val="center"/>
              <w:rPr>
                <w:rFonts w:ascii="Calibri" w:hAnsi="Calibri" w:cs="宋体"/>
                <w:b w:val="0"/>
                <w:bCs/>
                <w:color w:val="auto"/>
                <w:kern w:val="0"/>
                <w:sz w:val="24"/>
                <w:szCs w:val="24"/>
                <w:u w:val="none"/>
              </w:rPr>
            </w:pPr>
          </w:p>
        </w:tc>
        <w:tc>
          <w:tcPr>
            <w:tcW w:w="806" w:type="dxa"/>
            <w:tcBorders>
              <w:top w:val="single" w:color="auto" w:sz="4" w:space="0"/>
              <w:left w:val="single" w:color="auto" w:sz="4" w:space="0"/>
              <w:bottom w:val="single" w:color="auto" w:sz="4" w:space="0"/>
              <w:right w:val="single" w:color="auto" w:sz="4" w:space="0"/>
            </w:tcBorders>
            <w:noWrap w:val="0"/>
            <w:vAlign w:val="center"/>
          </w:tcPr>
          <w:p w14:paraId="2515AEC7">
            <w:pPr>
              <w:widowControl/>
              <w:jc w:val="center"/>
              <w:rPr>
                <w:rFonts w:ascii="Calibri" w:hAnsi="Calibri" w:cs="宋体"/>
                <w:b w:val="0"/>
                <w:bCs/>
                <w:color w:val="auto"/>
                <w:kern w:val="0"/>
                <w:sz w:val="24"/>
                <w:szCs w:val="24"/>
                <w:u w:val="none"/>
              </w:rPr>
            </w:pPr>
          </w:p>
        </w:tc>
        <w:tc>
          <w:tcPr>
            <w:tcW w:w="925" w:type="dxa"/>
            <w:tcBorders>
              <w:top w:val="single" w:color="auto" w:sz="4" w:space="0"/>
              <w:left w:val="single" w:color="auto" w:sz="4" w:space="0"/>
              <w:bottom w:val="single" w:color="auto" w:sz="4" w:space="0"/>
              <w:right w:val="single" w:color="auto" w:sz="4" w:space="0"/>
            </w:tcBorders>
            <w:noWrap w:val="0"/>
            <w:vAlign w:val="center"/>
          </w:tcPr>
          <w:p w14:paraId="1DB3A95F">
            <w:pPr>
              <w:widowControl/>
              <w:jc w:val="center"/>
              <w:rPr>
                <w:rFonts w:hint="eastAsia" w:ascii="宋体" w:hAnsi="宋体" w:cs="宋体"/>
                <w:b w:val="0"/>
                <w:bCs/>
                <w:color w:val="auto"/>
                <w:kern w:val="0"/>
                <w:sz w:val="24"/>
                <w:szCs w:val="24"/>
                <w:u w:val="none"/>
              </w:rPr>
            </w:pPr>
          </w:p>
        </w:tc>
        <w:tc>
          <w:tcPr>
            <w:tcW w:w="955" w:type="dxa"/>
            <w:tcBorders>
              <w:top w:val="nil"/>
              <w:left w:val="nil"/>
              <w:bottom w:val="single" w:color="auto" w:sz="4" w:space="0"/>
              <w:right w:val="single" w:color="auto" w:sz="4" w:space="0"/>
            </w:tcBorders>
            <w:noWrap w:val="0"/>
            <w:vAlign w:val="center"/>
          </w:tcPr>
          <w:p w14:paraId="1B8E53E1">
            <w:pPr>
              <w:widowControl/>
              <w:jc w:val="center"/>
              <w:rPr>
                <w:rFonts w:ascii="Calibri" w:hAnsi="Calibri" w:cs="宋体"/>
                <w:b w:val="0"/>
                <w:bCs/>
                <w:color w:val="auto"/>
                <w:kern w:val="0"/>
                <w:sz w:val="24"/>
                <w:szCs w:val="24"/>
                <w:u w:val="none"/>
              </w:rPr>
            </w:pPr>
          </w:p>
        </w:tc>
        <w:tc>
          <w:tcPr>
            <w:tcW w:w="1200" w:type="dxa"/>
            <w:tcBorders>
              <w:top w:val="nil"/>
              <w:left w:val="nil"/>
              <w:bottom w:val="single" w:color="auto" w:sz="4" w:space="0"/>
              <w:right w:val="single" w:color="auto" w:sz="4" w:space="0"/>
            </w:tcBorders>
            <w:noWrap w:val="0"/>
            <w:vAlign w:val="center"/>
          </w:tcPr>
          <w:p w14:paraId="1C630625">
            <w:pPr>
              <w:widowControl/>
              <w:jc w:val="center"/>
              <w:rPr>
                <w:rFonts w:ascii="Calibri" w:hAnsi="Calibri" w:cs="宋体"/>
                <w:b w:val="0"/>
                <w:bCs/>
                <w:color w:val="auto"/>
                <w:kern w:val="0"/>
                <w:sz w:val="24"/>
                <w:szCs w:val="24"/>
                <w:u w:val="none"/>
              </w:rPr>
            </w:pPr>
          </w:p>
        </w:tc>
        <w:tc>
          <w:tcPr>
            <w:tcW w:w="1250" w:type="dxa"/>
            <w:tcBorders>
              <w:top w:val="nil"/>
              <w:left w:val="nil"/>
              <w:bottom w:val="single" w:color="auto" w:sz="4" w:space="0"/>
              <w:right w:val="single" w:color="auto" w:sz="4" w:space="0"/>
            </w:tcBorders>
            <w:noWrap w:val="0"/>
            <w:vAlign w:val="center"/>
          </w:tcPr>
          <w:p w14:paraId="48BFC91B">
            <w:pPr>
              <w:widowControl/>
              <w:jc w:val="center"/>
              <w:rPr>
                <w:rFonts w:ascii="Calibri" w:hAnsi="Calibri" w:cs="宋体"/>
                <w:b w:val="0"/>
                <w:bCs/>
                <w:color w:val="auto"/>
                <w:kern w:val="0"/>
                <w:sz w:val="24"/>
                <w:szCs w:val="24"/>
                <w:u w:val="none"/>
              </w:rPr>
            </w:pPr>
          </w:p>
        </w:tc>
        <w:tc>
          <w:tcPr>
            <w:tcW w:w="1395" w:type="dxa"/>
            <w:gridSpan w:val="2"/>
            <w:tcBorders>
              <w:top w:val="nil"/>
              <w:left w:val="nil"/>
              <w:bottom w:val="single" w:color="auto" w:sz="4" w:space="0"/>
              <w:right w:val="single" w:color="auto" w:sz="4" w:space="0"/>
            </w:tcBorders>
            <w:noWrap w:val="0"/>
            <w:vAlign w:val="center"/>
          </w:tcPr>
          <w:p w14:paraId="1374415D">
            <w:pPr>
              <w:widowControl/>
              <w:jc w:val="center"/>
              <w:rPr>
                <w:rFonts w:ascii="Calibri" w:hAnsi="Calibri" w:cs="宋体"/>
                <w:b w:val="0"/>
                <w:bCs/>
                <w:color w:val="auto"/>
                <w:kern w:val="0"/>
                <w:sz w:val="24"/>
                <w:szCs w:val="24"/>
                <w:u w:val="none"/>
              </w:rPr>
            </w:pPr>
          </w:p>
        </w:tc>
      </w:tr>
      <w:tr w14:paraId="7D5D441A">
        <w:tblPrEx>
          <w:tblCellMar>
            <w:top w:w="0" w:type="dxa"/>
            <w:left w:w="108" w:type="dxa"/>
            <w:bottom w:w="0" w:type="dxa"/>
            <w:right w:w="108" w:type="dxa"/>
          </w:tblCellMar>
        </w:tblPrEx>
        <w:trPr>
          <w:trHeight w:val="285" w:hRule="atLeast"/>
        </w:trPr>
        <w:tc>
          <w:tcPr>
            <w:tcW w:w="705" w:type="dxa"/>
            <w:tcBorders>
              <w:top w:val="nil"/>
              <w:left w:val="single" w:color="auto" w:sz="4" w:space="0"/>
              <w:bottom w:val="single" w:color="auto" w:sz="4" w:space="0"/>
              <w:right w:val="single" w:color="auto" w:sz="4" w:space="0"/>
            </w:tcBorders>
            <w:noWrap w:val="0"/>
            <w:vAlign w:val="center"/>
          </w:tcPr>
          <w:p w14:paraId="189C1266">
            <w:pPr>
              <w:widowControl/>
              <w:jc w:val="center"/>
              <w:rPr>
                <w:rFonts w:ascii="Arial" w:hAnsi="Arial" w:cs="Arial"/>
                <w:b w:val="0"/>
                <w:bCs/>
                <w:color w:val="auto"/>
                <w:kern w:val="0"/>
                <w:sz w:val="24"/>
                <w:szCs w:val="24"/>
                <w:u w:val="none"/>
              </w:rPr>
            </w:pPr>
          </w:p>
        </w:tc>
        <w:tc>
          <w:tcPr>
            <w:tcW w:w="1685" w:type="dxa"/>
            <w:tcBorders>
              <w:top w:val="nil"/>
              <w:left w:val="nil"/>
              <w:bottom w:val="single" w:color="auto" w:sz="4" w:space="0"/>
              <w:right w:val="single" w:color="auto" w:sz="4" w:space="0"/>
            </w:tcBorders>
            <w:noWrap w:val="0"/>
            <w:vAlign w:val="center"/>
          </w:tcPr>
          <w:p w14:paraId="6883DED6">
            <w:pPr>
              <w:widowControl/>
              <w:jc w:val="center"/>
              <w:rPr>
                <w:rFonts w:ascii="Arial" w:hAnsi="Arial" w:cs="Arial"/>
                <w:b w:val="0"/>
                <w:bCs/>
                <w:color w:val="auto"/>
                <w:kern w:val="0"/>
                <w:sz w:val="24"/>
                <w:szCs w:val="24"/>
                <w:u w:val="none"/>
              </w:rPr>
            </w:pPr>
          </w:p>
        </w:tc>
        <w:tc>
          <w:tcPr>
            <w:tcW w:w="1328" w:type="dxa"/>
            <w:tcBorders>
              <w:top w:val="nil"/>
              <w:left w:val="nil"/>
              <w:bottom w:val="single" w:color="auto" w:sz="4" w:space="0"/>
              <w:right w:val="single" w:color="auto" w:sz="4" w:space="0"/>
            </w:tcBorders>
            <w:noWrap w:val="0"/>
            <w:vAlign w:val="center"/>
          </w:tcPr>
          <w:p w14:paraId="67653F75">
            <w:pPr>
              <w:widowControl/>
              <w:jc w:val="center"/>
              <w:rPr>
                <w:rFonts w:ascii="Calibri" w:hAnsi="Calibri" w:cs="宋体"/>
                <w:b w:val="0"/>
                <w:bCs/>
                <w:color w:val="auto"/>
                <w:kern w:val="0"/>
                <w:sz w:val="24"/>
                <w:szCs w:val="24"/>
                <w:u w:val="none"/>
              </w:rPr>
            </w:pPr>
          </w:p>
        </w:tc>
        <w:tc>
          <w:tcPr>
            <w:tcW w:w="908" w:type="dxa"/>
            <w:tcBorders>
              <w:top w:val="nil"/>
              <w:left w:val="nil"/>
              <w:bottom w:val="single" w:color="auto" w:sz="4" w:space="0"/>
              <w:right w:val="single" w:color="auto" w:sz="4" w:space="0"/>
            </w:tcBorders>
            <w:noWrap w:val="0"/>
            <w:vAlign w:val="center"/>
          </w:tcPr>
          <w:p w14:paraId="6162FA87">
            <w:pPr>
              <w:widowControl/>
              <w:jc w:val="center"/>
              <w:rPr>
                <w:rFonts w:ascii="Calibri" w:hAnsi="Calibri" w:cs="宋体"/>
                <w:b w:val="0"/>
                <w:bCs/>
                <w:color w:val="auto"/>
                <w:kern w:val="0"/>
                <w:sz w:val="24"/>
                <w:szCs w:val="24"/>
                <w:u w:val="none"/>
              </w:rPr>
            </w:pPr>
          </w:p>
        </w:tc>
        <w:tc>
          <w:tcPr>
            <w:tcW w:w="788" w:type="dxa"/>
            <w:tcBorders>
              <w:top w:val="nil"/>
              <w:left w:val="nil"/>
              <w:bottom w:val="single" w:color="auto" w:sz="4" w:space="0"/>
              <w:right w:val="single" w:color="auto" w:sz="4" w:space="0"/>
            </w:tcBorders>
            <w:noWrap w:val="0"/>
            <w:vAlign w:val="center"/>
          </w:tcPr>
          <w:p w14:paraId="44C03A80">
            <w:pPr>
              <w:widowControl/>
              <w:jc w:val="center"/>
              <w:rPr>
                <w:rFonts w:ascii="Calibri" w:hAnsi="Calibri" w:cs="宋体"/>
                <w:b w:val="0"/>
                <w:bCs/>
                <w:color w:val="auto"/>
                <w:kern w:val="0"/>
                <w:sz w:val="24"/>
                <w:szCs w:val="24"/>
                <w:u w:val="none"/>
              </w:rPr>
            </w:pPr>
          </w:p>
        </w:tc>
        <w:tc>
          <w:tcPr>
            <w:tcW w:w="824" w:type="dxa"/>
            <w:tcBorders>
              <w:top w:val="nil"/>
              <w:left w:val="nil"/>
              <w:bottom w:val="single" w:color="auto" w:sz="4" w:space="0"/>
              <w:right w:val="single" w:color="auto" w:sz="4" w:space="0"/>
            </w:tcBorders>
            <w:noWrap w:val="0"/>
            <w:vAlign w:val="center"/>
          </w:tcPr>
          <w:p w14:paraId="0ED65AEB">
            <w:pPr>
              <w:widowControl/>
              <w:jc w:val="center"/>
              <w:rPr>
                <w:rFonts w:ascii="Calibri" w:hAnsi="Calibri" w:cs="宋体"/>
                <w:b w:val="0"/>
                <w:bCs/>
                <w:color w:val="auto"/>
                <w:kern w:val="0"/>
                <w:sz w:val="24"/>
                <w:szCs w:val="24"/>
                <w:u w:val="none"/>
              </w:rPr>
            </w:pPr>
          </w:p>
        </w:tc>
        <w:tc>
          <w:tcPr>
            <w:tcW w:w="703" w:type="dxa"/>
            <w:tcBorders>
              <w:top w:val="nil"/>
              <w:left w:val="nil"/>
              <w:bottom w:val="single" w:color="auto" w:sz="4" w:space="0"/>
              <w:right w:val="single" w:color="auto" w:sz="4" w:space="0"/>
            </w:tcBorders>
            <w:noWrap w:val="0"/>
            <w:vAlign w:val="center"/>
          </w:tcPr>
          <w:p w14:paraId="3D5391FD">
            <w:pPr>
              <w:widowControl/>
              <w:jc w:val="center"/>
              <w:rPr>
                <w:rFonts w:ascii="Calibri" w:hAnsi="Calibri" w:cs="宋体"/>
                <w:b w:val="0"/>
                <w:bCs/>
                <w:color w:val="auto"/>
                <w:kern w:val="0"/>
                <w:sz w:val="24"/>
                <w:szCs w:val="24"/>
                <w:u w:val="none"/>
              </w:rPr>
            </w:pPr>
          </w:p>
        </w:tc>
        <w:tc>
          <w:tcPr>
            <w:tcW w:w="753" w:type="dxa"/>
            <w:tcBorders>
              <w:top w:val="single" w:color="auto" w:sz="4" w:space="0"/>
              <w:left w:val="single" w:color="auto" w:sz="4" w:space="0"/>
              <w:bottom w:val="single" w:color="auto" w:sz="4" w:space="0"/>
              <w:right w:val="single" w:color="auto" w:sz="4" w:space="0"/>
            </w:tcBorders>
            <w:noWrap w:val="0"/>
            <w:vAlign w:val="center"/>
          </w:tcPr>
          <w:p w14:paraId="52C7043F">
            <w:pPr>
              <w:widowControl/>
              <w:jc w:val="center"/>
              <w:rPr>
                <w:rFonts w:ascii="Calibri" w:hAnsi="Calibri" w:cs="宋体"/>
                <w:b w:val="0"/>
                <w:bCs/>
                <w:color w:val="auto"/>
                <w:kern w:val="0"/>
                <w:sz w:val="24"/>
                <w:szCs w:val="24"/>
                <w:u w:val="none"/>
              </w:rPr>
            </w:pPr>
          </w:p>
        </w:tc>
        <w:tc>
          <w:tcPr>
            <w:tcW w:w="806" w:type="dxa"/>
            <w:tcBorders>
              <w:top w:val="single" w:color="auto" w:sz="4" w:space="0"/>
              <w:left w:val="single" w:color="auto" w:sz="4" w:space="0"/>
              <w:bottom w:val="single" w:color="auto" w:sz="4" w:space="0"/>
              <w:right w:val="single" w:color="auto" w:sz="4" w:space="0"/>
            </w:tcBorders>
            <w:noWrap w:val="0"/>
            <w:vAlign w:val="center"/>
          </w:tcPr>
          <w:p w14:paraId="7471EB22">
            <w:pPr>
              <w:widowControl/>
              <w:jc w:val="center"/>
              <w:rPr>
                <w:rFonts w:ascii="Calibri" w:hAnsi="Calibri" w:cs="宋体"/>
                <w:b w:val="0"/>
                <w:bCs/>
                <w:color w:val="auto"/>
                <w:kern w:val="0"/>
                <w:sz w:val="24"/>
                <w:szCs w:val="24"/>
                <w:u w:val="none"/>
              </w:rPr>
            </w:pPr>
          </w:p>
        </w:tc>
        <w:tc>
          <w:tcPr>
            <w:tcW w:w="925" w:type="dxa"/>
            <w:tcBorders>
              <w:top w:val="single" w:color="auto" w:sz="4" w:space="0"/>
              <w:left w:val="single" w:color="auto" w:sz="4" w:space="0"/>
              <w:bottom w:val="single" w:color="auto" w:sz="4" w:space="0"/>
              <w:right w:val="single" w:color="auto" w:sz="4" w:space="0"/>
            </w:tcBorders>
            <w:noWrap w:val="0"/>
            <w:vAlign w:val="center"/>
          </w:tcPr>
          <w:p w14:paraId="5BEC3FA2">
            <w:pPr>
              <w:widowControl/>
              <w:jc w:val="center"/>
              <w:rPr>
                <w:rFonts w:hint="eastAsia" w:ascii="宋体" w:hAnsi="宋体" w:cs="宋体"/>
                <w:b w:val="0"/>
                <w:bCs/>
                <w:color w:val="auto"/>
                <w:kern w:val="0"/>
                <w:sz w:val="24"/>
                <w:szCs w:val="24"/>
                <w:u w:val="none"/>
              </w:rPr>
            </w:pPr>
          </w:p>
        </w:tc>
        <w:tc>
          <w:tcPr>
            <w:tcW w:w="955" w:type="dxa"/>
            <w:tcBorders>
              <w:top w:val="nil"/>
              <w:left w:val="nil"/>
              <w:bottom w:val="single" w:color="auto" w:sz="4" w:space="0"/>
              <w:right w:val="single" w:color="auto" w:sz="4" w:space="0"/>
            </w:tcBorders>
            <w:noWrap w:val="0"/>
            <w:vAlign w:val="center"/>
          </w:tcPr>
          <w:p w14:paraId="4B0299F8">
            <w:pPr>
              <w:widowControl/>
              <w:jc w:val="center"/>
              <w:rPr>
                <w:rFonts w:ascii="Calibri" w:hAnsi="Calibri" w:cs="宋体"/>
                <w:b w:val="0"/>
                <w:bCs/>
                <w:color w:val="auto"/>
                <w:kern w:val="0"/>
                <w:sz w:val="24"/>
                <w:szCs w:val="24"/>
                <w:u w:val="none"/>
              </w:rPr>
            </w:pPr>
          </w:p>
        </w:tc>
        <w:tc>
          <w:tcPr>
            <w:tcW w:w="1200" w:type="dxa"/>
            <w:tcBorders>
              <w:top w:val="nil"/>
              <w:left w:val="nil"/>
              <w:bottom w:val="single" w:color="auto" w:sz="4" w:space="0"/>
              <w:right w:val="single" w:color="auto" w:sz="4" w:space="0"/>
            </w:tcBorders>
            <w:noWrap w:val="0"/>
            <w:vAlign w:val="center"/>
          </w:tcPr>
          <w:p w14:paraId="2B6B6ACB">
            <w:pPr>
              <w:widowControl/>
              <w:jc w:val="center"/>
              <w:rPr>
                <w:rFonts w:ascii="Calibri" w:hAnsi="Calibri" w:cs="宋体"/>
                <w:b w:val="0"/>
                <w:bCs/>
                <w:color w:val="auto"/>
                <w:kern w:val="0"/>
                <w:sz w:val="24"/>
                <w:szCs w:val="24"/>
                <w:u w:val="none"/>
              </w:rPr>
            </w:pPr>
          </w:p>
        </w:tc>
        <w:tc>
          <w:tcPr>
            <w:tcW w:w="1250" w:type="dxa"/>
            <w:tcBorders>
              <w:top w:val="nil"/>
              <w:left w:val="nil"/>
              <w:bottom w:val="single" w:color="auto" w:sz="4" w:space="0"/>
              <w:right w:val="single" w:color="auto" w:sz="4" w:space="0"/>
            </w:tcBorders>
            <w:noWrap w:val="0"/>
            <w:vAlign w:val="center"/>
          </w:tcPr>
          <w:p w14:paraId="2E4C7367">
            <w:pPr>
              <w:widowControl/>
              <w:jc w:val="center"/>
              <w:rPr>
                <w:rFonts w:ascii="Calibri" w:hAnsi="Calibri" w:cs="宋体"/>
                <w:b w:val="0"/>
                <w:bCs/>
                <w:color w:val="auto"/>
                <w:kern w:val="0"/>
                <w:sz w:val="24"/>
                <w:szCs w:val="24"/>
                <w:u w:val="none"/>
              </w:rPr>
            </w:pPr>
          </w:p>
        </w:tc>
        <w:tc>
          <w:tcPr>
            <w:tcW w:w="1395" w:type="dxa"/>
            <w:gridSpan w:val="2"/>
            <w:tcBorders>
              <w:top w:val="nil"/>
              <w:left w:val="nil"/>
              <w:bottom w:val="single" w:color="auto" w:sz="4" w:space="0"/>
              <w:right w:val="single" w:color="auto" w:sz="4" w:space="0"/>
            </w:tcBorders>
            <w:noWrap w:val="0"/>
            <w:vAlign w:val="center"/>
          </w:tcPr>
          <w:p w14:paraId="69CDB7FC">
            <w:pPr>
              <w:widowControl/>
              <w:jc w:val="center"/>
              <w:rPr>
                <w:rFonts w:ascii="Calibri" w:hAnsi="Calibri" w:cs="宋体"/>
                <w:b w:val="0"/>
                <w:bCs/>
                <w:color w:val="auto"/>
                <w:kern w:val="0"/>
                <w:sz w:val="24"/>
                <w:szCs w:val="24"/>
                <w:u w:val="none"/>
              </w:rPr>
            </w:pPr>
          </w:p>
        </w:tc>
      </w:tr>
      <w:tr w14:paraId="13BE629C">
        <w:tblPrEx>
          <w:tblCellMar>
            <w:top w:w="0" w:type="dxa"/>
            <w:left w:w="108" w:type="dxa"/>
            <w:bottom w:w="0" w:type="dxa"/>
            <w:right w:w="108" w:type="dxa"/>
          </w:tblCellMar>
        </w:tblPrEx>
        <w:trPr>
          <w:trHeight w:val="285" w:hRule="atLeast"/>
        </w:trPr>
        <w:tc>
          <w:tcPr>
            <w:tcW w:w="705" w:type="dxa"/>
            <w:tcBorders>
              <w:top w:val="nil"/>
              <w:left w:val="single" w:color="auto" w:sz="4" w:space="0"/>
              <w:bottom w:val="single" w:color="auto" w:sz="4" w:space="0"/>
              <w:right w:val="single" w:color="auto" w:sz="4" w:space="0"/>
            </w:tcBorders>
            <w:noWrap w:val="0"/>
            <w:vAlign w:val="center"/>
          </w:tcPr>
          <w:p w14:paraId="675B54A2">
            <w:pPr>
              <w:widowControl/>
              <w:jc w:val="center"/>
              <w:rPr>
                <w:rFonts w:ascii="Arial" w:hAnsi="Arial" w:cs="Arial"/>
                <w:b w:val="0"/>
                <w:bCs/>
                <w:color w:val="auto"/>
                <w:kern w:val="0"/>
                <w:sz w:val="24"/>
                <w:szCs w:val="24"/>
                <w:u w:val="none"/>
              </w:rPr>
            </w:pPr>
          </w:p>
        </w:tc>
        <w:tc>
          <w:tcPr>
            <w:tcW w:w="1685" w:type="dxa"/>
            <w:tcBorders>
              <w:top w:val="nil"/>
              <w:left w:val="nil"/>
              <w:bottom w:val="single" w:color="auto" w:sz="4" w:space="0"/>
              <w:right w:val="single" w:color="auto" w:sz="4" w:space="0"/>
            </w:tcBorders>
            <w:noWrap w:val="0"/>
            <w:vAlign w:val="center"/>
          </w:tcPr>
          <w:p w14:paraId="0CA9253B">
            <w:pPr>
              <w:widowControl/>
              <w:jc w:val="center"/>
              <w:rPr>
                <w:rFonts w:ascii="Arial" w:hAnsi="Arial" w:cs="Arial"/>
                <w:b w:val="0"/>
                <w:bCs/>
                <w:color w:val="auto"/>
                <w:kern w:val="0"/>
                <w:sz w:val="24"/>
                <w:szCs w:val="24"/>
                <w:u w:val="none"/>
              </w:rPr>
            </w:pPr>
          </w:p>
        </w:tc>
        <w:tc>
          <w:tcPr>
            <w:tcW w:w="1328" w:type="dxa"/>
            <w:tcBorders>
              <w:top w:val="nil"/>
              <w:left w:val="nil"/>
              <w:bottom w:val="single" w:color="auto" w:sz="4" w:space="0"/>
              <w:right w:val="single" w:color="auto" w:sz="4" w:space="0"/>
            </w:tcBorders>
            <w:noWrap w:val="0"/>
            <w:vAlign w:val="center"/>
          </w:tcPr>
          <w:p w14:paraId="114A424C">
            <w:pPr>
              <w:widowControl/>
              <w:jc w:val="center"/>
              <w:rPr>
                <w:rFonts w:ascii="Calibri" w:hAnsi="Calibri" w:cs="宋体"/>
                <w:b w:val="0"/>
                <w:bCs/>
                <w:color w:val="auto"/>
                <w:kern w:val="0"/>
                <w:sz w:val="24"/>
                <w:szCs w:val="24"/>
                <w:u w:val="none"/>
              </w:rPr>
            </w:pPr>
          </w:p>
        </w:tc>
        <w:tc>
          <w:tcPr>
            <w:tcW w:w="908" w:type="dxa"/>
            <w:tcBorders>
              <w:top w:val="nil"/>
              <w:left w:val="nil"/>
              <w:bottom w:val="single" w:color="auto" w:sz="4" w:space="0"/>
              <w:right w:val="single" w:color="auto" w:sz="4" w:space="0"/>
            </w:tcBorders>
            <w:noWrap w:val="0"/>
            <w:vAlign w:val="center"/>
          </w:tcPr>
          <w:p w14:paraId="59DA75BC">
            <w:pPr>
              <w:widowControl/>
              <w:jc w:val="center"/>
              <w:rPr>
                <w:rFonts w:ascii="Calibri" w:hAnsi="Calibri" w:cs="宋体"/>
                <w:b w:val="0"/>
                <w:bCs/>
                <w:color w:val="auto"/>
                <w:kern w:val="0"/>
                <w:sz w:val="24"/>
                <w:szCs w:val="24"/>
                <w:u w:val="none"/>
              </w:rPr>
            </w:pPr>
          </w:p>
        </w:tc>
        <w:tc>
          <w:tcPr>
            <w:tcW w:w="788" w:type="dxa"/>
            <w:tcBorders>
              <w:top w:val="nil"/>
              <w:left w:val="nil"/>
              <w:bottom w:val="single" w:color="auto" w:sz="4" w:space="0"/>
              <w:right w:val="single" w:color="auto" w:sz="4" w:space="0"/>
            </w:tcBorders>
            <w:noWrap w:val="0"/>
            <w:vAlign w:val="center"/>
          </w:tcPr>
          <w:p w14:paraId="07401B56">
            <w:pPr>
              <w:widowControl/>
              <w:jc w:val="center"/>
              <w:rPr>
                <w:rFonts w:ascii="Calibri" w:hAnsi="Calibri" w:cs="宋体"/>
                <w:b w:val="0"/>
                <w:bCs/>
                <w:color w:val="auto"/>
                <w:kern w:val="0"/>
                <w:sz w:val="24"/>
                <w:szCs w:val="24"/>
                <w:u w:val="none"/>
              </w:rPr>
            </w:pPr>
          </w:p>
        </w:tc>
        <w:tc>
          <w:tcPr>
            <w:tcW w:w="824" w:type="dxa"/>
            <w:tcBorders>
              <w:top w:val="nil"/>
              <w:left w:val="nil"/>
              <w:bottom w:val="single" w:color="auto" w:sz="4" w:space="0"/>
              <w:right w:val="single" w:color="auto" w:sz="4" w:space="0"/>
            </w:tcBorders>
            <w:noWrap w:val="0"/>
            <w:vAlign w:val="center"/>
          </w:tcPr>
          <w:p w14:paraId="1E0A2A7E">
            <w:pPr>
              <w:widowControl/>
              <w:jc w:val="center"/>
              <w:rPr>
                <w:rFonts w:ascii="Calibri" w:hAnsi="Calibri" w:cs="宋体"/>
                <w:b w:val="0"/>
                <w:bCs/>
                <w:color w:val="auto"/>
                <w:kern w:val="0"/>
                <w:sz w:val="24"/>
                <w:szCs w:val="24"/>
                <w:u w:val="none"/>
              </w:rPr>
            </w:pPr>
          </w:p>
        </w:tc>
        <w:tc>
          <w:tcPr>
            <w:tcW w:w="703" w:type="dxa"/>
            <w:tcBorders>
              <w:top w:val="nil"/>
              <w:left w:val="nil"/>
              <w:bottom w:val="single" w:color="auto" w:sz="4" w:space="0"/>
              <w:right w:val="single" w:color="auto" w:sz="4" w:space="0"/>
            </w:tcBorders>
            <w:noWrap w:val="0"/>
            <w:vAlign w:val="center"/>
          </w:tcPr>
          <w:p w14:paraId="617A0B38">
            <w:pPr>
              <w:widowControl/>
              <w:jc w:val="center"/>
              <w:rPr>
                <w:rFonts w:ascii="Calibri" w:hAnsi="Calibri" w:cs="宋体"/>
                <w:b w:val="0"/>
                <w:bCs/>
                <w:color w:val="auto"/>
                <w:kern w:val="0"/>
                <w:sz w:val="24"/>
                <w:szCs w:val="24"/>
                <w:u w:val="none"/>
              </w:rPr>
            </w:pPr>
          </w:p>
        </w:tc>
        <w:tc>
          <w:tcPr>
            <w:tcW w:w="753" w:type="dxa"/>
            <w:tcBorders>
              <w:top w:val="single" w:color="auto" w:sz="4" w:space="0"/>
              <w:left w:val="single" w:color="auto" w:sz="4" w:space="0"/>
              <w:bottom w:val="single" w:color="auto" w:sz="4" w:space="0"/>
              <w:right w:val="single" w:color="auto" w:sz="4" w:space="0"/>
            </w:tcBorders>
            <w:noWrap w:val="0"/>
            <w:vAlign w:val="center"/>
          </w:tcPr>
          <w:p w14:paraId="48514577">
            <w:pPr>
              <w:widowControl/>
              <w:jc w:val="center"/>
              <w:rPr>
                <w:rFonts w:ascii="Calibri" w:hAnsi="Calibri" w:cs="宋体"/>
                <w:b w:val="0"/>
                <w:bCs/>
                <w:color w:val="auto"/>
                <w:kern w:val="0"/>
                <w:sz w:val="24"/>
                <w:szCs w:val="24"/>
                <w:u w:val="none"/>
              </w:rPr>
            </w:pPr>
          </w:p>
        </w:tc>
        <w:tc>
          <w:tcPr>
            <w:tcW w:w="806" w:type="dxa"/>
            <w:tcBorders>
              <w:top w:val="single" w:color="auto" w:sz="4" w:space="0"/>
              <w:left w:val="single" w:color="auto" w:sz="4" w:space="0"/>
              <w:bottom w:val="single" w:color="auto" w:sz="4" w:space="0"/>
              <w:right w:val="single" w:color="auto" w:sz="4" w:space="0"/>
            </w:tcBorders>
            <w:noWrap w:val="0"/>
            <w:vAlign w:val="center"/>
          </w:tcPr>
          <w:p w14:paraId="26533C4A">
            <w:pPr>
              <w:widowControl/>
              <w:jc w:val="center"/>
              <w:rPr>
                <w:rFonts w:ascii="Calibri" w:hAnsi="Calibri" w:cs="宋体"/>
                <w:b w:val="0"/>
                <w:bCs/>
                <w:color w:val="auto"/>
                <w:kern w:val="0"/>
                <w:sz w:val="24"/>
                <w:szCs w:val="24"/>
                <w:u w:val="none"/>
              </w:rPr>
            </w:pPr>
          </w:p>
        </w:tc>
        <w:tc>
          <w:tcPr>
            <w:tcW w:w="925" w:type="dxa"/>
            <w:tcBorders>
              <w:top w:val="single" w:color="auto" w:sz="4" w:space="0"/>
              <w:left w:val="single" w:color="auto" w:sz="4" w:space="0"/>
              <w:bottom w:val="single" w:color="auto" w:sz="4" w:space="0"/>
              <w:right w:val="single" w:color="auto" w:sz="4" w:space="0"/>
            </w:tcBorders>
            <w:noWrap w:val="0"/>
            <w:vAlign w:val="center"/>
          </w:tcPr>
          <w:p w14:paraId="2DA01F6B">
            <w:pPr>
              <w:widowControl/>
              <w:jc w:val="center"/>
              <w:rPr>
                <w:rFonts w:hint="eastAsia" w:ascii="宋体" w:hAnsi="宋体" w:cs="宋体"/>
                <w:b w:val="0"/>
                <w:bCs/>
                <w:color w:val="auto"/>
                <w:kern w:val="0"/>
                <w:sz w:val="24"/>
                <w:szCs w:val="24"/>
                <w:u w:val="none"/>
              </w:rPr>
            </w:pPr>
          </w:p>
        </w:tc>
        <w:tc>
          <w:tcPr>
            <w:tcW w:w="955" w:type="dxa"/>
            <w:tcBorders>
              <w:top w:val="nil"/>
              <w:left w:val="nil"/>
              <w:bottom w:val="single" w:color="auto" w:sz="4" w:space="0"/>
              <w:right w:val="single" w:color="auto" w:sz="4" w:space="0"/>
            </w:tcBorders>
            <w:noWrap w:val="0"/>
            <w:vAlign w:val="center"/>
          </w:tcPr>
          <w:p w14:paraId="7BE8902E">
            <w:pPr>
              <w:widowControl/>
              <w:jc w:val="center"/>
              <w:rPr>
                <w:rFonts w:ascii="Calibri" w:hAnsi="Calibri" w:cs="宋体"/>
                <w:b w:val="0"/>
                <w:bCs/>
                <w:color w:val="auto"/>
                <w:kern w:val="0"/>
                <w:sz w:val="24"/>
                <w:szCs w:val="24"/>
                <w:u w:val="none"/>
              </w:rPr>
            </w:pPr>
          </w:p>
        </w:tc>
        <w:tc>
          <w:tcPr>
            <w:tcW w:w="1200" w:type="dxa"/>
            <w:tcBorders>
              <w:top w:val="nil"/>
              <w:left w:val="nil"/>
              <w:bottom w:val="single" w:color="auto" w:sz="4" w:space="0"/>
              <w:right w:val="single" w:color="auto" w:sz="4" w:space="0"/>
            </w:tcBorders>
            <w:noWrap w:val="0"/>
            <w:vAlign w:val="center"/>
          </w:tcPr>
          <w:p w14:paraId="043D0022">
            <w:pPr>
              <w:widowControl/>
              <w:jc w:val="center"/>
              <w:rPr>
                <w:rFonts w:ascii="Calibri" w:hAnsi="Calibri" w:cs="宋体"/>
                <w:b w:val="0"/>
                <w:bCs/>
                <w:color w:val="auto"/>
                <w:kern w:val="0"/>
                <w:sz w:val="24"/>
                <w:szCs w:val="24"/>
                <w:u w:val="none"/>
              </w:rPr>
            </w:pPr>
          </w:p>
        </w:tc>
        <w:tc>
          <w:tcPr>
            <w:tcW w:w="1250" w:type="dxa"/>
            <w:tcBorders>
              <w:top w:val="nil"/>
              <w:left w:val="nil"/>
              <w:bottom w:val="single" w:color="auto" w:sz="4" w:space="0"/>
              <w:right w:val="single" w:color="auto" w:sz="4" w:space="0"/>
            </w:tcBorders>
            <w:noWrap w:val="0"/>
            <w:vAlign w:val="center"/>
          </w:tcPr>
          <w:p w14:paraId="3364B5C4">
            <w:pPr>
              <w:widowControl/>
              <w:jc w:val="center"/>
              <w:rPr>
                <w:rFonts w:ascii="Calibri" w:hAnsi="Calibri" w:cs="宋体"/>
                <w:b w:val="0"/>
                <w:bCs/>
                <w:color w:val="auto"/>
                <w:kern w:val="0"/>
                <w:sz w:val="24"/>
                <w:szCs w:val="24"/>
                <w:u w:val="none"/>
              </w:rPr>
            </w:pPr>
          </w:p>
        </w:tc>
        <w:tc>
          <w:tcPr>
            <w:tcW w:w="1395" w:type="dxa"/>
            <w:gridSpan w:val="2"/>
            <w:tcBorders>
              <w:top w:val="nil"/>
              <w:left w:val="nil"/>
              <w:bottom w:val="single" w:color="auto" w:sz="4" w:space="0"/>
              <w:right w:val="single" w:color="auto" w:sz="4" w:space="0"/>
            </w:tcBorders>
            <w:noWrap w:val="0"/>
            <w:vAlign w:val="center"/>
          </w:tcPr>
          <w:p w14:paraId="590B0F3A">
            <w:pPr>
              <w:widowControl/>
              <w:jc w:val="center"/>
              <w:rPr>
                <w:rFonts w:ascii="Calibri" w:hAnsi="Calibri" w:cs="宋体"/>
                <w:b w:val="0"/>
                <w:bCs/>
                <w:color w:val="auto"/>
                <w:kern w:val="0"/>
                <w:sz w:val="24"/>
                <w:szCs w:val="24"/>
                <w:u w:val="none"/>
              </w:rPr>
            </w:pPr>
          </w:p>
        </w:tc>
      </w:tr>
      <w:tr w14:paraId="68581CC8">
        <w:tblPrEx>
          <w:tblCellMar>
            <w:top w:w="0" w:type="dxa"/>
            <w:left w:w="108" w:type="dxa"/>
            <w:bottom w:w="0" w:type="dxa"/>
            <w:right w:w="108" w:type="dxa"/>
          </w:tblCellMar>
        </w:tblPrEx>
        <w:trPr>
          <w:trHeight w:val="285" w:hRule="atLeast"/>
        </w:trPr>
        <w:tc>
          <w:tcPr>
            <w:tcW w:w="705" w:type="dxa"/>
            <w:tcBorders>
              <w:top w:val="nil"/>
              <w:left w:val="single" w:color="auto" w:sz="4" w:space="0"/>
              <w:bottom w:val="single" w:color="auto" w:sz="4" w:space="0"/>
              <w:right w:val="single" w:color="auto" w:sz="4" w:space="0"/>
            </w:tcBorders>
            <w:noWrap w:val="0"/>
            <w:vAlign w:val="center"/>
          </w:tcPr>
          <w:p w14:paraId="6E5A3849">
            <w:pPr>
              <w:widowControl/>
              <w:jc w:val="center"/>
              <w:rPr>
                <w:rFonts w:ascii="Arial" w:hAnsi="Arial" w:cs="Arial"/>
                <w:b w:val="0"/>
                <w:bCs/>
                <w:color w:val="auto"/>
                <w:kern w:val="0"/>
                <w:sz w:val="24"/>
                <w:szCs w:val="24"/>
                <w:u w:val="none"/>
              </w:rPr>
            </w:pPr>
          </w:p>
        </w:tc>
        <w:tc>
          <w:tcPr>
            <w:tcW w:w="1685" w:type="dxa"/>
            <w:tcBorders>
              <w:top w:val="nil"/>
              <w:left w:val="nil"/>
              <w:bottom w:val="single" w:color="auto" w:sz="4" w:space="0"/>
              <w:right w:val="single" w:color="auto" w:sz="4" w:space="0"/>
            </w:tcBorders>
            <w:noWrap w:val="0"/>
            <w:vAlign w:val="center"/>
          </w:tcPr>
          <w:p w14:paraId="62A0AE5E">
            <w:pPr>
              <w:widowControl/>
              <w:jc w:val="center"/>
              <w:rPr>
                <w:rFonts w:ascii="Arial" w:hAnsi="Arial" w:cs="Arial"/>
                <w:b w:val="0"/>
                <w:bCs/>
                <w:color w:val="auto"/>
                <w:kern w:val="0"/>
                <w:sz w:val="24"/>
                <w:szCs w:val="24"/>
                <w:u w:val="none"/>
              </w:rPr>
            </w:pPr>
          </w:p>
        </w:tc>
        <w:tc>
          <w:tcPr>
            <w:tcW w:w="1328" w:type="dxa"/>
            <w:tcBorders>
              <w:top w:val="nil"/>
              <w:left w:val="nil"/>
              <w:bottom w:val="single" w:color="auto" w:sz="4" w:space="0"/>
              <w:right w:val="single" w:color="auto" w:sz="4" w:space="0"/>
            </w:tcBorders>
            <w:noWrap w:val="0"/>
            <w:vAlign w:val="center"/>
          </w:tcPr>
          <w:p w14:paraId="12103EEC">
            <w:pPr>
              <w:widowControl/>
              <w:jc w:val="center"/>
              <w:rPr>
                <w:rFonts w:ascii="Calibri" w:hAnsi="Calibri" w:cs="宋体"/>
                <w:b w:val="0"/>
                <w:bCs/>
                <w:color w:val="auto"/>
                <w:kern w:val="0"/>
                <w:sz w:val="24"/>
                <w:szCs w:val="24"/>
                <w:u w:val="none"/>
              </w:rPr>
            </w:pPr>
          </w:p>
        </w:tc>
        <w:tc>
          <w:tcPr>
            <w:tcW w:w="908" w:type="dxa"/>
            <w:tcBorders>
              <w:top w:val="nil"/>
              <w:left w:val="nil"/>
              <w:bottom w:val="single" w:color="auto" w:sz="4" w:space="0"/>
              <w:right w:val="single" w:color="auto" w:sz="4" w:space="0"/>
            </w:tcBorders>
            <w:noWrap w:val="0"/>
            <w:vAlign w:val="center"/>
          </w:tcPr>
          <w:p w14:paraId="792D8BE8">
            <w:pPr>
              <w:widowControl/>
              <w:jc w:val="center"/>
              <w:rPr>
                <w:rFonts w:ascii="Calibri" w:hAnsi="Calibri" w:cs="宋体"/>
                <w:b w:val="0"/>
                <w:bCs/>
                <w:color w:val="auto"/>
                <w:kern w:val="0"/>
                <w:sz w:val="24"/>
                <w:szCs w:val="24"/>
                <w:u w:val="none"/>
              </w:rPr>
            </w:pPr>
          </w:p>
        </w:tc>
        <w:tc>
          <w:tcPr>
            <w:tcW w:w="788" w:type="dxa"/>
            <w:tcBorders>
              <w:top w:val="nil"/>
              <w:left w:val="nil"/>
              <w:bottom w:val="single" w:color="auto" w:sz="4" w:space="0"/>
              <w:right w:val="single" w:color="auto" w:sz="4" w:space="0"/>
            </w:tcBorders>
            <w:noWrap w:val="0"/>
            <w:vAlign w:val="center"/>
          </w:tcPr>
          <w:p w14:paraId="584F01F8">
            <w:pPr>
              <w:widowControl/>
              <w:jc w:val="center"/>
              <w:rPr>
                <w:rFonts w:ascii="Calibri" w:hAnsi="Calibri" w:cs="宋体"/>
                <w:b w:val="0"/>
                <w:bCs/>
                <w:color w:val="auto"/>
                <w:kern w:val="0"/>
                <w:sz w:val="24"/>
                <w:szCs w:val="24"/>
                <w:u w:val="none"/>
              </w:rPr>
            </w:pPr>
          </w:p>
        </w:tc>
        <w:tc>
          <w:tcPr>
            <w:tcW w:w="824" w:type="dxa"/>
            <w:tcBorders>
              <w:top w:val="nil"/>
              <w:left w:val="nil"/>
              <w:bottom w:val="single" w:color="auto" w:sz="4" w:space="0"/>
              <w:right w:val="single" w:color="auto" w:sz="4" w:space="0"/>
            </w:tcBorders>
            <w:noWrap w:val="0"/>
            <w:vAlign w:val="center"/>
          </w:tcPr>
          <w:p w14:paraId="33ADADC8">
            <w:pPr>
              <w:widowControl/>
              <w:jc w:val="center"/>
              <w:rPr>
                <w:rFonts w:ascii="Calibri" w:hAnsi="Calibri" w:cs="宋体"/>
                <w:b w:val="0"/>
                <w:bCs/>
                <w:color w:val="auto"/>
                <w:kern w:val="0"/>
                <w:sz w:val="24"/>
                <w:szCs w:val="24"/>
                <w:u w:val="none"/>
              </w:rPr>
            </w:pPr>
          </w:p>
        </w:tc>
        <w:tc>
          <w:tcPr>
            <w:tcW w:w="703" w:type="dxa"/>
            <w:tcBorders>
              <w:top w:val="nil"/>
              <w:left w:val="nil"/>
              <w:bottom w:val="single" w:color="auto" w:sz="4" w:space="0"/>
              <w:right w:val="single" w:color="auto" w:sz="4" w:space="0"/>
            </w:tcBorders>
            <w:noWrap w:val="0"/>
            <w:vAlign w:val="center"/>
          </w:tcPr>
          <w:p w14:paraId="2667E099">
            <w:pPr>
              <w:widowControl/>
              <w:jc w:val="center"/>
              <w:rPr>
                <w:rFonts w:ascii="Calibri" w:hAnsi="Calibri" w:cs="宋体"/>
                <w:b w:val="0"/>
                <w:bCs/>
                <w:color w:val="auto"/>
                <w:kern w:val="0"/>
                <w:sz w:val="24"/>
                <w:szCs w:val="24"/>
                <w:u w:val="none"/>
              </w:rPr>
            </w:pPr>
          </w:p>
        </w:tc>
        <w:tc>
          <w:tcPr>
            <w:tcW w:w="753" w:type="dxa"/>
            <w:tcBorders>
              <w:top w:val="single" w:color="auto" w:sz="4" w:space="0"/>
              <w:left w:val="single" w:color="auto" w:sz="4" w:space="0"/>
              <w:bottom w:val="single" w:color="auto" w:sz="4" w:space="0"/>
              <w:right w:val="single" w:color="auto" w:sz="4" w:space="0"/>
            </w:tcBorders>
            <w:noWrap w:val="0"/>
            <w:vAlign w:val="center"/>
          </w:tcPr>
          <w:p w14:paraId="1DFEB09F">
            <w:pPr>
              <w:widowControl/>
              <w:jc w:val="center"/>
              <w:rPr>
                <w:rFonts w:ascii="Calibri" w:hAnsi="Calibri" w:cs="宋体"/>
                <w:b w:val="0"/>
                <w:bCs/>
                <w:color w:val="auto"/>
                <w:kern w:val="0"/>
                <w:sz w:val="24"/>
                <w:szCs w:val="24"/>
                <w:u w:val="none"/>
              </w:rPr>
            </w:pPr>
          </w:p>
        </w:tc>
        <w:tc>
          <w:tcPr>
            <w:tcW w:w="806" w:type="dxa"/>
            <w:tcBorders>
              <w:top w:val="single" w:color="auto" w:sz="4" w:space="0"/>
              <w:left w:val="single" w:color="auto" w:sz="4" w:space="0"/>
              <w:bottom w:val="single" w:color="auto" w:sz="4" w:space="0"/>
              <w:right w:val="single" w:color="auto" w:sz="4" w:space="0"/>
            </w:tcBorders>
            <w:noWrap w:val="0"/>
            <w:vAlign w:val="center"/>
          </w:tcPr>
          <w:p w14:paraId="06C39663">
            <w:pPr>
              <w:widowControl/>
              <w:jc w:val="center"/>
              <w:rPr>
                <w:rFonts w:ascii="Calibri" w:hAnsi="Calibri" w:cs="宋体"/>
                <w:b w:val="0"/>
                <w:bCs/>
                <w:color w:val="auto"/>
                <w:kern w:val="0"/>
                <w:sz w:val="24"/>
                <w:szCs w:val="24"/>
                <w:u w:val="none"/>
              </w:rPr>
            </w:pPr>
          </w:p>
        </w:tc>
        <w:tc>
          <w:tcPr>
            <w:tcW w:w="925" w:type="dxa"/>
            <w:tcBorders>
              <w:top w:val="single" w:color="auto" w:sz="4" w:space="0"/>
              <w:left w:val="single" w:color="auto" w:sz="4" w:space="0"/>
              <w:bottom w:val="single" w:color="auto" w:sz="4" w:space="0"/>
              <w:right w:val="single" w:color="auto" w:sz="4" w:space="0"/>
            </w:tcBorders>
            <w:noWrap w:val="0"/>
            <w:vAlign w:val="center"/>
          </w:tcPr>
          <w:p w14:paraId="22E0481F">
            <w:pPr>
              <w:widowControl/>
              <w:jc w:val="center"/>
              <w:rPr>
                <w:rFonts w:hint="eastAsia" w:ascii="宋体" w:hAnsi="宋体" w:cs="宋体"/>
                <w:b w:val="0"/>
                <w:bCs/>
                <w:color w:val="auto"/>
                <w:kern w:val="0"/>
                <w:sz w:val="24"/>
                <w:szCs w:val="24"/>
                <w:u w:val="none"/>
              </w:rPr>
            </w:pPr>
          </w:p>
        </w:tc>
        <w:tc>
          <w:tcPr>
            <w:tcW w:w="955" w:type="dxa"/>
            <w:tcBorders>
              <w:top w:val="nil"/>
              <w:left w:val="nil"/>
              <w:bottom w:val="single" w:color="auto" w:sz="4" w:space="0"/>
              <w:right w:val="single" w:color="auto" w:sz="4" w:space="0"/>
            </w:tcBorders>
            <w:noWrap w:val="0"/>
            <w:vAlign w:val="center"/>
          </w:tcPr>
          <w:p w14:paraId="18BE76E6">
            <w:pPr>
              <w:widowControl/>
              <w:jc w:val="center"/>
              <w:rPr>
                <w:rFonts w:ascii="Calibri" w:hAnsi="Calibri" w:cs="宋体"/>
                <w:b w:val="0"/>
                <w:bCs/>
                <w:color w:val="auto"/>
                <w:kern w:val="0"/>
                <w:sz w:val="24"/>
                <w:szCs w:val="24"/>
                <w:u w:val="none"/>
              </w:rPr>
            </w:pPr>
          </w:p>
        </w:tc>
        <w:tc>
          <w:tcPr>
            <w:tcW w:w="1200" w:type="dxa"/>
            <w:tcBorders>
              <w:top w:val="nil"/>
              <w:left w:val="nil"/>
              <w:bottom w:val="single" w:color="auto" w:sz="4" w:space="0"/>
              <w:right w:val="single" w:color="auto" w:sz="4" w:space="0"/>
            </w:tcBorders>
            <w:noWrap w:val="0"/>
            <w:vAlign w:val="center"/>
          </w:tcPr>
          <w:p w14:paraId="18D37718">
            <w:pPr>
              <w:widowControl/>
              <w:jc w:val="center"/>
              <w:rPr>
                <w:rFonts w:ascii="Calibri" w:hAnsi="Calibri" w:cs="宋体"/>
                <w:b w:val="0"/>
                <w:bCs/>
                <w:color w:val="auto"/>
                <w:kern w:val="0"/>
                <w:sz w:val="24"/>
                <w:szCs w:val="24"/>
                <w:u w:val="none"/>
              </w:rPr>
            </w:pPr>
          </w:p>
        </w:tc>
        <w:tc>
          <w:tcPr>
            <w:tcW w:w="1250" w:type="dxa"/>
            <w:tcBorders>
              <w:top w:val="nil"/>
              <w:left w:val="nil"/>
              <w:bottom w:val="single" w:color="auto" w:sz="4" w:space="0"/>
              <w:right w:val="single" w:color="auto" w:sz="4" w:space="0"/>
            </w:tcBorders>
            <w:noWrap w:val="0"/>
            <w:vAlign w:val="center"/>
          </w:tcPr>
          <w:p w14:paraId="05C8303C">
            <w:pPr>
              <w:widowControl/>
              <w:jc w:val="center"/>
              <w:rPr>
                <w:rFonts w:ascii="Calibri" w:hAnsi="Calibri" w:cs="宋体"/>
                <w:b w:val="0"/>
                <w:bCs/>
                <w:color w:val="auto"/>
                <w:kern w:val="0"/>
                <w:sz w:val="24"/>
                <w:szCs w:val="24"/>
                <w:u w:val="none"/>
              </w:rPr>
            </w:pPr>
          </w:p>
        </w:tc>
        <w:tc>
          <w:tcPr>
            <w:tcW w:w="1395" w:type="dxa"/>
            <w:gridSpan w:val="2"/>
            <w:tcBorders>
              <w:top w:val="nil"/>
              <w:left w:val="nil"/>
              <w:bottom w:val="single" w:color="auto" w:sz="4" w:space="0"/>
              <w:right w:val="single" w:color="auto" w:sz="4" w:space="0"/>
            </w:tcBorders>
            <w:noWrap w:val="0"/>
            <w:vAlign w:val="center"/>
          </w:tcPr>
          <w:p w14:paraId="5FA83521">
            <w:pPr>
              <w:widowControl/>
              <w:jc w:val="center"/>
              <w:rPr>
                <w:rFonts w:ascii="Calibri" w:hAnsi="Calibri" w:cs="宋体"/>
                <w:b w:val="0"/>
                <w:bCs/>
                <w:color w:val="auto"/>
                <w:kern w:val="0"/>
                <w:sz w:val="24"/>
                <w:szCs w:val="24"/>
                <w:u w:val="none"/>
              </w:rPr>
            </w:pPr>
          </w:p>
        </w:tc>
      </w:tr>
      <w:tr w14:paraId="233C16C6">
        <w:tblPrEx>
          <w:tblCellMar>
            <w:top w:w="0" w:type="dxa"/>
            <w:left w:w="108" w:type="dxa"/>
            <w:bottom w:w="0" w:type="dxa"/>
            <w:right w:w="108" w:type="dxa"/>
          </w:tblCellMar>
        </w:tblPrEx>
        <w:trPr>
          <w:trHeight w:val="285" w:hRule="atLeast"/>
        </w:trPr>
        <w:tc>
          <w:tcPr>
            <w:tcW w:w="705" w:type="dxa"/>
            <w:tcBorders>
              <w:top w:val="nil"/>
              <w:left w:val="single" w:color="auto" w:sz="4" w:space="0"/>
              <w:bottom w:val="single" w:color="auto" w:sz="4" w:space="0"/>
              <w:right w:val="single" w:color="auto" w:sz="4" w:space="0"/>
            </w:tcBorders>
            <w:noWrap w:val="0"/>
            <w:vAlign w:val="center"/>
          </w:tcPr>
          <w:p w14:paraId="117E7F66">
            <w:pPr>
              <w:widowControl/>
              <w:jc w:val="center"/>
              <w:rPr>
                <w:rFonts w:ascii="Arial" w:hAnsi="Arial" w:cs="Arial"/>
                <w:b w:val="0"/>
                <w:bCs/>
                <w:color w:val="auto"/>
                <w:kern w:val="0"/>
                <w:sz w:val="24"/>
                <w:szCs w:val="24"/>
                <w:u w:val="none"/>
              </w:rPr>
            </w:pPr>
          </w:p>
        </w:tc>
        <w:tc>
          <w:tcPr>
            <w:tcW w:w="1685" w:type="dxa"/>
            <w:tcBorders>
              <w:top w:val="nil"/>
              <w:left w:val="nil"/>
              <w:bottom w:val="single" w:color="auto" w:sz="4" w:space="0"/>
              <w:right w:val="single" w:color="auto" w:sz="4" w:space="0"/>
            </w:tcBorders>
            <w:noWrap w:val="0"/>
            <w:vAlign w:val="center"/>
          </w:tcPr>
          <w:p w14:paraId="0E66653F">
            <w:pPr>
              <w:widowControl/>
              <w:jc w:val="center"/>
              <w:rPr>
                <w:rFonts w:ascii="Arial" w:hAnsi="Arial" w:cs="Arial"/>
                <w:b w:val="0"/>
                <w:bCs/>
                <w:color w:val="auto"/>
                <w:kern w:val="0"/>
                <w:sz w:val="24"/>
                <w:szCs w:val="24"/>
                <w:u w:val="none"/>
              </w:rPr>
            </w:pPr>
          </w:p>
        </w:tc>
        <w:tc>
          <w:tcPr>
            <w:tcW w:w="1328" w:type="dxa"/>
            <w:tcBorders>
              <w:top w:val="nil"/>
              <w:left w:val="nil"/>
              <w:bottom w:val="single" w:color="auto" w:sz="4" w:space="0"/>
              <w:right w:val="single" w:color="auto" w:sz="4" w:space="0"/>
            </w:tcBorders>
            <w:noWrap w:val="0"/>
            <w:vAlign w:val="center"/>
          </w:tcPr>
          <w:p w14:paraId="24C59CCD">
            <w:pPr>
              <w:widowControl/>
              <w:jc w:val="center"/>
              <w:rPr>
                <w:rFonts w:ascii="Calibri" w:hAnsi="Calibri" w:cs="宋体"/>
                <w:b w:val="0"/>
                <w:bCs/>
                <w:color w:val="auto"/>
                <w:kern w:val="0"/>
                <w:sz w:val="24"/>
                <w:szCs w:val="24"/>
                <w:u w:val="none"/>
              </w:rPr>
            </w:pPr>
          </w:p>
        </w:tc>
        <w:tc>
          <w:tcPr>
            <w:tcW w:w="908" w:type="dxa"/>
            <w:tcBorders>
              <w:top w:val="nil"/>
              <w:left w:val="nil"/>
              <w:bottom w:val="single" w:color="auto" w:sz="4" w:space="0"/>
              <w:right w:val="single" w:color="auto" w:sz="4" w:space="0"/>
            </w:tcBorders>
            <w:noWrap w:val="0"/>
            <w:vAlign w:val="center"/>
          </w:tcPr>
          <w:p w14:paraId="4D636413">
            <w:pPr>
              <w:widowControl/>
              <w:jc w:val="center"/>
              <w:rPr>
                <w:rFonts w:ascii="Calibri" w:hAnsi="Calibri" w:cs="宋体"/>
                <w:b w:val="0"/>
                <w:bCs/>
                <w:color w:val="auto"/>
                <w:kern w:val="0"/>
                <w:sz w:val="24"/>
                <w:szCs w:val="24"/>
                <w:u w:val="none"/>
              </w:rPr>
            </w:pPr>
          </w:p>
        </w:tc>
        <w:tc>
          <w:tcPr>
            <w:tcW w:w="788" w:type="dxa"/>
            <w:tcBorders>
              <w:top w:val="nil"/>
              <w:left w:val="nil"/>
              <w:bottom w:val="single" w:color="auto" w:sz="4" w:space="0"/>
              <w:right w:val="single" w:color="auto" w:sz="4" w:space="0"/>
            </w:tcBorders>
            <w:noWrap w:val="0"/>
            <w:vAlign w:val="center"/>
          </w:tcPr>
          <w:p w14:paraId="7690648E">
            <w:pPr>
              <w:widowControl/>
              <w:jc w:val="center"/>
              <w:rPr>
                <w:rFonts w:ascii="Calibri" w:hAnsi="Calibri" w:cs="宋体"/>
                <w:b w:val="0"/>
                <w:bCs/>
                <w:color w:val="auto"/>
                <w:kern w:val="0"/>
                <w:sz w:val="24"/>
                <w:szCs w:val="24"/>
                <w:u w:val="none"/>
              </w:rPr>
            </w:pPr>
          </w:p>
        </w:tc>
        <w:tc>
          <w:tcPr>
            <w:tcW w:w="824" w:type="dxa"/>
            <w:tcBorders>
              <w:top w:val="nil"/>
              <w:left w:val="nil"/>
              <w:bottom w:val="single" w:color="auto" w:sz="4" w:space="0"/>
              <w:right w:val="single" w:color="auto" w:sz="4" w:space="0"/>
            </w:tcBorders>
            <w:noWrap w:val="0"/>
            <w:vAlign w:val="center"/>
          </w:tcPr>
          <w:p w14:paraId="0F4876B1">
            <w:pPr>
              <w:widowControl/>
              <w:jc w:val="center"/>
              <w:rPr>
                <w:rFonts w:ascii="Calibri" w:hAnsi="Calibri" w:cs="宋体"/>
                <w:b w:val="0"/>
                <w:bCs/>
                <w:color w:val="auto"/>
                <w:kern w:val="0"/>
                <w:sz w:val="24"/>
                <w:szCs w:val="24"/>
                <w:u w:val="none"/>
              </w:rPr>
            </w:pPr>
          </w:p>
        </w:tc>
        <w:tc>
          <w:tcPr>
            <w:tcW w:w="703" w:type="dxa"/>
            <w:tcBorders>
              <w:top w:val="nil"/>
              <w:left w:val="nil"/>
              <w:bottom w:val="single" w:color="auto" w:sz="4" w:space="0"/>
              <w:right w:val="single" w:color="auto" w:sz="4" w:space="0"/>
            </w:tcBorders>
            <w:noWrap w:val="0"/>
            <w:vAlign w:val="center"/>
          </w:tcPr>
          <w:p w14:paraId="5B8D6D32">
            <w:pPr>
              <w:widowControl/>
              <w:jc w:val="center"/>
              <w:rPr>
                <w:rFonts w:ascii="Calibri" w:hAnsi="Calibri" w:cs="宋体"/>
                <w:b w:val="0"/>
                <w:bCs/>
                <w:color w:val="auto"/>
                <w:kern w:val="0"/>
                <w:sz w:val="24"/>
                <w:szCs w:val="24"/>
                <w:u w:val="none"/>
              </w:rPr>
            </w:pPr>
          </w:p>
        </w:tc>
        <w:tc>
          <w:tcPr>
            <w:tcW w:w="753" w:type="dxa"/>
            <w:tcBorders>
              <w:top w:val="single" w:color="auto" w:sz="4" w:space="0"/>
              <w:left w:val="single" w:color="auto" w:sz="4" w:space="0"/>
              <w:bottom w:val="single" w:color="auto" w:sz="4" w:space="0"/>
              <w:right w:val="single" w:color="auto" w:sz="4" w:space="0"/>
            </w:tcBorders>
            <w:noWrap w:val="0"/>
            <w:vAlign w:val="center"/>
          </w:tcPr>
          <w:p w14:paraId="1A55C19A">
            <w:pPr>
              <w:widowControl/>
              <w:jc w:val="center"/>
              <w:rPr>
                <w:rFonts w:ascii="Calibri" w:hAnsi="Calibri" w:cs="宋体"/>
                <w:b w:val="0"/>
                <w:bCs/>
                <w:color w:val="auto"/>
                <w:kern w:val="0"/>
                <w:sz w:val="24"/>
                <w:szCs w:val="24"/>
                <w:u w:val="none"/>
              </w:rPr>
            </w:pPr>
          </w:p>
        </w:tc>
        <w:tc>
          <w:tcPr>
            <w:tcW w:w="806" w:type="dxa"/>
            <w:tcBorders>
              <w:top w:val="single" w:color="auto" w:sz="4" w:space="0"/>
              <w:left w:val="single" w:color="auto" w:sz="4" w:space="0"/>
              <w:bottom w:val="single" w:color="auto" w:sz="4" w:space="0"/>
              <w:right w:val="single" w:color="auto" w:sz="4" w:space="0"/>
            </w:tcBorders>
            <w:noWrap w:val="0"/>
            <w:vAlign w:val="center"/>
          </w:tcPr>
          <w:p w14:paraId="7AD404BB">
            <w:pPr>
              <w:widowControl/>
              <w:jc w:val="center"/>
              <w:rPr>
                <w:rFonts w:ascii="Calibri" w:hAnsi="Calibri" w:cs="宋体"/>
                <w:b w:val="0"/>
                <w:bCs/>
                <w:color w:val="auto"/>
                <w:kern w:val="0"/>
                <w:sz w:val="24"/>
                <w:szCs w:val="24"/>
                <w:u w:val="none"/>
              </w:rPr>
            </w:pPr>
          </w:p>
        </w:tc>
        <w:tc>
          <w:tcPr>
            <w:tcW w:w="925" w:type="dxa"/>
            <w:tcBorders>
              <w:top w:val="single" w:color="auto" w:sz="4" w:space="0"/>
              <w:left w:val="single" w:color="auto" w:sz="4" w:space="0"/>
              <w:bottom w:val="single" w:color="auto" w:sz="4" w:space="0"/>
              <w:right w:val="single" w:color="auto" w:sz="4" w:space="0"/>
            </w:tcBorders>
            <w:noWrap w:val="0"/>
            <w:vAlign w:val="center"/>
          </w:tcPr>
          <w:p w14:paraId="2D4B9AB0">
            <w:pPr>
              <w:widowControl/>
              <w:jc w:val="center"/>
              <w:rPr>
                <w:rFonts w:hint="eastAsia" w:ascii="宋体" w:hAnsi="宋体" w:cs="宋体"/>
                <w:b w:val="0"/>
                <w:bCs/>
                <w:color w:val="auto"/>
                <w:kern w:val="0"/>
                <w:sz w:val="24"/>
                <w:szCs w:val="24"/>
                <w:u w:val="none"/>
              </w:rPr>
            </w:pPr>
          </w:p>
        </w:tc>
        <w:tc>
          <w:tcPr>
            <w:tcW w:w="955" w:type="dxa"/>
            <w:tcBorders>
              <w:top w:val="nil"/>
              <w:left w:val="nil"/>
              <w:bottom w:val="single" w:color="auto" w:sz="4" w:space="0"/>
              <w:right w:val="single" w:color="auto" w:sz="4" w:space="0"/>
            </w:tcBorders>
            <w:noWrap w:val="0"/>
            <w:vAlign w:val="center"/>
          </w:tcPr>
          <w:p w14:paraId="4814A636">
            <w:pPr>
              <w:widowControl/>
              <w:jc w:val="center"/>
              <w:rPr>
                <w:rFonts w:ascii="Calibri" w:hAnsi="Calibri" w:cs="宋体"/>
                <w:b w:val="0"/>
                <w:bCs/>
                <w:color w:val="auto"/>
                <w:kern w:val="0"/>
                <w:sz w:val="24"/>
                <w:szCs w:val="24"/>
                <w:u w:val="none"/>
              </w:rPr>
            </w:pPr>
          </w:p>
        </w:tc>
        <w:tc>
          <w:tcPr>
            <w:tcW w:w="1200" w:type="dxa"/>
            <w:tcBorders>
              <w:top w:val="nil"/>
              <w:left w:val="nil"/>
              <w:bottom w:val="single" w:color="auto" w:sz="4" w:space="0"/>
              <w:right w:val="single" w:color="auto" w:sz="4" w:space="0"/>
            </w:tcBorders>
            <w:noWrap w:val="0"/>
            <w:vAlign w:val="center"/>
          </w:tcPr>
          <w:p w14:paraId="5D7F6776">
            <w:pPr>
              <w:widowControl/>
              <w:jc w:val="center"/>
              <w:rPr>
                <w:rFonts w:ascii="Calibri" w:hAnsi="Calibri" w:cs="宋体"/>
                <w:b w:val="0"/>
                <w:bCs/>
                <w:color w:val="auto"/>
                <w:kern w:val="0"/>
                <w:sz w:val="24"/>
                <w:szCs w:val="24"/>
                <w:u w:val="none"/>
              </w:rPr>
            </w:pPr>
          </w:p>
        </w:tc>
        <w:tc>
          <w:tcPr>
            <w:tcW w:w="1250" w:type="dxa"/>
            <w:tcBorders>
              <w:top w:val="nil"/>
              <w:left w:val="nil"/>
              <w:bottom w:val="single" w:color="auto" w:sz="4" w:space="0"/>
              <w:right w:val="single" w:color="auto" w:sz="4" w:space="0"/>
            </w:tcBorders>
            <w:noWrap w:val="0"/>
            <w:vAlign w:val="center"/>
          </w:tcPr>
          <w:p w14:paraId="206D25AA">
            <w:pPr>
              <w:widowControl/>
              <w:jc w:val="center"/>
              <w:rPr>
                <w:rFonts w:ascii="Calibri" w:hAnsi="Calibri" w:cs="宋体"/>
                <w:b w:val="0"/>
                <w:bCs/>
                <w:color w:val="auto"/>
                <w:kern w:val="0"/>
                <w:sz w:val="24"/>
                <w:szCs w:val="24"/>
                <w:u w:val="none"/>
              </w:rPr>
            </w:pPr>
          </w:p>
        </w:tc>
        <w:tc>
          <w:tcPr>
            <w:tcW w:w="1395" w:type="dxa"/>
            <w:gridSpan w:val="2"/>
            <w:tcBorders>
              <w:top w:val="nil"/>
              <w:left w:val="nil"/>
              <w:bottom w:val="single" w:color="auto" w:sz="4" w:space="0"/>
              <w:right w:val="single" w:color="auto" w:sz="4" w:space="0"/>
            </w:tcBorders>
            <w:noWrap w:val="0"/>
            <w:vAlign w:val="center"/>
          </w:tcPr>
          <w:p w14:paraId="3C80C85D">
            <w:pPr>
              <w:widowControl/>
              <w:jc w:val="center"/>
              <w:rPr>
                <w:rFonts w:ascii="Calibri" w:hAnsi="Calibri" w:cs="宋体"/>
                <w:b w:val="0"/>
                <w:bCs/>
                <w:color w:val="auto"/>
                <w:kern w:val="0"/>
                <w:sz w:val="24"/>
                <w:szCs w:val="24"/>
                <w:u w:val="none"/>
              </w:rPr>
            </w:pPr>
          </w:p>
        </w:tc>
      </w:tr>
      <w:tr w14:paraId="2FC22919">
        <w:tblPrEx>
          <w:tblCellMar>
            <w:top w:w="0" w:type="dxa"/>
            <w:left w:w="108" w:type="dxa"/>
            <w:bottom w:w="0" w:type="dxa"/>
            <w:right w:w="108" w:type="dxa"/>
          </w:tblCellMar>
        </w:tblPrEx>
        <w:trPr>
          <w:trHeight w:val="285" w:hRule="atLeast"/>
        </w:trPr>
        <w:tc>
          <w:tcPr>
            <w:tcW w:w="705" w:type="dxa"/>
            <w:tcBorders>
              <w:top w:val="nil"/>
              <w:left w:val="single" w:color="auto" w:sz="4" w:space="0"/>
              <w:bottom w:val="single" w:color="auto" w:sz="4" w:space="0"/>
              <w:right w:val="single" w:color="auto" w:sz="4" w:space="0"/>
            </w:tcBorders>
            <w:noWrap w:val="0"/>
            <w:vAlign w:val="center"/>
          </w:tcPr>
          <w:p w14:paraId="4CB7ACAF">
            <w:pPr>
              <w:widowControl/>
              <w:jc w:val="center"/>
              <w:rPr>
                <w:rFonts w:ascii="Arial" w:hAnsi="Arial" w:cs="Arial"/>
                <w:b w:val="0"/>
                <w:bCs/>
                <w:color w:val="auto"/>
                <w:kern w:val="0"/>
                <w:sz w:val="24"/>
                <w:szCs w:val="24"/>
                <w:u w:val="none"/>
              </w:rPr>
            </w:pPr>
          </w:p>
        </w:tc>
        <w:tc>
          <w:tcPr>
            <w:tcW w:w="1685" w:type="dxa"/>
            <w:tcBorders>
              <w:top w:val="nil"/>
              <w:left w:val="nil"/>
              <w:bottom w:val="single" w:color="auto" w:sz="4" w:space="0"/>
              <w:right w:val="single" w:color="auto" w:sz="4" w:space="0"/>
            </w:tcBorders>
            <w:noWrap w:val="0"/>
            <w:vAlign w:val="center"/>
          </w:tcPr>
          <w:p w14:paraId="4E922863">
            <w:pPr>
              <w:widowControl/>
              <w:jc w:val="center"/>
              <w:rPr>
                <w:rFonts w:ascii="Arial" w:hAnsi="Arial" w:cs="Arial"/>
                <w:b w:val="0"/>
                <w:bCs/>
                <w:color w:val="auto"/>
                <w:kern w:val="0"/>
                <w:sz w:val="24"/>
                <w:szCs w:val="24"/>
                <w:u w:val="none"/>
              </w:rPr>
            </w:pPr>
          </w:p>
        </w:tc>
        <w:tc>
          <w:tcPr>
            <w:tcW w:w="1328" w:type="dxa"/>
            <w:tcBorders>
              <w:top w:val="nil"/>
              <w:left w:val="nil"/>
              <w:bottom w:val="single" w:color="auto" w:sz="4" w:space="0"/>
              <w:right w:val="single" w:color="auto" w:sz="4" w:space="0"/>
            </w:tcBorders>
            <w:noWrap w:val="0"/>
            <w:vAlign w:val="center"/>
          </w:tcPr>
          <w:p w14:paraId="2CA6BB2A">
            <w:pPr>
              <w:widowControl/>
              <w:jc w:val="center"/>
              <w:rPr>
                <w:rFonts w:ascii="Calibri" w:hAnsi="Calibri" w:cs="宋体"/>
                <w:b w:val="0"/>
                <w:bCs/>
                <w:color w:val="auto"/>
                <w:kern w:val="0"/>
                <w:sz w:val="24"/>
                <w:szCs w:val="24"/>
                <w:u w:val="none"/>
              </w:rPr>
            </w:pPr>
          </w:p>
        </w:tc>
        <w:tc>
          <w:tcPr>
            <w:tcW w:w="908" w:type="dxa"/>
            <w:tcBorders>
              <w:top w:val="nil"/>
              <w:left w:val="nil"/>
              <w:bottom w:val="single" w:color="auto" w:sz="4" w:space="0"/>
              <w:right w:val="single" w:color="auto" w:sz="4" w:space="0"/>
            </w:tcBorders>
            <w:noWrap w:val="0"/>
            <w:vAlign w:val="center"/>
          </w:tcPr>
          <w:p w14:paraId="79F1BFDB">
            <w:pPr>
              <w:widowControl/>
              <w:jc w:val="center"/>
              <w:rPr>
                <w:rFonts w:ascii="Calibri" w:hAnsi="Calibri" w:cs="宋体"/>
                <w:b w:val="0"/>
                <w:bCs/>
                <w:color w:val="auto"/>
                <w:kern w:val="0"/>
                <w:sz w:val="24"/>
                <w:szCs w:val="24"/>
                <w:u w:val="none"/>
              </w:rPr>
            </w:pPr>
          </w:p>
        </w:tc>
        <w:tc>
          <w:tcPr>
            <w:tcW w:w="788" w:type="dxa"/>
            <w:tcBorders>
              <w:top w:val="nil"/>
              <w:left w:val="nil"/>
              <w:bottom w:val="single" w:color="auto" w:sz="4" w:space="0"/>
              <w:right w:val="single" w:color="auto" w:sz="4" w:space="0"/>
            </w:tcBorders>
            <w:noWrap w:val="0"/>
            <w:vAlign w:val="center"/>
          </w:tcPr>
          <w:p w14:paraId="0C105190">
            <w:pPr>
              <w:widowControl/>
              <w:jc w:val="center"/>
              <w:rPr>
                <w:rFonts w:ascii="Calibri" w:hAnsi="Calibri" w:cs="宋体"/>
                <w:b w:val="0"/>
                <w:bCs/>
                <w:color w:val="auto"/>
                <w:kern w:val="0"/>
                <w:sz w:val="24"/>
                <w:szCs w:val="24"/>
                <w:u w:val="none"/>
              </w:rPr>
            </w:pPr>
          </w:p>
        </w:tc>
        <w:tc>
          <w:tcPr>
            <w:tcW w:w="824" w:type="dxa"/>
            <w:tcBorders>
              <w:top w:val="nil"/>
              <w:left w:val="nil"/>
              <w:bottom w:val="single" w:color="auto" w:sz="4" w:space="0"/>
              <w:right w:val="single" w:color="auto" w:sz="4" w:space="0"/>
            </w:tcBorders>
            <w:noWrap w:val="0"/>
            <w:vAlign w:val="center"/>
          </w:tcPr>
          <w:p w14:paraId="1ACC4B73">
            <w:pPr>
              <w:widowControl/>
              <w:jc w:val="center"/>
              <w:rPr>
                <w:rFonts w:ascii="Calibri" w:hAnsi="Calibri" w:cs="宋体"/>
                <w:b w:val="0"/>
                <w:bCs/>
                <w:color w:val="auto"/>
                <w:kern w:val="0"/>
                <w:sz w:val="24"/>
                <w:szCs w:val="24"/>
                <w:u w:val="none"/>
              </w:rPr>
            </w:pPr>
          </w:p>
        </w:tc>
        <w:tc>
          <w:tcPr>
            <w:tcW w:w="703" w:type="dxa"/>
            <w:tcBorders>
              <w:top w:val="nil"/>
              <w:left w:val="nil"/>
              <w:bottom w:val="single" w:color="auto" w:sz="4" w:space="0"/>
              <w:right w:val="single" w:color="auto" w:sz="4" w:space="0"/>
            </w:tcBorders>
            <w:noWrap w:val="0"/>
            <w:vAlign w:val="center"/>
          </w:tcPr>
          <w:p w14:paraId="28B28886">
            <w:pPr>
              <w:widowControl/>
              <w:jc w:val="center"/>
              <w:rPr>
                <w:rFonts w:ascii="Calibri" w:hAnsi="Calibri" w:cs="宋体"/>
                <w:b w:val="0"/>
                <w:bCs/>
                <w:color w:val="auto"/>
                <w:kern w:val="0"/>
                <w:sz w:val="24"/>
                <w:szCs w:val="24"/>
                <w:u w:val="none"/>
              </w:rPr>
            </w:pPr>
          </w:p>
        </w:tc>
        <w:tc>
          <w:tcPr>
            <w:tcW w:w="753" w:type="dxa"/>
            <w:tcBorders>
              <w:top w:val="single" w:color="auto" w:sz="4" w:space="0"/>
              <w:left w:val="single" w:color="auto" w:sz="4" w:space="0"/>
              <w:bottom w:val="single" w:color="auto" w:sz="4" w:space="0"/>
              <w:right w:val="single" w:color="auto" w:sz="4" w:space="0"/>
            </w:tcBorders>
            <w:noWrap w:val="0"/>
            <w:vAlign w:val="center"/>
          </w:tcPr>
          <w:p w14:paraId="1575D022">
            <w:pPr>
              <w:widowControl/>
              <w:jc w:val="center"/>
              <w:rPr>
                <w:rFonts w:ascii="Calibri" w:hAnsi="Calibri" w:cs="宋体"/>
                <w:b w:val="0"/>
                <w:bCs/>
                <w:color w:val="auto"/>
                <w:kern w:val="0"/>
                <w:sz w:val="24"/>
                <w:szCs w:val="24"/>
                <w:u w:val="none"/>
              </w:rPr>
            </w:pPr>
          </w:p>
        </w:tc>
        <w:tc>
          <w:tcPr>
            <w:tcW w:w="806" w:type="dxa"/>
            <w:tcBorders>
              <w:top w:val="single" w:color="auto" w:sz="4" w:space="0"/>
              <w:left w:val="single" w:color="auto" w:sz="4" w:space="0"/>
              <w:bottom w:val="single" w:color="auto" w:sz="4" w:space="0"/>
              <w:right w:val="single" w:color="auto" w:sz="4" w:space="0"/>
            </w:tcBorders>
            <w:noWrap w:val="0"/>
            <w:vAlign w:val="center"/>
          </w:tcPr>
          <w:p w14:paraId="563D7445">
            <w:pPr>
              <w:widowControl/>
              <w:jc w:val="center"/>
              <w:rPr>
                <w:rFonts w:ascii="Calibri" w:hAnsi="Calibri" w:cs="宋体"/>
                <w:b w:val="0"/>
                <w:bCs/>
                <w:color w:val="auto"/>
                <w:kern w:val="0"/>
                <w:sz w:val="24"/>
                <w:szCs w:val="24"/>
                <w:u w:val="none"/>
              </w:rPr>
            </w:pPr>
          </w:p>
        </w:tc>
        <w:tc>
          <w:tcPr>
            <w:tcW w:w="925" w:type="dxa"/>
            <w:tcBorders>
              <w:top w:val="single" w:color="auto" w:sz="4" w:space="0"/>
              <w:left w:val="single" w:color="auto" w:sz="4" w:space="0"/>
              <w:bottom w:val="single" w:color="auto" w:sz="4" w:space="0"/>
              <w:right w:val="single" w:color="auto" w:sz="4" w:space="0"/>
            </w:tcBorders>
            <w:noWrap w:val="0"/>
            <w:vAlign w:val="center"/>
          </w:tcPr>
          <w:p w14:paraId="422226BF">
            <w:pPr>
              <w:widowControl/>
              <w:jc w:val="center"/>
              <w:rPr>
                <w:rFonts w:hint="eastAsia" w:ascii="宋体" w:hAnsi="宋体" w:cs="宋体"/>
                <w:b w:val="0"/>
                <w:bCs/>
                <w:color w:val="auto"/>
                <w:kern w:val="0"/>
                <w:sz w:val="24"/>
                <w:szCs w:val="24"/>
                <w:u w:val="none"/>
              </w:rPr>
            </w:pPr>
          </w:p>
        </w:tc>
        <w:tc>
          <w:tcPr>
            <w:tcW w:w="955" w:type="dxa"/>
            <w:tcBorders>
              <w:top w:val="nil"/>
              <w:left w:val="nil"/>
              <w:bottom w:val="single" w:color="auto" w:sz="4" w:space="0"/>
              <w:right w:val="single" w:color="auto" w:sz="4" w:space="0"/>
            </w:tcBorders>
            <w:noWrap w:val="0"/>
            <w:vAlign w:val="center"/>
          </w:tcPr>
          <w:p w14:paraId="25B98F55">
            <w:pPr>
              <w:widowControl/>
              <w:jc w:val="center"/>
              <w:rPr>
                <w:rFonts w:ascii="Calibri" w:hAnsi="Calibri" w:cs="宋体"/>
                <w:b w:val="0"/>
                <w:bCs/>
                <w:color w:val="auto"/>
                <w:kern w:val="0"/>
                <w:sz w:val="24"/>
                <w:szCs w:val="24"/>
                <w:u w:val="none"/>
              </w:rPr>
            </w:pPr>
          </w:p>
        </w:tc>
        <w:tc>
          <w:tcPr>
            <w:tcW w:w="1200" w:type="dxa"/>
            <w:tcBorders>
              <w:top w:val="nil"/>
              <w:left w:val="nil"/>
              <w:bottom w:val="single" w:color="auto" w:sz="4" w:space="0"/>
              <w:right w:val="single" w:color="auto" w:sz="4" w:space="0"/>
            </w:tcBorders>
            <w:noWrap w:val="0"/>
            <w:vAlign w:val="center"/>
          </w:tcPr>
          <w:p w14:paraId="34E0DD36">
            <w:pPr>
              <w:widowControl/>
              <w:jc w:val="center"/>
              <w:rPr>
                <w:rFonts w:ascii="Calibri" w:hAnsi="Calibri" w:cs="宋体"/>
                <w:b w:val="0"/>
                <w:bCs/>
                <w:color w:val="auto"/>
                <w:kern w:val="0"/>
                <w:sz w:val="24"/>
                <w:szCs w:val="24"/>
                <w:u w:val="none"/>
              </w:rPr>
            </w:pPr>
          </w:p>
        </w:tc>
        <w:tc>
          <w:tcPr>
            <w:tcW w:w="1250" w:type="dxa"/>
            <w:tcBorders>
              <w:top w:val="nil"/>
              <w:left w:val="nil"/>
              <w:bottom w:val="single" w:color="auto" w:sz="4" w:space="0"/>
              <w:right w:val="single" w:color="auto" w:sz="4" w:space="0"/>
            </w:tcBorders>
            <w:noWrap w:val="0"/>
            <w:vAlign w:val="center"/>
          </w:tcPr>
          <w:p w14:paraId="1D3E013D">
            <w:pPr>
              <w:widowControl/>
              <w:jc w:val="center"/>
              <w:rPr>
                <w:rFonts w:ascii="Calibri" w:hAnsi="Calibri" w:cs="宋体"/>
                <w:b w:val="0"/>
                <w:bCs/>
                <w:color w:val="auto"/>
                <w:kern w:val="0"/>
                <w:sz w:val="24"/>
                <w:szCs w:val="24"/>
                <w:u w:val="none"/>
              </w:rPr>
            </w:pPr>
          </w:p>
        </w:tc>
        <w:tc>
          <w:tcPr>
            <w:tcW w:w="1395" w:type="dxa"/>
            <w:gridSpan w:val="2"/>
            <w:tcBorders>
              <w:top w:val="nil"/>
              <w:left w:val="nil"/>
              <w:bottom w:val="single" w:color="auto" w:sz="4" w:space="0"/>
              <w:right w:val="single" w:color="auto" w:sz="4" w:space="0"/>
            </w:tcBorders>
            <w:noWrap w:val="0"/>
            <w:vAlign w:val="center"/>
          </w:tcPr>
          <w:p w14:paraId="1AA6CD5F">
            <w:pPr>
              <w:widowControl/>
              <w:jc w:val="center"/>
              <w:rPr>
                <w:rFonts w:ascii="Calibri" w:hAnsi="Calibri" w:cs="宋体"/>
                <w:b w:val="0"/>
                <w:bCs/>
                <w:color w:val="auto"/>
                <w:kern w:val="0"/>
                <w:sz w:val="24"/>
                <w:szCs w:val="24"/>
                <w:u w:val="none"/>
              </w:rPr>
            </w:pPr>
          </w:p>
        </w:tc>
      </w:tr>
      <w:tr w14:paraId="758DE33D">
        <w:tblPrEx>
          <w:tblCellMar>
            <w:top w:w="0" w:type="dxa"/>
            <w:left w:w="108" w:type="dxa"/>
            <w:bottom w:w="0" w:type="dxa"/>
            <w:right w:w="108" w:type="dxa"/>
          </w:tblCellMar>
        </w:tblPrEx>
        <w:trPr>
          <w:trHeight w:val="285" w:hRule="atLeast"/>
        </w:trPr>
        <w:tc>
          <w:tcPr>
            <w:tcW w:w="705" w:type="dxa"/>
            <w:tcBorders>
              <w:top w:val="nil"/>
              <w:left w:val="single" w:color="auto" w:sz="4" w:space="0"/>
              <w:bottom w:val="single" w:color="auto" w:sz="4" w:space="0"/>
              <w:right w:val="single" w:color="auto" w:sz="4" w:space="0"/>
            </w:tcBorders>
            <w:noWrap w:val="0"/>
            <w:vAlign w:val="center"/>
          </w:tcPr>
          <w:p w14:paraId="13A0E6A5">
            <w:pPr>
              <w:widowControl/>
              <w:jc w:val="center"/>
              <w:rPr>
                <w:rFonts w:ascii="Arial" w:hAnsi="Arial" w:cs="Arial"/>
                <w:b w:val="0"/>
                <w:bCs/>
                <w:color w:val="auto"/>
                <w:kern w:val="0"/>
                <w:sz w:val="24"/>
                <w:szCs w:val="24"/>
                <w:u w:val="none"/>
              </w:rPr>
            </w:pPr>
          </w:p>
        </w:tc>
        <w:tc>
          <w:tcPr>
            <w:tcW w:w="1685" w:type="dxa"/>
            <w:tcBorders>
              <w:top w:val="nil"/>
              <w:left w:val="nil"/>
              <w:bottom w:val="single" w:color="auto" w:sz="4" w:space="0"/>
              <w:right w:val="single" w:color="auto" w:sz="4" w:space="0"/>
            </w:tcBorders>
            <w:noWrap w:val="0"/>
            <w:vAlign w:val="center"/>
          </w:tcPr>
          <w:p w14:paraId="1D7FD5BC">
            <w:pPr>
              <w:widowControl/>
              <w:jc w:val="center"/>
              <w:rPr>
                <w:rFonts w:ascii="Arial" w:hAnsi="Arial" w:cs="Arial"/>
                <w:b w:val="0"/>
                <w:bCs/>
                <w:color w:val="auto"/>
                <w:kern w:val="0"/>
                <w:sz w:val="24"/>
                <w:szCs w:val="24"/>
                <w:u w:val="none"/>
              </w:rPr>
            </w:pPr>
          </w:p>
        </w:tc>
        <w:tc>
          <w:tcPr>
            <w:tcW w:w="1328" w:type="dxa"/>
            <w:tcBorders>
              <w:top w:val="nil"/>
              <w:left w:val="nil"/>
              <w:bottom w:val="single" w:color="auto" w:sz="4" w:space="0"/>
              <w:right w:val="single" w:color="auto" w:sz="4" w:space="0"/>
            </w:tcBorders>
            <w:noWrap w:val="0"/>
            <w:vAlign w:val="center"/>
          </w:tcPr>
          <w:p w14:paraId="0C14B1FA">
            <w:pPr>
              <w:widowControl/>
              <w:jc w:val="center"/>
              <w:rPr>
                <w:rFonts w:ascii="Calibri" w:hAnsi="Calibri" w:cs="宋体"/>
                <w:b w:val="0"/>
                <w:bCs/>
                <w:color w:val="auto"/>
                <w:kern w:val="0"/>
                <w:sz w:val="24"/>
                <w:szCs w:val="24"/>
                <w:u w:val="none"/>
              </w:rPr>
            </w:pPr>
          </w:p>
        </w:tc>
        <w:tc>
          <w:tcPr>
            <w:tcW w:w="908" w:type="dxa"/>
            <w:tcBorders>
              <w:top w:val="nil"/>
              <w:left w:val="nil"/>
              <w:bottom w:val="single" w:color="auto" w:sz="4" w:space="0"/>
              <w:right w:val="single" w:color="auto" w:sz="4" w:space="0"/>
            </w:tcBorders>
            <w:noWrap w:val="0"/>
            <w:vAlign w:val="center"/>
          </w:tcPr>
          <w:p w14:paraId="542E0A06">
            <w:pPr>
              <w:widowControl/>
              <w:jc w:val="center"/>
              <w:rPr>
                <w:rFonts w:ascii="Calibri" w:hAnsi="Calibri" w:cs="宋体"/>
                <w:b w:val="0"/>
                <w:bCs/>
                <w:color w:val="auto"/>
                <w:kern w:val="0"/>
                <w:sz w:val="24"/>
                <w:szCs w:val="24"/>
                <w:u w:val="none"/>
              </w:rPr>
            </w:pPr>
          </w:p>
        </w:tc>
        <w:tc>
          <w:tcPr>
            <w:tcW w:w="788" w:type="dxa"/>
            <w:tcBorders>
              <w:top w:val="nil"/>
              <w:left w:val="nil"/>
              <w:bottom w:val="single" w:color="auto" w:sz="4" w:space="0"/>
              <w:right w:val="single" w:color="auto" w:sz="4" w:space="0"/>
            </w:tcBorders>
            <w:noWrap w:val="0"/>
            <w:vAlign w:val="center"/>
          </w:tcPr>
          <w:p w14:paraId="05F3BEE5">
            <w:pPr>
              <w:widowControl/>
              <w:jc w:val="center"/>
              <w:rPr>
                <w:rFonts w:ascii="Calibri" w:hAnsi="Calibri" w:cs="宋体"/>
                <w:b w:val="0"/>
                <w:bCs/>
                <w:color w:val="auto"/>
                <w:kern w:val="0"/>
                <w:sz w:val="24"/>
                <w:szCs w:val="24"/>
                <w:u w:val="none"/>
              </w:rPr>
            </w:pPr>
          </w:p>
        </w:tc>
        <w:tc>
          <w:tcPr>
            <w:tcW w:w="824" w:type="dxa"/>
            <w:tcBorders>
              <w:top w:val="nil"/>
              <w:left w:val="nil"/>
              <w:bottom w:val="single" w:color="auto" w:sz="4" w:space="0"/>
              <w:right w:val="single" w:color="auto" w:sz="4" w:space="0"/>
            </w:tcBorders>
            <w:noWrap w:val="0"/>
            <w:vAlign w:val="center"/>
          </w:tcPr>
          <w:p w14:paraId="46A7844A">
            <w:pPr>
              <w:widowControl/>
              <w:jc w:val="center"/>
              <w:rPr>
                <w:rFonts w:ascii="Calibri" w:hAnsi="Calibri" w:cs="宋体"/>
                <w:b w:val="0"/>
                <w:bCs/>
                <w:color w:val="auto"/>
                <w:kern w:val="0"/>
                <w:sz w:val="24"/>
                <w:szCs w:val="24"/>
                <w:u w:val="none"/>
              </w:rPr>
            </w:pPr>
          </w:p>
        </w:tc>
        <w:tc>
          <w:tcPr>
            <w:tcW w:w="703" w:type="dxa"/>
            <w:tcBorders>
              <w:top w:val="nil"/>
              <w:left w:val="nil"/>
              <w:bottom w:val="single" w:color="auto" w:sz="4" w:space="0"/>
              <w:right w:val="single" w:color="auto" w:sz="4" w:space="0"/>
            </w:tcBorders>
            <w:noWrap w:val="0"/>
            <w:vAlign w:val="center"/>
          </w:tcPr>
          <w:p w14:paraId="1391C910">
            <w:pPr>
              <w:widowControl/>
              <w:jc w:val="center"/>
              <w:rPr>
                <w:rFonts w:ascii="Calibri" w:hAnsi="Calibri" w:cs="宋体"/>
                <w:b w:val="0"/>
                <w:bCs/>
                <w:color w:val="auto"/>
                <w:kern w:val="0"/>
                <w:sz w:val="24"/>
                <w:szCs w:val="24"/>
                <w:u w:val="none"/>
              </w:rPr>
            </w:pPr>
          </w:p>
        </w:tc>
        <w:tc>
          <w:tcPr>
            <w:tcW w:w="753" w:type="dxa"/>
            <w:tcBorders>
              <w:top w:val="single" w:color="auto" w:sz="4" w:space="0"/>
              <w:left w:val="single" w:color="auto" w:sz="4" w:space="0"/>
              <w:bottom w:val="single" w:color="auto" w:sz="4" w:space="0"/>
              <w:right w:val="single" w:color="auto" w:sz="4" w:space="0"/>
            </w:tcBorders>
            <w:noWrap w:val="0"/>
            <w:vAlign w:val="center"/>
          </w:tcPr>
          <w:p w14:paraId="7715E5FD">
            <w:pPr>
              <w:widowControl/>
              <w:jc w:val="center"/>
              <w:rPr>
                <w:rFonts w:ascii="Calibri" w:hAnsi="Calibri" w:cs="宋体"/>
                <w:b w:val="0"/>
                <w:bCs/>
                <w:color w:val="auto"/>
                <w:kern w:val="0"/>
                <w:sz w:val="24"/>
                <w:szCs w:val="24"/>
                <w:u w:val="none"/>
              </w:rPr>
            </w:pPr>
          </w:p>
        </w:tc>
        <w:tc>
          <w:tcPr>
            <w:tcW w:w="806" w:type="dxa"/>
            <w:tcBorders>
              <w:top w:val="single" w:color="auto" w:sz="4" w:space="0"/>
              <w:left w:val="single" w:color="auto" w:sz="4" w:space="0"/>
              <w:bottom w:val="single" w:color="auto" w:sz="4" w:space="0"/>
              <w:right w:val="single" w:color="auto" w:sz="4" w:space="0"/>
            </w:tcBorders>
            <w:noWrap w:val="0"/>
            <w:vAlign w:val="center"/>
          </w:tcPr>
          <w:p w14:paraId="3A33DC17">
            <w:pPr>
              <w:widowControl/>
              <w:jc w:val="center"/>
              <w:rPr>
                <w:rFonts w:ascii="Calibri" w:hAnsi="Calibri" w:cs="宋体"/>
                <w:b w:val="0"/>
                <w:bCs/>
                <w:color w:val="auto"/>
                <w:kern w:val="0"/>
                <w:sz w:val="24"/>
                <w:szCs w:val="24"/>
                <w:u w:val="none"/>
              </w:rPr>
            </w:pPr>
          </w:p>
        </w:tc>
        <w:tc>
          <w:tcPr>
            <w:tcW w:w="925" w:type="dxa"/>
            <w:tcBorders>
              <w:top w:val="single" w:color="auto" w:sz="4" w:space="0"/>
              <w:left w:val="single" w:color="auto" w:sz="4" w:space="0"/>
              <w:bottom w:val="single" w:color="auto" w:sz="4" w:space="0"/>
              <w:right w:val="single" w:color="auto" w:sz="4" w:space="0"/>
            </w:tcBorders>
            <w:noWrap w:val="0"/>
            <w:vAlign w:val="center"/>
          </w:tcPr>
          <w:p w14:paraId="6DF1E11F">
            <w:pPr>
              <w:widowControl/>
              <w:jc w:val="center"/>
              <w:rPr>
                <w:rFonts w:hint="eastAsia" w:ascii="宋体" w:hAnsi="宋体" w:cs="宋体"/>
                <w:b w:val="0"/>
                <w:bCs/>
                <w:color w:val="auto"/>
                <w:kern w:val="0"/>
                <w:sz w:val="24"/>
                <w:szCs w:val="24"/>
                <w:u w:val="none"/>
              </w:rPr>
            </w:pPr>
          </w:p>
        </w:tc>
        <w:tc>
          <w:tcPr>
            <w:tcW w:w="955" w:type="dxa"/>
            <w:tcBorders>
              <w:top w:val="nil"/>
              <w:left w:val="nil"/>
              <w:bottom w:val="single" w:color="auto" w:sz="4" w:space="0"/>
              <w:right w:val="single" w:color="auto" w:sz="4" w:space="0"/>
            </w:tcBorders>
            <w:noWrap w:val="0"/>
            <w:vAlign w:val="center"/>
          </w:tcPr>
          <w:p w14:paraId="04FEF09C">
            <w:pPr>
              <w:widowControl/>
              <w:jc w:val="center"/>
              <w:rPr>
                <w:rFonts w:ascii="Calibri" w:hAnsi="Calibri" w:cs="宋体"/>
                <w:b w:val="0"/>
                <w:bCs/>
                <w:color w:val="auto"/>
                <w:kern w:val="0"/>
                <w:sz w:val="24"/>
                <w:szCs w:val="24"/>
                <w:u w:val="none"/>
              </w:rPr>
            </w:pPr>
          </w:p>
        </w:tc>
        <w:tc>
          <w:tcPr>
            <w:tcW w:w="1200" w:type="dxa"/>
            <w:tcBorders>
              <w:top w:val="nil"/>
              <w:left w:val="nil"/>
              <w:bottom w:val="single" w:color="auto" w:sz="4" w:space="0"/>
              <w:right w:val="single" w:color="auto" w:sz="4" w:space="0"/>
            </w:tcBorders>
            <w:noWrap w:val="0"/>
            <w:vAlign w:val="center"/>
          </w:tcPr>
          <w:p w14:paraId="262F5A42">
            <w:pPr>
              <w:widowControl/>
              <w:jc w:val="center"/>
              <w:rPr>
                <w:rFonts w:ascii="Calibri" w:hAnsi="Calibri" w:cs="宋体"/>
                <w:b w:val="0"/>
                <w:bCs/>
                <w:color w:val="auto"/>
                <w:kern w:val="0"/>
                <w:sz w:val="24"/>
                <w:szCs w:val="24"/>
                <w:u w:val="none"/>
              </w:rPr>
            </w:pPr>
          </w:p>
        </w:tc>
        <w:tc>
          <w:tcPr>
            <w:tcW w:w="1250" w:type="dxa"/>
            <w:tcBorders>
              <w:top w:val="nil"/>
              <w:left w:val="nil"/>
              <w:bottom w:val="single" w:color="auto" w:sz="4" w:space="0"/>
              <w:right w:val="single" w:color="auto" w:sz="4" w:space="0"/>
            </w:tcBorders>
            <w:noWrap w:val="0"/>
            <w:vAlign w:val="center"/>
          </w:tcPr>
          <w:p w14:paraId="10A2DA8C">
            <w:pPr>
              <w:widowControl/>
              <w:jc w:val="center"/>
              <w:rPr>
                <w:rFonts w:ascii="Calibri" w:hAnsi="Calibri" w:cs="宋体"/>
                <w:b w:val="0"/>
                <w:bCs/>
                <w:color w:val="auto"/>
                <w:kern w:val="0"/>
                <w:sz w:val="24"/>
                <w:szCs w:val="24"/>
                <w:u w:val="none"/>
              </w:rPr>
            </w:pPr>
          </w:p>
        </w:tc>
        <w:tc>
          <w:tcPr>
            <w:tcW w:w="1395" w:type="dxa"/>
            <w:gridSpan w:val="2"/>
            <w:tcBorders>
              <w:top w:val="nil"/>
              <w:left w:val="nil"/>
              <w:bottom w:val="single" w:color="auto" w:sz="4" w:space="0"/>
              <w:right w:val="single" w:color="auto" w:sz="4" w:space="0"/>
            </w:tcBorders>
            <w:noWrap w:val="0"/>
            <w:vAlign w:val="center"/>
          </w:tcPr>
          <w:p w14:paraId="6E9D2519">
            <w:pPr>
              <w:widowControl/>
              <w:jc w:val="center"/>
              <w:rPr>
                <w:rFonts w:ascii="Calibri" w:hAnsi="Calibri" w:cs="宋体"/>
                <w:b w:val="0"/>
                <w:bCs/>
                <w:color w:val="auto"/>
                <w:kern w:val="0"/>
                <w:sz w:val="24"/>
                <w:szCs w:val="24"/>
                <w:u w:val="none"/>
              </w:rPr>
            </w:pPr>
          </w:p>
        </w:tc>
      </w:tr>
      <w:tr w14:paraId="5A90FBE8">
        <w:tblPrEx>
          <w:tblCellMar>
            <w:top w:w="0" w:type="dxa"/>
            <w:left w:w="108" w:type="dxa"/>
            <w:bottom w:w="0" w:type="dxa"/>
            <w:right w:w="108" w:type="dxa"/>
          </w:tblCellMar>
        </w:tblPrEx>
        <w:trPr>
          <w:trHeight w:val="285" w:hRule="atLeast"/>
        </w:trPr>
        <w:tc>
          <w:tcPr>
            <w:tcW w:w="705" w:type="dxa"/>
            <w:tcBorders>
              <w:top w:val="nil"/>
              <w:left w:val="single" w:color="auto" w:sz="4" w:space="0"/>
              <w:bottom w:val="single" w:color="auto" w:sz="4" w:space="0"/>
              <w:right w:val="single" w:color="auto" w:sz="4" w:space="0"/>
            </w:tcBorders>
            <w:noWrap w:val="0"/>
            <w:vAlign w:val="center"/>
          </w:tcPr>
          <w:p w14:paraId="43FEE0B0">
            <w:pPr>
              <w:widowControl/>
              <w:jc w:val="center"/>
              <w:rPr>
                <w:rFonts w:ascii="Arial" w:hAnsi="Arial" w:cs="Arial"/>
                <w:b w:val="0"/>
                <w:bCs/>
                <w:color w:val="auto"/>
                <w:kern w:val="0"/>
                <w:sz w:val="24"/>
                <w:szCs w:val="24"/>
                <w:u w:val="none"/>
              </w:rPr>
            </w:pPr>
          </w:p>
        </w:tc>
        <w:tc>
          <w:tcPr>
            <w:tcW w:w="1685" w:type="dxa"/>
            <w:tcBorders>
              <w:top w:val="nil"/>
              <w:left w:val="nil"/>
              <w:bottom w:val="single" w:color="auto" w:sz="4" w:space="0"/>
              <w:right w:val="single" w:color="auto" w:sz="4" w:space="0"/>
            </w:tcBorders>
            <w:noWrap w:val="0"/>
            <w:vAlign w:val="center"/>
          </w:tcPr>
          <w:p w14:paraId="101C56BA">
            <w:pPr>
              <w:widowControl/>
              <w:jc w:val="center"/>
              <w:rPr>
                <w:rFonts w:ascii="Arial" w:hAnsi="Arial" w:cs="Arial"/>
                <w:b w:val="0"/>
                <w:bCs/>
                <w:color w:val="auto"/>
                <w:kern w:val="0"/>
                <w:sz w:val="24"/>
                <w:szCs w:val="24"/>
                <w:u w:val="none"/>
              </w:rPr>
            </w:pPr>
          </w:p>
        </w:tc>
        <w:tc>
          <w:tcPr>
            <w:tcW w:w="1328" w:type="dxa"/>
            <w:tcBorders>
              <w:top w:val="nil"/>
              <w:left w:val="nil"/>
              <w:bottom w:val="single" w:color="auto" w:sz="4" w:space="0"/>
              <w:right w:val="single" w:color="auto" w:sz="4" w:space="0"/>
            </w:tcBorders>
            <w:noWrap w:val="0"/>
            <w:vAlign w:val="center"/>
          </w:tcPr>
          <w:p w14:paraId="11E66DB8">
            <w:pPr>
              <w:widowControl/>
              <w:jc w:val="center"/>
              <w:rPr>
                <w:rFonts w:ascii="Calibri" w:hAnsi="Calibri" w:cs="宋体"/>
                <w:b w:val="0"/>
                <w:bCs/>
                <w:color w:val="auto"/>
                <w:kern w:val="0"/>
                <w:sz w:val="24"/>
                <w:szCs w:val="24"/>
                <w:u w:val="none"/>
              </w:rPr>
            </w:pPr>
          </w:p>
        </w:tc>
        <w:tc>
          <w:tcPr>
            <w:tcW w:w="908" w:type="dxa"/>
            <w:tcBorders>
              <w:top w:val="nil"/>
              <w:left w:val="nil"/>
              <w:bottom w:val="single" w:color="auto" w:sz="4" w:space="0"/>
              <w:right w:val="single" w:color="auto" w:sz="4" w:space="0"/>
            </w:tcBorders>
            <w:noWrap w:val="0"/>
            <w:vAlign w:val="center"/>
          </w:tcPr>
          <w:p w14:paraId="732320B7">
            <w:pPr>
              <w:widowControl/>
              <w:jc w:val="center"/>
              <w:rPr>
                <w:rFonts w:ascii="Calibri" w:hAnsi="Calibri" w:cs="宋体"/>
                <w:b w:val="0"/>
                <w:bCs/>
                <w:color w:val="auto"/>
                <w:kern w:val="0"/>
                <w:sz w:val="24"/>
                <w:szCs w:val="24"/>
                <w:u w:val="none"/>
              </w:rPr>
            </w:pPr>
          </w:p>
        </w:tc>
        <w:tc>
          <w:tcPr>
            <w:tcW w:w="788" w:type="dxa"/>
            <w:tcBorders>
              <w:top w:val="nil"/>
              <w:left w:val="nil"/>
              <w:bottom w:val="single" w:color="auto" w:sz="4" w:space="0"/>
              <w:right w:val="single" w:color="auto" w:sz="4" w:space="0"/>
            </w:tcBorders>
            <w:noWrap w:val="0"/>
            <w:vAlign w:val="center"/>
          </w:tcPr>
          <w:p w14:paraId="7DEBB0CD">
            <w:pPr>
              <w:widowControl/>
              <w:jc w:val="center"/>
              <w:rPr>
                <w:rFonts w:ascii="Calibri" w:hAnsi="Calibri" w:cs="宋体"/>
                <w:b w:val="0"/>
                <w:bCs/>
                <w:color w:val="auto"/>
                <w:kern w:val="0"/>
                <w:sz w:val="24"/>
                <w:szCs w:val="24"/>
                <w:u w:val="none"/>
              </w:rPr>
            </w:pPr>
          </w:p>
        </w:tc>
        <w:tc>
          <w:tcPr>
            <w:tcW w:w="824" w:type="dxa"/>
            <w:tcBorders>
              <w:top w:val="nil"/>
              <w:left w:val="nil"/>
              <w:bottom w:val="single" w:color="auto" w:sz="4" w:space="0"/>
              <w:right w:val="single" w:color="auto" w:sz="4" w:space="0"/>
            </w:tcBorders>
            <w:noWrap w:val="0"/>
            <w:vAlign w:val="center"/>
          </w:tcPr>
          <w:p w14:paraId="62FA03AE">
            <w:pPr>
              <w:widowControl/>
              <w:jc w:val="center"/>
              <w:rPr>
                <w:rFonts w:ascii="Calibri" w:hAnsi="Calibri" w:cs="宋体"/>
                <w:b w:val="0"/>
                <w:bCs/>
                <w:color w:val="auto"/>
                <w:kern w:val="0"/>
                <w:sz w:val="24"/>
                <w:szCs w:val="24"/>
                <w:u w:val="none"/>
              </w:rPr>
            </w:pPr>
          </w:p>
        </w:tc>
        <w:tc>
          <w:tcPr>
            <w:tcW w:w="703" w:type="dxa"/>
            <w:tcBorders>
              <w:top w:val="nil"/>
              <w:left w:val="nil"/>
              <w:bottom w:val="single" w:color="auto" w:sz="4" w:space="0"/>
              <w:right w:val="single" w:color="auto" w:sz="4" w:space="0"/>
            </w:tcBorders>
            <w:noWrap w:val="0"/>
            <w:vAlign w:val="center"/>
          </w:tcPr>
          <w:p w14:paraId="52EBF594">
            <w:pPr>
              <w:widowControl/>
              <w:jc w:val="center"/>
              <w:rPr>
                <w:rFonts w:ascii="Calibri" w:hAnsi="Calibri" w:cs="宋体"/>
                <w:b w:val="0"/>
                <w:bCs/>
                <w:color w:val="auto"/>
                <w:kern w:val="0"/>
                <w:sz w:val="24"/>
                <w:szCs w:val="24"/>
                <w:u w:val="none"/>
              </w:rPr>
            </w:pPr>
          </w:p>
        </w:tc>
        <w:tc>
          <w:tcPr>
            <w:tcW w:w="753" w:type="dxa"/>
            <w:tcBorders>
              <w:top w:val="single" w:color="auto" w:sz="4" w:space="0"/>
              <w:left w:val="single" w:color="auto" w:sz="4" w:space="0"/>
              <w:bottom w:val="single" w:color="auto" w:sz="4" w:space="0"/>
              <w:right w:val="single" w:color="auto" w:sz="4" w:space="0"/>
            </w:tcBorders>
            <w:noWrap w:val="0"/>
            <w:vAlign w:val="center"/>
          </w:tcPr>
          <w:p w14:paraId="325CD534">
            <w:pPr>
              <w:widowControl/>
              <w:jc w:val="center"/>
              <w:rPr>
                <w:rFonts w:ascii="Calibri" w:hAnsi="Calibri" w:cs="宋体"/>
                <w:b w:val="0"/>
                <w:bCs/>
                <w:color w:val="auto"/>
                <w:kern w:val="0"/>
                <w:sz w:val="24"/>
                <w:szCs w:val="24"/>
                <w:u w:val="none"/>
              </w:rPr>
            </w:pPr>
          </w:p>
        </w:tc>
        <w:tc>
          <w:tcPr>
            <w:tcW w:w="806" w:type="dxa"/>
            <w:tcBorders>
              <w:top w:val="single" w:color="auto" w:sz="4" w:space="0"/>
              <w:left w:val="single" w:color="auto" w:sz="4" w:space="0"/>
              <w:bottom w:val="single" w:color="auto" w:sz="4" w:space="0"/>
              <w:right w:val="single" w:color="auto" w:sz="4" w:space="0"/>
            </w:tcBorders>
            <w:noWrap w:val="0"/>
            <w:vAlign w:val="center"/>
          </w:tcPr>
          <w:p w14:paraId="30A4F10C">
            <w:pPr>
              <w:widowControl/>
              <w:jc w:val="center"/>
              <w:rPr>
                <w:rFonts w:ascii="Calibri" w:hAnsi="Calibri" w:cs="宋体"/>
                <w:b w:val="0"/>
                <w:bCs/>
                <w:color w:val="auto"/>
                <w:kern w:val="0"/>
                <w:sz w:val="24"/>
                <w:szCs w:val="24"/>
                <w:u w:val="none"/>
              </w:rPr>
            </w:pPr>
          </w:p>
        </w:tc>
        <w:tc>
          <w:tcPr>
            <w:tcW w:w="925" w:type="dxa"/>
            <w:tcBorders>
              <w:top w:val="single" w:color="auto" w:sz="4" w:space="0"/>
              <w:left w:val="single" w:color="auto" w:sz="4" w:space="0"/>
              <w:bottom w:val="single" w:color="auto" w:sz="4" w:space="0"/>
              <w:right w:val="single" w:color="auto" w:sz="4" w:space="0"/>
            </w:tcBorders>
            <w:noWrap w:val="0"/>
            <w:vAlign w:val="center"/>
          </w:tcPr>
          <w:p w14:paraId="2BB678AE">
            <w:pPr>
              <w:widowControl/>
              <w:jc w:val="center"/>
              <w:rPr>
                <w:rFonts w:hint="eastAsia" w:ascii="宋体" w:hAnsi="宋体" w:cs="宋体"/>
                <w:b w:val="0"/>
                <w:bCs/>
                <w:color w:val="auto"/>
                <w:kern w:val="0"/>
                <w:sz w:val="24"/>
                <w:szCs w:val="24"/>
                <w:u w:val="none"/>
              </w:rPr>
            </w:pPr>
          </w:p>
        </w:tc>
        <w:tc>
          <w:tcPr>
            <w:tcW w:w="955" w:type="dxa"/>
            <w:tcBorders>
              <w:top w:val="nil"/>
              <w:left w:val="nil"/>
              <w:bottom w:val="single" w:color="auto" w:sz="4" w:space="0"/>
              <w:right w:val="single" w:color="auto" w:sz="4" w:space="0"/>
            </w:tcBorders>
            <w:noWrap w:val="0"/>
            <w:vAlign w:val="center"/>
          </w:tcPr>
          <w:p w14:paraId="5646347A">
            <w:pPr>
              <w:widowControl/>
              <w:jc w:val="center"/>
              <w:rPr>
                <w:rFonts w:ascii="Calibri" w:hAnsi="Calibri" w:cs="宋体"/>
                <w:b w:val="0"/>
                <w:bCs/>
                <w:color w:val="auto"/>
                <w:kern w:val="0"/>
                <w:sz w:val="24"/>
                <w:szCs w:val="24"/>
                <w:u w:val="none"/>
              </w:rPr>
            </w:pPr>
          </w:p>
        </w:tc>
        <w:tc>
          <w:tcPr>
            <w:tcW w:w="1200" w:type="dxa"/>
            <w:tcBorders>
              <w:top w:val="nil"/>
              <w:left w:val="nil"/>
              <w:bottom w:val="single" w:color="auto" w:sz="4" w:space="0"/>
              <w:right w:val="single" w:color="auto" w:sz="4" w:space="0"/>
            </w:tcBorders>
            <w:noWrap w:val="0"/>
            <w:vAlign w:val="center"/>
          </w:tcPr>
          <w:p w14:paraId="0B53BE05">
            <w:pPr>
              <w:widowControl/>
              <w:jc w:val="center"/>
              <w:rPr>
                <w:rFonts w:ascii="Calibri" w:hAnsi="Calibri" w:cs="宋体"/>
                <w:b w:val="0"/>
                <w:bCs/>
                <w:color w:val="auto"/>
                <w:kern w:val="0"/>
                <w:sz w:val="24"/>
                <w:szCs w:val="24"/>
                <w:u w:val="none"/>
              </w:rPr>
            </w:pPr>
          </w:p>
        </w:tc>
        <w:tc>
          <w:tcPr>
            <w:tcW w:w="1250" w:type="dxa"/>
            <w:tcBorders>
              <w:top w:val="nil"/>
              <w:left w:val="nil"/>
              <w:bottom w:val="single" w:color="auto" w:sz="4" w:space="0"/>
              <w:right w:val="single" w:color="auto" w:sz="4" w:space="0"/>
            </w:tcBorders>
            <w:noWrap w:val="0"/>
            <w:vAlign w:val="center"/>
          </w:tcPr>
          <w:p w14:paraId="6086EE8E">
            <w:pPr>
              <w:widowControl/>
              <w:jc w:val="center"/>
              <w:rPr>
                <w:rFonts w:ascii="Calibri" w:hAnsi="Calibri" w:cs="宋体"/>
                <w:b w:val="0"/>
                <w:bCs/>
                <w:color w:val="auto"/>
                <w:kern w:val="0"/>
                <w:sz w:val="24"/>
                <w:szCs w:val="24"/>
                <w:u w:val="none"/>
              </w:rPr>
            </w:pPr>
          </w:p>
        </w:tc>
        <w:tc>
          <w:tcPr>
            <w:tcW w:w="1395" w:type="dxa"/>
            <w:gridSpan w:val="2"/>
            <w:tcBorders>
              <w:top w:val="nil"/>
              <w:left w:val="nil"/>
              <w:bottom w:val="single" w:color="auto" w:sz="4" w:space="0"/>
              <w:right w:val="single" w:color="auto" w:sz="4" w:space="0"/>
            </w:tcBorders>
            <w:noWrap w:val="0"/>
            <w:vAlign w:val="center"/>
          </w:tcPr>
          <w:p w14:paraId="6BD93412">
            <w:pPr>
              <w:widowControl/>
              <w:jc w:val="center"/>
              <w:rPr>
                <w:rFonts w:ascii="Calibri" w:hAnsi="Calibri" w:cs="宋体"/>
                <w:b w:val="0"/>
                <w:bCs/>
                <w:color w:val="auto"/>
                <w:kern w:val="0"/>
                <w:sz w:val="24"/>
                <w:szCs w:val="24"/>
                <w:u w:val="none"/>
              </w:rPr>
            </w:pPr>
          </w:p>
        </w:tc>
      </w:tr>
      <w:tr w14:paraId="14A8C5FC">
        <w:tblPrEx>
          <w:tblCellMar>
            <w:top w:w="0" w:type="dxa"/>
            <w:left w:w="108" w:type="dxa"/>
            <w:bottom w:w="0" w:type="dxa"/>
            <w:right w:w="108" w:type="dxa"/>
          </w:tblCellMar>
        </w:tblPrEx>
        <w:trPr>
          <w:trHeight w:val="285" w:hRule="atLeast"/>
        </w:trPr>
        <w:tc>
          <w:tcPr>
            <w:tcW w:w="705" w:type="dxa"/>
            <w:tcBorders>
              <w:top w:val="nil"/>
              <w:left w:val="single" w:color="auto" w:sz="4" w:space="0"/>
              <w:bottom w:val="single" w:color="auto" w:sz="4" w:space="0"/>
              <w:right w:val="single" w:color="auto" w:sz="4" w:space="0"/>
            </w:tcBorders>
            <w:noWrap w:val="0"/>
            <w:vAlign w:val="center"/>
          </w:tcPr>
          <w:p w14:paraId="288BECEB">
            <w:pPr>
              <w:widowControl/>
              <w:jc w:val="center"/>
              <w:rPr>
                <w:rFonts w:ascii="Arial" w:hAnsi="Arial" w:cs="Arial"/>
                <w:b w:val="0"/>
                <w:bCs/>
                <w:color w:val="auto"/>
                <w:kern w:val="0"/>
                <w:sz w:val="24"/>
                <w:szCs w:val="24"/>
                <w:u w:val="none"/>
              </w:rPr>
            </w:pPr>
          </w:p>
        </w:tc>
        <w:tc>
          <w:tcPr>
            <w:tcW w:w="1685" w:type="dxa"/>
            <w:tcBorders>
              <w:top w:val="nil"/>
              <w:left w:val="nil"/>
              <w:bottom w:val="single" w:color="auto" w:sz="4" w:space="0"/>
              <w:right w:val="single" w:color="auto" w:sz="4" w:space="0"/>
            </w:tcBorders>
            <w:noWrap w:val="0"/>
            <w:vAlign w:val="center"/>
          </w:tcPr>
          <w:p w14:paraId="6C22712A">
            <w:pPr>
              <w:widowControl/>
              <w:jc w:val="center"/>
              <w:rPr>
                <w:rFonts w:ascii="Arial" w:hAnsi="Arial" w:cs="Arial"/>
                <w:b w:val="0"/>
                <w:bCs/>
                <w:color w:val="auto"/>
                <w:kern w:val="0"/>
                <w:sz w:val="24"/>
                <w:szCs w:val="24"/>
                <w:u w:val="none"/>
              </w:rPr>
            </w:pPr>
          </w:p>
        </w:tc>
        <w:tc>
          <w:tcPr>
            <w:tcW w:w="1328" w:type="dxa"/>
            <w:tcBorders>
              <w:top w:val="nil"/>
              <w:left w:val="nil"/>
              <w:bottom w:val="single" w:color="auto" w:sz="4" w:space="0"/>
              <w:right w:val="single" w:color="auto" w:sz="4" w:space="0"/>
            </w:tcBorders>
            <w:noWrap w:val="0"/>
            <w:vAlign w:val="center"/>
          </w:tcPr>
          <w:p w14:paraId="0171A3CC">
            <w:pPr>
              <w:widowControl/>
              <w:jc w:val="center"/>
              <w:rPr>
                <w:rFonts w:ascii="Calibri" w:hAnsi="Calibri" w:cs="宋体"/>
                <w:b w:val="0"/>
                <w:bCs/>
                <w:color w:val="auto"/>
                <w:kern w:val="0"/>
                <w:sz w:val="24"/>
                <w:szCs w:val="24"/>
                <w:u w:val="none"/>
              </w:rPr>
            </w:pPr>
          </w:p>
        </w:tc>
        <w:tc>
          <w:tcPr>
            <w:tcW w:w="908" w:type="dxa"/>
            <w:tcBorders>
              <w:top w:val="nil"/>
              <w:left w:val="nil"/>
              <w:bottom w:val="single" w:color="auto" w:sz="4" w:space="0"/>
              <w:right w:val="single" w:color="auto" w:sz="4" w:space="0"/>
            </w:tcBorders>
            <w:noWrap w:val="0"/>
            <w:vAlign w:val="center"/>
          </w:tcPr>
          <w:p w14:paraId="5E5E24A6">
            <w:pPr>
              <w:widowControl/>
              <w:jc w:val="center"/>
              <w:rPr>
                <w:rFonts w:ascii="Calibri" w:hAnsi="Calibri" w:cs="宋体"/>
                <w:b w:val="0"/>
                <w:bCs/>
                <w:color w:val="auto"/>
                <w:kern w:val="0"/>
                <w:sz w:val="24"/>
                <w:szCs w:val="24"/>
                <w:u w:val="none"/>
              </w:rPr>
            </w:pPr>
          </w:p>
        </w:tc>
        <w:tc>
          <w:tcPr>
            <w:tcW w:w="788" w:type="dxa"/>
            <w:tcBorders>
              <w:top w:val="nil"/>
              <w:left w:val="nil"/>
              <w:bottom w:val="single" w:color="auto" w:sz="4" w:space="0"/>
              <w:right w:val="single" w:color="auto" w:sz="4" w:space="0"/>
            </w:tcBorders>
            <w:noWrap w:val="0"/>
            <w:vAlign w:val="center"/>
          </w:tcPr>
          <w:p w14:paraId="3963EE90">
            <w:pPr>
              <w:widowControl/>
              <w:jc w:val="center"/>
              <w:rPr>
                <w:rFonts w:ascii="Calibri" w:hAnsi="Calibri" w:cs="宋体"/>
                <w:b w:val="0"/>
                <w:bCs/>
                <w:color w:val="auto"/>
                <w:kern w:val="0"/>
                <w:sz w:val="24"/>
                <w:szCs w:val="24"/>
                <w:u w:val="none"/>
              </w:rPr>
            </w:pPr>
          </w:p>
        </w:tc>
        <w:tc>
          <w:tcPr>
            <w:tcW w:w="824" w:type="dxa"/>
            <w:tcBorders>
              <w:top w:val="nil"/>
              <w:left w:val="nil"/>
              <w:bottom w:val="single" w:color="auto" w:sz="4" w:space="0"/>
              <w:right w:val="single" w:color="auto" w:sz="4" w:space="0"/>
            </w:tcBorders>
            <w:noWrap w:val="0"/>
            <w:vAlign w:val="center"/>
          </w:tcPr>
          <w:p w14:paraId="17C7D128">
            <w:pPr>
              <w:widowControl/>
              <w:jc w:val="center"/>
              <w:rPr>
                <w:rFonts w:ascii="Calibri" w:hAnsi="Calibri" w:cs="宋体"/>
                <w:b w:val="0"/>
                <w:bCs/>
                <w:color w:val="auto"/>
                <w:kern w:val="0"/>
                <w:sz w:val="24"/>
                <w:szCs w:val="24"/>
                <w:u w:val="none"/>
              </w:rPr>
            </w:pPr>
          </w:p>
        </w:tc>
        <w:tc>
          <w:tcPr>
            <w:tcW w:w="703" w:type="dxa"/>
            <w:tcBorders>
              <w:top w:val="nil"/>
              <w:left w:val="nil"/>
              <w:bottom w:val="single" w:color="auto" w:sz="4" w:space="0"/>
              <w:right w:val="single" w:color="auto" w:sz="4" w:space="0"/>
            </w:tcBorders>
            <w:noWrap w:val="0"/>
            <w:vAlign w:val="center"/>
          </w:tcPr>
          <w:p w14:paraId="65BA4722">
            <w:pPr>
              <w:widowControl/>
              <w:jc w:val="center"/>
              <w:rPr>
                <w:rFonts w:ascii="Calibri" w:hAnsi="Calibri" w:cs="宋体"/>
                <w:b w:val="0"/>
                <w:bCs/>
                <w:color w:val="auto"/>
                <w:kern w:val="0"/>
                <w:sz w:val="24"/>
                <w:szCs w:val="24"/>
                <w:u w:val="none"/>
              </w:rPr>
            </w:pPr>
          </w:p>
        </w:tc>
        <w:tc>
          <w:tcPr>
            <w:tcW w:w="753" w:type="dxa"/>
            <w:tcBorders>
              <w:top w:val="single" w:color="auto" w:sz="4" w:space="0"/>
              <w:left w:val="single" w:color="auto" w:sz="4" w:space="0"/>
              <w:bottom w:val="single" w:color="auto" w:sz="4" w:space="0"/>
              <w:right w:val="single" w:color="auto" w:sz="4" w:space="0"/>
            </w:tcBorders>
            <w:noWrap w:val="0"/>
            <w:vAlign w:val="center"/>
          </w:tcPr>
          <w:p w14:paraId="7786BDD3">
            <w:pPr>
              <w:widowControl/>
              <w:jc w:val="center"/>
              <w:rPr>
                <w:rFonts w:ascii="Calibri" w:hAnsi="Calibri" w:cs="宋体"/>
                <w:b w:val="0"/>
                <w:bCs/>
                <w:color w:val="auto"/>
                <w:kern w:val="0"/>
                <w:sz w:val="24"/>
                <w:szCs w:val="24"/>
                <w:u w:val="none"/>
              </w:rPr>
            </w:pPr>
          </w:p>
        </w:tc>
        <w:tc>
          <w:tcPr>
            <w:tcW w:w="806" w:type="dxa"/>
            <w:tcBorders>
              <w:top w:val="single" w:color="auto" w:sz="4" w:space="0"/>
              <w:left w:val="single" w:color="auto" w:sz="4" w:space="0"/>
              <w:bottom w:val="single" w:color="auto" w:sz="4" w:space="0"/>
              <w:right w:val="single" w:color="auto" w:sz="4" w:space="0"/>
            </w:tcBorders>
            <w:noWrap w:val="0"/>
            <w:vAlign w:val="center"/>
          </w:tcPr>
          <w:p w14:paraId="24956AF6">
            <w:pPr>
              <w:widowControl/>
              <w:jc w:val="center"/>
              <w:rPr>
                <w:rFonts w:ascii="Calibri" w:hAnsi="Calibri" w:cs="宋体"/>
                <w:b w:val="0"/>
                <w:bCs/>
                <w:color w:val="auto"/>
                <w:kern w:val="0"/>
                <w:sz w:val="24"/>
                <w:szCs w:val="24"/>
                <w:u w:val="none"/>
              </w:rPr>
            </w:pPr>
          </w:p>
        </w:tc>
        <w:tc>
          <w:tcPr>
            <w:tcW w:w="925" w:type="dxa"/>
            <w:tcBorders>
              <w:top w:val="single" w:color="auto" w:sz="4" w:space="0"/>
              <w:left w:val="single" w:color="auto" w:sz="4" w:space="0"/>
              <w:bottom w:val="single" w:color="auto" w:sz="4" w:space="0"/>
              <w:right w:val="single" w:color="auto" w:sz="4" w:space="0"/>
            </w:tcBorders>
            <w:noWrap w:val="0"/>
            <w:vAlign w:val="center"/>
          </w:tcPr>
          <w:p w14:paraId="73BF50D6">
            <w:pPr>
              <w:widowControl/>
              <w:jc w:val="center"/>
              <w:rPr>
                <w:rFonts w:hint="eastAsia" w:ascii="宋体" w:hAnsi="宋体" w:cs="宋体"/>
                <w:b w:val="0"/>
                <w:bCs/>
                <w:color w:val="auto"/>
                <w:kern w:val="0"/>
                <w:sz w:val="24"/>
                <w:szCs w:val="24"/>
                <w:u w:val="none"/>
              </w:rPr>
            </w:pPr>
          </w:p>
        </w:tc>
        <w:tc>
          <w:tcPr>
            <w:tcW w:w="955" w:type="dxa"/>
            <w:tcBorders>
              <w:top w:val="nil"/>
              <w:left w:val="nil"/>
              <w:bottom w:val="single" w:color="auto" w:sz="4" w:space="0"/>
              <w:right w:val="single" w:color="auto" w:sz="4" w:space="0"/>
            </w:tcBorders>
            <w:noWrap w:val="0"/>
            <w:vAlign w:val="center"/>
          </w:tcPr>
          <w:p w14:paraId="57BEAFC3">
            <w:pPr>
              <w:widowControl/>
              <w:jc w:val="center"/>
              <w:rPr>
                <w:rFonts w:ascii="Calibri" w:hAnsi="Calibri" w:cs="宋体"/>
                <w:b w:val="0"/>
                <w:bCs/>
                <w:color w:val="auto"/>
                <w:kern w:val="0"/>
                <w:sz w:val="24"/>
                <w:szCs w:val="24"/>
                <w:u w:val="none"/>
              </w:rPr>
            </w:pPr>
          </w:p>
        </w:tc>
        <w:tc>
          <w:tcPr>
            <w:tcW w:w="1200" w:type="dxa"/>
            <w:tcBorders>
              <w:top w:val="nil"/>
              <w:left w:val="nil"/>
              <w:bottom w:val="single" w:color="auto" w:sz="4" w:space="0"/>
              <w:right w:val="single" w:color="auto" w:sz="4" w:space="0"/>
            </w:tcBorders>
            <w:noWrap w:val="0"/>
            <w:vAlign w:val="center"/>
          </w:tcPr>
          <w:p w14:paraId="0496F0CD">
            <w:pPr>
              <w:widowControl/>
              <w:jc w:val="center"/>
              <w:rPr>
                <w:rFonts w:ascii="Calibri" w:hAnsi="Calibri" w:cs="宋体"/>
                <w:b w:val="0"/>
                <w:bCs/>
                <w:color w:val="auto"/>
                <w:kern w:val="0"/>
                <w:sz w:val="24"/>
                <w:szCs w:val="24"/>
                <w:u w:val="none"/>
              </w:rPr>
            </w:pPr>
          </w:p>
        </w:tc>
        <w:tc>
          <w:tcPr>
            <w:tcW w:w="1250" w:type="dxa"/>
            <w:tcBorders>
              <w:top w:val="nil"/>
              <w:left w:val="nil"/>
              <w:bottom w:val="single" w:color="auto" w:sz="4" w:space="0"/>
              <w:right w:val="single" w:color="auto" w:sz="4" w:space="0"/>
            </w:tcBorders>
            <w:noWrap w:val="0"/>
            <w:vAlign w:val="center"/>
          </w:tcPr>
          <w:p w14:paraId="283B5939">
            <w:pPr>
              <w:widowControl/>
              <w:jc w:val="center"/>
              <w:rPr>
                <w:rFonts w:ascii="Calibri" w:hAnsi="Calibri" w:cs="宋体"/>
                <w:b w:val="0"/>
                <w:bCs/>
                <w:color w:val="auto"/>
                <w:kern w:val="0"/>
                <w:sz w:val="24"/>
                <w:szCs w:val="24"/>
                <w:u w:val="none"/>
              </w:rPr>
            </w:pPr>
          </w:p>
        </w:tc>
        <w:tc>
          <w:tcPr>
            <w:tcW w:w="1395" w:type="dxa"/>
            <w:gridSpan w:val="2"/>
            <w:tcBorders>
              <w:top w:val="nil"/>
              <w:left w:val="nil"/>
              <w:bottom w:val="single" w:color="auto" w:sz="4" w:space="0"/>
              <w:right w:val="single" w:color="auto" w:sz="4" w:space="0"/>
            </w:tcBorders>
            <w:noWrap w:val="0"/>
            <w:vAlign w:val="center"/>
          </w:tcPr>
          <w:p w14:paraId="383C86D3">
            <w:pPr>
              <w:widowControl/>
              <w:jc w:val="center"/>
              <w:rPr>
                <w:rFonts w:ascii="Calibri" w:hAnsi="Calibri" w:cs="宋体"/>
                <w:b w:val="0"/>
                <w:bCs/>
                <w:color w:val="auto"/>
                <w:kern w:val="0"/>
                <w:sz w:val="24"/>
                <w:szCs w:val="24"/>
                <w:u w:val="none"/>
              </w:rPr>
            </w:pPr>
          </w:p>
        </w:tc>
      </w:tr>
    </w:tbl>
    <w:p w14:paraId="3C942FB8">
      <w:pPr>
        <w:spacing w:line="520" w:lineRule="exact"/>
        <w:jc w:val="left"/>
        <w:rPr>
          <w:rFonts w:hint="eastAsia" w:ascii="仿宋_GB2312" w:hAnsi="仿宋_GB2312" w:eastAsia="仿宋_GB2312" w:cs="仿宋_GB2312"/>
          <w:bCs/>
          <w:color w:val="000000"/>
          <w:sz w:val="34"/>
          <w:szCs w:val="34"/>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decorative"/>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76690C">
    <w:pPr>
      <w:pStyle w:val="6"/>
      <w:ind w:right="420" w:rightChars="200"/>
      <w:jc w:val="center"/>
      <w:rPr>
        <w:rFonts w:ascii="宋体" w:hAnsi="宋体"/>
        <w:sz w:val="28"/>
        <w:szCs w:val="28"/>
      </w:rPr>
    </w:pP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1</w:t>
    </w:r>
    <w:r>
      <w:rPr>
        <w:rFonts w:ascii="宋体" w:hAnsi="宋体"/>
        <w:kern w:val="0"/>
        <w:sz w:val="28"/>
        <w:szCs w:val="28"/>
      </w:rPr>
      <w:fldChar w:fldCharType="end"/>
    </w:r>
    <w:r>
      <w:rPr>
        <w:rFonts w:ascii="宋体" w:hAnsi="宋体"/>
        <w:kern w:val="0"/>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790DAF">
    <w:pPr>
      <w:pStyle w:val="6"/>
      <w:ind w:left="420" w:leftChars="200"/>
      <w:jc w:val="center"/>
      <w:rPr>
        <w:rFonts w:ascii="宋体" w:hAnsi="宋体"/>
        <w:sz w:val="28"/>
        <w:szCs w:val="28"/>
      </w:rPr>
    </w:pP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2</w:t>
    </w:r>
    <w:r>
      <w:rPr>
        <w:rFonts w:ascii="宋体" w:hAnsi="宋体"/>
        <w:kern w:val="0"/>
        <w:sz w:val="28"/>
        <w:szCs w:val="28"/>
      </w:rPr>
      <w:fldChar w:fldCharType="end"/>
    </w:r>
    <w:r>
      <w:rPr>
        <w:rFonts w:ascii="宋体" w:hAnsi="宋体"/>
        <w:kern w:val="0"/>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072421">
    <w:pPr>
      <w:pStyle w:val="7"/>
      <w:pBdr>
        <w:bottom w:val="none" w:color="auto" w:sz="0" w:space="0"/>
      </w:pBdr>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1A3ADE"/>
    <w:rsid w:val="088300D0"/>
    <w:rsid w:val="247C62DD"/>
    <w:rsid w:val="24976235"/>
    <w:rsid w:val="28F60A9F"/>
    <w:rsid w:val="2E7D3DBA"/>
    <w:rsid w:val="35AE78C5"/>
    <w:rsid w:val="51CE66DB"/>
    <w:rsid w:val="58861B9A"/>
    <w:rsid w:val="58E2709E"/>
    <w:rsid w:val="59CF7EFE"/>
    <w:rsid w:val="63F27544"/>
    <w:rsid w:val="731953E4"/>
    <w:rsid w:val="7A1855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9"/>
    <w:pPr>
      <w:spacing w:beforeAutospacing="1" w:afterAutospacing="1"/>
      <w:jc w:val="left"/>
      <w:outlineLvl w:val="1"/>
    </w:pPr>
    <w:rPr>
      <w:rFonts w:hint="eastAsia" w:ascii="宋体" w:hAnsi="宋体" w:eastAsia="宋体" w:cs="Times New Roman"/>
      <w:b/>
      <w:kern w:val="0"/>
      <w:sz w:val="36"/>
      <w:szCs w:val="36"/>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Body Text"/>
    <w:basedOn w:val="1"/>
    <w:next w:val="5"/>
    <w:unhideWhenUsed/>
    <w:qFormat/>
    <w:uiPriority w:val="99"/>
    <w:pPr>
      <w:spacing w:after="120"/>
    </w:pPr>
  </w:style>
  <w:style w:type="paragraph" w:styleId="5">
    <w:name w:val="Plain Text"/>
    <w:basedOn w:val="1"/>
    <w:unhideWhenUsed/>
    <w:qFormat/>
    <w:uiPriority w:val="99"/>
    <w:rPr>
      <w:rFonts w:ascii="宋体" w:hAnsi="Courier New"/>
      <w:kern w:val="0"/>
      <w:sz w:val="20"/>
      <w:szCs w:val="20"/>
    </w:r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character" w:styleId="11">
    <w:name w:val="page number"/>
    <w:basedOn w:val="10"/>
    <w:qFormat/>
    <w:uiPriority w:val="0"/>
  </w:style>
  <w:style w:type="character" w:customStyle="1" w:styleId="12">
    <w:name w:val="font01"/>
    <w:basedOn w:val="10"/>
    <w:qFormat/>
    <w:uiPriority w:val="0"/>
    <w:rPr>
      <w:rFonts w:hint="eastAsia" w:ascii="宋体" w:hAnsi="宋体" w:eastAsia="宋体" w:cs="宋体"/>
      <w:color w:val="FF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5686</Words>
  <Characters>5953</Characters>
  <Lines>0</Lines>
  <Paragraphs>0</Paragraphs>
  <TotalTime>8</TotalTime>
  <ScaleCrop>false</ScaleCrop>
  <LinksUpToDate>false</LinksUpToDate>
  <CharactersWithSpaces>6371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2025-11-24T03:02:00Z</dcterms:created>
  <dc:creator>Administrator</dc:creator>
  <cp:lastModifiedBy>六月江南</cp:lastModifiedBy>
  <dcterms:modified xsi:type="dcterms:W3CDTF">2026-03-09T09:03:29Z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eyJoZGlkIjoiOGUxNDBhZjhhNGM5NThmZjNlMWM1ODU1MzdkZWJjYTIiLCJ1c2VySWQiOiI2NTI4NDg2NzYifQ==</vt:lpwstr>
  </property>
  <property fmtid="{D5CDD505-2E9C-101B-9397-08002B2CF9AE}" pid="4" name="ICV">
    <vt:lpwstr>A0DF7B32A9044183AE88EEBDF9167C28_12</vt:lpwstr>
  </property>
</Properties>
</file>