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4"/>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5"/>
        <w:pageBreakBefore w:val="0"/>
        <w:widowControl w:val="0"/>
        <w:kinsoku/>
        <w:wordWrap/>
        <w:overflowPunct/>
        <w:topLinePunct w:val="0"/>
        <w:autoSpaceDE/>
        <w:autoSpaceDN/>
        <w:bidi w:val="0"/>
        <w:adjustRightInd/>
        <w:snapToGrid/>
        <w:spacing w:line="360" w:lineRule="exact"/>
        <w:textAlignment w:val="auto"/>
      </w:pPr>
      <w:r>
        <w:t>一、项目概况</w:t>
      </w:r>
    </w:p>
    <w:p w14:paraId="4F7B6320">
      <w:pPr>
        <w:pageBreakBefore w:val="0"/>
        <w:widowControl w:val="0"/>
        <w:numPr>
          <w:ilvl w:val="0"/>
          <w:numId w:val="1"/>
        </w:numPr>
        <w:kinsoku/>
        <w:wordWrap/>
        <w:overflowPunct/>
        <w:topLinePunct w:val="0"/>
        <w:autoSpaceDE/>
        <w:autoSpaceDN/>
        <w:bidi w:val="0"/>
        <w:adjustRightInd/>
        <w:snapToGrid/>
        <w:spacing w:before="0" w:beforeAutospacing="1" w:after="0" w:afterAutospacing="1" w:line="360" w:lineRule="exact"/>
        <w:ind w:left="720" w:hanging="360"/>
        <w:textAlignment w:val="auto"/>
      </w:pPr>
      <w:r>
        <w:rPr>
          <w:b/>
        </w:rPr>
        <w:t>项目名称</w:t>
      </w:r>
      <w:r>
        <w:t>：</w:t>
      </w:r>
      <w:r>
        <w:rPr>
          <w:rFonts w:hint="eastAsia"/>
          <w:lang w:val="en-US" w:eastAsia="zh-CN"/>
        </w:rPr>
        <w:t>PE发泡母粒或PE交联母粒公路运输服务</w:t>
      </w:r>
    </w:p>
    <w:p w14:paraId="2B555F98">
      <w:pPr>
        <w:pageBreakBefore w:val="0"/>
        <w:widowControl w:val="0"/>
        <w:numPr>
          <w:ilvl w:val="0"/>
          <w:numId w:val="1"/>
        </w:numPr>
        <w:kinsoku/>
        <w:wordWrap/>
        <w:overflowPunct/>
        <w:topLinePunct w:val="0"/>
        <w:autoSpaceDE/>
        <w:autoSpaceDN/>
        <w:bidi w:val="0"/>
        <w:adjustRightInd/>
        <w:snapToGrid/>
        <w:spacing w:before="0" w:beforeAutospacing="1" w:after="0" w:afterAutospacing="1" w:line="360" w:lineRule="exact"/>
        <w:ind w:left="720" w:hanging="360"/>
        <w:textAlignment w:val="auto"/>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w:t>
      </w:r>
    </w:p>
    <w:p w14:paraId="24EBA3D0">
      <w:pPr>
        <w:pageBreakBefore w:val="0"/>
        <w:widowControl w:val="0"/>
        <w:numPr>
          <w:ilvl w:val="0"/>
          <w:numId w:val="1"/>
        </w:numPr>
        <w:kinsoku/>
        <w:wordWrap/>
        <w:overflowPunct/>
        <w:topLinePunct w:val="0"/>
        <w:autoSpaceDE/>
        <w:autoSpaceDN/>
        <w:bidi w:val="0"/>
        <w:adjustRightInd/>
        <w:snapToGrid/>
        <w:spacing w:before="0" w:beforeAutospacing="1" w:after="0" w:afterAutospacing="1" w:line="360" w:lineRule="exact"/>
        <w:ind w:left="720" w:hanging="360"/>
        <w:textAlignment w:val="auto"/>
      </w:pPr>
      <w:r>
        <w:rPr>
          <w:rFonts w:hint="eastAsia"/>
          <w:b/>
          <w:bCs/>
          <w:lang w:val="en-US" w:eastAsia="zh-CN"/>
        </w:rPr>
        <w:t>报价截止与评审时间</w:t>
      </w:r>
      <w:r>
        <w:rPr>
          <w:rFonts w:hint="eastAsia"/>
          <w:lang w:val="en-US" w:eastAsia="zh-CN"/>
        </w:rPr>
        <w:t>：2026年3月20日9：30（北京时间）</w:t>
      </w:r>
    </w:p>
    <w:p w14:paraId="696D82AA">
      <w:pPr>
        <w:pageBreakBefore w:val="0"/>
        <w:widowControl w:val="0"/>
        <w:numPr>
          <w:ilvl w:val="0"/>
          <w:numId w:val="1"/>
        </w:numPr>
        <w:kinsoku/>
        <w:wordWrap/>
        <w:overflowPunct/>
        <w:topLinePunct w:val="0"/>
        <w:autoSpaceDE/>
        <w:autoSpaceDN/>
        <w:bidi w:val="0"/>
        <w:adjustRightInd/>
        <w:snapToGrid/>
        <w:spacing w:before="0" w:beforeAutospacing="1" w:after="0" w:afterAutospacing="1" w:line="360" w:lineRule="exact"/>
        <w:ind w:left="720" w:hanging="360"/>
        <w:textAlignment w:val="auto"/>
      </w:pPr>
      <w:r>
        <w:rPr>
          <w:rFonts w:hint="eastAsia"/>
          <w:b/>
          <w:bCs/>
          <w:lang w:val="en-US" w:eastAsia="zh-CN"/>
        </w:rPr>
        <w:t>评审地点</w:t>
      </w:r>
      <w:r>
        <w:rPr>
          <w:rFonts w:hint="eastAsia"/>
          <w:lang w:val="en-US" w:eastAsia="zh-CN"/>
        </w:rPr>
        <w:t>：江苏索普（集团）有限公司评审中心</w:t>
      </w:r>
    </w:p>
    <w:p w14:paraId="57A490E9">
      <w:pPr>
        <w:pageBreakBefore w:val="0"/>
        <w:widowControl w:val="0"/>
        <w:numPr>
          <w:ilvl w:val="0"/>
          <w:numId w:val="1"/>
        </w:numPr>
        <w:kinsoku/>
        <w:wordWrap/>
        <w:overflowPunct/>
        <w:topLinePunct w:val="0"/>
        <w:autoSpaceDE/>
        <w:autoSpaceDN/>
        <w:bidi w:val="0"/>
        <w:adjustRightInd/>
        <w:snapToGrid/>
        <w:spacing w:before="0" w:beforeAutospacing="1" w:after="0" w:afterAutospacing="1" w:line="360" w:lineRule="exact"/>
        <w:ind w:left="720" w:hanging="360"/>
        <w:textAlignment w:val="auto"/>
      </w:pPr>
      <w:r>
        <w:rPr>
          <w:rFonts w:hint="eastAsia"/>
          <w:b/>
          <w:lang w:val="en-US" w:eastAsia="zh-CN"/>
        </w:rPr>
        <w:t>公示</w:t>
      </w:r>
      <w:r>
        <w:rPr>
          <w:b/>
        </w:rPr>
        <w:t>查询</w:t>
      </w:r>
      <w:r>
        <w:t>：</w:t>
      </w:r>
      <w:r>
        <w:rPr>
          <w:rFonts w:hint="eastAsia"/>
          <w:lang w:val="en-US" w:eastAsia="zh-CN"/>
        </w:rPr>
        <w:t>ww</w:t>
      </w:r>
      <w:r>
        <w:t>w.sopo.com.cn</w:t>
      </w:r>
    </w:p>
    <w:p w14:paraId="76821092">
      <w:pPr>
        <w:pStyle w:val="5"/>
        <w:pageBreakBefore w:val="0"/>
        <w:widowControl w:val="0"/>
        <w:kinsoku/>
        <w:wordWrap/>
        <w:overflowPunct/>
        <w:topLinePunct w:val="0"/>
        <w:autoSpaceDE/>
        <w:autoSpaceDN/>
        <w:bidi w:val="0"/>
        <w:adjustRightInd/>
        <w:snapToGrid/>
        <w:spacing w:line="360" w:lineRule="exact"/>
        <w:textAlignment w:val="auto"/>
      </w:pPr>
      <w:r>
        <w:t>二、采购</w:t>
      </w:r>
      <w:r>
        <w:rPr>
          <w:rFonts w:hint="eastAsia"/>
          <w:lang w:val="en-US" w:eastAsia="zh-CN"/>
        </w:rPr>
        <w:t>服务</w:t>
      </w:r>
      <w:r>
        <w:t>内容及要求</w:t>
      </w:r>
    </w:p>
    <w:p w14:paraId="016C0CE1">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lang w:val="en-US" w:eastAsia="zh-CN"/>
        </w:rPr>
      </w:pPr>
      <w:r>
        <w:rPr>
          <w:rFonts w:hint="eastAsia"/>
          <w:lang w:val="en-US" w:eastAsia="zh-CN"/>
        </w:rPr>
        <w:t>1.承运货物：PE发泡母粒或PE交联母粒，属于普通货物。</w:t>
      </w:r>
    </w:p>
    <w:p w14:paraId="64D77A45">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lang w:val="en-US" w:eastAsia="zh-CN"/>
        </w:rPr>
      </w:pPr>
      <w:r>
        <w:rPr>
          <w:rFonts w:hint="eastAsia"/>
          <w:lang w:val="en-US" w:eastAsia="zh-CN"/>
        </w:rPr>
        <w:t>2.装货地点：江苏索普化工股份有限公司硫化事业部仓库。</w:t>
      </w:r>
    </w:p>
    <w:p w14:paraId="561BF4B9">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lang w:val="en-US" w:eastAsia="zh-CN"/>
        </w:rPr>
      </w:pPr>
      <w:r>
        <w:rPr>
          <w:rFonts w:hint="eastAsia"/>
          <w:lang w:val="en-US" w:eastAsia="zh-CN"/>
        </w:rPr>
        <w:t>3.卸货地点：上海宝山、上海浦东采购方指定仓库。</w:t>
      </w:r>
    </w:p>
    <w:p w14:paraId="7F2949B7">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lang w:val="en-US" w:eastAsia="zh-CN"/>
        </w:rPr>
      </w:pPr>
      <w:r>
        <w:rPr>
          <w:rFonts w:hint="eastAsia"/>
          <w:lang w:val="en-US" w:eastAsia="zh-CN"/>
        </w:rPr>
        <w:t>4.任务量：约1000吨/年，以实际发生数量为准。</w:t>
      </w:r>
    </w:p>
    <w:p w14:paraId="72815970">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lang w:val="en-US" w:eastAsia="zh-CN"/>
        </w:rPr>
      </w:pPr>
      <w:r>
        <w:rPr>
          <w:rFonts w:hint="eastAsia"/>
          <w:lang w:val="en-US" w:eastAsia="zh-CN"/>
        </w:rPr>
        <w:t>5.合同期从2026年4月1日至2027年3月31日，期满双方均无异议合同可续签一年。</w:t>
      </w:r>
    </w:p>
    <w:p w14:paraId="3C06393A">
      <w:pPr>
        <w:pStyle w:val="6"/>
        <w:pageBreakBefore w:val="0"/>
        <w:widowControl w:val="0"/>
        <w:kinsoku/>
        <w:wordWrap/>
        <w:overflowPunct/>
        <w:topLinePunct w:val="0"/>
        <w:autoSpaceDE/>
        <w:autoSpaceDN/>
        <w:bidi w:val="0"/>
        <w:adjustRightInd/>
        <w:snapToGrid/>
        <w:spacing w:line="360" w:lineRule="exact"/>
        <w:textAlignment w:val="auto"/>
      </w:pPr>
      <w:r>
        <w:rPr>
          <w:rFonts w:hint="eastAsia" w:eastAsia="宋体"/>
          <w:lang w:val="en-US" w:eastAsia="zh-CN"/>
        </w:rPr>
        <w:t>三、报价</w:t>
      </w:r>
      <w:r>
        <w:t>资质</w:t>
      </w:r>
      <w:r>
        <w:rPr>
          <w:rFonts w:hint="eastAsia" w:eastAsia="宋体"/>
          <w:lang w:val="en-US" w:eastAsia="zh-CN"/>
        </w:rPr>
        <w:t>要求</w:t>
      </w:r>
    </w:p>
    <w:p w14:paraId="5760234A">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lang w:val="en-US" w:eastAsia="zh-CN"/>
        </w:rPr>
      </w:pPr>
      <w:r>
        <w:rPr>
          <w:rFonts w:hint="eastAsia"/>
          <w:lang w:val="en-US" w:eastAsia="zh-CN"/>
        </w:rPr>
        <w:t>1.报价时请提供在有效期内的《营业执照》、《道路运输许可证》复印件；</w:t>
      </w:r>
    </w:p>
    <w:p w14:paraId="511ADE24">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lang w:val="en-US" w:eastAsia="zh-CN"/>
        </w:rPr>
      </w:pPr>
      <w:r>
        <w:rPr>
          <w:rFonts w:hint="eastAsia"/>
          <w:lang w:val="en-US" w:eastAsia="zh-CN"/>
        </w:rPr>
        <w:t>2.不接受被列入失信被执行人、重大违法案件当事人报价；</w:t>
      </w:r>
    </w:p>
    <w:p w14:paraId="36281B08">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lang w:val="en-US" w:eastAsia="zh-CN"/>
        </w:rPr>
      </w:pPr>
      <w:r>
        <w:rPr>
          <w:rFonts w:hint="eastAsia"/>
          <w:lang w:val="en-US" w:eastAsia="zh-CN"/>
        </w:rPr>
        <w:t>3.报价人应具备良好的运输服务品质与服务态度，提供7×24小时服务，具备流畅的信息沟通渠道；</w:t>
      </w:r>
    </w:p>
    <w:p w14:paraId="549F10A4">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lang w:val="en-US" w:eastAsia="zh-CN"/>
        </w:rPr>
      </w:pPr>
      <w:r>
        <w:rPr>
          <w:rFonts w:hint="eastAsia"/>
          <w:lang w:val="en-US" w:eastAsia="zh-CN"/>
        </w:rPr>
        <w:t>4.报价人必须拥有具备合法手续、安全有效的车辆，车型要求为：为15-30吨普通货物栏板运输车辆、或普通货物翼开启箱式运输车辆、或车厢可以侧开的普通货物厢式货车等，不接受使用集装箱车辆执行运输计划，栏板车须自带篷布覆盖防水，车辆尾气排放必须满足国五及以上标准。</w:t>
      </w:r>
    </w:p>
    <w:p w14:paraId="5D3EF937">
      <w:pPr>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ÎSå" w:cs="Times New Roman"/>
          <w:b/>
          <w:color w:val="000000"/>
          <w:sz w:val="32"/>
          <w:szCs w:val="32"/>
          <w:lang w:val="en-US" w:eastAsia="zh-CN" w:bidi="ar-SA"/>
        </w:rPr>
      </w:pPr>
    </w:p>
    <w:p w14:paraId="28D1F2DA">
      <w:pPr>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ÎSå" w:cs="Times New Roman"/>
          <w:b/>
          <w:color w:val="000000"/>
          <w:sz w:val="32"/>
          <w:szCs w:val="32"/>
          <w:lang w:val="zh-CN" w:eastAsia="zh-CN" w:bidi="ar-SA"/>
        </w:rPr>
      </w:pPr>
      <w:r>
        <w:rPr>
          <w:rFonts w:hint="eastAsia" w:ascii="Times New Roman" w:hAnsi="Times New Roman" w:eastAsia="‹ÎSå" w:cs="Times New Roman"/>
          <w:b/>
          <w:color w:val="000000"/>
          <w:sz w:val="32"/>
          <w:szCs w:val="32"/>
          <w:lang w:val="en-US" w:eastAsia="zh-CN" w:bidi="ar-SA"/>
        </w:rPr>
        <w:t>四、运输</w:t>
      </w:r>
      <w:r>
        <w:rPr>
          <w:rFonts w:hint="eastAsia" w:ascii="Times New Roman" w:hAnsi="Times New Roman" w:eastAsia="‹ÎSå" w:cs="Times New Roman"/>
          <w:b/>
          <w:color w:val="000000"/>
          <w:sz w:val="32"/>
          <w:szCs w:val="32"/>
          <w:lang w:val="zh-CN" w:eastAsia="zh-CN" w:bidi="ar-SA"/>
        </w:rPr>
        <w:t>要求</w:t>
      </w:r>
    </w:p>
    <w:p w14:paraId="1E81FE63">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lang w:val="en-US" w:eastAsia="zh-CN"/>
        </w:rPr>
      </w:pPr>
    </w:p>
    <w:p w14:paraId="3EB04CE4">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eastAsia="宋体" w:cs="Times New Roman"/>
          <w:b w:val="0"/>
          <w:bCs w:val="0"/>
          <w:color w:val="000000"/>
          <w:sz w:val="21"/>
          <w:szCs w:val="24"/>
          <w:lang w:val="en-US" w:eastAsia="zh-CN" w:bidi="ar-SA"/>
        </w:rPr>
      </w:pPr>
      <w:r>
        <w:rPr>
          <w:rFonts w:hint="eastAsia"/>
          <w:lang w:val="en-US" w:eastAsia="zh-CN"/>
        </w:rPr>
        <w:t>1.</w:t>
      </w:r>
      <w:r>
        <w:rPr>
          <w:rFonts w:hint="eastAsia" w:ascii="Times New Roman" w:hAnsi="Times New Roman" w:eastAsia="宋体" w:cs="Times New Roman"/>
          <w:b w:val="0"/>
          <w:bCs w:val="0"/>
          <w:color w:val="000000"/>
          <w:sz w:val="21"/>
          <w:szCs w:val="24"/>
          <w:lang w:val="en-US" w:eastAsia="zh-CN" w:bidi="ar-SA"/>
        </w:rPr>
        <w:t>成交人必须根据我公司运输计划要求提供送货车型，安全、及时的完成各项指定运输任务。</w:t>
      </w:r>
    </w:p>
    <w:p w14:paraId="62EAD8D5">
      <w:pPr>
        <w:pStyle w:val="5"/>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b w:val="0"/>
          <w:bCs w:val="0"/>
          <w:color w:val="000000"/>
          <w:sz w:val="21"/>
          <w:szCs w:val="24"/>
          <w:lang w:val="en-US" w:eastAsia="zh-CN" w:bidi="ar-SA"/>
        </w:rPr>
      </w:pPr>
      <w:r>
        <w:rPr>
          <w:rFonts w:hint="eastAsia" w:ascii="Times New Roman" w:hAnsi="Times New Roman" w:eastAsia="宋体" w:cs="Times New Roman"/>
          <w:b w:val="0"/>
          <w:bCs w:val="0"/>
          <w:color w:val="000000"/>
          <w:sz w:val="21"/>
          <w:szCs w:val="24"/>
          <w:lang w:val="en-US" w:eastAsia="zh-CN" w:bidi="ar-SA"/>
        </w:rPr>
        <w:t xml:space="preserve"> </w:t>
      </w:r>
      <w:r>
        <w:rPr>
          <w:rFonts w:hint="eastAsia" w:ascii="Times New Roman" w:hAnsi="Times New Roman" w:cs="Times New Roman"/>
          <w:b w:val="0"/>
          <w:bCs w:val="0"/>
          <w:color w:val="000000"/>
          <w:sz w:val="21"/>
          <w:szCs w:val="24"/>
          <w:lang w:val="en-US" w:eastAsia="zh-CN" w:bidi="ar-SA"/>
        </w:rPr>
        <w:t xml:space="preserve">  </w:t>
      </w:r>
      <w:r>
        <w:rPr>
          <w:rFonts w:hint="eastAsia" w:ascii="Times New Roman" w:hAnsi="Times New Roman" w:eastAsia="宋体" w:cs="Times New Roman"/>
          <w:b w:val="0"/>
          <w:bCs w:val="0"/>
          <w:color w:val="000000"/>
          <w:sz w:val="21"/>
          <w:szCs w:val="24"/>
          <w:lang w:val="en-US" w:eastAsia="zh-CN" w:bidi="ar-SA"/>
        </w:rPr>
        <w:t xml:space="preserve"> </w:t>
      </w:r>
      <w:r>
        <w:rPr>
          <w:rFonts w:hint="eastAsia" w:ascii="Times New Roman" w:hAnsi="Times New Roman" w:cs="Times New Roman"/>
          <w:b w:val="0"/>
          <w:bCs w:val="0"/>
          <w:color w:val="000000"/>
          <w:sz w:val="21"/>
          <w:szCs w:val="24"/>
          <w:lang w:val="en-US" w:eastAsia="zh-CN" w:bidi="ar-SA"/>
        </w:rPr>
        <w:t>2.</w:t>
      </w:r>
      <w:r>
        <w:rPr>
          <w:rFonts w:hint="eastAsia" w:ascii="Times New Roman" w:hAnsi="Times New Roman" w:eastAsia="宋体" w:cs="Times New Roman"/>
          <w:b w:val="0"/>
          <w:bCs w:val="0"/>
          <w:color w:val="000000"/>
          <w:sz w:val="21"/>
          <w:szCs w:val="24"/>
          <w:lang w:val="en-US" w:eastAsia="zh-CN" w:bidi="ar-SA"/>
        </w:rPr>
        <w:t>成交人必须遵守国家的法律法规和我公司的厂规厂纪，如有违反后果由承运方负责。</w:t>
      </w:r>
    </w:p>
    <w:p w14:paraId="4786A7A9">
      <w:pPr>
        <w:pStyle w:val="5"/>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eastAsia="宋体" w:cs="Times New Roman"/>
          <w:b w:val="0"/>
          <w:bCs w:val="0"/>
          <w:color w:val="000000"/>
          <w:sz w:val="21"/>
          <w:szCs w:val="24"/>
          <w:lang w:val="en-US" w:eastAsia="zh-CN" w:bidi="ar-SA"/>
        </w:rPr>
      </w:pPr>
      <w:r>
        <w:rPr>
          <w:rFonts w:hint="eastAsia" w:ascii="Times New Roman" w:hAnsi="Times New Roman" w:cs="Times New Roman"/>
          <w:b w:val="0"/>
          <w:bCs w:val="0"/>
          <w:color w:val="000000"/>
          <w:sz w:val="21"/>
          <w:szCs w:val="24"/>
          <w:lang w:val="en-US" w:eastAsia="zh-CN" w:bidi="ar-SA"/>
        </w:rPr>
        <w:t>3.</w:t>
      </w:r>
      <w:r>
        <w:rPr>
          <w:rFonts w:hint="eastAsia" w:ascii="Times New Roman" w:hAnsi="Times New Roman" w:eastAsia="宋体" w:cs="Times New Roman"/>
          <w:b w:val="0"/>
          <w:bCs w:val="0"/>
          <w:color w:val="000000"/>
          <w:sz w:val="21"/>
          <w:szCs w:val="24"/>
          <w:lang w:val="en-US" w:eastAsia="zh-CN" w:bidi="ar-SA"/>
        </w:rPr>
        <w:t>成交人负责购买货物保险，承担在运输途中产生的经济损失。</w:t>
      </w:r>
    </w:p>
    <w:p w14:paraId="05B04636">
      <w:pPr>
        <w:pStyle w:val="5"/>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b w:val="0"/>
          <w:bCs w:val="0"/>
          <w:color w:val="000000"/>
          <w:sz w:val="21"/>
          <w:szCs w:val="24"/>
          <w:lang w:val="en-US" w:eastAsia="zh-CN" w:bidi="ar-SA"/>
        </w:rPr>
      </w:pPr>
      <w:r>
        <w:rPr>
          <w:rFonts w:hint="eastAsia" w:ascii="Times New Roman" w:hAnsi="Times New Roman" w:eastAsia="宋体" w:cs="Times New Roman"/>
          <w:b w:val="0"/>
          <w:bCs w:val="0"/>
          <w:color w:val="000000"/>
          <w:sz w:val="21"/>
          <w:szCs w:val="24"/>
          <w:lang w:val="en-US" w:eastAsia="zh-CN" w:bidi="ar-SA"/>
        </w:rPr>
        <w:t xml:space="preserve"> </w:t>
      </w:r>
      <w:r>
        <w:rPr>
          <w:rFonts w:hint="eastAsia" w:ascii="Times New Roman" w:hAnsi="Times New Roman" w:cs="Times New Roman"/>
          <w:b w:val="0"/>
          <w:bCs w:val="0"/>
          <w:color w:val="000000"/>
          <w:sz w:val="21"/>
          <w:szCs w:val="24"/>
          <w:lang w:val="en-US" w:eastAsia="zh-CN" w:bidi="ar-SA"/>
        </w:rPr>
        <w:t xml:space="preserve">  </w:t>
      </w:r>
      <w:r>
        <w:rPr>
          <w:rFonts w:hint="eastAsia" w:ascii="Times New Roman" w:hAnsi="Times New Roman" w:eastAsia="宋体" w:cs="Times New Roman"/>
          <w:b w:val="0"/>
          <w:bCs w:val="0"/>
          <w:color w:val="000000"/>
          <w:sz w:val="21"/>
          <w:szCs w:val="24"/>
          <w:lang w:val="en-US" w:eastAsia="zh-CN" w:bidi="ar-SA"/>
        </w:rPr>
        <w:t xml:space="preserve"> </w:t>
      </w:r>
      <w:r>
        <w:rPr>
          <w:rFonts w:hint="eastAsia" w:ascii="Times New Roman" w:hAnsi="Times New Roman" w:cs="Times New Roman"/>
          <w:b w:val="0"/>
          <w:bCs w:val="0"/>
          <w:color w:val="000000"/>
          <w:sz w:val="21"/>
          <w:szCs w:val="24"/>
          <w:lang w:val="en-US" w:eastAsia="zh-CN" w:bidi="ar-SA"/>
        </w:rPr>
        <w:t>4.</w:t>
      </w:r>
      <w:r>
        <w:rPr>
          <w:rFonts w:hint="eastAsia" w:ascii="Times New Roman" w:hAnsi="Times New Roman" w:eastAsia="宋体" w:cs="Times New Roman"/>
          <w:b w:val="0"/>
          <w:bCs w:val="0"/>
          <w:color w:val="000000"/>
          <w:sz w:val="21"/>
          <w:szCs w:val="24"/>
          <w:lang w:val="en-US" w:eastAsia="zh-CN" w:bidi="ar-SA"/>
        </w:rPr>
        <w:t>成交人运输的货物完好无损送交目的地后，必须将签收证明带回保存。</w:t>
      </w:r>
    </w:p>
    <w:p w14:paraId="05A22A4D">
      <w:pPr>
        <w:pStyle w:val="5"/>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eastAsia="宋体" w:cs="Times New Roman"/>
          <w:b w:val="0"/>
          <w:bCs w:val="0"/>
          <w:color w:val="000000"/>
          <w:sz w:val="21"/>
          <w:szCs w:val="24"/>
          <w:lang w:val="en-US" w:eastAsia="zh-CN" w:bidi="ar-SA"/>
        </w:rPr>
      </w:pPr>
      <w:r>
        <w:rPr>
          <w:rFonts w:hint="eastAsia" w:ascii="Times New Roman" w:hAnsi="Times New Roman" w:cs="Times New Roman"/>
          <w:b w:val="0"/>
          <w:bCs w:val="0"/>
          <w:color w:val="000000"/>
          <w:sz w:val="21"/>
          <w:szCs w:val="24"/>
          <w:lang w:val="en-US" w:eastAsia="zh-CN" w:bidi="ar-SA"/>
        </w:rPr>
        <w:t>5.</w:t>
      </w:r>
      <w:r>
        <w:rPr>
          <w:rFonts w:hint="eastAsia" w:ascii="Times New Roman" w:hAnsi="Times New Roman" w:eastAsia="宋体" w:cs="Times New Roman"/>
          <w:b w:val="0"/>
          <w:bCs w:val="0"/>
          <w:color w:val="000000"/>
          <w:sz w:val="21"/>
          <w:szCs w:val="24"/>
          <w:lang w:val="en-US" w:eastAsia="zh-CN" w:bidi="ar-SA"/>
        </w:rPr>
        <w:t>计量及损耗：装货数以江苏索普化工股份有限公司提货单数量为准，如在运输中出现损耗由成交人负责赔偿。</w:t>
      </w:r>
    </w:p>
    <w:p w14:paraId="76168CE9">
      <w:pPr>
        <w:pStyle w:val="5"/>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eastAsia="宋体" w:cs="Times New Roman"/>
          <w:b w:val="0"/>
          <w:bCs w:val="0"/>
          <w:color w:val="000000"/>
          <w:sz w:val="21"/>
          <w:szCs w:val="24"/>
          <w:lang w:val="en-US" w:eastAsia="zh-CN" w:bidi="ar-SA"/>
        </w:rPr>
      </w:pPr>
      <w:r>
        <w:rPr>
          <w:rFonts w:hint="eastAsia" w:ascii="Times New Roman" w:hAnsi="Times New Roman" w:cs="Times New Roman"/>
          <w:b w:val="0"/>
          <w:bCs w:val="0"/>
          <w:color w:val="000000"/>
          <w:sz w:val="21"/>
          <w:szCs w:val="24"/>
          <w:lang w:val="en-US" w:eastAsia="zh-CN" w:bidi="ar-SA"/>
        </w:rPr>
        <w:t>6.</w:t>
      </w:r>
      <w:r>
        <w:rPr>
          <w:rFonts w:hint="eastAsia" w:ascii="Times New Roman" w:hAnsi="Times New Roman" w:eastAsia="宋体" w:cs="Times New Roman"/>
          <w:b w:val="0"/>
          <w:bCs w:val="0"/>
          <w:color w:val="000000"/>
          <w:sz w:val="21"/>
          <w:szCs w:val="24"/>
          <w:lang w:val="en-US" w:eastAsia="zh-CN" w:bidi="ar-SA"/>
        </w:rPr>
        <w:t>因运输方原因造成产品外包装破损、污渍、受潮等，需要返厂更换包装，承运单位须承担更换包装所产生的费用（10元/袋，30元/箱）。如包装受潮导致产品受潮结块，必须回生产系统处理，承运单位须承担800元/吨处理费用，上述费用均直接在运费中进行扣减。</w:t>
      </w:r>
    </w:p>
    <w:p w14:paraId="0551FADC">
      <w:pPr>
        <w:rPr>
          <w:rFonts w:hint="eastAsia" w:ascii="Cambria" w:hAnsi="Cambria" w:eastAsia="宋体" w:cs="Times New Roman"/>
          <w:b/>
          <w:bCs/>
          <w:color w:val="000000"/>
          <w:sz w:val="32"/>
          <w:szCs w:val="32"/>
          <w:lang w:val="en-US" w:eastAsia="zh-CN" w:bidi="ar-SA"/>
        </w:rPr>
      </w:pPr>
      <w:r>
        <w:rPr>
          <w:rFonts w:hint="eastAsia" w:ascii="Cambria" w:hAnsi="Cambria" w:eastAsia="宋体" w:cs="Times New Roman"/>
          <w:b/>
          <w:bCs/>
          <w:color w:val="000000"/>
          <w:sz w:val="32"/>
          <w:szCs w:val="32"/>
          <w:lang w:val="en-US" w:eastAsia="zh-CN" w:bidi="ar-SA"/>
        </w:rPr>
        <w:t>五、</w:t>
      </w:r>
      <w:r>
        <w:rPr>
          <w:rFonts w:hint="eastAsia" w:ascii="Cambria" w:hAnsi="Cambria" w:eastAsia="宋体" w:cs="Times New Roman"/>
          <w:b/>
          <w:bCs/>
          <w:color w:val="000000"/>
          <w:sz w:val="32"/>
          <w:szCs w:val="32"/>
          <w:lang w:val="en-US" w:eastAsia="zh-CN" w:bidi="ar-SA"/>
        </w:rPr>
        <w:t>安全环保要求</w:t>
      </w:r>
    </w:p>
    <w:p w14:paraId="2413C17A">
      <w:pPr>
        <w:pStyle w:val="2"/>
        <w:ind w:firstLine="420" w:firstLineChars="200"/>
        <w:rPr>
          <w:rFonts w:hint="default"/>
          <w:lang w:val="en-US" w:eastAsia="zh-CN"/>
        </w:rPr>
      </w:pPr>
      <w:r>
        <w:rPr>
          <w:rFonts w:hint="default"/>
          <w:lang w:val="en-US" w:eastAsia="zh-CN"/>
        </w:rPr>
        <w:t>1.</w:t>
      </w:r>
      <w:r>
        <w:rPr>
          <w:rFonts w:hint="eastAsia"/>
          <w:lang w:val="en-US" w:eastAsia="zh-CN"/>
        </w:rPr>
        <w:t>报价人</w:t>
      </w:r>
      <w:r>
        <w:rPr>
          <w:rFonts w:hint="default"/>
          <w:lang w:val="en-US" w:eastAsia="zh-CN"/>
        </w:rPr>
        <w:t>对运输过程的安全环保负有主体责任，人员从业资质必须符合国家关于</w:t>
      </w:r>
      <w:r>
        <w:rPr>
          <w:rFonts w:hint="eastAsia"/>
          <w:lang w:val="en-US" w:eastAsia="zh-CN"/>
        </w:rPr>
        <w:t>道路</w:t>
      </w:r>
      <w:r>
        <w:rPr>
          <w:rFonts w:hint="default"/>
          <w:lang w:val="en-US" w:eastAsia="zh-CN"/>
        </w:rPr>
        <w:t>运输的相关法律法规的要求。</w:t>
      </w:r>
    </w:p>
    <w:p w14:paraId="24F69A79">
      <w:pPr>
        <w:pStyle w:val="2"/>
        <w:ind w:firstLine="420" w:firstLineChars="200"/>
        <w:rPr>
          <w:rFonts w:hint="default"/>
          <w:lang w:val="en-US" w:eastAsia="zh-CN"/>
        </w:rPr>
      </w:pPr>
      <w:r>
        <w:rPr>
          <w:rFonts w:hint="default"/>
          <w:lang w:val="en-US" w:eastAsia="zh-CN"/>
        </w:rPr>
        <w:t>2.报价人必须建立完善的安全环保管理体系，对驾驶人员</w:t>
      </w:r>
      <w:r>
        <w:rPr>
          <w:rFonts w:hint="eastAsia"/>
          <w:lang w:val="en-US" w:eastAsia="zh-CN"/>
        </w:rPr>
        <w:t>等</w:t>
      </w:r>
      <w:r>
        <w:rPr>
          <w:rFonts w:hint="default"/>
          <w:lang w:val="en-US" w:eastAsia="zh-CN"/>
        </w:rPr>
        <w:t>从业人员进行安全教育和培训，建立健全相关安全环保管理制度，对车辆运输前、运输过程和运输后进行全过程安全环保检查与监控，确保车辆及安全设施完好，车辆检验符合要求。</w:t>
      </w:r>
    </w:p>
    <w:p w14:paraId="0147C6CC">
      <w:pPr>
        <w:pStyle w:val="2"/>
        <w:ind w:firstLine="420" w:firstLineChars="200"/>
        <w:rPr>
          <w:rFonts w:hint="default"/>
          <w:lang w:val="en-US" w:eastAsia="zh-CN"/>
        </w:rPr>
      </w:pPr>
      <w:r>
        <w:rPr>
          <w:rFonts w:hint="default"/>
          <w:lang w:val="en-US" w:eastAsia="zh-CN"/>
        </w:rPr>
        <w:t>3.报价人要对装卸和运输过程中可能存在的事故风险，制定运输安全环保事故应急救援预案，落实各项应急管控措施，并定期开展演练。要配备专门的管理人员负责对所管理的交通运输设施进行安全环保监管，定期对所管理的驾驶员、押运员进行安全环保教育培训，并留有记录。</w:t>
      </w:r>
    </w:p>
    <w:p w14:paraId="16768BEF">
      <w:pPr>
        <w:pStyle w:val="2"/>
        <w:ind w:firstLine="420" w:firstLineChars="200"/>
        <w:rPr>
          <w:rFonts w:hint="default"/>
          <w:lang w:val="en-US" w:eastAsia="zh-CN"/>
        </w:rPr>
      </w:pPr>
      <w:r>
        <w:rPr>
          <w:rFonts w:hint="default"/>
          <w:lang w:val="en-US" w:eastAsia="zh-CN"/>
        </w:rPr>
        <w:t>4.报价人要对车辆实时位置、车辆轨迹、车辆实时情况等运输全过程监控，按规定路线行驶，便于突发情况的快速应急救援。</w:t>
      </w:r>
    </w:p>
    <w:p w14:paraId="07EFE1C6">
      <w:pPr>
        <w:pStyle w:val="2"/>
        <w:ind w:firstLine="420" w:firstLineChars="200"/>
        <w:rPr>
          <w:rFonts w:hint="default"/>
          <w:lang w:val="en-US" w:eastAsia="zh-CN"/>
        </w:rPr>
      </w:pPr>
      <w:r>
        <w:rPr>
          <w:rFonts w:hint="default"/>
          <w:lang w:val="en-US" w:eastAsia="zh-CN"/>
        </w:rPr>
        <w:t>5.报价人使用的交通运输设施必须符合国家法律法规、江苏索普化工股份有限公司及装卸所在地部门的安全环保管理要求，应配置必要的安全防护与应急处置装置，如：灭火器、沙袋、急救药品等，并设置易于辨识的标志。</w:t>
      </w:r>
    </w:p>
    <w:p w14:paraId="14F8616E">
      <w:pPr>
        <w:pStyle w:val="2"/>
        <w:ind w:firstLine="420" w:firstLineChars="200"/>
        <w:rPr>
          <w:rFonts w:hint="default"/>
          <w:lang w:val="en-US" w:eastAsia="zh-CN"/>
        </w:rPr>
      </w:pPr>
      <w:r>
        <w:rPr>
          <w:rFonts w:hint="default"/>
          <w:lang w:val="en-US" w:eastAsia="zh-CN"/>
        </w:rPr>
        <w:t>6.报价人的驾驶员及交通运输设施在运输装卸作业过程中，应当遵守我公司及装卸所在地的规章制度，服从现场管理,接受检查与监督，不得无理拒绝、阻挠我公司及装卸所在地管理部门的检查，否则我公司及装卸所在地管理部门均有权现场勒令停止作业。</w:t>
      </w:r>
    </w:p>
    <w:p w14:paraId="326489C9">
      <w:pPr>
        <w:pStyle w:val="2"/>
        <w:ind w:firstLine="420" w:firstLineChars="200"/>
        <w:rPr>
          <w:rFonts w:hint="default"/>
          <w:lang w:val="en-US" w:eastAsia="zh-CN"/>
        </w:rPr>
      </w:pPr>
      <w:r>
        <w:rPr>
          <w:rFonts w:hint="default"/>
          <w:lang w:val="en-US" w:eastAsia="zh-CN"/>
        </w:rPr>
        <w:t>7.报价人须承担在我公司及装卸所在地从事运输装卸作业相关活动过程中的安全生产责任和环境保护责任，在运输装卸作业过程中，报价人对我公司及装卸所在地设施、设备造成损坏的，均应负责及时维修或更换，因此产生的费用由报价人承担。</w:t>
      </w:r>
    </w:p>
    <w:p w14:paraId="6FA5B7FC">
      <w:pPr>
        <w:pStyle w:val="2"/>
        <w:ind w:firstLine="420" w:firstLineChars="200"/>
        <w:rPr>
          <w:rFonts w:hint="default"/>
          <w:lang w:val="en-US" w:eastAsia="zh-CN"/>
        </w:rPr>
      </w:pPr>
      <w:r>
        <w:rPr>
          <w:rFonts w:hint="default"/>
          <w:lang w:val="en-US" w:eastAsia="zh-CN"/>
        </w:rPr>
        <w:t>8.报价人要按照我公司及装卸所在地部门的要求做好环保管控，防止“跑、冒、滴、漏”的情况发生。如果发生</w:t>
      </w:r>
      <w:r>
        <w:rPr>
          <w:rFonts w:hint="eastAsia"/>
          <w:lang w:val="en-US" w:eastAsia="zh-CN"/>
        </w:rPr>
        <w:t>安全环保事故</w:t>
      </w:r>
      <w:r>
        <w:rPr>
          <w:rFonts w:hint="default"/>
          <w:lang w:val="en-US" w:eastAsia="zh-CN"/>
        </w:rPr>
        <w:t>，必须第一时间按事故应急预案和国家相关规定进行处理和汇报，及时向</w:t>
      </w:r>
      <w:r>
        <w:rPr>
          <w:rFonts w:hint="eastAsia"/>
          <w:lang w:val="en-US" w:eastAsia="zh-CN"/>
        </w:rPr>
        <w:t>我公司</w:t>
      </w:r>
      <w:r>
        <w:rPr>
          <w:rFonts w:hint="default"/>
          <w:lang w:val="en-US" w:eastAsia="zh-CN"/>
        </w:rPr>
        <w:t>通报。</w:t>
      </w:r>
    </w:p>
    <w:p w14:paraId="2C61D4E3">
      <w:pPr>
        <w:pStyle w:val="2"/>
        <w:ind w:firstLine="420" w:firstLineChars="200"/>
        <w:rPr>
          <w:rFonts w:hint="default"/>
          <w:lang w:val="en-US" w:eastAsia="zh-CN"/>
        </w:rPr>
      </w:pPr>
      <w:r>
        <w:rPr>
          <w:rFonts w:hint="default"/>
          <w:lang w:val="en-US" w:eastAsia="zh-CN"/>
        </w:rPr>
        <w:t>9.在合同履行过程中，报价人在我公司区域外发生与我公司运输装卸作业相关的生产及安全事故后，报价人必须立即按照相关规定向有关主管部门报告，并及时向我公司通报，同时要积极组织对事故的抢险工作。</w:t>
      </w:r>
    </w:p>
    <w:p w14:paraId="1269B256">
      <w:pPr>
        <w:pStyle w:val="2"/>
        <w:ind w:firstLine="420" w:firstLineChars="200"/>
        <w:rPr>
          <w:rFonts w:hint="default"/>
          <w:lang w:val="en-US" w:eastAsia="zh-CN"/>
        </w:rPr>
      </w:pPr>
      <w:r>
        <w:rPr>
          <w:rFonts w:hint="default"/>
          <w:lang w:val="en-US" w:eastAsia="zh-CN"/>
        </w:rPr>
        <w:t>10.对涉及与我公司装卸运输作业有关的因报价人原因造成第三方人身伤害、财产损失或环境影响的,由报价人与第三方协商解决,但不得损害我公司利益，报价人应将相关协商与解决结果及时通报给我公司。</w:t>
      </w:r>
    </w:p>
    <w:p w14:paraId="7E91D100">
      <w:pPr>
        <w:pStyle w:val="5"/>
        <w:pageBreakBefore w:val="0"/>
        <w:widowControl w:val="0"/>
        <w:kinsoku/>
        <w:wordWrap/>
        <w:overflowPunct/>
        <w:topLinePunct w:val="0"/>
        <w:autoSpaceDE/>
        <w:autoSpaceDN/>
        <w:bidi w:val="0"/>
        <w:adjustRightInd/>
        <w:snapToGrid/>
        <w:spacing w:line="360" w:lineRule="exact"/>
        <w:textAlignment w:val="auto"/>
      </w:pPr>
      <w:r>
        <w:rPr>
          <w:rFonts w:hint="eastAsia"/>
          <w:lang w:val="en-US" w:eastAsia="zh-CN"/>
        </w:rPr>
        <w:t>六</w:t>
      </w:r>
      <w:r>
        <w:t>、报价要求</w:t>
      </w:r>
    </w:p>
    <w:p w14:paraId="74662129">
      <w:pPr>
        <w:pStyle w:val="6"/>
        <w:pageBreakBefore w:val="0"/>
        <w:widowControl w:val="0"/>
        <w:kinsoku/>
        <w:wordWrap/>
        <w:overflowPunct/>
        <w:topLinePunct w:val="0"/>
        <w:autoSpaceDE/>
        <w:autoSpaceDN/>
        <w:bidi w:val="0"/>
        <w:adjustRightInd/>
        <w:snapToGrid/>
        <w:spacing w:line="360" w:lineRule="exact"/>
        <w:textAlignment w:val="auto"/>
      </w:pPr>
      <w:r>
        <w:t>（一）报价方式</w:t>
      </w:r>
    </w:p>
    <w:p w14:paraId="7FE3353C">
      <w:pPr>
        <w:pStyle w:val="6"/>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eastAsia="宋体" w:cs="Times New Roman"/>
          <w:b w:val="0"/>
          <w:color w:val="000000"/>
          <w:sz w:val="21"/>
          <w:szCs w:val="24"/>
          <w:lang w:val="en-US" w:eastAsia="zh-CN" w:bidi="ar-SA"/>
        </w:rPr>
      </w:pPr>
      <w:r>
        <w:rPr>
          <w:rFonts w:hint="eastAsia" w:ascii="Times New Roman" w:hAnsi="Times New Roman" w:eastAsia="宋体" w:cs="Times New Roman"/>
          <w:b w:val="0"/>
          <w:color w:val="000000"/>
          <w:sz w:val="21"/>
          <w:szCs w:val="24"/>
          <w:lang w:val="en-US" w:eastAsia="zh-CN" w:bidi="ar-SA"/>
        </w:rPr>
        <w:t>1.本次询价根据附件“报价单”上所列送货地点报价，报价须包含承运该运输任务的一切费用，包括：保险费（车辆、货物保险）、油费、路桥费、目的地仓库进场费、人员工资、设备折旧、力资费、合理利润、税费等进行合并报价。凡遗漏工作量，以报价为准，合同期内不予增补相关费用。</w:t>
      </w:r>
    </w:p>
    <w:p w14:paraId="395A119D">
      <w:pPr>
        <w:rPr>
          <w:rFonts w:hint="default"/>
          <w:lang w:val="en-US" w:eastAsia="zh-CN"/>
        </w:rPr>
      </w:pPr>
      <w:r>
        <w:rPr>
          <w:rFonts w:hint="eastAsia" w:cs="Times New Roman"/>
          <w:b w:val="0"/>
          <w:color w:val="000000"/>
          <w:sz w:val="21"/>
          <w:szCs w:val="24"/>
          <w:lang w:val="en-US" w:eastAsia="zh-CN" w:bidi="ar-SA"/>
        </w:rPr>
        <w:t xml:space="preserve">   2.报价为含增值税价。如国家税率调整，按合同含税价格/（1+合同约定税率）*（1+国家规定的新税率）调整合同价格开具发票。</w:t>
      </w:r>
    </w:p>
    <w:p w14:paraId="6E64C763">
      <w:pPr>
        <w:pStyle w:val="6"/>
        <w:pageBreakBefore w:val="0"/>
        <w:widowControl w:val="0"/>
        <w:kinsoku/>
        <w:wordWrap/>
        <w:overflowPunct/>
        <w:topLinePunct w:val="0"/>
        <w:autoSpaceDE/>
        <w:autoSpaceDN/>
        <w:bidi w:val="0"/>
        <w:adjustRightInd/>
        <w:snapToGrid/>
        <w:spacing w:line="360" w:lineRule="exact"/>
        <w:textAlignment w:val="auto"/>
      </w:pPr>
      <w:r>
        <w:t>（二）付款方式</w:t>
      </w:r>
    </w:p>
    <w:p w14:paraId="26CF4469">
      <w:pPr>
        <w:pStyle w:val="6"/>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eastAsia="宋体" w:cs="Times New Roman"/>
          <w:b w:val="0"/>
          <w:color w:val="000000"/>
          <w:sz w:val="21"/>
          <w:szCs w:val="24"/>
          <w:lang w:val="en-US" w:eastAsia="zh-CN" w:bidi="ar-SA"/>
        </w:rPr>
      </w:pPr>
      <w:r>
        <w:rPr>
          <w:rFonts w:hint="eastAsia" w:ascii="Times New Roman" w:hAnsi="Times New Roman" w:eastAsia="宋体" w:cs="Times New Roman"/>
          <w:b w:val="0"/>
          <w:color w:val="000000"/>
          <w:sz w:val="21"/>
          <w:szCs w:val="24"/>
          <w:lang w:val="en-US" w:eastAsia="zh-CN" w:bidi="ar-SA"/>
        </w:rPr>
        <w:t>运输费用以承兑方式支付，一般情况下于收到增值税专用发票后一个月内付款。如报价人不接受我公司提出的付款方式，可在报价书中明确能够接受的付款方式及付款时间，评审时作为参考。</w:t>
      </w:r>
    </w:p>
    <w:p w14:paraId="0CBFDEEF">
      <w:pPr>
        <w:pStyle w:val="6"/>
        <w:pageBreakBefore w:val="0"/>
        <w:widowControl w:val="0"/>
        <w:kinsoku/>
        <w:wordWrap/>
        <w:overflowPunct/>
        <w:topLinePunct w:val="0"/>
        <w:autoSpaceDE/>
        <w:autoSpaceDN/>
        <w:bidi w:val="0"/>
        <w:adjustRightInd/>
        <w:snapToGrid/>
        <w:spacing w:line="360" w:lineRule="exact"/>
        <w:textAlignment w:val="auto"/>
      </w:pPr>
      <w:r>
        <w:t>（三）报价提交方式</w:t>
      </w:r>
    </w:p>
    <w:p w14:paraId="12F2DE97">
      <w:pPr>
        <w:pageBreakBefore w:val="0"/>
        <w:widowControl w:val="0"/>
        <w:numPr>
          <w:ilvl w:val="0"/>
          <w:numId w:val="0"/>
        </w:numPr>
        <w:kinsoku/>
        <w:wordWrap/>
        <w:overflowPunct/>
        <w:topLinePunct w:val="0"/>
        <w:autoSpaceDE/>
        <w:autoSpaceDN/>
        <w:bidi w:val="0"/>
        <w:adjustRightInd/>
        <w:snapToGrid/>
        <w:spacing w:before="0" w:beforeAutospacing="1" w:after="0" w:afterAutospacing="1" w:line="360" w:lineRule="exact"/>
        <w:ind w:firstLine="422" w:firstLineChars="200"/>
        <w:textAlignment w:val="auto"/>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6"/>
        <w:pageBreakBefore w:val="0"/>
        <w:widowControl w:val="0"/>
        <w:kinsoku/>
        <w:wordWrap/>
        <w:overflowPunct/>
        <w:topLinePunct w:val="0"/>
        <w:autoSpaceDE/>
        <w:autoSpaceDN/>
        <w:bidi w:val="0"/>
        <w:adjustRightInd/>
        <w:snapToGrid/>
        <w:spacing w:line="360" w:lineRule="exact"/>
        <w:textAlignment w:val="auto"/>
      </w:pPr>
      <w:r>
        <w:t>（四）送达地址及联系方式</w:t>
      </w:r>
    </w:p>
    <w:p w14:paraId="6AC27BF7">
      <w:pPr>
        <w:pageBreakBefore w:val="0"/>
        <w:widowControl w:val="0"/>
        <w:numPr>
          <w:ilvl w:val="0"/>
          <w:numId w:val="2"/>
        </w:numPr>
        <w:kinsoku/>
        <w:wordWrap/>
        <w:overflowPunct/>
        <w:topLinePunct w:val="0"/>
        <w:autoSpaceDE/>
        <w:autoSpaceDN/>
        <w:bidi w:val="0"/>
        <w:adjustRightInd/>
        <w:snapToGrid/>
        <w:spacing w:before="0" w:beforeAutospacing="1" w:after="0" w:afterAutospacing="1" w:line="360" w:lineRule="exact"/>
        <w:ind w:left="720" w:hanging="360"/>
        <w:textAlignment w:val="auto"/>
      </w:pPr>
      <w:r>
        <w:rPr>
          <w:b/>
        </w:rPr>
        <w:t>收件单位</w:t>
      </w:r>
      <w:r>
        <w:t>：江苏索普化工股份有限公司</w:t>
      </w:r>
      <w:r>
        <w:rPr>
          <w:rFonts w:hint="eastAsia"/>
          <w:lang w:val="en-US" w:eastAsia="zh-CN"/>
        </w:rPr>
        <w:t>供应保障部</w:t>
      </w:r>
    </w:p>
    <w:p w14:paraId="09A9996A">
      <w:pPr>
        <w:pageBreakBefore w:val="0"/>
        <w:widowControl w:val="0"/>
        <w:numPr>
          <w:ilvl w:val="0"/>
          <w:numId w:val="2"/>
        </w:numPr>
        <w:kinsoku/>
        <w:wordWrap/>
        <w:overflowPunct/>
        <w:topLinePunct w:val="0"/>
        <w:autoSpaceDE/>
        <w:autoSpaceDN/>
        <w:bidi w:val="0"/>
        <w:adjustRightInd/>
        <w:snapToGrid/>
        <w:spacing w:before="0" w:beforeAutospacing="1" w:after="0" w:afterAutospacing="1" w:line="360" w:lineRule="exact"/>
        <w:ind w:left="720" w:hanging="360"/>
        <w:textAlignment w:val="auto"/>
      </w:pPr>
      <w:r>
        <w:rPr>
          <w:b/>
        </w:rPr>
        <w:t>地</w:t>
      </w:r>
      <w:r>
        <w:rPr>
          <w:rFonts w:hint="eastAsia"/>
          <w:b/>
          <w:lang w:val="en-US" w:eastAsia="zh-CN"/>
        </w:rPr>
        <w:t xml:space="preserve">    </w:t>
      </w:r>
      <w:r>
        <w:rPr>
          <w:b/>
        </w:rPr>
        <w:t>址</w:t>
      </w:r>
      <w:r>
        <w:t>：江苏省镇江市京口区求索路101号（邮编：212006）</w:t>
      </w:r>
    </w:p>
    <w:p w14:paraId="14CC59C7">
      <w:pPr>
        <w:pageBreakBefore w:val="0"/>
        <w:widowControl w:val="0"/>
        <w:numPr>
          <w:ilvl w:val="0"/>
          <w:numId w:val="2"/>
        </w:numPr>
        <w:kinsoku/>
        <w:wordWrap/>
        <w:overflowPunct/>
        <w:topLinePunct w:val="0"/>
        <w:autoSpaceDE/>
        <w:autoSpaceDN/>
        <w:bidi w:val="0"/>
        <w:adjustRightInd/>
        <w:snapToGrid/>
        <w:spacing w:before="0" w:beforeAutospacing="1" w:after="0" w:afterAutospacing="1" w:line="360" w:lineRule="exact"/>
        <w:ind w:left="720" w:hanging="360"/>
        <w:textAlignment w:val="auto"/>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张翊庭</w:t>
      </w:r>
      <w:r>
        <w:t>，电话：</w:t>
      </w:r>
      <w:r>
        <w:rPr>
          <w:rFonts w:hint="eastAsia"/>
          <w:lang w:val="en-US" w:eastAsia="zh-CN"/>
        </w:rPr>
        <w:t>15896351123</w:t>
      </w:r>
    </w:p>
    <w:p w14:paraId="46E1F8B6">
      <w:pPr>
        <w:pStyle w:val="6"/>
        <w:pageBreakBefore w:val="0"/>
        <w:widowControl w:val="0"/>
        <w:kinsoku/>
        <w:wordWrap/>
        <w:overflowPunct/>
        <w:topLinePunct w:val="0"/>
        <w:autoSpaceDE/>
        <w:autoSpaceDN/>
        <w:bidi w:val="0"/>
        <w:adjustRightInd/>
        <w:snapToGrid/>
        <w:spacing w:line="360" w:lineRule="exact"/>
        <w:textAlignment w:val="auto"/>
      </w:pPr>
      <w:r>
        <w:t>（五）疑问咨询</w:t>
      </w:r>
    </w:p>
    <w:p w14:paraId="20BA2C34">
      <w:pPr>
        <w:pageBreakBefore w:val="0"/>
        <w:widowControl w:val="0"/>
        <w:numPr>
          <w:ilvl w:val="0"/>
          <w:numId w:val="3"/>
        </w:numPr>
        <w:kinsoku/>
        <w:wordWrap/>
        <w:overflowPunct/>
        <w:topLinePunct w:val="0"/>
        <w:autoSpaceDE/>
        <w:autoSpaceDN/>
        <w:bidi w:val="0"/>
        <w:adjustRightInd/>
        <w:snapToGrid/>
        <w:spacing w:before="0" w:beforeAutospacing="1" w:after="0" w:afterAutospacing="1" w:line="360" w:lineRule="exact"/>
        <w:ind w:left="720" w:hanging="360"/>
        <w:textAlignment w:val="auto"/>
      </w:pPr>
      <w:r>
        <w:rPr>
          <w:rFonts w:hint="eastAsia"/>
          <w:b/>
          <w:lang w:val="en-US" w:eastAsia="zh-CN"/>
        </w:rPr>
        <w:t>报价</w:t>
      </w:r>
      <w:r>
        <w:rPr>
          <w:b/>
        </w:rPr>
        <w:t>联系人</w:t>
      </w:r>
      <w:r>
        <w:t>：</w:t>
      </w:r>
      <w:r>
        <w:rPr>
          <w:rFonts w:hint="eastAsia"/>
          <w:lang w:val="en-US" w:eastAsia="zh-CN"/>
        </w:rPr>
        <w:t>张翊庭 15896351123</w:t>
      </w:r>
      <w:r>
        <w:rPr>
          <w:rFonts w:hint="eastAsia"/>
          <w:lang w:eastAsia="zh-CN"/>
        </w:rPr>
        <w:t>（</w:t>
      </w:r>
      <w:r>
        <w:rPr>
          <w:rFonts w:hint="eastAsia"/>
          <w:lang w:val="en-US" w:eastAsia="zh-CN"/>
        </w:rPr>
        <w:t>详情咨询</w:t>
      </w:r>
      <w:r>
        <w:rPr>
          <w:rFonts w:hint="eastAsia"/>
          <w:lang w:eastAsia="zh-CN"/>
        </w:rPr>
        <w:t>）</w:t>
      </w:r>
    </w:p>
    <w:p w14:paraId="7A111C8A">
      <w:pPr>
        <w:pageBreakBefore w:val="0"/>
        <w:widowControl w:val="0"/>
        <w:numPr>
          <w:ilvl w:val="0"/>
          <w:numId w:val="3"/>
        </w:numPr>
        <w:kinsoku/>
        <w:wordWrap/>
        <w:overflowPunct/>
        <w:topLinePunct w:val="0"/>
        <w:autoSpaceDE/>
        <w:autoSpaceDN/>
        <w:bidi w:val="0"/>
        <w:adjustRightInd/>
        <w:snapToGrid/>
        <w:spacing w:before="0" w:beforeAutospacing="1" w:after="0" w:afterAutospacing="1" w:line="360" w:lineRule="exact"/>
        <w:ind w:left="720" w:hanging="360"/>
        <w:textAlignment w:val="auto"/>
      </w:pPr>
      <w:r>
        <w:rPr>
          <w:rFonts w:hint="eastAsia"/>
          <w:b/>
          <w:lang w:val="en-US" w:eastAsia="zh-CN"/>
        </w:rPr>
        <w:t>部门负责人</w:t>
      </w:r>
      <w:r>
        <w:t>：</w:t>
      </w:r>
      <w:r>
        <w:rPr>
          <w:rFonts w:hint="eastAsia"/>
          <w:lang w:val="en-US" w:eastAsia="zh-CN"/>
        </w:rPr>
        <w:t xml:space="preserve">解  云 </w:t>
      </w:r>
      <w:r>
        <w:rPr>
          <w:rFonts w:hint="eastAsia"/>
        </w:rPr>
        <w:t>13913442555</w:t>
      </w:r>
    </w:p>
    <w:p w14:paraId="14247EF0">
      <w:pPr>
        <w:pStyle w:val="5"/>
        <w:pageBreakBefore w:val="0"/>
        <w:widowControl w:val="0"/>
        <w:kinsoku/>
        <w:wordWrap/>
        <w:overflowPunct/>
        <w:topLinePunct w:val="0"/>
        <w:autoSpaceDE/>
        <w:autoSpaceDN/>
        <w:bidi w:val="0"/>
        <w:adjustRightInd/>
        <w:snapToGrid/>
        <w:spacing w:line="360" w:lineRule="exact"/>
        <w:textAlignment w:val="auto"/>
      </w:pPr>
      <w:r>
        <w:rPr>
          <w:rFonts w:hint="eastAsia"/>
          <w:lang w:val="en-US" w:eastAsia="zh-CN"/>
        </w:rPr>
        <w:t>五</w:t>
      </w:r>
      <w:r>
        <w:t>、评审流程</w:t>
      </w:r>
    </w:p>
    <w:p w14:paraId="31F18230">
      <w:pPr>
        <w:pageBreakBefore w:val="0"/>
        <w:widowControl w:val="0"/>
        <w:numPr>
          <w:ilvl w:val="0"/>
          <w:numId w:val="4"/>
        </w:numPr>
        <w:kinsoku/>
        <w:wordWrap/>
        <w:overflowPunct/>
        <w:topLinePunct w:val="0"/>
        <w:autoSpaceDE/>
        <w:autoSpaceDN/>
        <w:bidi w:val="0"/>
        <w:adjustRightInd/>
        <w:snapToGrid/>
        <w:spacing w:before="0" w:beforeAutospacing="1" w:after="0" w:afterAutospacing="1" w:line="360" w:lineRule="exact"/>
        <w:ind w:left="720" w:hanging="360"/>
        <w:textAlignment w:val="auto"/>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pageBreakBefore w:val="0"/>
        <w:widowControl w:val="0"/>
        <w:numPr>
          <w:ilvl w:val="0"/>
          <w:numId w:val="4"/>
        </w:numPr>
        <w:kinsoku/>
        <w:wordWrap/>
        <w:overflowPunct/>
        <w:topLinePunct w:val="0"/>
        <w:autoSpaceDE/>
        <w:autoSpaceDN/>
        <w:bidi w:val="0"/>
        <w:adjustRightInd/>
        <w:snapToGrid/>
        <w:spacing w:before="0" w:beforeAutospacing="1" w:after="0" w:afterAutospacing="1" w:line="360" w:lineRule="exact"/>
        <w:ind w:left="720" w:hanging="360"/>
        <w:textAlignment w:val="auto"/>
      </w:pPr>
      <w:r>
        <w:rPr>
          <w:b/>
        </w:rPr>
        <w:t>评定标准</w:t>
      </w:r>
      <w:r>
        <w:t>：满足技术及供货期要求的供应商中，</w:t>
      </w:r>
      <w:r>
        <w:rPr>
          <w:rFonts w:hint="eastAsia"/>
          <w:lang w:val="en-US" w:eastAsia="zh-CN"/>
        </w:rPr>
        <w:t>总价</w:t>
      </w:r>
      <w:r>
        <w:t>最低者为成交候选人。</w:t>
      </w:r>
    </w:p>
    <w:p w14:paraId="3F9E105C">
      <w:pPr>
        <w:pageBreakBefore w:val="0"/>
        <w:widowControl w:val="0"/>
        <w:numPr>
          <w:ilvl w:val="0"/>
          <w:numId w:val="4"/>
        </w:numPr>
        <w:kinsoku/>
        <w:wordWrap/>
        <w:overflowPunct/>
        <w:topLinePunct w:val="0"/>
        <w:autoSpaceDE/>
        <w:autoSpaceDN/>
        <w:bidi w:val="0"/>
        <w:adjustRightInd/>
        <w:snapToGrid/>
        <w:spacing w:before="0" w:beforeAutospacing="1" w:after="0" w:afterAutospacing="1" w:line="360" w:lineRule="exact"/>
        <w:ind w:left="720" w:hanging="360"/>
        <w:textAlignment w:val="auto"/>
      </w:pPr>
      <w:r>
        <w:rPr>
          <w:b/>
        </w:rPr>
        <w:t>询价废止</w:t>
      </w:r>
      <w:r>
        <w:t>：存在串通报价等违规行为的，作废并列入供应商负面清单。</w:t>
      </w:r>
    </w:p>
    <w:p w14:paraId="7C9B8AF9">
      <w:pPr>
        <w:pageBreakBefore w:val="0"/>
        <w:widowControl w:val="0"/>
        <w:numPr>
          <w:ilvl w:val="0"/>
          <w:numId w:val="4"/>
        </w:numPr>
        <w:kinsoku/>
        <w:wordWrap/>
        <w:overflowPunct/>
        <w:topLinePunct w:val="0"/>
        <w:autoSpaceDE/>
        <w:autoSpaceDN/>
        <w:bidi w:val="0"/>
        <w:adjustRightInd/>
        <w:snapToGrid/>
        <w:spacing w:before="0" w:beforeAutospacing="1" w:after="0" w:afterAutospacing="1" w:line="360" w:lineRule="exact"/>
        <w:ind w:left="720" w:hanging="360"/>
        <w:textAlignment w:val="auto"/>
      </w:pPr>
      <w:r>
        <w:rPr>
          <w:b/>
        </w:rPr>
        <w:t>无效报价</w:t>
      </w:r>
      <w:r>
        <w:t>：资质不全、报价空项、不符合技术要求、价格明显偏离市场的，作无效处理。</w:t>
      </w:r>
    </w:p>
    <w:p w14:paraId="797A2A8A">
      <w:pPr>
        <w:pStyle w:val="5"/>
        <w:pageBreakBefore w:val="0"/>
        <w:widowControl w:val="0"/>
        <w:kinsoku/>
        <w:wordWrap/>
        <w:overflowPunct/>
        <w:topLinePunct w:val="0"/>
        <w:autoSpaceDE/>
        <w:autoSpaceDN/>
        <w:bidi w:val="0"/>
        <w:adjustRightInd/>
        <w:snapToGrid/>
        <w:spacing w:line="360" w:lineRule="exact"/>
        <w:textAlignment w:val="auto"/>
      </w:pPr>
      <w:r>
        <w:rPr>
          <w:rFonts w:hint="eastAsia"/>
          <w:lang w:val="en-US" w:eastAsia="zh-CN"/>
        </w:rPr>
        <w:t>六</w:t>
      </w:r>
      <w:r>
        <w:t>、违约责任</w:t>
      </w:r>
    </w:p>
    <w:p w14:paraId="7673E5BC">
      <w:pPr>
        <w:pStyle w:val="5"/>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b w:val="0"/>
          <w:bCs w:val="0"/>
          <w:color w:val="000000"/>
          <w:sz w:val="21"/>
          <w:szCs w:val="24"/>
          <w:lang w:val="en-US" w:eastAsia="zh-CN" w:bidi="ar-SA"/>
        </w:rPr>
      </w:pPr>
      <w:r>
        <w:rPr>
          <w:rFonts w:hint="eastAsia" w:ascii="Times New Roman" w:hAnsi="Times New Roman" w:cs="Times New Roman"/>
          <w:b w:val="0"/>
          <w:bCs w:val="0"/>
          <w:color w:val="000000"/>
          <w:sz w:val="21"/>
          <w:szCs w:val="24"/>
          <w:lang w:val="en-US" w:eastAsia="zh-CN" w:bidi="ar-SA"/>
        </w:rPr>
        <w:t>1.成交人接到ADC销售处运输计划后，必须在24小时内安排车辆送货，特殊情况如：我公司遇检查、检修导致发货推迟时、客户单位要求推迟送货等导致无法按照计划送货时，我公司会及时通知成交人调整车辆运输时限，成交人应配合我公司进行运输调度。如成交人无故推迟送货，经核实后考核1000元/次，累计发生两次我公司有权终止合作，并列入我公司供应商负面清单。</w:t>
      </w:r>
    </w:p>
    <w:p w14:paraId="21FD0BF0">
      <w:pPr>
        <w:pStyle w:val="5"/>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b w:val="0"/>
          <w:bCs w:val="0"/>
          <w:color w:val="000000"/>
          <w:sz w:val="21"/>
          <w:szCs w:val="24"/>
          <w:lang w:val="en-US" w:eastAsia="zh-CN" w:bidi="ar-SA"/>
        </w:rPr>
      </w:pPr>
      <w:r>
        <w:rPr>
          <w:rFonts w:hint="eastAsia" w:ascii="Times New Roman" w:hAnsi="Times New Roman" w:cs="Times New Roman"/>
          <w:b w:val="0"/>
          <w:bCs w:val="0"/>
          <w:color w:val="000000"/>
          <w:sz w:val="21"/>
          <w:szCs w:val="24"/>
          <w:lang w:val="en-US" w:eastAsia="zh-CN" w:bidi="ar-SA"/>
        </w:rPr>
        <w:t>2.成交人在承运期间必须提供良好的服务，如我公司客户单位投诉成交人服务质量的，经核实考核1000元/次，累计发生两次我公司有权终止合作，并列入我公司供应商负面清单。</w:t>
      </w:r>
    </w:p>
    <w:p w14:paraId="3383663B">
      <w:pPr>
        <w:pStyle w:val="5"/>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b w:val="0"/>
          <w:bCs w:val="0"/>
          <w:color w:val="000000"/>
          <w:sz w:val="21"/>
          <w:szCs w:val="24"/>
          <w:lang w:val="en-US" w:eastAsia="zh-CN" w:bidi="ar-SA"/>
        </w:rPr>
      </w:pPr>
      <w:r>
        <w:rPr>
          <w:rFonts w:hint="eastAsia" w:ascii="Times New Roman" w:hAnsi="Times New Roman" w:cs="Times New Roman"/>
          <w:b w:val="0"/>
          <w:bCs w:val="0"/>
          <w:color w:val="000000"/>
          <w:sz w:val="21"/>
          <w:szCs w:val="24"/>
          <w:lang w:val="en-US" w:eastAsia="zh-CN" w:bidi="ar-SA"/>
        </w:rPr>
        <w:t>3.成交人在收到考核通知后需在一周内自行前往我公司财务管理部门缴纳，并将缴纳凭证提交我公司供应保障部备案。如成交人收到我公司考核通知后未在限期内缴纳，我公司有权终止合作并列入我公司供应商负面清单。</w:t>
      </w:r>
    </w:p>
    <w:p w14:paraId="1A94C3D1">
      <w:pPr>
        <w:pStyle w:val="5"/>
        <w:pageBreakBefore w:val="0"/>
        <w:widowControl w:val="0"/>
        <w:kinsoku/>
        <w:wordWrap/>
        <w:overflowPunct/>
        <w:topLinePunct w:val="0"/>
        <w:autoSpaceDE/>
        <w:autoSpaceDN/>
        <w:bidi w:val="0"/>
        <w:adjustRightInd/>
        <w:snapToGrid/>
        <w:spacing w:line="360" w:lineRule="exact"/>
        <w:textAlignment w:val="auto"/>
      </w:pPr>
      <w:r>
        <w:rPr>
          <w:rFonts w:hint="eastAsia"/>
          <w:lang w:val="en-US" w:eastAsia="zh-CN"/>
        </w:rPr>
        <w:t>七</w:t>
      </w:r>
      <w:r>
        <w:t>、其他事项</w:t>
      </w:r>
    </w:p>
    <w:p w14:paraId="32900D44">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exact"/>
        <w:ind w:left="726" w:leftChars="0" w:hanging="363" w:firstLineChars="0"/>
        <w:textAlignment w:val="auto"/>
        <w:rPr>
          <w:rFonts w:hint="default" w:ascii="Times New Roman" w:hAnsi="Times New Roman" w:eastAsia="宋体" w:cs="Times New Roman"/>
          <w:b w:val="0"/>
          <w:bCs w:val="0"/>
          <w:color w:val="000000"/>
          <w:sz w:val="21"/>
          <w:szCs w:val="24"/>
          <w:lang w:val="en-US" w:eastAsia="zh-CN" w:bidi="ar-SA"/>
        </w:rPr>
      </w:pPr>
      <w:r>
        <w:rPr>
          <w:rFonts w:hint="eastAsia" w:ascii="Times New Roman" w:hAnsi="Times New Roman" w:eastAsia="宋体" w:cs="Times New Roman"/>
          <w:b w:val="0"/>
          <w:bCs w:val="0"/>
          <w:color w:val="000000"/>
          <w:sz w:val="21"/>
          <w:szCs w:val="24"/>
          <w:lang w:val="en-US" w:eastAsia="zh-CN" w:bidi="ar-SA"/>
        </w:rPr>
        <w:t>1.成交人须按询价书签订合同，违约将面临中止合作风险。</w:t>
      </w:r>
    </w:p>
    <w:p w14:paraId="1E0C3DA3">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exact"/>
        <w:ind w:left="726" w:leftChars="0" w:hanging="363" w:firstLineChars="0"/>
        <w:textAlignment w:val="auto"/>
        <w:rPr>
          <w:rFonts w:hint="eastAsia" w:ascii="Times New Roman" w:hAnsi="Times New Roman" w:eastAsia="宋体" w:cs="Times New Roman"/>
          <w:b w:val="0"/>
          <w:bCs w:val="0"/>
          <w:color w:val="000000"/>
          <w:sz w:val="21"/>
          <w:szCs w:val="24"/>
          <w:lang w:val="en-US" w:eastAsia="zh-CN" w:bidi="ar-SA"/>
        </w:rPr>
      </w:pPr>
      <w:r>
        <w:rPr>
          <w:rFonts w:hint="eastAsia" w:cs="Times New Roman"/>
          <w:b w:val="0"/>
          <w:bCs w:val="0"/>
          <w:color w:val="000000"/>
          <w:sz w:val="21"/>
          <w:szCs w:val="24"/>
          <w:lang w:val="en-US" w:eastAsia="zh-CN" w:bidi="ar-SA"/>
        </w:rPr>
        <w:t>2</w:t>
      </w:r>
      <w:r>
        <w:rPr>
          <w:rFonts w:hint="eastAsia" w:ascii="Times New Roman" w:hAnsi="Times New Roman" w:eastAsia="宋体" w:cs="Times New Roman"/>
          <w:b w:val="0"/>
          <w:bCs w:val="0"/>
          <w:color w:val="000000"/>
          <w:sz w:val="21"/>
          <w:szCs w:val="24"/>
          <w:lang w:val="en-US" w:eastAsia="zh-CN" w:bidi="ar-SA"/>
        </w:rPr>
        <w:t>.违规供应商将列入负面清单，解释权归江苏索普化工股份有限公司供应保障部。</w:t>
      </w:r>
    </w:p>
    <w:p w14:paraId="1D48D955">
      <w:pPr>
        <w:jc w:val="right"/>
      </w:pPr>
    </w:p>
    <w:p w14:paraId="5498C2C7">
      <w:pPr>
        <w:jc w:val="right"/>
        <w:rPr>
          <w:rFonts w:hint="eastAsia"/>
          <w:lang w:val="en-US" w:eastAsia="zh-CN"/>
        </w:rPr>
      </w:pPr>
      <w:r>
        <w:rPr>
          <w:rFonts w:hint="eastAsia"/>
          <w:lang w:val="en-US" w:eastAsia="zh-CN"/>
        </w:rPr>
        <w:t xml:space="preserve"> </w:t>
      </w:r>
    </w:p>
    <w:p w14:paraId="754D2544">
      <w:pPr>
        <w:jc w:val="right"/>
        <w:rPr>
          <w:rFonts w:hint="eastAsia"/>
          <w:lang w:val="en-US" w:eastAsia="zh-CN"/>
        </w:rPr>
      </w:pPr>
    </w:p>
    <w:p w14:paraId="7F5142DD">
      <w:pPr>
        <w:jc w:val="right"/>
      </w:pPr>
      <w:r>
        <w:t>江苏索普化工股份有限公司</w:t>
      </w:r>
      <w:r>
        <w:rPr>
          <w:rFonts w:hint="eastAsia"/>
          <w:lang w:val="en-US" w:eastAsia="zh-CN"/>
        </w:rPr>
        <w:t>供应保障部</w:t>
      </w:r>
    </w:p>
    <w:p w14:paraId="26E9FD79">
      <w:pPr>
        <w:jc w:val="right"/>
      </w:pPr>
      <w:r>
        <w:t>日期：</w:t>
      </w:r>
      <w:r>
        <w:rPr>
          <w:rFonts w:hint="eastAsia"/>
          <w:lang w:val="en-US" w:eastAsia="zh-CN"/>
        </w:rPr>
        <w:t>2026</w:t>
      </w:r>
      <w:r>
        <w:t>年</w:t>
      </w:r>
      <w:r>
        <w:rPr>
          <w:rFonts w:hint="eastAsia"/>
          <w:lang w:val="en-US" w:eastAsia="zh-CN"/>
        </w:rPr>
        <w:t>3</w:t>
      </w:r>
      <w:r>
        <w:t>月</w:t>
      </w:r>
      <w:r>
        <w:rPr>
          <w:rFonts w:hint="eastAsia"/>
          <w:lang w:val="en-US" w:eastAsia="zh-CN"/>
        </w:rPr>
        <w:t>6</w:t>
      </w:r>
      <w:r>
        <w:t>日</w:t>
      </w:r>
    </w:p>
    <w:p w14:paraId="3A4F3A57">
      <w:pPr>
        <w:jc w:val="right"/>
      </w:pPr>
      <w:r>
        <w:br w:type="page"/>
      </w:r>
    </w:p>
    <w:p w14:paraId="2E629C24">
      <w:pPr>
        <w:pStyle w:val="5"/>
        <w:rPr>
          <w:rFonts w:hint="default"/>
          <w:lang w:val="en-US" w:eastAsia="zh-CN"/>
        </w:rPr>
      </w:pPr>
      <w:r>
        <w:rPr>
          <w:rFonts w:hint="eastAsia"/>
          <w:lang w:val="en-US" w:eastAsia="zh-CN"/>
        </w:rPr>
        <w:t>附件1</w:t>
      </w:r>
    </w:p>
    <w:p w14:paraId="756083B5">
      <w:pPr>
        <w:pStyle w:val="5"/>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numId w:val="0"/>
        </w:numPr>
        <w:spacing w:before="0" w:beforeAutospacing="1" w:after="0" w:afterAutospacing="1"/>
        <w:ind w:left="360" w:leftChars="0" w:firstLine="211" w:firstLineChars="100"/>
      </w:pPr>
      <w:r>
        <w:rPr>
          <w:rFonts w:hint="eastAsia"/>
          <w:b/>
          <w:lang w:val="en-US" w:eastAsia="zh-CN"/>
        </w:rPr>
        <w:t>1.</w:t>
      </w:r>
      <w:r>
        <w:rPr>
          <w:b/>
        </w:rPr>
        <w:t>项目</w:t>
      </w:r>
      <w:r>
        <w:rPr>
          <w:rFonts w:hint="eastAsia"/>
          <w:b/>
          <w:lang w:val="en-US" w:eastAsia="zh-CN"/>
        </w:rPr>
        <w:t>报价</w:t>
      </w:r>
      <w:r>
        <w:t>：</w:t>
      </w:r>
    </w:p>
    <w:tbl>
      <w:tblPr>
        <w:tblStyle w:val="11"/>
        <w:tblW w:w="91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602"/>
        <w:gridCol w:w="1410"/>
        <w:gridCol w:w="1290"/>
        <w:gridCol w:w="1215"/>
        <w:gridCol w:w="1335"/>
        <w:gridCol w:w="915"/>
      </w:tblGrid>
      <w:tr w14:paraId="5D3D6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noWrap w:val="0"/>
            <w:vAlign w:val="center"/>
          </w:tcPr>
          <w:p w14:paraId="2BD1C5C7">
            <w:pPr>
              <w:spacing w:line="280" w:lineRule="exact"/>
              <w:jc w:val="center"/>
              <w:rPr>
                <w:rFonts w:hint="eastAsia" w:ascii="宋体" w:hAnsi="宋体" w:eastAsia="宋体" w:cs="宋体"/>
                <w:sz w:val="21"/>
                <w:szCs w:val="21"/>
              </w:rPr>
            </w:pPr>
            <w:r>
              <w:rPr>
                <w:rFonts w:hint="eastAsia" w:ascii="宋体" w:hAnsi="宋体" w:eastAsia="宋体" w:cs="宋体"/>
                <w:sz w:val="21"/>
                <w:szCs w:val="21"/>
              </w:rPr>
              <w:t>运输品名</w:t>
            </w:r>
          </w:p>
        </w:tc>
        <w:tc>
          <w:tcPr>
            <w:tcW w:w="1602" w:type="dxa"/>
            <w:noWrap w:val="0"/>
            <w:vAlign w:val="center"/>
          </w:tcPr>
          <w:p w14:paraId="160235A2">
            <w:pPr>
              <w:spacing w:line="280" w:lineRule="exact"/>
              <w:jc w:val="center"/>
              <w:rPr>
                <w:rFonts w:hint="eastAsia" w:ascii="宋体" w:hAnsi="宋体" w:eastAsia="宋体" w:cs="宋体"/>
                <w:sz w:val="21"/>
                <w:szCs w:val="21"/>
              </w:rPr>
            </w:pPr>
            <w:r>
              <w:rPr>
                <w:rFonts w:hint="eastAsia" w:ascii="宋体" w:hAnsi="宋体" w:eastAsia="宋体" w:cs="宋体"/>
                <w:sz w:val="21"/>
                <w:szCs w:val="21"/>
              </w:rPr>
              <w:t>运输地点</w:t>
            </w:r>
          </w:p>
        </w:tc>
        <w:tc>
          <w:tcPr>
            <w:tcW w:w="1410" w:type="dxa"/>
            <w:noWrap w:val="0"/>
            <w:vAlign w:val="center"/>
          </w:tcPr>
          <w:p w14:paraId="66B55FBB">
            <w:pPr>
              <w:spacing w:line="280" w:lineRule="exact"/>
              <w:jc w:val="center"/>
              <w:rPr>
                <w:rFonts w:hint="eastAsia" w:ascii="宋体" w:hAnsi="宋体" w:eastAsia="宋体" w:cs="宋体"/>
                <w:sz w:val="21"/>
                <w:szCs w:val="21"/>
              </w:rPr>
            </w:pPr>
            <w:r>
              <w:rPr>
                <w:rFonts w:hint="eastAsia" w:ascii="宋体" w:hAnsi="宋体" w:eastAsia="宋体" w:cs="宋体"/>
                <w:sz w:val="21"/>
                <w:szCs w:val="21"/>
              </w:rPr>
              <w:t>载重车型</w:t>
            </w:r>
          </w:p>
        </w:tc>
        <w:tc>
          <w:tcPr>
            <w:tcW w:w="1290" w:type="dxa"/>
            <w:noWrap w:val="0"/>
            <w:vAlign w:val="center"/>
          </w:tcPr>
          <w:p w14:paraId="404EAB3D">
            <w:pPr>
              <w:spacing w:line="280" w:lineRule="exact"/>
              <w:jc w:val="center"/>
              <w:rPr>
                <w:rFonts w:hint="eastAsia" w:ascii="宋体" w:hAnsi="宋体" w:eastAsia="宋体" w:cs="宋体"/>
                <w:sz w:val="21"/>
                <w:szCs w:val="21"/>
              </w:rPr>
            </w:pPr>
            <w:r>
              <w:rPr>
                <w:rFonts w:hint="eastAsia" w:ascii="宋体" w:hAnsi="宋体" w:eastAsia="宋体" w:cs="宋体"/>
                <w:sz w:val="21"/>
                <w:szCs w:val="21"/>
              </w:rPr>
              <w:t>预估年运量（车）</w:t>
            </w:r>
          </w:p>
        </w:tc>
        <w:tc>
          <w:tcPr>
            <w:tcW w:w="1215" w:type="dxa"/>
            <w:noWrap w:val="0"/>
            <w:vAlign w:val="center"/>
          </w:tcPr>
          <w:p w14:paraId="024E4935">
            <w:pPr>
              <w:spacing w:line="280" w:lineRule="exact"/>
              <w:jc w:val="center"/>
              <w:rPr>
                <w:rFonts w:hint="eastAsia" w:ascii="宋体" w:hAnsi="宋体" w:eastAsia="宋体" w:cs="宋体"/>
                <w:sz w:val="21"/>
                <w:szCs w:val="21"/>
              </w:rPr>
            </w:pPr>
            <w:r>
              <w:rPr>
                <w:rFonts w:hint="eastAsia" w:ascii="宋体" w:hAnsi="宋体" w:eastAsia="宋体" w:cs="宋体"/>
                <w:sz w:val="21"/>
                <w:szCs w:val="21"/>
              </w:rPr>
              <w:t>价格</w:t>
            </w:r>
          </w:p>
          <w:p w14:paraId="2898BB58">
            <w:pPr>
              <w:spacing w:line="280" w:lineRule="exact"/>
              <w:jc w:val="center"/>
              <w:rPr>
                <w:rFonts w:hint="eastAsia" w:ascii="宋体" w:hAnsi="宋体" w:eastAsia="宋体" w:cs="宋体"/>
                <w:sz w:val="21"/>
                <w:szCs w:val="21"/>
              </w:rPr>
            </w:pPr>
            <w:r>
              <w:rPr>
                <w:rFonts w:hint="eastAsia" w:ascii="宋体" w:hAnsi="宋体" w:eastAsia="宋体" w:cs="宋体"/>
                <w:sz w:val="21"/>
                <w:szCs w:val="21"/>
              </w:rPr>
              <w:t>（元/车）</w:t>
            </w:r>
          </w:p>
        </w:tc>
        <w:tc>
          <w:tcPr>
            <w:tcW w:w="1335" w:type="dxa"/>
            <w:noWrap w:val="0"/>
            <w:vAlign w:val="center"/>
          </w:tcPr>
          <w:p w14:paraId="73DAC43A">
            <w:pPr>
              <w:spacing w:line="280" w:lineRule="exact"/>
              <w:jc w:val="center"/>
              <w:rPr>
                <w:rFonts w:hint="eastAsia" w:ascii="宋体" w:hAnsi="宋体" w:eastAsia="宋体" w:cs="宋体"/>
                <w:sz w:val="21"/>
                <w:szCs w:val="21"/>
              </w:rPr>
            </w:pPr>
            <w:r>
              <w:rPr>
                <w:rFonts w:hint="eastAsia" w:ascii="宋体" w:hAnsi="宋体" w:eastAsia="宋体" w:cs="宋体"/>
                <w:sz w:val="21"/>
                <w:szCs w:val="21"/>
              </w:rPr>
              <w:t>总价（元）</w:t>
            </w:r>
          </w:p>
        </w:tc>
        <w:tc>
          <w:tcPr>
            <w:tcW w:w="915" w:type="dxa"/>
            <w:noWrap w:val="0"/>
            <w:vAlign w:val="center"/>
          </w:tcPr>
          <w:p w14:paraId="4C826969">
            <w:pPr>
              <w:spacing w:line="280" w:lineRule="exact"/>
              <w:jc w:val="center"/>
              <w:rPr>
                <w:rFonts w:hint="eastAsia" w:ascii="宋体" w:hAnsi="宋体" w:eastAsia="宋体" w:cs="宋体"/>
                <w:sz w:val="21"/>
                <w:szCs w:val="21"/>
              </w:rPr>
            </w:pPr>
            <w:r>
              <w:rPr>
                <w:rFonts w:hint="eastAsia" w:ascii="宋体" w:hAnsi="宋体" w:eastAsia="宋体" w:cs="宋体"/>
                <w:sz w:val="21"/>
                <w:szCs w:val="21"/>
              </w:rPr>
              <w:t>税率</w:t>
            </w:r>
          </w:p>
        </w:tc>
      </w:tr>
      <w:tr w14:paraId="0AEEF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restart"/>
            <w:noWrap w:val="0"/>
            <w:vAlign w:val="center"/>
          </w:tcPr>
          <w:p w14:paraId="23368E6B">
            <w:pPr>
              <w:spacing w:line="520" w:lineRule="exact"/>
              <w:jc w:val="center"/>
              <w:rPr>
                <w:rFonts w:hint="eastAsia" w:ascii="宋体" w:hAnsi="宋体" w:eastAsia="宋体" w:cs="宋体"/>
                <w:sz w:val="21"/>
                <w:szCs w:val="21"/>
              </w:rPr>
            </w:pPr>
            <w:r>
              <w:rPr>
                <w:rFonts w:hint="eastAsia" w:ascii="宋体" w:hAnsi="宋体" w:eastAsia="宋体" w:cs="宋体"/>
                <w:sz w:val="21"/>
                <w:szCs w:val="21"/>
              </w:rPr>
              <w:t>PE发泡母粒或PE交联母粒</w:t>
            </w:r>
          </w:p>
        </w:tc>
        <w:tc>
          <w:tcPr>
            <w:tcW w:w="1602" w:type="dxa"/>
            <w:noWrap w:val="0"/>
            <w:vAlign w:val="top"/>
          </w:tcPr>
          <w:p w14:paraId="0778E025">
            <w:pPr>
              <w:spacing w:line="520" w:lineRule="exact"/>
              <w:jc w:val="center"/>
              <w:rPr>
                <w:rFonts w:hint="eastAsia" w:ascii="宋体" w:hAnsi="宋体" w:eastAsia="宋体" w:cs="宋体"/>
                <w:sz w:val="21"/>
                <w:szCs w:val="21"/>
              </w:rPr>
            </w:pPr>
            <w:r>
              <w:rPr>
                <w:rFonts w:hint="eastAsia" w:ascii="宋体" w:hAnsi="宋体" w:eastAsia="宋体" w:cs="宋体"/>
                <w:sz w:val="21"/>
                <w:szCs w:val="21"/>
              </w:rPr>
              <w:t>镇江-上海宝山</w:t>
            </w:r>
          </w:p>
        </w:tc>
        <w:tc>
          <w:tcPr>
            <w:tcW w:w="1410" w:type="dxa"/>
            <w:noWrap w:val="0"/>
            <w:vAlign w:val="top"/>
          </w:tcPr>
          <w:p w14:paraId="288BC389">
            <w:pPr>
              <w:spacing w:line="520" w:lineRule="exact"/>
              <w:jc w:val="center"/>
              <w:rPr>
                <w:rFonts w:hint="eastAsia" w:ascii="宋体" w:hAnsi="宋体" w:eastAsia="宋体" w:cs="宋体"/>
                <w:sz w:val="21"/>
                <w:szCs w:val="21"/>
              </w:rPr>
            </w:pPr>
            <w:r>
              <w:rPr>
                <w:rFonts w:hint="eastAsia" w:ascii="宋体" w:hAnsi="宋体" w:eastAsia="宋体" w:cs="宋体"/>
                <w:sz w:val="21"/>
                <w:szCs w:val="21"/>
              </w:rPr>
              <w:t>19吨</w:t>
            </w:r>
          </w:p>
        </w:tc>
        <w:tc>
          <w:tcPr>
            <w:tcW w:w="1290" w:type="dxa"/>
            <w:noWrap w:val="0"/>
            <w:vAlign w:val="top"/>
          </w:tcPr>
          <w:p w14:paraId="0A2900C2">
            <w:pPr>
              <w:spacing w:line="52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1215" w:type="dxa"/>
            <w:noWrap w:val="0"/>
            <w:vAlign w:val="top"/>
          </w:tcPr>
          <w:p w14:paraId="5CA0FD9B">
            <w:pPr>
              <w:spacing w:line="520" w:lineRule="exact"/>
              <w:jc w:val="center"/>
              <w:rPr>
                <w:rFonts w:hint="eastAsia" w:ascii="宋体" w:hAnsi="宋体" w:eastAsia="宋体" w:cs="宋体"/>
                <w:sz w:val="21"/>
                <w:szCs w:val="21"/>
              </w:rPr>
            </w:pPr>
          </w:p>
        </w:tc>
        <w:tc>
          <w:tcPr>
            <w:tcW w:w="1335" w:type="dxa"/>
            <w:noWrap w:val="0"/>
            <w:vAlign w:val="top"/>
          </w:tcPr>
          <w:p w14:paraId="07D79288">
            <w:pPr>
              <w:spacing w:line="520" w:lineRule="exact"/>
              <w:jc w:val="center"/>
              <w:rPr>
                <w:rFonts w:hint="eastAsia" w:ascii="宋体" w:hAnsi="宋体" w:eastAsia="宋体" w:cs="宋体"/>
                <w:sz w:val="21"/>
                <w:szCs w:val="21"/>
              </w:rPr>
            </w:pPr>
          </w:p>
        </w:tc>
        <w:tc>
          <w:tcPr>
            <w:tcW w:w="915" w:type="dxa"/>
            <w:noWrap w:val="0"/>
            <w:vAlign w:val="top"/>
          </w:tcPr>
          <w:p w14:paraId="180606F4">
            <w:pPr>
              <w:spacing w:line="520" w:lineRule="exact"/>
              <w:jc w:val="center"/>
              <w:rPr>
                <w:rFonts w:hint="eastAsia" w:ascii="宋体" w:hAnsi="宋体" w:eastAsia="宋体" w:cs="宋体"/>
                <w:sz w:val="21"/>
                <w:szCs w:val="21"/>
              </w:rPr>
            </w:pPr>
          </w:p>
        </w:tc>
      </w:tr>
      <w:tr w14:paraId="163BD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noWrap w:val="0"/>
            <w:vAlign w:val="top"/>
          </w:tcPr>
          <w:p w14:paraId="5B650A76">
            <w:pPr>
              <w:spacing w:line="520" w:lineRule="exact"/>
              <w:jc w:val="center"/>
              <w:rPr>
                <w:rFonts w:hint="eastAsia" w:ascii="宋体" w:hAnsi="宋体" w:eastAsia="宋体" w:cs="宋体"/>
                <w:sz w:val="21"/>
                <w:szCs w:val="21"/>
              </w:rPr>
            </w:pPr>
          </w:p>
        </w:tc>
        <w:tc>
          <w:tcPr>
            <w:tcW w:w="1602" w:type="dxa"/>
            <w:noWrap w:val="0"/>
            <w:vAlign w:val="top"/>
          </w:tcPr>
          <w:p w14:paraId="6CE9AF83">
            <w:pPr>
              <w:spacing w:line="520" w:lineRule="exact"/>
              <w:jc w:val="center"/>
              <w:rPr>
                <w:rFonts w:hint="eastAsia" w:ascii="宋体" w:hAnsi="宋体" w:eastAsia="宋体" w:cs="宋体"/>
                <w:sz w:val="21"/>
                <w:szCs w:val="21"/>
              </w:rPr>
            </w:pPr>
            <w:r>
              <w:rPr>
                <w:rFonts w:hint="eastAsia" w:ascii="宋体" w:hAnsi="宋体" w:eastAsia="宋体" w:cs="宋体"/>
                <w:sz w:val="21"/>
                <w:szCs w:val="21"/>
              </w:rPr>
              <w:t>镇江-上海宝山</w:t>
            </w:r>
          </w:p>
        </w:tc>
        <w:tc>
          <w:tcPr>
            <w:tcW w:w="1410" w:type="dxa"/>
            <w:noWrap w:val="0"/>
            <w:vAlign w:val="top"/>
          </w:tcPr>
          <w:p w14:paraId="7AD038C5">
            <w:pPr>
              <w:spacing w:line="520" w:lineRule="exact"/>
              <w:jc w:val="center"/>
              <w:rPr>
                <w:rFonts w:hint="eastAsia" w:ascii="宋体" w:hAnsi="宋体" w:eastAsia="宋体" w:cs="宋体"/>
                <w:sz w:val="21"/>
                <w:szCs w:val="21"/>
              </w:rPr>
            </w:pPr>
            <w:r>
              <w:rPr>
                <w:rFonts w:hint="eastAsia" w:ascii="宋体" w:hAnsi="宋体" w:eastAsia="宋体" w:cs="宋体"/>
                <w:sz w:val="21"/>
                <w:szCs w:val="21"/>
              </w:rPr>
              <w:t>30吨</w:t>
            </w:r>
          </w:p>
        </w:tc>
        <w:tc>
          <w:tcPr>
            <w:tcW w:w="1290" w:type="dxa"/>
            <w:noWrap w:val="0"/>
            <w:vAlign w:val="top"/>
          </w:tcPr>
          <w:p w14:paraId="229B3CEC">
            <w:pPr>
              <w:spacing w:line="52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30</w:t>
            </w:r>
          </w:p>
        </w:tc>
        <w:tc>
          <w:tcPr>
            <w:tcW w:w="1215" w:type="dxa"/>
            <w:noWrap w:val="0"/>
            <w:vAlign w:val="top"/>
          </w:tcPr>
          <w:p w14:paraId="614F4D7F">
            <w:pPr>
              <w:spacing w:line="520" w:lineRule="exact"/>
              <w:jc w:val="center"/>
              <w:rPr>
                <w:rFonts w:hint="eastAsia" w:ascii="宋体" w:hAnsi="宋体" w:eastAsia="宋体" w:cs="宋体"/>
                <w:sz w:val="21"/>
                <w:szCs w:val="21"/>
              </w:rPr>
            </w:pPr>
          </w:p>
        </w:tc>
        <w:tc>
          <w:tcPr>
            <w:tcW w:w="1335" w:type="dxa"/>
            <w:noWrap w:val="0"/>
            <w:vAlign w:val="top"/>
          </w:tcPr>
          <w:p w14:paraId="6B872101">
            <w:pPr>
              <w:spacing w:line="520" w:lineRule="exact"/>
              <w:jc w:val="center"/>
              <w:rPr>
                <w:rFonts w:hint="eastAsia" w:ascii="宋体" w:hAnsi="宋体" w:eastAsia="宋体" w:cs="宋体"/>
                <w:sz w:val="21"/>
                <w:szCs w:val="21"/>
              </w:rPr>
            </w:pPr>
          </w:p>
        </w:tc>
        <w:tc>
          <w:tcPr>
            <w:tcW w:w="915" w:type="dxa"/>
            <w:noWrap w:val="0"/>
            <w:vAlign w:val="top"/>
          </w:tcPr>
          <w:p w14:paraId="4D361812">
            <w:pPr>
              <w:spacing w:line="520" w:lineRule="exact"/>
              <w:jc w:val="center"/>
              <w:rPr>
                <w:rFonts w:hint="eastAsia" w:ascii="宋体" w:hAnsi="宋体" w:eastAsia="宋体" w:cs="宋体"/>
                <w:sz w:val="21"/>
                <w:szCs w:val="21"/>
              </w:rPr>
            </w:pPr>
          </w:p>
        </w:tc>
      </w:tr>
      <w:tr w14:paraId="25A91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noWrap w:val="0"/>
            <w:vAlign w:val="top"/>
          </w:tcPr>
          <w:p w14:paraId="7DBCE070">
            <w:pPr>
              <w:spacing w:line="520" w:lineRule="exact"/>
              <w:jc w:val="center"/>
              <w:rPr>
                <w:rFonts w:hint="eastAsia" w:ascii="宋体" w:hAnsi="宋体" w:eastAsia="宋体" w:cs="宋体"/>
                <w:sz w:val="21"/>
                <w:szCs w:val="21"/>
              </w:rPr>
            </w:pPr>
          </w:p>
        </w:tc>
        <w:tc>
          <w:tcPr>
            <w:tcW w:w="1602" w:type="dxa"/>
            <w:noWrap w:val="0"/>
            <w:vAlign w:val="top"/>
          </w:tcPr>
          <w:p w14:paraId="60CD2551">
            <w:pPr>
              <w:spacing w:line="520" w:lineRule="exact"/>
              <w:jc w:val="center"/>
              <w:rPr>
                <w:rFonts w:hint="eastAsia" w:ascii="宋体" w:hAnsi="宋体" w:eastAsia="宋体" w:cs="宋体"/>
                <w:sz w:val="21"/>
                <w:szCs w:val="21"/>
              </w:rPr>
            </w:pPr>
            <w:r>
              <w:rPr>
                <w:rFonts w:hint="eastAsia" w:ascii="宋体" w:hAnsi="宋体" w:eastAsia="宋体" w:cs="宋体"/>
                <w:sz w:val="21"/>
                <w:szCs w:val="21"/>
              </w:rPr>
              <w:t>镇江-上海浦东</w:t>
            </w:r>
          </w:p>
        </w:tc>
        <w:tc>
          <w:tcPr>
            <w:tcW w:w="1410" w:type="dxa"/>
            <w:noWrap w:val="0"/>
            <w:vAlign w:val="top"/>
          </w:tcPr>
          <w:p w14:paraId="2BF3FC5C">
            <w:pPr>
              <w:spacing w:line="520" w:lineRule="exact"/>
              <w:jc w:val="center"/>
              <w:rPr>
                <w:rFonts w:hint="eastAsia" w:ascii="宋体" w:hAnsi="宋体" w:eastAsia="宋体" w:cs="宋体"/>
                <w:sz w:val="21"/>
                <w:szCs w:val="21"/>
              </w:rPr>
            </w:pPr>
            <w:r>
              <w:rPr>
                <w:rFonts w:hint="eastAsia" w:ascii="宋体" w:hAnsi="宋体" w:eastAsia="宋体" w:cs="宋体"/>
                <w:sz w:val="21"/>
                <w:szCs w:val="21"/>
              </w:rPr>
              <w:t>19吨</w:t>
            </w:r>
          </w:p>
        </w:tc>
        <w:tc>
          <w:tcPr>
            <w:tcW w:w="1290" w:type="dxa"/>
            <w:noWrap w:val="0"/>
            <w:vAlign w:val="top"/>
          </w:tcPr>
          <w:p w14:paraId="412F7E6A">
            <w:pPr>
              <w:spacing w:line="5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215" w:type="dxa"/>
            <w:noWrap w:val="0"/>
            <w:vAlign w:val="top"/>
          </w:tcPr>
          <w:p w14:paraId="2424768A">
            <w:pPr>
              <w:spacing w:line="520" w:lineRule="exact"/>
              <w:jc w:val="center"/>
              <w:rPr>
                <w:rFonts w:hint="eastAsia" w:ascii="宋体" w:hAnsi="宋体" w:eastAsia="宋体" w:cs="宋体"/>
                <w:sz w:val="21"/>
                <w:szCs w:val="21"/>
              </w:rPr>
            </w:pPr>
          </w:p>
        </w:tc>
        <w:tc>
          <w:tcPr>
            <w:tcW w:w="1335" w:type="dxa"/>
            <w:noWrap w:val="0"/>
            <w:vAlign w:val="top"/>
          </w:tcPr>
          <w:p w14:paraId="55F66E9A">
            <w:pPr>
              <w:spacing w:line="520" w:lineRule="exact"/>
              <w:jc w:val="center"/>
              <w:rPr>
                <w:rFonts w:hint="eastAsia" w:ascii="宋体" w:hAnsi="宋体" w:eastAsia="宋体" w:cs="宋体"/>
                <w:sz w:val="21"/>
                <w:szCs w:val="21"/>
              </w:rPr>
            </w:pPr>
          </w:p>
        </w:tc>
        <w:tc>
          <w:tcPr>
            <w:tcW w:w="915" w:type="dxa"/>
            <w:noWrap w:val="0"/>
            <w:vAlign w:val="top"/>
          </w:tcPr>
          <w:p w14:paraId="7D684D5E">
            <w:pPr>
              <w:spacing w:line="520" w:lineRule="exact"/>
              <w:jc w:val="center"/>
              <w:rPr>
                <w:rFonts w:hint="eastAsia" w:ascii="宋体" w:hAnsi="宋体" w:eastAsia="宋体" w:cs="宋体"/>
                <w:sz w:val="21"/>
                <w:szCs w:val="21"/>
              </w:rPr>
            </w:pPr>
          </w:p>
        </w:tc>
      </w:tr>
      <w:tr w14:paraId="24461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noWrap w:val="0"/>
            <w:vAlign w:val="top"/>
          </w:tcPr>
          <w:p w14:paraId="34EE16C0">
            <w:pPr>
              <w:spacing w:line="520" w:lineRule="exact"/>
              <w:jc w:val="center"/>
              <w:rPr>
                <w:rFonts w:hint="eastAsia" w:ascii="宋体" w:hAnsi="宋体" w:eastAsia="宋体" w:cs="宋体"/>
                <w:sz w:val="21"/>
                <w:szCs w:val="21"/>
              </w:rPr>
            </w:pPr>
          </w:p>
        </w:tc>
        <w:tc>
          <w:tcPr>
            <w:tcW w:w="1602" w:type="dxa"/>
            <w:noWrap w:val="0"/>
            <w:vAlign w:val="top"/>
          </w:tcPr>
          <w:p w14:paraId="14FE2C73">
            <w:pPr>
              <w:spacing w:line="520" w:lineRule="exact"/>
              <w:jc w:val="center"/>
              <w:rPr>
                <w:rFonts w:hint="eastAsia" w:ascii="宋体" w:hAnsi="宋体" w:eastAsia="宋体" w:cs="宋体"/>
                <w:sz w:val="21"/>
                <w:szCs w:val="21"/>
              </w:rPr>
            </w:pPr>
            <w:r>
              <w:rPr>
                <w:rFonts w:hint="eastAsia" w:ascii="宋体" w:hAnsi="宋体" w:eastAsia="宋体" w:cs="宋体"/>
                <w:sz w:val="21"/>
                <w:szCs w:val="21"/>
              </w:rPr>
              <w:t>镇江-上海浦东</w:t>
            </w:r>
          </w:p>
        </w:tc>
        <w:tc>
          <w:tcPr>
            <w:tcW w:w="1410" w:type="dxa"/>
            <w:noWrap w:val="0"/>
            <w:vAlign w:val="top"/>
          </w:tcPr>
          <w:p w14:paraId="5AA23D98">
            <w:pPr>
              <w:spacing w:line="520" w:lineRule="exact"/>
              <w:jc w:val="center"/>
              <w:rPr>
                <w:rFonts w:hint="eastAsia" w:ascii="宋体" w:hAnsi="宋体" w:eastAsia="宋体" w:cs="宋体"/>
                <w:sz w:val="21"/>
                <w:szCs w:val="21"/>
              </w:rPr>
            </w:pPr>
            <w:r>
              <w:rPr>
                <w:rFonts w:hint="eastAsia" w:ascii="宋体" w:hAnsi="宋体" w:eastAsia="宋体" w:cs="宋体"/>
                <w:sz w:val="21"/>
                <w:szCs w:val="21"/>
              </w:rPr>
              <w:t>30吨</w:t>
            </w:r>
          </w:p>
        </w:tc>
        <w:tc>
          <w:tcPr>
            <w:tcW w:w="1290" w:type="dxa"/>
            <w:noWrap w:val="0"/>
            <w:vAlign w:val="top"/>
          </w:tcPr>
          <w:p w14:paraId="3F5050BD">
            <w:pPr>
              <w:spacing w:line="5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215" w:type="dxa"/>
            <w:noWrap w:val="0"/>
            <w:vAlign w:val="top"/>
          </w:tcPr>
          <w:p w14:paraId="60CB5D01">
            <w:pPr>
              <w:spacing w:line="520" w:lineRule="exact"/>
              <w:jc w:val="center"/>
              <w:rPr>
                <w:rFonts w:hint="eastAsia" w:ascii="宋体" w:hAnsi="宋体" w:eastAsia="宋体" w:cs="宋体"/>
                <w:sz w:val="21"/>
                <w:szCs w:val="21"/>
              </w:rPr>
            </w:pPr>
          </w:p>
        </w:tc>
        <w:tc>
          <w:tcPr>
            <w:tcW w:w="1335" w:type="dxa"/>
            <w:noWrap w:val="0"/>
            <w:vAlign w:val="top"/>
          </w:tcPr>
          <w:p w14:paraId="58F6CF8C">
            <w:pPr>
              <w:spacing w:line="520" w:lineRule="exact"/>
              <w:jc w:val="center"/>
              <w:rPr>
                <w:rFonts w:hint="eastAsia" w:ascii="宋体" w:hAnsi="宋体" w:eastAsia="宋体" w:cs="宋体"/>
                <w:sz w:val="21"/>
                <w:szCs w:val="21"/>
              </w:rPr>
            </w:pPr>
          </w:p>
        </w:tc>
        <w:tc>
          <w:tcPr>
            <w:tcW w:w="915" w:type="dxa"/>
            <w:noWrap w:val="0"/>
            <w:vAlign w:val="top"/>
          </w:tcPr>
          <w:p w14:paraId="67F0C1CE">
            <w:pPr>
              <w:spacing w:line="520" w:lineRule="exact"/>
              <w:jc w:val="center"/>
              <w:rPr>
                <w:rFonts w:hint="eastAsia" w:ascii="宋体" w:hAnsi="宋体" w:eastAsia="宋体" w:cs="宋体"/>
                <w:sz w:val="21"/>
                <w:szCs w:val="21"/>
              </w:rPr>
            </w:pPr>
          </w:p>
        </w:tc>
      </w:tr>
      <w:tr w14:paraId="2487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noWrap w:val="0"/>
            <w:vAlign w:val="top"/>
          </w:tcPr>
          <w:p w14:paraId="078240B6">
            <w:pPr>
              <w:spacing w:line="520" w:lineRule="exact"/>
              <w:jc w:val="center"/>
              <w:rPr>
                <w:rFonts w:hint="eastAsia" w:ascii="宋体" w:hAnsi="宋体" w:eastAsia="宋体" w:cs="宋体"/>
                <w:sz w:val="21"/>
                <w:szCs w:val="21"/>
              </w:rPr>
            </w:pPr>
            <w:r>
              <w:rPr>
                <w:rFonts w:hint="eastAsia" w:ascii="宋体" w:hAnsi="宋体" w:eastAsia="宋体" w:cs="宋体"/>
                <w:sz w:val="21"/>
                <w:szCs w:val="21"/>
              </w:rPr>
              <w:t>总价合计：</w:t>
            </w:r>
          </w:p>
        </w:tc>
        <w:tc>
          <w:tcPr>
            <w:tcW w:w="6852" w:type="dxa"/>
            <w:gridSpan w:val="5"/>
            <w:noWrap w:val="0"/>
            <w:vAlign w:val="top"/>
          </w:tcPr>
          <w:p w14:paraId="607BEA35">
            <w:pPr>
              <w:spacing w:line="520" w:lineRule="exact"/>
              <w:jc w:val="center"/>
              <w:rPr>
                <w:rFonts w:hint="eastAsia" w:ascii="宋体" w:hAnsi="宋体" w:eastAsia="宋体" w:cs="宋体"/>
                <w:sz w:val="21"/>
                <w:szCs w:val="21"/>
              </w:rPr>
            </w:pPr>
            <w:r>
              <w:rPr>
                <w:rFonts w:hint="eastAsia" w:ascii="宋体" w:hAnsi="宋体" w:eastAsia="宋体" w:cs="宋体"/>
                <w:sz w:val="21"/>
                <w:szCs w:val="21"/>
              </w:rPr>
              <w:t xml:space="preserve">                                         （元）</w:t>
            </w:r>
          </w:p>
        </w:tc>
        <w:tc>
          <w:tcPr>
            <w:tcW w:w="915" w:type="dxa"/>
            <w:noWrap w:val="0"/>
            <w:vAlign w:val="top"/>
          </w:tcPr>
          <w:p w14:paraId="0F32B122">
            <w:pPr>
              <w:spacing w:line="520" w:lineRule="exact"/>
              <w:jc w:val="center"/>
              <w:rPr>
                <w:rFonts w:hint="eastAsia" w:ascii="宋体" w:hAnsi="宋体" w:eastAsia="宋体" w:cs="宋体"/>
                <w:sz w:val="21"/>
                <w:szCs w:val="21"/>
              </w:rPr>
            </w:pPr>
          </w:p>
        </w:tc>
      </w:tr>
    </w:tbl>
    <w:p w14:paraId="4563CBF1">
      <w:pPr>
        <w:pStyle w:val="2"/>
      </w:pPr>
      <w:bookmarkStart w:id="0" w:name="_GoBack"/>
      <w:bookmarkEnd w:id="0"/>
    </w:p>
    <w:p w14:paraId="49FE7A5B">
      <w:pPr>
        <w:pStyle w:val="3"/>
        <w:spacing w:line="520" w:lineRule="exact"/>
        <w:ind w:firstLine="420" w:firstLineChars="200"/>
        <w:rPr>
          <w:rFonts w:ascii="Times New Roman" w:hAnsi="Times New Roman" w:eastAsia="宋体" w:cs="Times New Roman"/>
          <w:color w:val="000000"/>
          <w:kern w:val="0"/>
          <w:sz w:val="21"/>
          <w:szCs w:val="24"/>
          <w:lang w:val="en-US" w:eastAsia="zh-CN" w:bidi="ar-SA"/>
        </w:rPr>
      </w:pPr>
      <w:r>
        <w:rPr>
          <w:rFonts w:hint="eastAsia" w:ascii="Times New Roman" w:hAnsi="Times New Roman" w:eastAsia="宋体" w:cs="Times New Roman"/>
          <w:color w:val="000000"/>
          <w:kern w:val="0"/>
          <w:sz w:val="21"/>
          <w:szCs w:val="24"/>
          <w:lang w:val="en-US" w:eastAsia="zh-CN" w:bidi="ar-SA"/>
        </w:rPr>
        <w:t>2.我公司已知晓表中预估年运量仅为我公司报价和贵公司评审参考，不代表202</w:t>
      </w:r>
      <w:r>
        <w:rPr>
          <w:rFonts w:hint="eastAsia" w:ascii="Times New Roman" w:hAnsi="Times New Roman" w:cs="Times New Roman"/>
          <w:color w:val="000000"/>
          <w:kern w:val="0"/>
          <w:sz w:val="21"/>
          <w:szCs w:val="24"/>
          <w:lang w:val="en-US" w:eastAsia="zh-CN" w:bidi="ar-SA"/>
        </w:rPr>
        <w:t>6</w:t>
      </w:r>
      <w:r>
        <w:rPr>
          <w:rFonts w:hint="eastAsia" w:ascii="Times New Roman" w:hAnsi="Times New Roman" w:eastAsia="宋体" w:cs="Times New Roman"/>
          <w:color w:val="000000"/>
          <w:kern w:val="0"/>
          <w:sz w:val="21"/>
          <w:szCs w:val="24"/>
          <w:lang w:val="en-US" w:eastAsia="zh-CN" w:bidi="ar-SA"/>
        </w:rPr>
        <w:t>年的实际情况；</w:t>
      </w:r>
    </w:p>
    <w:p w14:paraId="7E6B970D">
      <w:pPr>
        <w:numPr>
          <w:numId w:val="0"/>
        </w:numPr>
        <w:spacing w:before="0" w:beforeAutospacing="1" w:after="0" w:afterAutospacing="1"/>
        <w:ind w:firstLine="420" w:firstLineChars="200"/>
      </w:pPr>
      <w:r>
        <w:rPr>
          <w:rFonts w:hint="eastAsia"/>
          <w:lang w:val="en-US" w:eastAsia="zh-CN"/>
        </w:rPr>
        <w:t>3.</w:t>
      </w:r>
      <w:r>
        <w:t>我方已审查全部询价书及补充文件，完全接受所有条款，放弃对条款不明或误解的权利；若条款冲突，同意按贵方解释处理。</w:t>
      </w:r>
    </w:p>
    <w:p w14:paraId="7CAEF8E2">
      <w:pPr>
        <w:numPr>
          <w:numId w:val="0"/>
        </w:numPr>
        <w:spacing w:before="0" w:beforeAutospacing="1" w:after="0" w:afterAutospacing="1"/>
        <w:ind w:firstLine="420" w:firstLineChars="200"/>
      </w:pPr>
      <w:r>
        <w:rPr>
          <w:rFonts w:hint="eastAsia"/>
          <w:lang w:val="en-US" w:eastAsia="zh-CN"/>
        </w:rPr>
        <w:t>4.</w:t>
      </w:r>
      <w:r>
        <w:t>愿意提供与报价相关的所有数据、资料，理解贵方无义务接受最低价或任何报价。</w:t>
      </w:r>
    </w:p>
    <w:p w14:paraId="6B11732D">
      <w:pPr>
        <w:numPr>
          <w:numId w:val="0"/>
        </w:numPr>
        <w:spacing w:before="0" w:beforeAutospacing="1" w:after="0" w:afterAutospacing="1"/>
        <w:ind w:firstLine="422" w:firstLineChars="200"/>
      </w:pPr>
      <w:r>
        <w:rPr>
          <w:rFonts w:hint="eastAsia"/>
          <w:b/>
          <w:lang w:val="en-US" w:eastAsia="zh-CN"/>
        </w:rPr>
        <w:t>5.</w:t>
      </w:r>
      <w:r>
        <w:rPr>
          <w:b/>
        </w:rPr>
        <w:t>不接受项</w:t>
      </w:r>
      <w:r>
        <w:t>：_____________________</w:t>
      </w:r>
      <w:r>
        <w:rPr>
          <w:u w:val="single"/>
        </w:rPr>
        <w:t>__</w:t>
      </w:r>
      <w:r>
        <w:rPr>
          <w:rFonts w:hint="eastAsia"/>
          <w:u w:val="single"/>
          <w:lang w:val="en-US" w:eastAsia="zh-CN"/>
        </w:rPr>
        <w:t xml:space="preserve">                                    </w:t>
      </w:r>
      <w:r>
        <w:rPr>
          <w:u w:val="single"/>
        </w:rPr>
        <w:t>_</w:t>
      </w:r>
      <w:r>
        <w:t>。</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8C863"/>
    <w:p w14:paraId="151D0406"/>
    <w:p w14:paraId="0F5911FA">
      <w:r>
        <w:t>全权代表（签字）：________ 联系电话：________</w:t>
      </w:r>
    </w:p>
    <w:p w14:paraId="3AFB065B"/>
    <w:p w14:paraId="3F8B5B67"/>
    <w:p w14:paraId="00829DAD">
      <w:r>
        <w:t>报价单位（盖章）：________ 日期：____年__月__日</w:t>
      </w:r>
    </w:p>
    <w:p w14:paraId="57580ADE">
      <w:pPr>
        <w:pStyle w:val="14"/>
      </w:pP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670EE2"/>
    <w:multiLevelType w:val="singleLevel"/>
    <w:tmpl w:val="31670EE2"/>
    <w:lvl w:ilvl="0" w:tentative="0">
      <w:start w:val="1"/>
      <w:numFmt w:val="decimal"/>
      <w:lvlText w:val="%1."/>
      <w:lvlJc w:val="left"/>
      <w:pPr>
        <w:ind w:left="720" w:hanging="360"/>
      </w:pPr>
      <w:rPr>
        <w:sz w:val="24"/>
      </w:rPr>
    </w:lvl>
  </w:abstractNum>
  <w:abstractNum w:abstractNumId="1">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2">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3">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9292DA4"/>
    <w:rsid w:val="0B1408EB"/>
    <w:rsid w:val="12922C84"/>
    <w:rsid w:val="134678C7"/>
    <w:rsid w:val="147931F1"/>
    <w:rsid w:val="14D05D11"/>
    <w:rsid w:val="15386004"/>
    <w:rsid w:val="15F1304B"/>
    <w:rsid w:val="17920BDE"/>
    <w:rsid w:val="1C0D408C"/>
    <w:rsid w:val="1D7C655F"/>
    <w:rsid w:val="1E937E31"/>
    <w:rsid w:val="228D7161"/>
    <w:rsid w:val="247C629F"/>
    <w:rsid w:val="24960418"/>
    <w:rsid w:val="24E05525"/>
    <w:rsid w:val="2B095688"/>
    <w:rsid w:val="2B8C00D9"/>
    <w:rsid w:val="2D6D29C6"/>
    <w:rsid w:val="2D7D3E53"/>
    <w:rsid w:val="2E730AF8"/>
    <w:rsid w:val="2EEE0779"/>
    <w:rsid w:val="30DA11D4"/>
    <w:rsid w:val="37E312B6"/>
    <w:rsid w:val="3AAB143A"/>
    <w:rsid w:val="47CC3F0F"/>
    <w:rsid w:val="4AC251FD"/>
    <w:rsid w:val="4AE1260F"/>
    <w:rsid w:val="4BD96800"/>
    <w:rsid w:val="4BE0663F"/>
    <w:rsid w:val="513A2283"/>
    <w:rsid w:val="58113834"/>
    <w:rsid w:val="5A702373"/>
    <w:rsid w:val="5C881239"/>
    <w:rsid w:val="5EF26EAF"/>
    <w:rsid w:val="5FED582A"/>
    <w:rsid w:val="60681AA9"/>
    <w:rsid w:val="608A4F08"/>
    <w:rsid w:val="626F711E"/>
    <w:rsid w:val="62E84689"/>
    <w:rsid w:val="6326564D"/>
    <w:rsid w:val="63F87D96"/>
    <w:rsid w:val="64B90B25"/>
    <w:rsid w:val="650D466E"/>
    <w:rsid w:val="68B13297"/>
    <w:rsid w:val="694037F5"/>
    <w:rsid w:val="6AD3740D"/>
    <w:rsid w:val="6BD26725"/>
    <w:rsid w:val="6DD76B71"/>
    <w:rsid w:val="71296F3C"/>
    <w:rsid w:val="7A995229"/>
    <w:rsid w:val="7B10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Plain Text"/>
    <w:basedOn w:val="1"/>
    <w:unhideWhenUsed/>
    <w:qFormat/>
    <w:uiPriority w:val="99"/>
    <w:rPr>
      <w:rFonts w:ascii="宋体" w:hAnsi="Courier New"/>
      <w:kern w:val="0"/>
      <w:sz w:val="20"/>
      <w:szCs w:val="20"/>
    </w:rPr>
  </w:style>
  <w:style w:type="paragraph" w:styleId="7">
    <w:name w:val="Normal Indent"/>
    <w:basedOn w:val="1"/>
    <w:qFormat/>
    <w:uiPriority w:val="0"/>
    <w:pPr>
      <w:adjustRightInd w:val="0"/>
      <w:spacing w:line="312" w:lineRule="atLeast"/>
      <w:ind w:firstLine="420"/>
      <w:textAlignment w:val="baseline"/>
    </w:pPr>
    <w:rPr>
      <w:color w:val="auto"/>
      <w:kern w:val="2"/>
    </w:rPr>
  </w:style>
  <w:style w:type="paragraph" w:styleId="8">
    <w:name w:val="annotation text"/>
    <w:basedOn w:val="1"/>
    <w:qFormat/>
    <w:uiPriority w:val="0"/>
    <w:pPr>
      <w:jc w:val="left"/>
    </w:pPr>
    <w:rPr>
      <w:color w:val="auto"/>
      <w:kern w:val="2"/>
    </w:rPr>
  </w:style>
  <w:style w:type="paragraph" w:styleId="9">
    <w:name w:val="Body Text Indent"/>
    <w:basedOn w:val="1"/>
    <w:unhideWhenUsed/>
    <w:qFormat/>
    <w:uiPriority w:val="99"/>
    <w:pPr>
      <w:spacing w:after="120"/>
      <w:ind w:left="420" w:leftChars="200"/>
    </w:pPr>
  </w:style>
  <w:style w:type="paragraph" w:styleId="10">
    <w:name w:val="Normal (Web)"/>
    <w:basedOn w:val="1"/>
    <w:unhideWhenUsed/>
    <w:uiPriority w:val="0"/>
    <w:pPr>
      <w:widowControl/>
      <w:spacing w:before="100" w:beforeAutospacing="1" w:after="100" w:afterAutospacing="1"/>
      <w:jc w:val="left"/>
    </w:pPr>
    <w:rPr>
      <w:rFonts w:ascii="宋体" w:hAnsi="宋体" w:cs="宋体"/>
      <w:color w:val="auto"/>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List Paragraph"/>
    <w:basedOn w:val="1"/>
    <w:next w:val="8"/>
    <w:qFormat/>
    <w:uiPriority w:val="99"/>
    <w:pPr>
      <w:ind w:left="495" w:firstLine="211"/>
    </w:pPr>
    <w:rPr>
      <w:rFonts w:ascii="宋体" w:hAnsi="宋体" w:cs="宋体"/>
      <w:lang w:val="zh-CN" w:bidi="zh-CN"/>
    </w:rPr>
  </w:style>
  <w:style w:type="character" w:customStyle="1" w:styleId="15">
    <w:name w:val="font91"/>
    <w:basedOn w:val="13"/>
    <w:qFormat/>
    <w:uiPriority w:val="0"/>
    <w:rPr>
      <w:rFonts w:hint="eastAsia" w:ascii="宋体" w:hAnsi="宋体" w:eastAsia="宋体" w:cs="宋体"/>
      <w:color w:val="000000"/>
      <w:sz w:val="16"/>
      <w:szCs w:val="16"/>
      <w:u w:val="none"/>
    </w:rPr>
  </w:style>
  <w:style w:type="character" w:customStyle="1" w:styleId="16">
    <w:name w:val="font101"/>
    <w:basedOn w:val="13"/>
    <w:qFormat/>
    <w:uiPriority w:val="0"/>
    <w:rPr>
      <w:rFonts w:hint="default" w:ascii="Times New Roman" w:hAnsi="Times New Roman" w:cs="Times New Roman"/>
      <w:color w:val="000000"/>
      <w:sz w:val="16"/>
      <w:szCs w:val="16"/>
      <w:u w:val="none"/>
    </w:rPr>
  </w:style>
  <w:style w:type="character" w:customStyle="1" w:styleId="17">
    <w:name w:val="font41"/>
    <w:basedOn w:val="13"/>
    <w:qFormat/>
    <w:uiPriority w:val="0"/>
    <w:rPr>
      <w:rFonts w:hint="eastAsia" w:ascii="宋体" w:hAnsi="宋体" w:eastAsia="宋体" w:cs="宋体"/>
      <w:color w:val="000000"/>
      <w:sz w:val="18"/>
      <w:szCs w:val="18"/>
      <w:u w:val="none"/>
    </w:rPr>
  </w:style>
  <w:style w:type="character" w:customStyle="1" w:styleId="18">
    <w:name w:val="font112"/>
    <w:basedOn w:val="13"/>
    <w:qFormat/>
    <w:uiPriority w:val="0"/>
    <w:rPr>
      <w:rFonts w:hint="eastAsia" w:ascii="宋体" w:hAnsi="宋体" w:eastAsia="宋体" w:cs="宋体"/>
      <w:color w:val="000000"/>
      <w:sz w:val="14"/>
      <w:szCs w:val="14"/>
      <w:u w:val="none"/>
    </w:rPr>
  </w:style>
  <w:style w:type="character" w:customStyle="1" w:styleId="19">
    <w:name w:val="font21"/>
    <w:basedOn w:val="13"/>
    <w:qFormat/>
    <w:uiPriority w:val="0"/>
    <w:rPr>
      <w:rFonts w:hint="eastAsia" w:ascii="宋体" w:hAnsi="宋体" w:eastAsia="宋体" w:cs="宋体"/>
      <w:color w:val="000000"/>
      <w:sz w:val="18"/>
      <w:szCs w:val="18"/>
      <w:u w:val="none"/>
    </w:rPr>
  </w:style>
  <w:style w:type="character" w:customStyle="1" w:styleId="20">
    <w:name w:val="font31"/>
    <w:basedOn w:val="13"/>
    <w:qFormat/>
    <w:uiPriority w:val="0"/>
    <w:rPr>
      <w:rFonts w:hint="default" w:ascii="Times New Roman" w:hAnsi="Times New Roman" w:cs="Times New Roman"/>
      <w:color w:val="000000"/>
      <w:sz w:val="18"/>
      <w:szCs w:val="18"/>
      <w:u w:val="none"/>
    </w:rPr>
  </w:style>
  <w:style w:type="character" w:customStyle="1" w:styleId="21">
    <w:name w:val="font11"/>
    <w:basedOn w:val="13"/>
    <w:qFormat/>
    <w:uiPriority w:val="0"/>
    <w:rPr>
      <w:rFonts w:hint="default" w:ascii="Times New Roman" w:hAnsi="Times New Roman" w:cs="Times New Roman"/>
      <w:color w:val="000000"/>
      <w:sz w:val="18"/>
      <w:szCs w:val="18"/>
      <w:u w:val="none"/>
    </w:rPr>
  </w:style>
  <w:style w:type="character" w:customStyle="1" w:styleId="22">
    <w:name w:val="font81"/>
    <w:basedOn w:val="13"/>
    <w:qFormat/>
    <w:uiPriority w:val="0"/>
    <w:rPr>
      <w:rFonts w:hint="eastAsia" w:ascii="宋体" w:hAnsi="宋体" w:eastAsia="宋体" w:cs="宋体"/>
      <w:color w:val="000000"/>
      <w:sz w:val="18"/>
      <w:szCs w:val="18"/>
      <w:u w:val="none"/>
    </w:rPr>
  </w:style>
  <w:style w:type="character" w:customStyle="1" w:styleId="23">
    <w:name w:val="font71"/>
    <w:basedOn w:val="13"/>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2371</Words>
  <Characters>2664</Characters>
  <Lines>0</Lines>
  <Paragraphs>0</Paragraphs>
  <TotalTime>1</TotalTime>
  <ScaleCrop>false</ScaleCrop>
  <LinksUpToDate>false</LinksUpToDate>
  <CharactersWithSpaces>2696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张翊庭</cp:lastModifiedBy>
  <cp:lastPrinted>2026-01-13T08:37:00Z</cp:lastPrinted>
  <dcterms:modified xsi:type="dcterms:W3CDTF">2026-03-06T05:58:32Z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eyJoZGlkIjoiMTA2MGNjNWVhM2EzM2E3ODc2ZmRmNzA3MTRmMjdiOTkiLCJ1c2VySWQiOiIxODAwMzE4MTQ4In0=</vt:lpwstr>
  </property>
  <property fmtid="{D5CDD505-2E9C-101B-9397-08002B2CF9AE}" pid="4" name="ICV">
    <vt:lpwstr>AC08B15DEC824E5996F0D7D741009FFB_12</vt:lpwstr>
  </property>
</Properties>
</file>