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98933">
      <w:pPr>
        <w:pStyle w:val="2"/>
        <w:keepNext/>
        <w:keepLines/>
        <w:pageBreakBefore w:val="0"/>
        <w:widowControl w:val="0"/>
        <w:kinsoku/>
        <w:wordWrap/>
        <w:overflowPunct/>
        <w:topLinePunct w:val="0"/>
        <w:autoSpaceDE/>
        <w:autoSpaceDN/>
        <w:bidi w:val="0"/>
        <w:adjustRightInd/>
        <w:snapToGrid/>
        <w:spacing w:line="240" w:lineRule="exact"/>
        <w:jc w:val="center"/>
        <w:textAlignment w:val="auto"/>
      </w:pPr>
      <w:bookmarkStart w:id="1" w:name="_GoBack"/>
      <w:bookmarkEnd w:id="1"/>
      <w:r>
        <w:rPr>
          <w:rFonts w:hint="eastAsia" w:ascii="方正小标宋简体" w:hAnsi="方正小标宋简体" w:eastAsia="方正小标宋简体" w:cs="方正小标宋简体"/>
          <w:b w:val="0"/>
          <w:bCs/>
        </w:rPr>
        <w:t>碳钢板与不锈钢板供应商招募公告</w:t>
      </w:r>
    </w:p>
    <w:p w14:paraId="692F63CD">
      <w:pPr>
        <w:pageBreakBefore w:val="0"/>
        <w:widowControl w:val="0"/>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为满足公司长期稳定的板材采购需求，建立优质、可靠的供应链体系，现面向全国公开招募碳钢板与不锈钢板长期合作供应商。具体要求如下：</w:t>
      </w:r>
    </w:p>
    <w:p w14:paraId="1FA41BD5">
      <w:pPr>
        <w:pStyle w:val="3"/>
        <w:pageBreakBefore w:val="0"/>
        <w:widowControl w:val="0"/>
        <w:kinsoku/>
        <w:overflowPunct/>
        <w:topLinePunct w:val="0"/>
        <w:autoSpaceDE/>
        <w:autoSpaceDN/>
        <w:bidi w:val="0"/>
        <w:adjustRightInd/>
        <w:snapToGrid/>
        <w:spacing w:line="600" w:lineRule="exact"/>
        <w:textAlignment w:val="auto"/>
        <w:rPr>
          <w:b w:val="0"/>
          <w:bCs/>
        </w:rPr>
      </w:pPr>
      <w:r>
        <w:rPr>
          <w:b w:val="0"/>
          <w:bCs/>
        </w:rPr>
        <w:t>一、招募范围</w:t>
      </w:r>
    </w:p>
    <w:p w14:paraId="23B81E76">
      <w:pPr>
        <w:pageBreakBefore w:val="0"/>
        <w:widowControl w:val="0"/>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专注于</w:t>
      </w:r>
      <w:r>
        <w:rPr>
          <w:rFonts w:hint="eastAsia" w:ascii="仿宋_GB2312" w:hAnsi="仿宋_GB2312" w:eastAsia="仿宋_GB2312" w:cs="仿宋_GB2312"/>
          <w:b/>
          <w:sz w:val="32"/>
          <w:szCs w:val="32"/>
        </w:rPr>
        <w:t>碳钢板</w:t>
      </w:r>
      <w:r>
        <w:rPr>
          <w:rFonts w:hint="eastAsia" w:ascii="仿宋_GB2312" w:hAnsi="仿宋_GB2312" w:eastAsia="仿宋_GB2312" w:cs="仿宋_GB2312"/>
          <w:sz w:val="32"/>
          <w:szCs w:val="32"/>
        </w:rPr>
        <w:t>（包括但不限于热轧碳钢板、冷轧碳钢板、</w:t>
      </w:r>
      <w:r>
        <w:rPr>
          <w:rFonts w:hint="eastAsia" w:ascii="仿宋_GB2312" w:hAnsi="仿宋_GB2312" w:eastAsia="仿宋_GB2312" w:cs="仿宋_GB2312"/>
          <w:sz w:val="32"/>
          <w:szCs w:val="32"/>
          <w:lang w:val="en-US" w:eastAsia="zh-CN"/>
        </w:rPr>
        <w:t>花纹</w:t>
      </w:r>
      <w:r>
        <w:rPr>
          <w:rFonts w:hint="eastAsia" w:ascii="仿宋_GB2312" w:hAnsi="仿宋_GB2312" w:eastAsia="仿宋_GB2312" w:cs="仿宋_GB2312"/>
          <w:sz w:val="32"/>
          <w:szCs w:val="32"/>
        </w:rPr>
        <w:t>钢板等，规格按需定制）、</w:t>
      </w:r>
      <w:r>
        <w:rPr>
          <w:rFonts w:hint="eastAsia" w:ascii="仿宋_GB2312" w:hAnsi="仿宋_GB2312" w:eastAsia="仿宋_GB2312" w:cs="仿宋_GB2312"/>
          <w:b/>
          <w:sz w:val="32"/>
          <w:szCs w:val="32"/>
        </w:rPr>
        <w:t>不锈钢板</w:t>
      </w:r>
      <w:r>
        <w:rPr>
          <w:rFonts w:hint="eastAsia" w:ascii="仿宋_GB2312" w:hAnsi="仿宋_GB2312" w:eastAsia="仿宋_GB2312" w:cs="仿宋_GB2312"/>
          <w:sz w:val="32"/>
          <w:szCs w:val="32"/>
        </w:rPr>
        <w:t>（包括但不限于304不锈钢板、316L不锈钢板、</w:t>
      </w:r>
      <w:r>
        <w:rPr>
          <w:rFonts w:hint="eastAsia" w:ascii="仿宋_GB2312" w:hAnsi="仿宋_GB2312" w:eastAsia="仿宋_GB2312" w:cs="仿宋_GB2312"/>
          <w:sz w:val="32"/>
          <w:szCs w:val="32"/>
          <w:lang w:val="en-US" w:eastAsia="zh-CN"/>
        </w:rPr>
        <w:t>310</w:t>
      </w:r>
      <w:r>
        <w:rPr>
          <w:rFonts w:hint="eastAsia" w:ascii="仿宋_GB2312" w:hAnsi="仿宋_GB2312" w:eastAsia="仿宋_GB2312" w:cs="仿宋_GB2312"/>
          <w:sz w:val="32"/>
          <w:szCs w:val="32"/>
        </w:rPr>
        <w:t>不锈钢板等</w:t>
      </w:r>
      <w:r>
        <w:rPr>
          <w:rFonts w:hint="eastAsia" w:ascii="仿宋_GB2312" w:hAnsi="仿宋_GB2312" w:eastAsia="仿宋_GB2312" w:cs="仿宋_GB2312"/>
          <w:sz w:val="32"/>
          <w:szCs w:val="32"/>
          <w:highlight w:val="none"/>
        </w:rPr>
        <w:t>，材质符合国</w:t>
      </w:r>
      <w:r>
        <w:rPr>
          <w:rFonts w:hint="eastAsia" w:ascii="仿宋_GB2312" w:hAnsi="仿宋_GB2312" w:eastAsia="仿宋_GB2312" w:cs="仿宋_GB2312"/>
          <w:sz w:val="32"/>
          <w:szCs w:val="32"/>
          <w:highlight w:val="none"/>
          <w:lang w:val="en-US" w:eastAsia="zh-CN"/>
        </w:rPr>
        <w:t>标</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美国</w:t>
      </w:r>
      <w:r>
        <w:rPr>
          <w:rFonts w:hint="eastAsia" w:ascii="仿宋_GB2312" w:hAnsi="仿宋_GB2312" w:eastAsia="仿宋_GB2312" w:cs="仿宋_GB2312"/>
          <w:sz w:val="32"/>
          <w:szCs w:val="32"/>
          <w:highlight w:val="none"/>
        </w:rPr>
        <w:t>ASTM</w:t>
      </w:r>
      <w:r>
        <w:rPr>
          <w:rFonts w:hint="eastAsia" w:ascii="仿宋_GB2312" w:hAnsi="仿宋_GB2312" w:eastAsia="仿宋_GB2312" w:cs="仿宋_GB2312"/>
          <w:sz w:val="32"/>
          <w:szCs w:val="32"/>
          <w:highlight w:val="none"/>
          <w:lang w:val="en-US" w:eastAsia="zh-CN"/>
        </w:rPr>
        <w:t>等相应</w:t>
      </w:r>
      <w:r>
        <w:rPr>
          <w:rFonts w:hint="eastAsia" w:ascii="仿宋_GB2312" w:hAnsi="仿宋_GB2312" w:eastAsia="仿宋_GB2312" w:cs="仿宋_GB2312"/>
          <w:sz w:val="32"/>
          <w:szCs w:val="32"/>
          <w:highlight w:val="none"/>
        </w:rPr>
        <w:t>标准）的生产或销</w:t>
      </w:r>
      <w:r>
        <w:rPr>
          <w:rFonts w:hint="eastAsia" w:ascii="仿宋_GB2312" w:hAnsi="仿宋_GB2312" w:eastAsia="仿宋_GB2312" w:cs="仿宋_GB2312"/>
          <w:sz w:val="32"/>
          <w:szCs w:val="32"/>
        </w:rPr>
        <w:t>售企业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能够按照订单要求割零供货</w:t>
      </w:r>
      <w:r>
        <w:rPr>
          <w:rFonts w:hint="eastAsia" w:ascii="方正仿宋_GB2312" w:hAnsi="方正仿宋_GB2312" w:eastAsia="方正仿宋_GB2312" w:cs="方正仿宋_GB2312"/>
          <w:sz w:val="32"/>
          <w:szCs w:val="32"/>
        </w:rPr>
        <w:t>（即按需切割成指定</w:t>
      </w:r>
      <w:r>
        <w:rPr>
          <w:rFonts w:hint="eastAsia" w:ascii="方正仿宋_GB2312" w:hAnsi="方正仿宋_GB2312" w:eastAsia="方正仿宋_GB2312" w:cs="方正仿宋_GB2312"/>
          <w:sz w:val="32"/>
          <w:szCs w:val="32"/>
          <w:lang w:val="en-US" w:eastAsia="zh-CN"/>
        </w:rPr>
        <w:t>尺寸</w:t>
      </w:r>
      <w:r>
        <w:rPr>
          <w:rFonts w:hint="eastAsia" w:ascii="方正仿宋_GB2312" w:hAnsi="方正仿宋_GB2312" w:eastAsia="方正仿宋_GB2312" w:cs="方正仿宋_GB2312"/>
          <w:sz w:val="32"/>
          <w:szCs w:val="32"/>
        </w:rPr>
        <w:t>供货）</w:t>
      </w:r>
      <w:r>
        <w:rPr>
          <w:rFonts w:hint="eastAsia" w:ascii="仿宋_GB2312" w:hAnsi="仿宋_GB2312" w:eastAsia="仿宋_GB2312" w:cs="仿宋_GB2312"/>
          <w:sz w:val="32"/>
          <w:szCs w:val="32"/>
        </w:rPr>
        <w:t>。</w:t>
      </w:r>
    </w:p>
    <w:p w14:paraId="3B02E406">
      <w:pPr>
        <w:pStyle w:val="3"/>
        <w:pageBreakBefore w:val="0"/>
        <w:widowControl w:val="0"/>
        <w:kinsoku/>
        <w:overflowPunct/>
        <w:topLinePunct w:val="0"/>
        <w:autoSpaceDE/>
        <w:autoSpaceDN/>
        <w:bidi w:val="0"/>
        <w:adjustRightInd/>
        <w:snapToGrid/>
        <w:spacing w:line="600" w:lineRule="exact"/>
        <w:textAlignment w:val="auto"/>
        <w:rPr>
          <w:b w:val="0"/>
          <w:bCs/>
        </w:rPr>
      </w:pPr>
      <w:r>
        <w:rPr>
          <w:b w:val="0"/>
          <w:bCs/>
        </w:rPr>
        <w:t>二、供应商基本资质要求</w:t>
      </w:r>
    </w:p>
    <w:p w14:paraId="5BECB64E">
      <w:pPr>
        <w:pageBreakBefore w:val="0"/>
        <w:widowControl w:val="0"/>
        <w:numPr>
          <w:ilvl w:val="0"/>
          <w:numId w:val="1"/>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rPr>
      </w:pPr>
      <w:r>
        <w:rPr>
          <w:rFonts w:hint="eastAsia" w:ascii="仿宋_GB2312" w:hAnsi="仿宋_GB2312" w:eastAsia="仿宋_GB2312" w:cs="仿宋_GB2312"/>
          <w:b/>
          <w:sz w:val="32"/>
          <w:szCs w:val="32"/>
        </w:rPr>
        <w:t>资质与经验</w:t>
      </w:r>
      <w:r>
        <w:rPr>
          <w:rFonts w:hint="eastAsia" w:ascii="仿宋_GB2312" w:hAnsi="仿宋_GB2312" w:eastAsia="仿宋_GB2312" w:cs="仿宋_GB2312"/>
          <w:sz w:val="32"/>
          <w:szCs w:val="32"/>
        </w:rPr>
        <w:t>：具备合法经营资质（持有有效营业执照、税务登记证、组织机构代码证或三证合一证书）；拥有</w:t>
      </w:r>
      <w:r>
        <w:rPr>
          <w:rFonts w:hint="eastAsia" w:ascii="仿宋_GB2312" w:hAnsi="仿宋_GB2312" w:eastAsia="仿宋_GB2312" w:cs="仿宋_GB2312"/>
          <w:b/>
          <w:sz w:val="32"/>
          <w:szCs w:val="32"/>
        </w:rPr>
        <w:t>5年以上</w:t>
      </w:r>
      <w:r>
        <w:rPr>
          <w:rFonts w:hint="eastAsia" w:ascii="仿宋_GB2312" w:hAnsi="仿宋_GB2312" w:eastAsia="仿宋_GB2312" w:cs="仿宋_GB2312"/>
          <w:sz w:val="32"/>
          <w:szCs w:val="32"/>
        </w:rPr>
        <w:t>板材行业销售业绩（需提供近5年代表性销售合同、发票复印件等证明材料）。</w:t>
      </w:r>
    </w:p>
    <w:p w14:paraId="46BFC074">
      <w:pPr>
        <w:pageBreakBefore w:val="0"/>
        <w:widowControl w:val="0"/>
        <w:numPr>
          <w:ilvl w:val="0"/>
          <w:numId w:val="1"/>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注册资本：</w:t>
      </w:r>
      <w:r>
        <w:rPr>
          <w:rFonts w:hint="eastAsia" w:ascii="仿宋_GB2312" w:hAnsi="仿宋_GB2312" w:eastAsia="仿宋_GB2312" w:cs="仿宋_GB2312"/>
          <w:b w:val="0"/>
          <w:bCs/>
          <w:sz w:val="32"/>
          <w:szCs w:val="32"/>
          <w:lang w:val="en-US" w:eastAsia="zh-CN"/>
        </w:rPr>
        <w:t>贸易商</w:t>
      </w:r>
      <w:r>
        <w:rPr>
          <w:rFonts w:hint="eastAsia" w:ascii="仿宋_GB2312" w:hAnsi="仿宋_GB2312" w:eastAsia="仿宋_GB2312" w:cs="仿宋_GB2312"/>
          <w:sz w:val="32"/>
          <w:szCs w:val="32"/>
          <w:highlight w:val="none"/>
        </w:rPr>
        <w:t>注册资本</w:t>
      </w:r>
      <w:r>
        <w:rPr>
          <w:rFonts w:hint="eastAsia" w:ascii="仿宋_GB2312" w:hAnsi="仿宋_GB2312" w:eastAsia="仿宋_GB2312" w:cs="仿宋_GB2312"/>
          <w:sz w:val="32"/>
          <w:szCs w:val="32"/>
        </w:rPr>
        <w:t>不低于</w:t>
      </w:r>
      <w:r>
        <w:rPr>
          <w:rFonts w:hint="eastAsia" w:ascii="仿宋_GB2312" w:hAnsi="仿宋_GB2312" w:eastAsia="仿宋_GB2312" w:cs="仿宋_GB2312"/>
          <w:b/>
          <w:sz w:val="32"/>
          <w:szCs w:val="32"/>
        </w:rPr>
        <w:t>500万元人民币</w:t>
      </w:r>
      <w:r>
        <w:rPr>
          <w:rFonts w:hint="eastAsia" w:ascii="仿宋_GB2312" w:hAnsi="仿宋_GB2312" w:eastAsia="仿宋_GB2312" w:cs="仿宋_GB2312"/>
          <w:sz w:val="32"/>
          <w:szCs w:val="32"/>
        </w:rPr>
        <w:t>（以最新工商登记信息或验资报告为准）。</w:t>
      </w:r>
    </w:p>
    <w:p w14:paraId="657ABF5B">
      <w:pPr>
        <w:pageBreakBefore w:val="0"/>
        <w:widowControl w:val="0"/>
        <w:numPr>
          <w:ilvl w:val="0"/>
          <w:numId w:val="1"/>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结算方式：</w:t>
      </w:r>
      <w:r>
        <w:rPr>
          <w:rFonts w:hint="eastAsia" w:ascii="仿宋_GB2312" w:hAnsi="仿宋_GB2312" w:eastAsia="仿宋_GB2312" w:cs="仿宋_GB2312"/>
          <w:sz w:val="32"/>
          <w:szCs w:val="32"/>
        </w:rPr>
        <w:t>接受</w:t>
      </w:r>
      <w:r>
        <w:rPr>
          <w:rFonts w:hint="eastAsia" w:ascii="仿宋_GB2312" w:hAnsi="仿宋_GB2312" w:eastAsia="仿宋_GB2312" w:cs="仿宋_GB2312"/>
          <w:b/>
          <w:sz w:val="32"/>
          <w:szCs w:val="32"/>
        </w:rPr>
        <w:t>货物到达并经我方验收合格</w:t>
      </w:r>
      <w:r>
        <w:rPr>
          <w:rFonts w:hint="eastAsia" w:ascii="仿宋_GB2312" w:hAnsi="仿宋_GB2312" w:eastAsia="仿宋_GB2312" w:cs="仿宋_GB2312"/>
          <w:b/>
          <w:sz w:val="32"/>
          <w:szCs w:val="32"/>
          <w:lang w:val="en-US" w:eastAsia="zh-CN"/>
        </w:rPr>
        <w:t>发票开具给我公司后</w:t>
      </w:r>
      <w:r>
        <w:rPr>
          <w:rFonts w:hint="eastAsia" w:ascii="仿宋_GB2312" w:hAnsi="仿宋_GB2312" w:eastAsia="仿宋_GB2312" w:cs="仿宋_GB2312"/>
          <w:b/>
          <w:sz w:val="32"/>
          <w:szCs w:val="32"/>
        </w:rPr>
        <w:t>45天内</w:t>
      </w:r>
      <w:r>
        <w:rPr>
          <w:rFonts w:hint="eastAsia" w:ascii="仿宋_GB2312" w:hAnsi="仿宋_GB2312" w:eastAsia="仿宋_GB2312" w:cs="仿宋_GB2312"/>
          <w:b/>
          <w:sz w:val="32"/>
          <w:szCs w:val="32"/>
          <w:lang w:val="en-US" w:eastAsia="zh-CN"/>
        </w:rPr>
        <w:t>支付货款，</w:t>
      </w:r>
      <w:r>
        <w:rPr>
          <w:rFonts w:hint="eastAsia" w:ascii="仿宋_GB2312" w:hAnsi="仿宋_GB2312" w:eastAsia="仿宋_GB2312" w:cs="仿宋_GB2312"/>
          <w:b/>
          <w:sz w:val="32"/>
          <w:szCs w:val="32"/>
        </w:rPr>
        <w:t>承兑结算</w:t>
      </w:r>
      <w:r>
        <w:rPr>
          <w:rFonts w:hint="eastAsia" w:ascii="仿宋_GB2312" w:hAnsi="仿宋_GB2312" w:eastAsia="仿宋_GB2312" w:cs="仿宋_GB2312"/>
          <w:sz w:val="32"/>
          <w:szCs w:val="32"/>
        </w:rPr>
        <w:t>。</w:t>
      </w:r>
    </w:p>
    <w:p w14:paraId="331D09D2">
      <w:pPr>
        <w:pageBreakBefore w:val="0"/>
        <w:widowControl w:val="0"/>
        <w:numPr>
          <w:ilvl w:val="0"/>
          <w:numId w:val="1"/>
        </w:numPr>
        <w:kinsoku/>
        <w:overflowPunct/>
        <w:topLinePunct w:val="0"/>
        <w:autoSpaceDE/>
        <w:autoSpaceDN/>
        <w:bidi w:val="0"/>
        <w:adjustRightInd/>
        <w:snapToGrid/>
        <w:spacing w:before="0" w:beforeAutospacing="1" w:after="0" w:afterAutospacing="1" w:line="600" w:lineRule="exact"/>
        <w:ind w:left="720" w:hanging="360"/>
        <w:textAlignment w:val="auto"/>
        <w:rPr>
          <w:sz w:val="32"/>
          <w:szCs w:val="32"/>
        </w:rPr>
      </w:pPr>
      <w:r>
        <w:rPr>
          <w:rFonts w:hint="eastAsia" w:ascii="仿宋_GB2312" w:hAnsi="仿宋_GB2312" w:eastAsia="仿宋_GB2312" w:cs="仿宋_GB2312"/>
          <w:b/>
          <w:sz w:val="32"/>
          <w:szCs w:val="32"/>
        </w:rPr>
        <w:t>产品质量</w:t>
      </w:r>
      <w:r>
        <w:rPr>
          <w:b/>
          <w:sz w:val="32"/>
          <w:szCs w:val="32"/>
        </w:rPr>
        <w:t>：</w:t>
      </w:r>
      <w:r>
        <w:rPr>
          <w:rFonts w:hint="eastAsia" w:ascii="仿宋_GB2312" w:hAnsi="仿宋_GB2312" w:eastAsia="仿宋_GB2312" w:cs="仿宋_GB2312"/>
          <w:sz w:val="32"/>
          <w:szCs w:val="32"/>
        </w:rPr>
        <w:t>产品质量需符合GB/T 7</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相应</w:t>
      </w:r>
      <w:r>
        <w:rPr>
          <w:rFonts w:hint="eastAsia" w:ascii="仿宋_GB2312" w:hAnsi="仿宋_GB2312" w:eastAsia="仿宋_GB2312" w:cs="仿宋_GB2312"/>
          <w:sz w:val="32"/>
          <w:szCs w:val="32"/>
          <w:highlight w:val="none"/>
        </w:rPr>
        <w:t>国</w:t>
      </w:r>
      <w:r>
        <w:rPr>
          <w:rFonts w:hint="eastAsia" w:ascii="仿宋_GB2312" w:hAnsi="仿宋_GB2312" w:eastAsia="仿宋_GB2312" w:cs="仿宋_GB2312"/>
          <w:sz w:val="32"/>
          <w:szCs w:val="32"/>
          <w:highlight w:val="none"/>
          <w:lang w:val="en-US" w:eastAsia="zh-CN"/>
        </w:rPr>
        <w:t>标</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美国</w:t>
      </w:r>
      <w:r>
        <w:rPr>
          <w:rFonts w:hint="eastAsia" w:ascii="仿宋_GB2312" w:hAnsi="仿宋_GB2312" w:eastAsia="仿宋_GB2312" w:cs="仿宋_GB2312"/>
          <w:sz w:val="32"/>
          <w:szCs w:val="32"/>
          <w:highlight w:val="none"/>
        </w:rPr>
        <w:t>ASTM标准，能提供权威机构出具的</w:t>
      </w:r>
      <w:r>
        <w:rPr>
          <w:rFonts w:hint="eastAsia" w:ascii="仿宋_GB2312" w:hAnsi="仿宋_GB2312" w:eastAsia="仿宋_GB2312" w:cs="仿宋_GB2312"/>
          <w:b/>
          <w:bCs/>
          <w:sz w:val="32"/>
          <w:szCs w:val="32"/>
          <w:highlight w:val="none"/>
          <w:lang w:val="en-US" w:eastAsia="zh-CN"/>
        </w:rPr>
        <w:t>产品</w:t>
      </w:r>
      <w:r>
        <w:rPr>
          <w:rFonts w:hint="eastAsia" w:eastAsia="仿宋_GB2312"/>
          <w:b/>
          <w:sz w:val="32"/>
          <w:szCs w:val="32"/>
          <w:highlight w:val="none"/>
          <w:lang w:val="en-US" w:eastAsia="zh-CN"/>
        </w:rPr>
        <w:t>质量证明书、检验报告等</w:t>
      </w:r>
      <w:r>
        <w:rPr>
          <w:rFonts w:hint="eastAsia" w:ascii="仿宋_GB2312" w:hAnsi="仿宋_GB2312" w:eastAsia="仿宋_GB2312" w:cs="仿宋_GB2312"/>
          <w:sz w:val="32"/>
          <w:szCs w:val="32"/>
          <w:highlight w:val="none"/>
        </w:rPr>
        <w:t>。</w:t>
      </w:r>
    </w:p>
    <w:p w14:paraId="6B9929EB">
      <w:pPr>
        <w:pStyle w:val="3"/>
        <w:pageBreakBefore w:val="0"/>
        <w:widowControl w:val="0"/>
        <w:kinsoku/>
        <w:overflowPunct/>
        <w:topLinePunct w:val="0"/>
        <w:autoSpaceDE/>
        <w:autoSpaceDN/>
        <w:bidi w:val="0"/>
        <w:adjustRightInd/>
        <w:snapToGrid/>
        <w:spacing w:line="600" w:lineRule="exact"/>
        <w:textAlignment w:val="auto"/>
        <w:rPr>
          <w:b w:val="0"/>
          <w:bCs/>
        </w:rPr>
      </w:pPr>
      <w:r>
        <w:rPr>
          <w:b w:val="0"/>
          <w:bCs/>
        </w:rPr>
        <w:t>三、优先考虑条件</w:t>
      </w:r>
    </w:p>
    <w:p w14:paraId="262CBC1C">
      <w:pPr>
        <w:pageBreakBefore w:val="0"/>
        <w:widowControl w:val="0"/>
        <w:numPr>
          <w:ilvl w:val="0"/>
          <w:numId w:val="2"/>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w:t>
      </w:r>
      <w:r>
        <w:rPr>
          <w:rFonts w:hint="eastAsia" w:ascii="仿宋_GB2312" w:hAnsi="仿宋_GB2312" w:eastAsia="仿宋_GB2312" w:cs="仿宋_GB2312"/>
          <w:b/>
          <w:sz w:val="32"/>
          <w:szCs w:val="32"/>
        </w:rPr>
        <w:t>3年无合同纠纷记录</w:t>
      </w:r>
      <w:r>
        <w:rPr>
          <w:rFonts w:hint="eastAsia" w:ascii="仿宋_GB2312" w:hAnsi="仿宋_GB2312" w:eastAsia="仿宋_GB2312" w:cs="仿宋_GB2312"/>
          <w:sz w:val="32"/>
          <w:szCs w:val="32"/>
        </w:rPr>
        <w:t>（需提供双方盖章的无纠纷证明或企业自我声明并承诺）；</w:t>
      </w:r>
    </w:p>
    <w:p w14:paraId="6CA8DC61">
      <w:pPr>
        <w:pageBreakBefore w:val="0"/>
        <w:widowControl w:val="0"/>
        <w:numPr>
          <w:ilvl w:val="0"/>
          <w:numId w:val="2"/>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w:t>
      </w:r>
      <w:r>
        <w:rPr>
          <w:rFonts w:hint="eastAsia" w:ascii="仿宋_GB2312" w:hAnsi="仿宋_GB2312" w:eastAsia="仿宋_GB2312" w:cs="仿宋_GB2312"/>
          <w:b/>
          <w:sz w:val="32"/>
          <w:szCs w:val="32"/>
        </w:rPr>
        <w:t>3年无相关法律诉讼历史</w:t>
      </w:r>
      <w:r>
        <w:rPr>
          <w:rFonts w:hint="eastAsia" w:ascii="仿宋_GB2312" w:hAnsi="仿宋_GB2312" w:eastAsia="仿宋_GB2312" w:cs="仿宋_GB2312"/>
          <w:sz w:val="32"/>
          <w:szCs w:val="32"/>
        </w:rPr>
        <w:t>（需提供法院出具的无失信被执行人记录或中国裁判文书网查询截图）；</w:t>
      </w:r>
    </w:p>
    <w:p w14:paraId="0D8EF71B">
      <w:pPr>
        <w:pageBreakBefore w:val="0"/>
        <w:widowControl w:val="0"/>
        <w:numPr>
          <w:ilvl w:val="0"/>
          <w:numId w:val="2"/>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w:t>
      </w:r>
      <w:r>
        <w:rPr>
          <w:rFonts w:hint="eastAsia" w:ascii="仿宋_GB2312" w:hAnsi="仿宋_GB2312" w:eastAsia="仿宋_GB2312" w:cs="仿宋_GB2312"/>
          <w:b/>
          <w:sz w:val="32"/>
          <w:szCs w:val="32"/>
        </w:rPr>
        <w:t>大型制造业企业或国企合作经验</w:t>
      </w:r>
      <w:r>
        <w:rPr>
          <w:rFonts w:hint="eastAsia" w:ascii="仿宋_GB2312" w:hAnsi="仿宋_GB2312" w:eastAsia="仿宋_GB2312" w:cs="仿宋_GB2312"/>
          <w:sz w:val="32"/>
          <w:szCs w:val="32"/>
        </w:rPr>
        <w:t>（需提供合作证明材料）；</w:t>
      </w:r>
    </w:p>
    <w:p w14:paraId="5D9ECAA6">
      <w:pPr>
        <w:pageBreakBefore w:val="0"/>
        <w:widowControl w:val="0"/>
        <w:numPr>
          <w:ilvl w:val="0"/>
          <w:numId w:val="2"/>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拥有自有生产</w:t>
      </w:r>
      <w:r>
        <w:rPr>
          <w:rFonts w:hint="eastAsia" w:ascii="仿宋_GB2312" w:hAnsi="仿宋_GB2312" w:eastAsia="仿宋_GB2312" w:cs="仿宋_GB2312"/>
          <w:sz w:val="32"/>
          <w:szCs w:val="32"/>
          <w:lang w:val="en-US" w:eastAsia="zh-CN"/>
        </w:rPr>
        <w:t>或仓储</w:t>
      </w:r>
      <w:r>
        <w:rPr>
          <w:rFonts w:hint="eastAsia" w:ascii="仿宋_GB2312" w:hAnsi="仿宋_GB2312" w:eastAsia="仿宋_GB2312" w:cs="仿宋_GB2312"/>
          <w:sz w:val="32"/>
          <w:szCs w:val="32"/>
        </w:rPr>
        <w:t>基地或稳定的原厂货源（需提供相关证明）。</w:t>
      </w:r>
    </w:p>
    <w:p w14:paraId="2B6173B9">
      <w:pPr>
        <w:pageBreakBefore w:val="0"/>
        <w:widowControl w:val="0"/>
        <w:numPr>
          <w:ilvl w:val="0"/>
          <w:numId w:val="2"/>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愿意遵守我公司的采购管理制度，签订相关的采购合同及廉洁协议。</w:t>
      </w:r>
    </w:p>
    <w:p w14:paraId="56970D7F">
      <w:pPr>
        <w:pStyle w:val="3"/>
        <w:pageBreakBefore w:val="0"/>
        <w:widowControl w:val="0"/>
        <w:kinsoku/>
        <w:overflowPunct/>
        <w:topLinePunct w:val="0"/>
        <w:autoSpaceDE/>
        <w:autoSpaceDN/>
        <w:bidi w:val="0"/>
        <w:adjustRightInd/>
        <w:snapToGrid/>
        <w:spacing w:line="600" w:lineRule="exact"/>
        <w:textAlignment w:val="auto"/>
        <w:rPr>
          <w:rFonts w:hint="eastAsia"/>
          <w:b w:val="0"/>
          <w:bCs/>
          <w:lang w:val="en-US" w:eastAsia="zh-CN"/>
        </w:rPr>
      </w:pPr>
      <w:r>
        <w:rPr>
          <w:rFonts w:hint="eastAsia"/>
          <w:b w:val="0"/>
          <w:bCs/>
          <w:lang w:val="en-US" w:eastAsia="zh-CN"/>
        </w:rPr>
        <w:t>四、钢板原产地范围</w:t>
      </w:r>
    </w:p>
    <w:p w14:paraId="225593C4">
      <w:pPr>
        <w:pageBreakBefore w:val="0"/>
        <w:widowControl w:val="0"/>
        <w:numPr>
          <w:ilvl w:val="0"/>
          <w:numId w:val="0"/>
        </w:numPr>
        <w:kinsoku/>
        <w:overflowPunct/>
        <w:topLinePunct w:val="0"/>
        <w:autoSpaceDE/>
        <w:autoSpaceDN/>
        <w:bidi w:val="0"/>
        <w:adjustRightInd/>
        <w:snapToGrid/>
        <w:spacing w:before="0" w:beforeAutospacing="1" w:after="0" w:afterAutospacing="1" w:line="600" w:lineRule="exact"/>
        <w:ind w:left="36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锅炉板生产厂家：南钢、宝钢、舞阳、兴澄特钢、湘钢、济钢、新余钢铁、首钢、安钢、重庆钢铁、山东钢铁、鄂钢、包钢；</w:t>
      </w:r>
    </w:p>
    <w:p w14:paraId="36A70D8F">
      <w:pPr>
        <w:pageBreakBefore w:val="0"/>
        <w:widowControl w:val="0"/>
        <w:numPr>
          <w:ilvl w:val="0"/>
          <w:numId w:val="0"/>
        </w:numPr>
        <w:kinsoku/>
        <w:overflowPunct/>
        <w:topLinePunct w:val="0"/>
        <w:autoSpaceDE/>
        <w:autoSpaceDN/>
        <w:bidi w:val="0"/>
        <w:adjustRightInd/>
        <w:snapToGrid/>
        <w:spacing w:before="0" w:beforeAutospacing="1" w:after="0" w:afterAutospacing="1" w:line="600" w:lineRule="exact"/>
        <w:ind w:left="36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承压类容器板生产厂家：南钢、宝钢、舞阳、兴澄特钢、湘钢、济钢、新余钢铁、马钢、武钢、沙钢、首钢、安钢、重庆钢铁、山东钢铁、鄂钢、包钢；</w:t>
      </w:r>
    </w:p>
    <w:p w14:paraId="1F169F38">
      <w:pPr>
        <w:pageBreakBefore w:val="0"/>
        <w:widowControl w:val="0"/>
        <w:numPr>
          <w:ilvl w:val="0"/>
          <w:numId w:val="0"/>
        </w:numPr>
        <w:kinsoku/>
        <w:overflowPunct/>
        <w:topLinePunct w:val="0"/>
        <w:autoSpaceDE/>
        <w:autoSpaceDN/>
        <w:bidi w:val="0"/>
        <w:adjustRightInd/>
        <w:snapToGrid/>
        <w:spacing w:before="0" w:beforeAutospacing="1" w:after="0" w:afterAutospacing="1" w:line="600" w:lineRule="exact"/>
        <w:ind w:left="36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常压或类外</w:t>
      </w:r>
      <w:bookmarkStart w:id="0" w:name="_Hlk155710475"/>
      <w:r>
        <w:rPr>
          <w:rFonts w:hint="eastAsia" w:ascii="仿宋_GB2312" w:hAnsi="仿宋_GB2312" w:eastAsia="仿宋_GB2312" w:cs="仿宋_GB2312"/>
          <w:sz w:val="32"/>
          <w:szCs w:val="32"/>
        </w:rPr>
        <w:t>容器</w:t>
      </w:r>
      <w:bookmarkEnd w:id="0"/>
      <w:r>
        <w:rPr>
          <w:rFonts w:hint="eastAsia" w:ascii="仿宋_GB2312" w:hAnsi="仿宋_GB2312" w:eastAsia="仿宋_GB2312" w:cs="仿宋_GB2312"/>
          <w:sz w:val="32"/>
          <w:szCs w:val="32"/>
        </w:rPr>
        <w:t>板与碳钢板生产厂家：注册资本不低于10000万元；</w:t>
      </w:r>
    </w:p>
    <w:p w14:paraId="6D026693">
      <w:pPr>
        <w:pageBreakBefore w:val="0"/>
        <w:widowControl w:val="0"/>
        <w:numPr>
          <w:ilvl w:val="0"/>
          <w:numId w:val="0"/>
        </w:numPr>
        <w:kinsoku/>
        <w:overflowPunct/>
        <w:topLinePunct w:val="0"/>
        <w:autoSpaceDE/>
        <w:autoSpaceDN/>
        <w:bidi w:val="0"/>
        <w:adjustRightInd/>
        <w:snapToGrid/>
        <w:spacing w:before="0" w:beforeAutospacing="1" w:after="0" w:afterAutospacing="1" w:line="600" w:lineRule="exact"/>
        <w:ind w:left="36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不锈钢板生产厂家：太钢、宝钢、酒钢、浦项（张家港）、东特</w:t>
      </w:r>
      <w:r>
        <w:rPr>
          <w:rFonts w:hint="eastAsia" w:ascii="仿宋_GB2312" w:hAnsi="仿宋_GB2312" w:eastAsia="仿宋_GB2312" w:cs="仿宋_GB2312"/>
          <w:sz w:val="32"/>
          <w:szCs w:val="32"/>
          <w:highlight w:val="none"/>
        </w:rPr>
        <w:t>（限304和316系列）、</w:t>
      </w:r>
      <w:r>
        <w:rPr>
          <w:rFonts w:hint="eastAsia" w:ascii="仿宋_GB2312" w:hAnsi="仿宋_GB2312" w:eastAsia="仿宋_GB2312" w:cs="仿宋_GB2312"/>
          <w:sz w:val="32"/>
          <w:szCs w:val="32"/>
        </w:rPr>
        <w:t>青山；</w:t>
      </w:r>
    </w:p>
    <w:p w14:paraId="28D50482">
      <w:pPr>
        <w:pStyle w:val="3"/>
        <w:pageBreakBefore w:val="0"/>
        <w:widowControl w:val="0"/>
        <w:kinsoku/>
        <w:overflowPunct/>
        <w:topLinePunct w:val="0"/>
        <w:autoSpaceDE/>
        <w:autoSpaceDN/>
        <w:bidi w:val="0"/>
        <w:adjustRightInd/>
        <w:snapToGrid/>
        <w:spacing w:line="600" w:lineRule="exact"/>
        <w:textAlignment w:val="auto"/>
        <w:rPr>
          <w:b w:val="0"/>
          <w:bCs/>
        </w:rPr>
      </w:pPr>
      <w:r>
        <w:rPr>
          <w:rFonts w:hint="eastAsia"/>
          <w:b w:val="0"/>
          <w:bCs/>
          <w:lang w:val="en-US" w:eastAsia="zh-CN"/>
        </w:rPr>
        <w:t>五</w:t>
      </w:r>
      <w:r>
        <w:rPr>
          <w:b w:val="0"/>
          <w:bCs/>
        </w:rPr>
        <w:t>、报名需提供资料</w:t>
      </w:r>
    </w:p>
    <w:p w14:paraId="649D33F7">
      <w:pPr>
        <w:pageBreakBefore w:val="0"/>
        <w:widowControl w:val="0"/>
        <w:numPr>
          <w:ilvl w:val="0"/>
          <w:numId w:val="3"/>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企业基本资料：营业执照副本复印件（加盖公章）、法定代表人身份证复印件、组织机构代码证复印件（如有）；</w:t>
      </w:r>
    </w:p>
    <w:p w14:paraId="05D690D2">
      <w:pPr>
        <w:pageBreakBefore w:val="0"/>
        <w:widowControl w:val="0"/>
        <w:numPr>
          <w:ilvl w:val="0"/>
          <w:numId w:val="3"/>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资质证明：注册资本验资报告或最新工商公示信息（显示注册资本）、近5年销售业绩证明（如与客户签订的合同、发票复印件，需注明合作内容及金额）；</w:t>
      </w:r>
    </w:p>
    <w:p w14:paraId="5D36CC7A">
      <w:pPr>
        <w:pageBreakBefore w:val="0"/>
        <w:widowControl w:val="0"/>
        <w:numPr>
          <w:ilvl w:val="0"/>
          <w:numId w:val="3"/>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产品质量证明：</w:t>
      </w:r>
      <w:r>
        <w:rPr>
          <w:rFonts w:hint="eastAsia" w:ascii="仿宋_GB2312" w:hAnsi="仿宋_GB2312" w:eastAsia="仿宋_GB2312" w:cs="仿宋_GB2312"/>
          <w:sz w:val="32"/>
          <w:szCs w:val="32"/>
          <w:lang w:val="en-US" w:eastAsia="zh-CN"/>
        </w:rPr>
        <w:t>产品质量证明书、检验报告等</w:t>
      </w:r>
      <w:r>
        <w:rPr>
          <w:rFonts w:hint="eastAsia" w:ascii="仿宋_GB2312" w:hAnsi="仿宋_GB2312" w:eastAsia="仿宋_GB2312" w:cs="仿宋_GB2312"/>
          <w:sz w:val="32"/>
          <w:szCs w:val="32"/>
        </w:rPr>
        <w:t>、ISO认证证书（如有）；</w:t>
      </w:r>
    </w:p>
    <w:p w14:paraId="3A15D433">
      <w:pPr>
        <w:pageBreakBefore w:val="0"/>
        <w:widowControl w:val="0"/>
        <w:numPr>
          <w:ilvl w:val="0"/>
          <w:numId w:val="3"/>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信用证明：近3年无合同纠纷及法律诉讼的证明材料（如法院出具的无失信记录、企业自我声明并承诺）；</w:t>
      </w:r>
    </w:p>
    <w:p w14:paraId="46DEAEAF">
      <w:pPr>
        <w:pageBreakBefore w:val="0"/>
        <w:widowControl w:val="0"/>
        <w:numPr>
          <w:ilvl w:val="0"/>
          <w:numId w:val="3"/>
        </w:numPr>
        <w:kinsoku/>
        <w:overflowPunct/>
        <w:topLinePunct w:val="0"/>
        <w:autoSpaceDE/>
        <w:autoSpaceDN/>
        <w:bidi w:val="0"/>
        <w:adjustRightInd/>
        <w:snapToGrid/>
        <w:spacing w:before="0" w:beforeAutospacing="1" w:after="0" w:afterAutospacing="1" w:line="600" w:lineRule="exact"/>
        <w:ind w:left="720" w:hanging="360"/>
        <w:textAlignment w:val="auto"/>
        <w:rPr>
          <w:sz w:val="32"/>
          <w:szCs w:val="32"/>
        </w:rPr>
      </w:pPr>
      <w:r>
        <w:rPr>
          <w:rFonts w:hint="eastAsia" w:ascii="仿宋_GB2312" w:hAnsi="仿宋_GB2312" w:eastAsia="仿宋_GB2312" w:cs="仿宋_GB2312"/>
          <w:sz w:val="32"/>
          <w:szCs w:val="32"/>
        </w:rPr>
        <w:t>联系方式：联系人姓名、职务、电话、邮箱、公司地址（需加盖公章）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见附件</w:t>
      </w:r>
      <w:r>
        <w:rPr>
          <w:rFonts w:hint="eastAsia" w:ascii="仿宋_GB2312" w:hAnsi="仿宋_GB2312" w:eastAsia="仿宋_GB2312" w:cs="仿宋_GB2312"/>
          <w:sz w:val="32"/>
          <w:szCs w:val="32"/>
        </w:rPr>
        <w:t>。</w:t>
      </w:r>
    </w:p>
    <w:p w14:paraId="17B7D2E5">
      <w:pPr>
        <w:pStyle w:val="3"/>
        <w:pageBreakBefore w:val="0"/>
        <w:widowControl w:val="0"/>
        <w:kinsoku/>
        <w:overflowPunct/>
        <w:topLinePunct w:val="0"/>
        <w:autoSpaceDE/>
        <w:autoSpaceDN/>
        <w:bidi w:val="0"/>
        <w:adjustRightInd/>
        <w:snapToGrid/>
        <w:spacing w:line="600" w:lineRule="exact"/>
        <w:textAlignment w:val="auto"/>
        <w:rPr>
          <w:b w:val="0"/>
          <w:bCs/>
        </w:rPr>
      </w:pPr>
      <w:r>
        <w:rPr>
          <w:rFonts w:hint="eastAsia"/>
          <w:b w:val="0"/>
          <w:bCs/>
          <w:lang w:val="en-US" w:eastAsia="zh-CN"/>
        </w:rPr>
        <w:t>六</w:t>
      </w:r>
      <w:r>
        <w:rPr>
          <w:b w:val="0"/>
          <w:bCs/>
        </w:rPr>
        <w:t>、报名方式及联系方式</w:t>
      </w:r>
    </w:p>
    <w:p w14:paraId="2D29A33E">
      <w:pPr>
        <w:pageBreakBefore w:val="0"/>
        <w:widowControl w:val="0"/>
        <w:numPr>
          <w:ilvl w:val="0"/>
          <w:numId w:val="4"/>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报名方式：将上述资料整理成册通过电子邮件发送（邮件主题注明“板材供应商</w:t>
      </w:r>
      <w:r>
        <w:rPr>
          <w:rFonts w:hint="eastAsia" w:ascii="仿宋_GB2312" w:hAnsi="仿宋_GB2312" w:eastAsia="仿宋_GB2312" w:cs="仿宋_GB2312"/>
          <w:sz w:val="32"/>
          <w:szCs w:val="32"/>
          <w:lang w:val="en-US" w:eastAsia="zh-CN"/>
        </w:rPr>
        <w:t>应募－公司</w:t>
      </w:r>
      <w:r>
        <w:rPr>
          <w:rFonts w:hint="eastAsia" w:ascii="仿宋_GB2312" w:hAnsi="仿宋_GB2312" w:eastAsia="仿宋_GB2312" w:cs="仿宋_GB2312"/>
          <w:sz w:val="32"/>
          <w:szCs w:val="32"/>
        </w:rPr>
        <w:t>名称”）。</w:t>
      </w:r>
    </w:p>
    <w:p w14:paraId="6AA8111C">
      <w:pPr>
        <w:pageBreakBefore w:val="0"/>
        <w:widowControl w:val="0"/>
        <w:numPr>
          <w:ilvl w:val="0"/>
          <w:numId w:val="4"/>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姚</w:t>
      </w:r>
    </w:p>
    <w:p w14:paraId="603E5417">
      <w:pPr>
        <w:pageBreakBefore w:val="0"/>
        <w:widowControl w:val="0"/>
        <w:kinsoku/>
        <w:overflowPunct/>
        <w:topLinePunct w:val="0"/>
        <w:autoSpaceDE/>
        <w:autoSpaceDN/>
        <w:bidi w:val="0"/>
        <w:adjustRightInd/>
        <w:snapToGrid/>
        <w:spacing w:before="0" w:beforeAutospacing="1" w:after="0" w:afterAutospacing="1" w:line="600" w:lineRule="exact"/>
        <w:ind w:left="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0511-88995117</w:t>
      </w:r>
      <w:r>
        <w:rPr>
          <w:rFonts w:hint="eastAsia" w:ascii="仿宋_GB2312" w:hAnsi="仿宋_GB2312" w:eastAsia="仿宋_GB2312" w:cs="仿宋_GB2312"/>
          <w:sz w:val="32"/>
          <w:szCs w:val="32"/>
        </w:rPr>
        <w:t xml:space="preserve"> </w:t>
      </w:r>
    </w:p>
    <w:p w14:paraId="4E936F96">
      <w:pPr>
        <w:pageBreakBefore w:val="0"/>
        <w:widowControl w:val="0"/>
        <w:kinsoku/>
        <w:overflowPunct/>
        <w:topLinePunct w:val="0"/>
        <w:autoSpaceDE/>
        <w:autoSpaceDN/>
        <w:bidi w:val="0"/>
        <w:adjustRightInd/>
        <w:snapToGrid/>
        <w:spacing w:before="0" w:beforeAutospacing="1" w:after="0" w:afterAutospacing="1" w:line="600" w:lineRule="exact"/>
        <w:ind w:left="7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邮箱：yaobin@sopocere.com</w:t>
      </w:r>
    </w:p>
    <w:p w14:paraId="3A60D5E4">
      <w:pPr>
        <w:pageBreakBefore w:val="0"/>
        <w:widowControl w:val="0"/>
        <w:kinsoku/>
        <w:overflowPunct/>
        <w:topLinePunct w:val="0"/>
        <w:autoSpaceDE/>
        <w:autoSpaceDN/>
        <w:bidi w:val="0"/>
        <w:adjustRightInd/>
        <w:snapToGrid/>
        <w:spacing w:before="0" w:beforeAutospacing="1" w:after="0" w:afterAutospacing="1" w:line="600" w:lineRule="exact"/>
        <w:ind w:left="7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公司地址：</w:t>
      </w:r>
      <w:r>
        <w:rPr>
          <w:rFonts w:hint="eastAsia" w:ascii="仿宋_GB2312" w:hAnsi="仿宋_GB2312" w:eastAsia="仿宋_GB2312" w:cs="仿宋_GB2312"/>
          <w:sz w:val="32"/>
          <w:szCs w:val="32"/>
          <w:lang w:val="en-US" w:eastAsia="zh-CN"/>
        </w:rPr>
        <w:t>镇江</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京口</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求索</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江苏索普赛瑞装备制造有限公司4</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lang w:val="en-US" w:eastAsia="zh-CN"/>
        </w:rPr>
        <w:t>商务合作部</w:t>
      </w:r>
    </w:p>
    <w:p w14:paraId="218542F0">
      <w:pPr>
        <w:pageBreakBefore w:val="0"/>
        <w:widowControl w:val="0"/>
        <w:kinsoku/>
        <w:overflowPunct/>
        <w:topLinePunct w:val="0"/>
        <w:autoSpaceDE/>
        <w:autoSpaceDN/>
        <w:bidi w:val="0"/>
        <w:adjustRightInd/>
        <w:snapToGrid/>
        <w:spacing w:before="0" w:beforeAutospacing="1" w:after="0" w:afterAutospacing="1" w:line="600" w:lineRule="exact"/>
        <w:ind w:left="7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邮编：</w:t>
      </w:r>
      <w:r>
        <w:rPr>
          <w:rFonts w:hint="eastAsia" w:ascii="仿宋_GB2312" w:hAnsi="仿宋_GB2312" w:eastAsia="仿宋_GB2312" w:cs="仿宋_GB2312"/>
          <w:sz w:val="32"/>
          <w:szCs w:val="32"/>
          <w:lang w:val="en-US" w:eastAsia="zh-CN"/>
        </w:rPr>
        <w:t>212006</w:t>
      </w:r>
    </w:p>
    <w:p w14:paraId="5E6FB258">
      <w:pPr>
        <w:pStyle w:val="3"/>
        <w:pageBreakBefore w:val="0"/>
        <w:widowControl w:val="0"/>
        <w:kinsoku/>
        <w:overflowPunct/>
        <w:topLinePunct w:val="0"/>
        <w:autoSpaceDE/>
        <w:autoSpaceDN/>
        <w:bidi w:val="0"/>
        <w:adjustRightInd/>
        <w:snapToGrid/>
        <w:spacing w:line="600" w:lineRule="exact"/>
        <w:textAlignment w:val="auto"/>
        <w:rPr>
          <w:b w:val="0"/>
          <w:bCs/>
        </w:rPr>
      </w:pPr>
      <w:r>
        <w:rPr>
          <w:rFonts w:hint="eastAsia"/>
          <w:b w:val="0"/>
          <w:bCs/>
          <w:lang w:val="en-US" w:eastAsia="zh-CN"/>
        </w:rPr>
        <w:t>七</w:t>
      </w:r>
      <w:r>
        <w:rPr>
          <w:b w:val="0"/>
          <w:bCs/>
        </w:rPr>
        <w:t>、其他说明</w:t>
      </w:r>
    </w:p>
    <w:p w14:paraId="429FFA37">
      <w:pPr>
        <w:pageBreakBefore w:val="0"/>
        <w:widowControl w:val="0"/>
        <w:numPr>
          <w:ilvl w:val="0"/>
          <w:numId w:val="5"/>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w:t>
      </w:r>
      <w:r>
        <w:rPr>
          <w:rFonts w:hint="eastAsia" w:ascii="仿宋_GB2312" w:hAnsi="仿宋_GB2312" w:eastAsia="仿宋_GB2312" w:cs="仿宋_GB2312"/>
          <w:b/>
          <w:sz w:val="32"/>
          <w:szCs w:val="32"/>
        </w:rPr>
        <w:t>长期有效</w:t>
      </w:r>
      <w:r>
        <w:rPr>
          <w:rFonts w:hint="eastAsia" w:ascii="仿宋_GB2312" w:hAnsi="仿宋_GB2312" w:eastAsia="仿宋_GB2312" w:cs="仿宋_GB2312"/>
          <w:sz w:val="32"/>
          <w:szCs w:val="32"/>
        </w:rPr>
        <w:t>，我司将定期对报名供应商进行资质审核与现场考察，符合条件者纳入供应商库，后续根据采购需求开展合作谈判。</w:t>
      </w:r>
    </w:p>
    <w:p w14:paraId="45432423">
      <w:pPr>
        <w:pageBreakBefore w:val="0"/>
        <w:widowControl w:val="0"/>
        <w:numPr>
          <w:ilvl w:val="0"/>
          <w:numId w:val="5"/>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我司承诺对所有报名资料严格保密，仅用于供应商评估用途，不收取任何报名费用。</w:t>
      </w:r>
    </w:p>
    <w:p w14:paraId="0CD91C9B">
      <w:pPr>
        <w:pageBreakBefore w:val="0"/>
        <w:widowControl w:val="0"/>
        <w:numPr>
          <w:ilvl w:val="0"/>
          <w:numId w:val="5"/>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最终解释权归我司所有，未尽事宜可随时联系咨询。</w:t>
      </w:r>
    </w:p>
    <w:p w14:paraId="4830CCD2">
      <w:pPr>
        <w:pageBreakBefore w:val="0"/>
        <w:widowControl w:val="0"/>
        <w:numPr>
          <w:ilvl w:val="0"/>
          <w:numId w:val="5"/>
        </w:numPr>
        <w:kinsoku/>
        <w:overflowPunct/>
        <w:topLinePunct w:val="0"/>
        <w:autoSpaceDE/>
        <w:autoSpaceDN/>
        <w:bidi w:val="0"/>
        <w:adjustRightInd/>
        <w:snapToGrid/>
        <w:spacing w:before="0" w:beforeAutospacing="1" w:after="0" w:afterAutospacing="1" w:line="600" w:lineRule="exact"/>
        <w:ind w:left="72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我们期待与各位优秀的供应商伙伴携手并进，共创美好未来</w:t>
      </w:r>
      <w:r>
        <w:rPr>
          <w:rFonts w:hint="eastAsia" w:ascii="仿宋_GB2312" w:hAnsi="仿宋_GB2312" w:eastAsia="仿宋_GB2312" w:cs="仿宋_GB2312"/>
          <w:sz w:val="32"/>
          <w:szCs w:val="32"/>
          <w:lang w:eastAsia="zh-CN"/>
        </w:rPr>
        <w:t>！</w:t>
      </w:r>
    </w:p>
    <w:p w14:paraId="5A6D2F98">
      <w:pPr>
        <w:pageBreakBefore w:val="0"/>
        <w:widowControl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58919C90">
      <w:pPr>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江苏索普赛瑞装备制造有限公司</w:t>
      </w:r>
    </w:p>
    <w:p w14:paraId="082F6EB6">
      <w:pPr>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商务合作</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val="en-US" w:eastAsia="zh-CN"/>
        </w:rPr>
        <w:t xml:space="preserve">         </w:t>
      </w:r>
    </w:p>
    <w:p w14:paraId="781AA21D">
      <w:pPr>
        <w:pageBreakBefore w:val="0"/>
        <w:widowControl w:val="0"/>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4FBDC66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215F77C5">
      <w:pPr>
        <w:pStyle w:val="2"/>
        <w:jc w:val="left"/>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lang w:val="en-US" w:eastAsia="zh-CN"/>
        </w:rPr>
        <w:t>附件1</w:t>
      </w:r>
    </w:p>
    <w:p w14:paraId="3D33C353">
      <w:pPr>
        <w:pStyle w:val="2"/>
        <w:jc w:val="center"/>
      </w:pPr>
      <w:r>
        <w:rPr>
          <w:rFonts w:hint="eastAsia"/>
          <w:lang w:val="en-US" w:eastAsia="zh-CN"/>
        </w:rPr>
        <w:t>碳钢板与不锈钢板</w:t>
      </w:r>
      <w:r>
        <w:t>供应商报名表</w:t>
      </w:r>
    </w:p>
    <w:p w14:paraId="431A619A">
      <w:pPr>
        <w:ind w:firstLine="420" w:firstLineChars="200"/>
      </w:pPr>
      <w:r>
        <w:t>本报名表为</w:t>
      </w:r>
      <w:r>
        <w:rPr>
          <w:rFonts w:hint="eastAsia"/>
          <w:lang w:val="en-US" w:eastAsia="zh-CN"/>
        </w:rPr>
        <w:t>碳钢板与不锈钢板</w:t>
      </w:r>
      <w:r>
        <w:t>供应商公开招募的必填资料，请供应商如实、完整填写以下信息，并确保所有内容真实有效。</w:t>
      </w:r>
    </w:p>
    <w:p w14:paraId="76B521B8">
      <w:r>
        <w:rPr>
          <w:b/>
        </w:rPr>
        <w:t>表：供应商基本信息表</w:t>
      </w:r>
    </w:p>
    <w:tbl>
      <w:tblPr>
        <w:tblStyle w:val="5"/>
        <w:tblW w:w="8521" w:type="dxa"/>
        <w:jc w:val="center"/>
        <w:tblLayout w:type="fixed"/>
        <w:tblCellMar>
          <w:top w:w="0" w:type="dxa"/>
          <w:left w:w="0" w:type="dxa"/>
          <w:bottom w:w="0" w:type="dxa"/>
          <w:right w:w="0" w:type="dxa"/>
        </w:tblCellMar>
      </w:tblPr>
      <w:tblGrid>
        <w:gridCol w:w="1474"/>
        <w:gridCol w:w="2031"/>
        <w:gridCol w:w="2688"/>
        <w:gridCol w:w="2328"/>
      </w:tblGrid>
      <w:tr w14:paraId="18E82DBA">
        <w:tblPrEx>
          <w:tblCellMar>
            <w:top w:w="0" w:type="dxa"/>
            <w:left w:w="0" w:type="dxa"/>
            <w:bottom w:w="0" w:type="dxa"/>
            <w:right w:w="0" w:type="dxa"/>
          </w:tblCellMar>
        </w:tblPrEx>
        <w:trPr>
          <w:trHeight w:val="0" w:hRule="atLeast"/>
          <w:tblHeader/>
          <w:jc w:val="center"/>
        </w:trPr>
        <w:tc>
          <w:tcPr>
            <w:tcW w:w="1474" w:type="dxa"/>
            <w:tcBorders>
              <w:top w:val="single" w:color="auto" w:sz="12" w:space="0"/>
              <w:left w:val="single" w:color="auto" w:sz="12" w:space="0"/>
              <w:bottom w:val="single" w:color="auto" w:sz="4" w:space="0"/>
              <w:right w:val="single" w:color="auto" w:sz="4" w:space="0"/>
            </w:tcBorders>
            <w:tcMar>
              <w:left w:w="108" w:type="dxa"/>
              <w:right w:w="108" w:type="dxa"/>
            </w:tcMar>
            <w:vAlign w:val="center"/>
          </w:tcPr>
          <w:p w14:paraId="4AFF810C">
            <w:pPr>
              <w:snapToGrid w:val="0"/>
              <w:ind w:left="0" w:leftChars="0" w:right="0" w:rightChars="0" w:firstLine="0" w:firstLineChars="0"/>
              <w:jc w:val="center"/>
              <w:rPr>
                <w:b/>
              </w:rPr>
            </w:pPr>
            <w:r>
              <w:rPr>
                <w:b/>
              </w:rPr>
              <w:t>项目类别</w:t>
            </w:r>
          </w:p>
        </w:tc>
        <w:tc>
          <w:tcPr>
            <w:tcW w:w="2031" w:type="dxa"/>
            <w:tcBorders>
              <w:top w:val="single" w:color="auto" w:sz="12" w:space="0"/>
              <w:left w:val="single" w:color="auto" w:sz="4" w:space="0"/>
              <w:bottom w:val="single" w:color="auto" w:sz="4" w:space="0"/>
              <w:right w:val="single" w:color="auto" w:sz="4" w:space="0"/>
            </w:tcBorders>
            <w:tcMar>
              <w:left w:w="108" w:type="dxa"/>
              <w:right w:w="108" w:type="dxa"/>
            </w:tcMar>
            <w:vAlign w:val="center"/>
          </w:tcPr>
          <w:p w14:paraId="0A35EF37">
            <w:pPr>
              <w:snapToGrid w:val="0"/>
              <w:ind w:left="0" w:leftChars="0" w:right="0" w:rightChars="0" w:firstLine="0" w:firstLineChars="0"/>
              <w:jc w:val="center"/>
              <w:rPr>
                <w:b/>
              </w:rPr>
            </w:pPr>
            <w:r>
              <w:rPr>
                <w:b/>
              </w:rPr>
              <w:t>具体项目</w:t>
            </w:r>
          </w:p>
        </w:tc>
        <w:tc>
          <w:tcPr>
            <w:tcW w:w="2688" w:type="dxa"/>
            <w:tcBorders>
              <w:top w:val="single" w:color="auto" w:sz="12" w:space="0"/>
              <w:left w:val="single" w:color="auto" w:sz="4" w:space="0"/>
              <w:bottom w:val="single" w:color="auto" w:sz="4" w:space="0"/>
              <w:right w:val="single" w:color="auto" w:sz="4" w:space="0"/>
            </w:tcBorders>
            <w:tcMar>
              <w:left w:w="108" w:type="dxa"/>
              <w:right w:w="108" w:type="dxa"/>
            </w:tcMar>
            <w:vAlign w:val="center"/>
          </w:tcPr>
          <w:p w14:paraId="11DB184A">
            <w:pPr>
              <w:snapToGrid w:val="0"/>
              <w:ind w:left="0" w:leftChars="0" w:right="0" w:rightChars="0" w:firstLine="0" w:firstLineChars="0"/>
              <w:jc w:val="center"/>
              <w:rPr>
                <w:b/>
              </w:rPr>
            </w:pPr>
            <w:r>
              <w:rPr>
                <w:b/>
              </w:rPr>
              <w:t>填写内容</w:t>
            </w:r>
          </w:p>
        </w:tc>
        <w:tc>
          <w:tcPr>
            <w:tcW w:w="2328" w:type="dxa"/>
            <w:tcBorders>
              <w:top w:val="single" w:color="auto" w:sz="12" w:space="0"/>
              <w:left w:val="single" w:color="auto" w:sz="4" w:space="0"/>
              <w:bottom w:val="single" w:color="auto" w:sz="4" w:space="0"/>
              <w:right w:val="single" w:color="auto" w:sz="12" w:space="0"/>
            </w:tcBorders>
            <w:tcMar>
              <w:left w:w="108" w:type="dxa"/>
              <w:right w:w="108" w:type="dxa"/>
            </w:tcMar>
            <w:vAlign w:val="center"/>
          </w:tcPr>
          <w:p w14:paraId="75E57201">
            <w:pPr>
              <w:snapToGrid w:val="0"/>
              <w:ind w:left="0" w:leftChars="0" w:right="0" w:rightChars="0" w:firstLine="0" w:firstLineChars="0"/>
              <w:jc w:val="center"/>
              <w:rPr>
                <w:b/>
              </w:rPr>
            </w:pPr>
            <w:r>
              <w:rPr>
                <w:b/>
              </w:rPr>
              <w:t>备注</w:t>
            </w:r>
          </w:p>
        </w:tc>
      </w:tr>
      <w:tr w14:paraId="4B365159">
        <w:tblPrEx>
          <w:tblCellMar>
            <w:top w:w="0" w:type="dxa"/>
            <w:left w:w="0" w:type="dxa"/>
            <w:bottom w:w="0" w:type="dxa"/>
            <w:right w:w="0" w:type="dxa"/>
          </w:tblCellMar>
        </w:tblPrEx>
        <w:trPr>
          <w:trHeight w:val="476" w:hRule="atLeast"/>
          <w:jc w:val="center"/>
        </w:trPr>
        <w:tc>
          <w:tcPr>
            <w:tcW w:w="1474" w:type="dxa"/>
            <w:vMerge w:val="restart"/>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03ADBA74">
            <w:pPr>
              <w:snapToGrid w:val="0"/>
              <w:ind w:left="0" w:leftChars="0" w:right="0" w:rightChars="0" w:firstLine="0" w:firstLineChars="0"/>
              <w:jc w:val="center"/>
            </w:pPr>
            <w:r>
              <w:t>公司基本信息</w:t>
            </w: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3EB72D1">
            <w:pPr>
              <w:snapToGrid w:val="0"/>
              <w:ind w:left="0" w:leftChars="0" w:right="0" w:rightChars="0" w:firstLine="0" w:firstLineChars="0"/>
              <w:jc w:val="left"/>
            </w:pPr>
            <w:r>
              <w:t>公司名称</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5749D26">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57D01F68">
            <w:pPr>
              <w:snapToGrid w:val="0"/>
              <w:ind w:left="0" w:leftChars="0" w:right="0" w:rightChars="0" w:firstLine="0" w:firstLineChars="0"/>
              <w:jc w:val="left"/>
            </w:pPr>
            <w:r>
              <w:t>需与营业执照一致</w:t>
            </w:r>
          </w:p>
        </w:tc>
      </w:tr>
      <w:tr w14:paraId="587CD4AA">
        <w:tblPrEx>
          <w:tblCellMar>
            <w:top w:w="0" w:type="dxa"/>
            <w:left w:w="0" w:type="dxa"/>
            <w:bottom w:w="0" w:type="dxa"/>
            <w:right w:w="0" w:type="dxa"/>
          </w:tblCellMar>
        </w:tblPrEx>
        <w:trPr>
          <w:trHeight w:val="476" w:hRule="atLeast"/>
          <w:jc w:val="center"/>
        </w:trPr>
        <w:tc>
          <w:tcPr>
            <w:tcW w:w="147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7B7FD1C5">
            <w:pPr>
              <w:snapToGrid w:val="0"/>
              <w:ind w:left="0" w:leftChars="0" w:right="0" w:rightChars="0" w:firstLine="0" w:firstLineChars="0"/>
              <w:jc w:val="center"/>
            </w:pP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3908622">
            <w:pPr>
              <w:snapToGrid w:val="0"/>
              <w:ind w:left="0" w:leftChars="0" w:right="0" w:rightChars="0" w:firstLine="0" w:firstLineChars="0"/>
              <w:jc w:val="left"/>
            </w:pPr>
            <w:r>
              <w:t>注册地址</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CC9F111">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1FC2FFA4">
            <w:pPr>
              <w:snapToGrid w:val="0"/>
              <w:ind w:left="0" w:leftChars="0" w:right="0" w:rightChars="0" w:firstLine="0" w:firstLineChars="0"/>
              <w:jc w:val="left"/>
            </w:pPr>
            <w:r>
              <w:t>精确到门牌号</w:t>
            </w:r>
          </w:p>
        </w:tc>
      </w:tr>
      <w:tr w14:paraId="610E2F3A">
        <w:tblPrEx>
          <w:tblCellMar>
            <w:top w:w="0" w:type="dxa"/>
            <w:left w:w="0" w:type="dxa"/>
            <w:bottom w:w="0" w:type="dxa"/>
            <w:right w:w="0" w:type="dxa"/>
          </w:tblCellMar>
        </w:tblPrEx>
        <w:trPr>
          <w:trHeight w:val="476" w:hRule="atLeast"/>
          <w:jc w:val="center"/>
        </w:trPr>
        <w:tc>
          <w:tcPr>
            <w:tcW w:w="147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13A1B511">
            <w:pPr>
              <w:snapToGrid w:val="0"/>
              <w:ind w:left="0" w:leftChars="0" w:right="0" w:rightChars="0" w:firstLine="0" w:firstLineChars="0"/>
              <w:jc w:val="center"/>
            </w:pP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A7A1FFA">
            <w:pPr>
              <w:snapToGrid w:val="0"/>
              <w:ind w:left="0" w:leftChars="0" w:right="0" w:rightChars="0" w:firstLine="0" w:firstLineChars="0"/>
              <w:jc w:val="left"/>
            </w:pPr>
            <w:r>
              <w:t>经营地址</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4C91FFE">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39D7313C">
            <w:pPr>
              <w:snapToGrid w:val="0"/>
              <w:ind w:left="0" w:leftChars="0" w:right="0" w:rightChars="0" w:firstLine="0" w:firstLineChars="0"/>
              <w:jc w:val="left"/>
            </w:pPr>
            <w:r>
              <w:t>如与注册地址不同请填写</w:t>
            </w:r>
          </w:p>
        </w:tc>
      </w:tr>
      <w:tr w14:paraId="1CE12224">
        <w:tblPrEx>
          <w:tblCellMar>
            <w:top w:w="0" w:type="dxa"/>
            <w:left w:w="0" w:type="dxa"/>
            <w:bottom w:w="0" w:type="dxa"/>
            <w:right w:w="0" w:type="dxa"/>
          </w:tblCellMar>
        </w:tblPrEx>
        <w:trPr>
          <w:trHeight w:val="476" w:hRule="atLeast"/>
          <w:jc w:val="center"/>
        </w:trPr>
        <w:tc>
          <w:tcPr>
            <w:tcW w:w="147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6D9E9E65">
            <w:pPr>
              <w:snapToGrid w:val="0"/>
              <w:ind w:left="0" w:leftChars="0" w:right="0" w:rightChars="0" w:firstLine="0" w:firstLineChars="0"/>
              <w:jc w:val="center"/>
            </w:pP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433A7AD">
            <w:pPr>
              <w:snapToGrid w:val="0"/>
              <w:ind w:left="0" w:leftChars="0" w:right="0" w:rightChars="0" w:firstLine="0" w:firstLineChars="0"/>
              <w:jc w:val="left"/>
            </w:pPr>
            <w:r>
              <w:t>统一社会信用代码</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27B2588">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0312671E">
            <w:pPr>
              <w:snapToGrid w:val="0"/>
              <w:ind w:left="0" w:leftChars="0" w:right="0" w:rightChars="0" w:firstLine="0" w:firstLineChars="0"/>
              <w:jc w:val="left"/>
            </w:pPr>
            <w:r>
              <w:t>必填</w:t>
            </w:r>
          </w:p>
        </w:tc>
      </w:tr>
      <w:tr w14:paraId="3CADB69B">
        <w:tblPrEx>
          <w:tblCellMar>
            <w:top w:w="0" w:type="dxa"/>
            <w:left w:w="0" w:type="dxa"/>
            <w:bottom w:w="0" w:type="dxa"/>
            <w:right w:w="0" w:type="dxa"/>
          </w:tblCellMar>
        </w:tblPrEx>
        <w:trPr>
          <w:trHeight w:val="476" w:hRule="atLeast"/>
          <w:jc w:val="center"/>
        </w:trPr>
        <w:tc>
          <w:tcPr>
            <w:tcW w:w="147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3B2C3DA5">
            <w:pPr>
              <w:snapToGrid w:val="0"/>
              <w:ind w:left="0" w:leftChars="0" w:right="0" w:rightChars="0" w:firstLine="0" w:firstLineChars="0"/>
              <w:jc w:val="center"/>
            </w:pP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31C4E81">
            <w:pPr>
              <w:snapToGrid w:val="0"/>
              <w:ind w:left="0" w:leftChars="0" w:right="0" w:rightChars="0" w:firstLine="0" w:firstLineChars="0"/>
              <w:jc w:val="left"/>
            </w:pPr>
            <w:r>
              <w:t>注册资本</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A23BD64">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3D53AB4F">
            <w:pPr>
              <w:snapToGrid w:val="0"/>
              <w:ind w:left="0" w:leftChars="0" w:right="0" w:rightChars="0" w:firstLine="0" w:firstLineChars="0"/>
              <w:jc w:val="left"/>
            </w:pPr>
            <w:r>
              <w:t>单位：万元人民币</w:t>
            </w:r>
          </w:p>
        </w:tc>
      </w:tr>
      <w:tr w14:paraId="0843F662">
        <w:tblPrEx>
          <w:tblCellMar>
            <w:top w:w="0" w:type="dxa"/>
            <w:left w:w="0" w:type="dxa"/>
            <w:bottom w:w="0" w:type="dxa"/>
            <w:right w:w="0" w:type="dxa"/>
          </w:tblCellMar>
        </w:tblPrEx>
        <w:trPr>
          <w:trHeight w:val="476" w:hRule="atLeast"/>
          <w:jc w:val="center"/>
        </w:trPr>
        <w:tc>
          <w:tcPr>
            <w:tcW w:w="147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3627B5F2">
            <w:pPr>
              <w:snapToGrid w:val="0"/>
              <w:ind w:left="0" w:leftChars="0" w:right="0" w:rightChars="0" w:firstLine="0" w:firstLineChars="0"/>
              <w:jc w:val="center"/>
            </w:pP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7FD1FF2">
            <w:pPr>
              <w:snapToGrid w:val="0"/>
              <w:ind w:left="0" w:leftChars="0" w:right="0" w:rightChars="0" w:firstLine="0" w:firstLineChars="0"/>
              <w:jc w:val="left"/>
            </w:pPr>
            <w:r>
              <w:t>成立日期</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3835F2">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56FE7A30">
            <w:pPr>
              <w:snapToGrid w:val="0"/>
              <w:ind w:left="0" w:leftChars="0" w:right="0" w:rightChars="0" w:firstLine="0" w:firstLineChars="0"/>
              <w:jc w:val="left"/>
            </w:pPr>
            <w:r>
              <w:t>格式：YYYY-MM-DD</w:t>
            </w:r>
          </w:p>
        </w:tc>
      </w:tr>
      <w:tr w14:paraId="2566210E">
        <w:tblPrEx>
          <w:tblCellMar>
            <w:top w:w="0" w:type="dxa"/>
            <w:left w:w="0" w:type="dxa"/>
            <w:bottom w:w="0" w:type="dxa"/>
            <w:right w:w="0" w:type="dxa"/>
          </w:tblCellMar>
        </w:tblPrEx>
        <w:trPr>
          <w:trHeight w:val="476" w:hRule="atLeast"/>
          <w:jc w:val="center"/>
        </w:trPr>
        <w:tc>
          <w:tcPr>
            <w:tcW w:w="147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666E11BD">
            <w:pPr>
              <w:snapToGrid w:val="0"/>
              <w:ind w:left="0" w:leftChars="0" w:right="0" w:rightChars="0" w:firstLine="0" w:firstLineChars="0"/>
              <w:jc w:val="center"/>
            </w:pP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62C0CB0">
            <w:pPr>
              <w:snapToGrid w:val="0"/>
              <w:ind w:left="0" w:leftChars="0" w:right="0" w:rightChars="0" w:firstLine="0" w:firstLineChars="0"/>
              <w:jc w:val="left"/>
            </w:pPr>
            <w:r>
              <w:t>经营范围</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184297C">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672A62CD">
            <w:pPr>
              <w:snapToGrid w:val="0"/>
              <w:ind w:left="0" w:leftChars="0" w:right="0" w:rightChars="0" w:firstLine="0" w:firstLineChars="0"/>
              <w:jc w:val="left"/>
            </w:pPr>
            <w:r>
              <w:t>需包含</w:t>
            </w:r>
            <w:r>
              <w:rPr>
                <w:rFonts w:hint="eastAsia"/>
                <w:lang w:val="en-US" w:eastAsia="zh-CN"/>
              </w:rPr>
              <w:t>碳钢板与不锈钢板</w:t>
            </w:r>
            <w:r>
              <w:t>相关业务</w:t>
            </w:r>
          </w:p>
        </w:tc>
      </w:tr>
      <w:tr w14:paraId="20B0DD1B">
        <w:tblPrEx>
          <w:tblCellMar>
            <w:top w:w="0" w:type="dxa"/>
            <w:left w:w="0" w:type="dxa"/>
            <w:bottom w:w="0" w:type="dxa"/>
            <w:right w:w="0" w:type="dxa"/>
          </w:tblCellMar>
        </w:tblPrEx>
        <w:trPr>
          <w:trHeight w:val="476" w:hRule="atLeast"/>
          <w:jc w:val="center"/>
        </w:trPr>
        <w:tc>
          <w:tcPr>
            <w:tcW w:w="1474" w:type="dxa"/>
            <w:vMerge w:val="restart"/>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05946F0F">
            <w:pPr>
              <w:snapToGrid w:val="0"/>
              <w:ind w:left="0" w:leftChars="0" w:right="0" w:rightChars="0" w:firstLine="0" w:firstLineChars="0"/>
              <w:jc w:val="center"/>
            </w:pPr>
            <w:r>
              <w:t>联系人信息</w:t>
            </w: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52EB4D">
            <w:pPr>
              <w:snapToGrid w:val="0"/>
              <w:ind w:left="0" w:leftChars="0" w:right="0" w:rightChars="0" w:firstLine="0" w:firstLineChars="0"/>
              <w:jc w:val="left"/>
            </w:pPr>
            <w:r>
              <w:t>联系人姓名</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40DB8F">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70B18890">
            <w:pPr>
              <w:snapToGrid w:val="0"/>
              <w:ind w:left="0" w:leftChars="0" w:right="0" w:rightChars="0" w:firstLine="0" w:firstLineChars="0"/>
              <w:jc w:val="left"/>
            </w:pPr>
            <w:r>
              <w:t>负责本次报名对接的人员</w:t>
            </w:r>
          </w:p>
        </w:tc>
      </w:tr>
      <w:tr w14:paraId="6F635ED7">
        <w:tblPrEx>
          <w:tblCellMar>
            <w:top w:w="0" w:type="dxa"/>
            <w:left w:w="0" w:type="dxa"/>
            <w:bottom w:w="0" w:type="dxa"/>
            <w:right w:w="0" w:type="dxa"/>
          </w:tblCellMar>
        </w:tblPrEx>
        <w:trPr>
          <w:trHeight w:val="476" w:hRule="atLeast"/>
          <w:jc w:val="center"/>
        </w:trPr>
        <w:tc>
          <w:tcPr>
            <w:tcW w:w="147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429805F1">
            <w:pPr>
              <w:snapToGrid w:val="0"/>
              <w:ind w:left="0" w:leftChars="0" w:right="0" w:rightChars="0" w:firstLine="0" w:firstLineChars="0"/>
              <w:jc w:val="center"/>
            </w:pP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7554A35">
            <w:pPr>
              <w:snapToGrid w:val="0"/>
              <w:ind w:left="0" w:leftChars="0" w:right="0" w:rightChars="0" w:firstLine="0" w:firstLineChars="0"/>
              <w:jc w:val="left"/>
            </w:pPr>
            <w:r>
              <w:t>职务</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2D152D">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1749F970">
            <w:pPr>
              <w:snapToGrid w:val="0"/>
              <w:ind w:left="0" w:leftChars="0" w:right="0" w:rightChars="0" w:firstLine="0" w:firstLineChars="0"/>
              <w:jc w:val="left"/>
            </w:pPr>
          </w:p>
        </w:tc>
      </w:tr>
      <w:tr w14:paraId="7BCFF435">
        <w:tblPrEx>
          <w:tblCellMar>
            <w:top w:w="0" w:type="dxa"/>
            <w:left w:w="0" w:type="dxa"/>
            <w:bottom w:w="0" w:type="dxa"/>
            <w:right w:w="0" w:type="dxa"/>
          </w:tblCellMar>
        </w:tblPrEx>
        <w:trPr>
          <w:trHeight w:val="476" w:hRule="atLeast"/>
          <w:jc w:val="center"/>
        </w:trPr>
        <w:tc>
          <w:tcPr>
            <w:tcW w:w="147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114694D5">
            <w:pPr>
              <w:snapToGrid w:val="0"/>
              <w:ind w:left="0" w:leftChars="0" w:right="0" w:rightChars="0" w:firstLine="0" w:firstLineChars="0"/>
              <w:jc w:val="center"/>
            </w:pP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24A4D6">
            <w:pPr>
              <w:snapToGrid w:val="0"/>
              <w:ind w:left="0" w:leftChars="0" w:right="0" w:rightChars="0" w:firstLine="0" w:firstLineChars="0"/>
              <w:jc w:val="left"/>
            </w:pPr>
            <w:r>
              <w:t>联系电话</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4B1779D">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53F75B5B">
            <w:pPr>
              <w:snapToGrid w:val="0"/>
              <w:ind w:left="0" w:leftChars="0" w:right="0" w:rightChars="0" w:firstLine="0" w:firstLineChars="0"/>
              <w:jc w:val="left"/>
            </w:pPr>
            <w:r>
              <w:t>手机/固定电话</w:t>
            </w:r>
          </w:p>
        </w:tc>
      </w:tr>
      <w:tr w14:paraId="197CC5E1">
        <w:tblPrEx>
          <w:tblCellMar>
            <w:top w:w="0" w:type="dxa"/>
            <w:left w:w="0" w:type="dxa"/>
            <w:bottom w:w="0" w:type="dxa"/>
            <w:right w:w="0" w:type="dxa"/>
          </w:tblCellMar>
        </w:tblPrEx>
        <w:trPr>
          <w:trHeight w:val="476" w:hRule="atLeast"/>
          <w:jc w:val="center"/>
        </w:trPr>
        <w:tc>
          <w:tcPr>
            <w:tcW w:w="147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1A4E1C7F">
            <w:pPr>
              <w:snapToGrid w:val="0"/>
              <w:ind w:left="0" w:leftChars="0" w:right="0" w:rightChars="0" w:firstLine="0" w:firstLineChars="0"/>
              <w:jc w:val="center"/>
            </w:pP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BE633BF">
            <w:pPr>
              <w:snapToGrid w:val="0"/>
              <w:ind w:left="0" w:leftChars="0" w:right="0" w:rightChars="0" w:firstLine="0" w:firstLineChars="0"/>
              <w:jc w:val="left"/>
            </w:pPr>
            <w:r>
              <w:t>电子邮箱</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F85E46E">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662BAACE">
            <w:pPr>
              <w:snapToGrid w:val="0"/>
              <w:ind w:left="0" w:leftChars="0" w:right="0" w:rightChars="0" w:firstLine="0" w:firstLineChars="0"/>
              <w:jc w:val="left"/>
            </w:pPr>
            <w:r>
              <w:t>必填</w:t>
            </w:r>
          </w:p>
        </w:tc>
      </w:tr>
      <w:tr w14:paraId="496E7A27">
        <w:tblPrEx>
          <w:tblCellMar>
            <w:top w:w="0" w:type="dxa"/>
            <w:left w:w="0" w:type="dxa"/>
            <w:bottom w:w="0" w:type="dxa"/>
            <w:right w:w="0" w:type="dxa"/>
          </w:tblCellMar>
        </w:tblPrEx>
        <w:trPr>
          <w:trHeight w:val="0" w:hRule="atLeast"/>
          <w:jc w:val="center"/>
        </w:trPr>
        <w:tc>
          <w:tcPr>
            <w:tcW w:w="1474" w:type="dxa"/>
            <w:vMerge w:val="restart"/>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1D93949B">
            <w:pPr>
              <w:snapToGrid w:val="0"/>
              <w:ind w:left="0" w:leftChars="0" w:right="0" w:rightChars="0" w:firstLine="0" w:firstLineChars="0"/>
              <w:jc w:val="center"/>
            </w:pPr>
            <w:r>
              <w:t>资质与能力</w:t>
            </w: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5F478F">
            <w:pPr>
              <w:snapToGrid w:val="0"/>
              <w:ind w:left="0" w:leftChars="0" w:right="0" w:rightChars="0" w:firstLine="0" w:firstLineChars="0"/>
              <w:jc w:val="left"/>
            </w:pPr>
            <w:r>
              <w:t>质量体系认证情况</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71A712">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70822689">
            <w:pPr>
              <w:snapToGrid w:val="0"/>
              <w:ind w:left="0" w:leftChars="0" w:right="0" w:rightChars="0" w:firstLine="0" w:firstLineChars="0"/>
              <w:jc w:val="left"/>
            </w:pPr>
            <w:r>
              <w:t>如ISO9001等，需注明证书编号及有效期</w:t>
            </w:r>
          </w:p>
        </w:tc>
      </w:tr>
      <w:tr w14:paraId="1AF70F49">
        <w:tblPrEx>
          <w:tblCellMar>
            <w:top w:w="0" w:type="dxa"/>
            <w:left w:w="0" w:type="dxa"/>
            <w:bottom w:w="0" w:type="dxa"/>
            <w:right w:w="0" w:type="dxa"/>
          </w:tblCellMar>
        </w:tblPrEx>
        <w:trPr>
          <w:trHeight w:val="0" w:hRule="atLeast"/>
          <w:jc w:val="center"/>
        </w:trPr>
        <w:tc>
          <w:tcPr>
            <w:tcW w:w="147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524BA7C0">
            <w:pPr>
              <w:snapToGrid w:val="0"/>
              <w:ind w:left="0" w:leftChars="0" w:right="0" w:rightChars="0" w:firstLine="0" w:firstLineChars="0"/>
              <w:jc w:val="center"/>
            </w:pP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ACA8E4">
            <w:pPr>
              <w:snapToGrid w:val="0"/>
              <w:ind w:left="0" w:leftChars="0" w:right="0" w:rightChars="0" w:firstLine="0" w:firstLineChars="0"/>
              <w:jc w:val="left"/>
            </w:pPr>
            <w:r>
              <w:t>割零供货能力说明</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11FAD71">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6D1E3FE1">
            <w:pPr>
              <w:snapToGrid w:val="0"/>
              <w:ind w:left="0" w:leftChars="0" w:right="0" w:rightChars="0" w:firstLine="0" w:firstLineChars="0"/>
              <w:jc w:val="left"/>
            </w:pPr>
            <w:r>
              <w:t>简述切割设备、精度及交货周期</w:t>
            </w:r>
          </w:p>
        </w:tc>
      </w:tr>
      <w:tr w14:paraId="17BF28A2">
        <w:tblPrEx>
          <w:tblCellMar>
            <w:top w:w="0" w:type="dxa"/>
            <w:left w:w="0" w:type="dxa"/>
            <w:bottom w:w="0" w:type="dxa"/>
            <w:right w:w="0" w:type="dxa"/>
          </w:tblCellMar>
        </w:tblPrEx>
        <w:trPr>
          <w:trHeight w:val="0" w:hRule="atLeast"/>
          <w:jc w:val="center"/>
        </w:trPr>
        <w:tc>
          <w:tcPr>
            <w:tcW w:w="1474" w:type="dxa"/>
            <w:vMerge w:val="continue"/>
            <w:tcBorders>
              <w:top w:val="single" w:color="auto" w:sz="4" w:space="0"/>
              <w:left w:val="single" w:color="auto" w:sz="12" w:space="0"/>
              <w:bottom w:val="single" w:color="auto" w:sz="4" w:space="0"/>
              <w:right w:val="single" w:color="auto" w:sz="4" w:space="0"/>
            </w:tcBorders>
            <w:tcMar>
              <w:left w:w="108" w:type="dxa"/>
              <w:right w:w="108" w:type="dxa"/>
            </w:tcMar>
            <w:vAlign w:val="center"/>
          </w:tcPr>
          <w:p w14:paraId="18E3C8C5">
            <w:pPr>
              <w:snapToGrid w:val="0"/>
              <w:ind w:left="0" w:leftChars="0" w:right="0" w:rightChars="0" w:firstLine="0" w:firstLineChars="0"/>
              <w:jc w:val="center"/>
            </w:pPr>
          </w:p>
        </w:tc>
        <w:tc>
          <w:tcPr>
            <w:tcW w:w="203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EA3E9E">
            <w:pPr>
              <w:snapToGrid w:val="0"/>
              <w:ind w:left="0" w:leftChars="0" w:right="0" w:rightChars="0" w:firstLine="0" w:firstLineChars="0"/>
              <w:jc w:val="left"/>
            </w:pPr>
            <w:r>
              <w:t>近</w:t>
            </w:r>
            <w:r>
              <w:rPr>
                <w:rFonts w:hint="eastAsia"/>
                <w:lang w:val="en-US" w:eastAsia="zh-CN"/>
              </w:rPr>
              <w:t>5</w:t>
            </w:r>
            <w:r>
              <w:t>年压力容器/锅炉装备制造厂供货业绩简述</w:t>
            </w:r>
          </w:p>
        </w:tc>
        <w:tc>
          <w:tcPr>
            <w:tcW w:w="26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D1A883F">
            <w:pPr>
              <w:snapToGrid w:val="0"/>
              <w:ind w:left="0" w:leftChars="0" w:right="0" w:rightChars="0" w:firstLine="0" w:firstLineChars="0"/>
              <w:jc w:val="center"/>
            </w:pPr>
          </w:p>
        </w:tc>
        <w:tc>
          <w:tcPr>
            <w:tcW w:w="2328" w:type="dxa"/>
            <w:tcBorders>
              <w:top w:val="single" w:color="auto" w:sz="4" w:space="0"/>
              <w:left w:val="single" w:color="auto" w:sz="4" w:space="0"/>
              <w:bottom w:val="single" w:color="auto" w:sz="4" w:space="0"/>
              <w:right w:val="single" w:color="auto" w:sz="12" w:space="0"/>
            </w:tcBorders>
            <w:tcMar>
              <w:left w:w="108" w:type="dxa"/>
              <w:right w:w="108" w:type="dxa"/>
            </w:tcMar>
            <w:vAlign w:val="center"/>
          </w:tcPr>
          <w:p w14:paraId="370728F7">
            <w:pPr>
              <w:snapToGrid w:val="0"/>
              <w:ind w:left="0" w:leftChars="0" w:right="0" w:rightChars="0" w:firstLine="0" w:firstLineChars="0"/>
              <w:jc w:val="left"/>
            </w:pPr>
            <w:r>
              <w:t>列举主要客户及供货产品类型</w:t>
            </w:r>
          </w:p>
        </w:tc>
      </w:tr>
      <w:tr w14:paraId="470D83C9">
        <w:tblPrEx>
          <w:tblCellMar>
            <w:top w:w="0" w:type="dxa"/>
            <w:left w:w="0" w:type="dxa"/>
            <w:bottom w:w="0" w:type="dxa"/>
            <w:right w:w="0" w:type="dxa"/>
          </w:tblCellMar>
        </w:tblPrEx>
        <w:trPr>
          <w:trHeight w:val="0" w:hRule="atLeast"/>
          <w:jc w:val="center"/>
        </w:trPr>
        <w:tc>
          <w:tcPr>
            <w:tcW w:w="1474" w:type="dxa"/>
            <w:tcBorders>
              <w:top w:val="single" w:color="auto" w:sz="4" w:space="0"/>
              <w:left w:val="single" w:color="auto" w:sz="12" w:space="0"/>
              <w:bottom w:val="single" w:color="auto" w:sz="12" w:space="0"/>
              <w:right w:val="single" w:color="auto" w:sz="4" w:space="0"/>
            </w:tcBorders>
            <w:tcMar>
              <w:left w:w="108" w:type="dxa"/>
              <w:right w:w="108" w:type="dxa"/>
            </w:tcMar>
            <w:vAlign w:val="center"/>
          </w:tcPr>
          <w:p w14:paraId="7DEC167F">
            <w:pPr>
              <w:snapToGrid w:val="0"/>
              <w:ind w:left="0" w:leftChars="0" w:right="0" w:rightChars="0" w:firstLine="0" w:firstLineChars="0"/>
              <w:jc w:val="center"/>
            </w:pPr>
            <w:r>
              <w:t>声明与承诺</w:t>
            </w:r>
          </w:p>
        </w:tc>
        <w:tc>
          <w:tcPr>
            <w:tcW w:w="2031" w:type="dxa"/>
            <w:tcBorders>
              <w:top w:val="single" w:color="auto" w:sz="4" w:space="0"/>
              <w:left w:val="single" w:color="auto" w:sz="4" w:space="0"/>
              <w:bottom w:val="single" w:color="auto" w:sz="12" w:space="0"/>
              <w:right w:val="single" w:color="auto" w:sz="4" w:space="0"/>
            </w:tcBorders>
            <w:tcMar>
              <w:left w:w="108" w:type="dxa"/>
              <w:right w:w="108" w:type="dxa"/>
            </w:tcMar>
            <w:vAlign w:val="center"/>
          </w:tcPr>
          <w:p w14:paraId="3D6D355F">
            <w:pPr>
              <w:snapToGrid w:val="0"/>
              <w:ind w:left="0" w:leftChars="0" w:right="0" w:rightChars="0" w:firstLine="0" w:firstLineChars="0"/>
              <w:jc w:val="center"/>
            </w:pPr>
            <w:r>
              <w:t>供应商声明</w:t>
            </w:r>
          </w:p>
        </w:tc>
        <w:tc>
          <w:tcPr>
            <w:tcW w:w="2688" w:type="dxa"/>
            <w:tcBorders>
              <w:top w:val="single" w:color="auto" w:sz="4" w:space="0"/>
              <w:left w:val="single" w:color="auto" w:sz="4" w:space="0"/>
              <w:bottom w:val="single" w:color="auto" w:sz="12" w:space="0"/>
              <w:right w:val="single" w:color="auto" w:sz="4" w:space="0"/>
            </w:tcBorders>
            <w:tcMar>
              <w:left w:w="108" w:type="dxa"/>
              <w:right w:w="108" w:type="dxa"/>
            </w:tcMar>
            <w:vAlign w:val="center"/>
          </w:tcPr>
          <w:p w14:paraId="7DF39492">
            <w:pPr>
              <w:snapToGrid w:val="0"/>
              <w:ind w:left="0" w:leftChars="0" w:right="0" w:rightChars="0" w:firstLine="0" w:firstLineChars="0"/>
              <w:jc w:val="center"/>
            </w:pPr>
            <w:r>
              <w:t>我司承诺所填写信息真实有效，若存在虚假内容，自愿承担相应责任。</w:t>
            </w:r>
          </w:p>
        </w:tc>
        <w:tc>
          <w:tcPr>
            <w:tcW w:w="2328" w:type="dxa"/>
            <w:tcBorders>
              <w:top w:val="single" w:color="auto" w:sz="4" w:space="0"/>
              <w:left w:val="single" w:color="auto" w:sz="4" w:space="0"/>
              <w:bottom w:val="single" w:color="auto" w:sz="12" w:space="0"/>
              <w:right w:val="single" w:color="auto" w:sz="12" w:space="0"/>
            </w:tcBorders>
            <w:tcMar>
              <w:left w:w="108" w:type="dxa"/>
              <w:right w:w="108" w:type="dxa"/>
            </w:tcMar>
            <w:vAlign w:val="center"/>
          </w:tcPr>
          <w:p w14:paraId="2C1FD563">
            <w:pPr>
              <w:snapToGrid w:val="0"/>
              <w:ind w:left="0" w:leftChars="0" w:right="0" w:rightChars="0" w:firstLine="0" w:firstLineChars="0"/>
              <w:jc w:val="center"/>
            </w:pPr>
            <w:r>
              <w:t>需加盖公司公章</w:t>
            </w:r>
          </w:p>
        </w:tc>
      </w:tr>
    </w:tbl>
    <w:p w14:paraId="45FFD2EA">
      <w:r>
        <w:t>1. 所有填写内容需清晰、准确，涉及复印件的资料需加盖公司公章；</w:t>
      </w:r>
      <w:r>
        <w:br w:type="textWrapping"/>
      </w:r>
      <w:r>
        <w:t>2. 本表需与《报名资料清单》中其他资料一并提交；</w:t>
      </w:r>
      <w:r>
        <w:br w:type="textWrapping"/>
      </w:r>
      <w:r>
        <w:t>3. 提交截止日期以招募公告为准。</w:t>
      </w:r>
    </w:p>
    <w:p w14:paraId="5948DA51">
      <w:pPr>
        <w:jc w:val="right"/>
      </w:pPr>
      <w:r>
        <w:t>供应商（盖章）：__________</w:t>
      </w:r>
    </w:p>
    <w:p w14:paraId="4ACFBF92">
      <w:pPr>
        <w:tabs>
          <w:tab w:val="left" w:pos="1611"/>
        </w:tabs>
        <w:jc w:val="right"/>
        <w:rPr>
          <w:rFonts w:hint="eastAsia"/>
          <w:lang w:eastAsia="zh-CN"/>
        </w:rPr>
      </w:pPr>
      <w:r>
        <w:t>日期：______年____月____日</w:t>
      </w:r>
    </w:p>
    <w:p w14:paraId="0F5EE4A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1A4A9E29">
      <w:pPr>
        <w:tabs>
          <w:tab w:val="left" w:pos="2565"/>
        </w:tabs>
        <w:spacing w:line="600" w:lineRule="exact"/>
        <w:jc w:val="left"/>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附件2</w:t>
      </w:r>
    </w:p>
    <w:p w14:paraId="494743E6">
      <w:pPr>
        <w:tabs>
          <w:tab w:val="left" w:pos="2565"/>
        </w:tabs>
        <w:spacing w:line="60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索普赛瑞供应商负面清单管理规定</w:t>
      </w:r>
    </w:p>
    <w:p w14:paraId="51B0E95E">
      <w:pPr>
        <w:keepNext w:val="0"/>
        <w:keepLines w:val="0"/>
        <w:pageBreakBefore w:val="0"/>
        <w:widowControl/>
        <w:kinsoku/>
        <w:wordWrap/>
        <w:overflowPunct/>
        <w:topLinePunct w:val="0"/>
        <w:autoSpaceDE/>
        <w:autoSpaceDN/>
        <w:bidi w:val="0"/>
        <w:adjustRightInd/>
        <w:snapToGrid w:val="0"/>
        <w:spacing w:after="160" w:line="560" w:lineRule="exact"/>
        <w:jc w:val="center"/>
        <w:textAlignment w:val="auto"/>
        <w:rPr>
          <w:rFonts w:hint="eastAsia" w:ascii="楷体" w:hAnsi="楷体" w:eastAsia="楷体" w:cs="楷体"/>
          <w:kern w:val="0"/>
          <w:sz w:val="34"/>
          <w:szCs w:val="34"/>
        </w:rPr>
      </w:pPr>
      <w:r>
        <w:rPr>
          <w:rFonts w:hint="eastAsia" w:ascii="楷体" w:hAnsi="楷体" w:eastAsia="楷体" w:cs="楷体"/>
          <w:kern w:val="0"/>
          <w:sz w:val="34"/>
          <w:szCs w:val="34"/>
        </w:rPr>
        <w:t>（2025年修订版）</w:t>
      </w:r>
    </w:p>
    <w:p w14:paraId="55D1CD27">
      <w:pPr>
        <w:tabs>
          <w:tab w:val="left" w:pos="2565"/>
        </w:tabs>
        <w:adjustRightInd w:val="0"/>
        <w:snapToGrid w:val="0"/>
        <w:spacing w:line="600" w:lineRule="exact"/>
        <w:rPr>
          <w:rFonts w:hint="eastAsia" w:ascii="黑体" w:hAnsi="黑体" w:eastAsia="黑体"/>
          <w:bCs/>
          <w:sz w:val="34"/>
          <w:szCs w:val="34"/>
        </w:rPr>
      </w:pPr>
    </w:p>
    <w:p w14:paraId="235BBFB2">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第一章 总则</w:t>
      </w:r>
    </w:p>
    <w:p w14:paraId="144DAF8B">
      <w:pPr>
        <w:tabs>
          <w:tab w:val="left" w:pos="2565"/>
        </w:tabs>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楷体" w:eastAsia="仿宋_GB2312"/>
          <w:b/>
          <w:sz w:val="34"/>
          <w:szCs w:val="34"/>
        </w:rPr>
        <w:t>第一条</w:t>
      </w:r>
      <w:r>
        <w:rPr>
          <w:rFonts w:hint="eastAsia" w:ascii="仿宋_GB2312" w:hAnsi="楷体" w:eastAsia="仿宋_GB2312"/>
          <w:bCs/>
          <w:sz w:val="34"/>
          <w:szCs w:val="34"/>
        </w:rPr>
        <w:t xml:space="preserve"> 凡按国家标准及相关准则或规定组织生产销售的产品供应商及承包商，证照齐全且资质满足公司采购要求的</w:t>
      </w:r>
      <w:r>
        <w:rPr>
          <w:rFonts w:hint="eastAsia" w:ascii="仿宋_GB2312" w:hAnsi="仿宋_GB2312" w:eastAsia="仿宋_GB2312" w:cs="仿宋_GB2312"/>
          <w:sz w:val="34"/>
          <w:szCs w:val="34"/>
        </w:rPr>
        <w:t>（采购和外协加工受压元件的材料，需要经公司相关部门考察认定）</w:t>
      </w:r>
      <w:r>
        <w:rPr>
          <w:rFonts w:hint="eastAsia" w:ascii="仿宋_GB2312" w:hAnsi="楷体" w:eastAsia="仿宋_GB2312"/>
          <w:bCs/>
          <w:sz w:val="34"/>
          <w:szCs w:val="34"/>
        </w:rPr>
        <w:t>，均可参与公司组织的公开采购商务活动。</w:t>
      </w:r>
    </w:p>
    <w:p w14:paraId="28A237B2">
      <w:pPr>
        <w:tabs>
          <w:tab w:val="left" w:pos="2565"/>
        </w:tabs>
        <w:adjustRightInd w:val="0"/>
        <w:snapToGrid w:val="0"/>
        <w:spacing w:line="600" w:lineRule="exact"/>
        <w:ind w:firstLine="683" w:firstLineChars="200"/>
        <w:jc w:val="left"/>
        <w:rPr>
          <w:rFonts w:hint="eastAsia" w:ascii="黑体" w:hAnsi="黑体" w:eastAsia="黑体"/>
          <w:bCs/>
          <w:sz w:val="34"/>
          <w:szCs w:val="34"/>
        </w:rPr>
      </w:pPr>
      <w:r>
        <w:rPr>
          <w:rFonts w:hint="eastAsia" w:ascii="仿宋_GB2312" w:hAnsi="楷体" w:eastAsia="仿宋_GB2312"/>
          <w:b/>
          <w:sz w:val="34"/>
          <w:szCs w:val="34"/>
        </w:rPr>
        <w:t>第二条</w:t>
      </w:r>
      <w:r>
        <w:rPr>
          <w:rFonts w:hint="eastAsia" w:ascii="仿宋_GB2312" w:hAnsi="楷体" w:eastAsia="仿宋_GB2312"/>
          <w:bCs/>
          <w:sz w:val="34"/>
          <w:szCs w:val="34"/>
        </w:rPr>
        <w:t xml:space="preserve"> </w:t>
      </w:r>
      <w:r>
        <w:rPr>
          <w:rFonts w:hint="eastAsia" w:eastAsia="仿宋_GB2312"/>
          <w:bCs/>
          <w:sz w:val="34"/>
          <w:szCs w:val="34"/>
        </w:rPr>
        <w:t>本制度适用于索普赛瑞各部门。</w:t>
      </w:r>
      <w:r>
        <w:rPr>
          <w:rFonts w:hint="eastAsia" w:ascii="黑体" w:hAnsi="黑体" w:eastAsia="黑体"/>
          <w:bCs/>
          <w:sz w:val="34"/>
          <w:szCs w:val="34"/>
        </w:rPr>
        <w:t xml:space="preserve"> </w:t>
      </w:r>
    </w:p>
    <w:p w14:paraId="50248B36">
      <w:pPr>
        <w:tabs>
          <w:tab w:val="left" w:pos="2565"/>
        </w:tabs>
        <w:adjustRightInd w:val="0"/>
        <w:snapToGrid w:val="0"/>
        <w:spacing w:line="600" w:lineRule="exact"/>
        <w:ind w:firstLine="683" w:firstLineChars="200"/>
        <w:rPr>
          <w:rFonts w:ascii="Segoe UI" w:hAnsi="Segoe UI" w:eastAsia="Segoe UI" w:cs="Segoe UI"/>
          <w:sz w:val="22"/>
          <w:szCs w:val="22"/>
          <w:shd w:val="clear" w:color="auto" w:fill="FDFDFE"/>
        </w:rPr>
      </w:pPr>
      <w:r>
        <w:rPr>
          <w:rFonts w:hint="eastAsia" w:ascii="仿宋_GB2312" w:hAnsi="楷体" w:eastAsia="仿宋_GB2312"/>
          <w:b/>
          <w:sz w:val="34"/>
          <w:szCs w:val="34"/>
        </w:rPr>
        <w:t xml:space="preserve">第三条 </w:t>
      </w:r>
      <w:r>
        <w:rPr>
          <w:rFonts w:hint="eastAsia" w:ascii="仿宋_GB2312" w:hAnsi="仿宋" w:eastAsia="仿宋_GB2312"/>
          <w:bCs/>
          <w:sz w:val="34"/>
          <w:szCs w:val="34"/>
        </w:rPr>
        <w:t>集团供应商负面清单管理采取共享机制，由全集团共同参与构建并统一使用，确保全集团采购活动中负面清单供应商范围一致。</w:t>
      </w:r>
    </w:p>
    <w:p w14:paraId="294172C5">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第二章 管理职责</w:t>
      </w:r>
    </w:p>
    <w:p w14:paraId="36F3E712">
      <w:pPr>
        <w:tabs>
          <w:tab w:val="left" w:pos="2565"/>
        </w:tabs>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楷体" w:eastAsia="仿宋_GB2312"/>
          <w:b/>
          <w:sz w:val="34"/>
          <w:szCs w:val="34"/>
        </w:rPr>
        <w:t>第四条</w:t>
      </w:r>
      <w:r>
        <w:rPr>
          <w:rFonts w:hint="eastAsia" w:ascii="仿宋_GB2312" w:hAnsi="仿宋" w:eastAsia="仿宋_GB2312"/>
          <w:bCs/>
          <w:sz w:val="34"/>
          <w:szCs w:val="34"/>
        </w:rPr>
        <w:t xml:space="preserve"> 各采购发起部门拥有对负面清单供应商进行考核评价及解除的权限，负面清单供应商的增减变动须报集团商务合作部公示后生效执行。</w:t>
      </w:r>
    </w:p>
    <w:p w14:paraId="34F7B2FE">
      <w:pPr>
        <w:tabs>
          <w:tab w:val="left" w:pos="2565"/>
        </w:tabs>
        <w:adjustRightInd w:val="0"/>
        <w:snapToGrid w:val="0"/>
        <w:spacing w:line="600" w:lineRule="exact"/>
        <w:ind w:firstLine="683" w:firstLineChars="200"/>
        <w:rPr>
          <w:rFonts w:ascii="仿宋" w:hAnsi="仿宋" w:eastAsia="仿宋"/>
          <w:bCs/>
          <w:sz w:val="34"/>
          <w:szCs w:val="34"/>
        </w:rPr>
      </w:pPr>
      <w:r>
        <w:rPr>
          <w:rFonts w:hint="eastAsia" w:ascii="仿宋_GB2312" w:hAnsi="楷体" w:eastAsia="仿宋_GB2312"/>
          <w:b/>
          <w:sz w:val="34"/>
          <w:szCs w:val="34"/>
        </w:rPr>
        <w:t xml:space="preserve">第五条 </w:t>
      </w:r>
      <w:r>
        <w:rPr>
          <w:rFonts w:hint="eastAsia" w:ascii="仿宋_GB2312" w:hAnsi="仿宋" w:eastAsia="仿宋_GB2312"/>
          <w:bCs/>
          <w:sz w:val="34"/>
          <w:szCs w:val="34"/>
        </w:rPr>
        <w:t>负面清单管理工作由商务合作部负责，各部门在采购、合同履约、物资使用等环节中产生的供应商考核意见，须报给商务合作部汇总，并实时报送集团商务合作部汇总管理，确保清单动态更新与信息共享。</w:t>
      </w:r>
    </w:p>
    <w:p w14:paraId="2E861C60">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第三章　供应商分级管理</w:t>
      </w:r>
    </w:p>
    <w:p w14:paraId="22FF2472">
      <w:pPr>
        <w:tabs>
          <w:tab w:val="left" w:pos="2565"/>
        </w:tabs>
        <w:adjustRightInd w:val="0"/>
        <w:snapToGrid w:val="0"/>
        <w:spacing w:line="600" w:lineRule="exact"/>
        <w:ind w:firstLine="683" w:firstLineChars="200"/>
        <w:rPr>
          <w:rFonts w:hint="eastAsia" w:ascii="仿宋_GB2312" w:hAnsi="楷体" w:eastAsia="仿宋_GB2312"/>
          <w:bCs/>
          <w:sz w:val="34"/>
          <w:szCs w:val="34"/>
        </w:rPr>
      </w:pPr>
      <w:r>
        <w:rPr>
          <w:rFonts w:hint="eastAsia" w:ascii="仿宋_GB2312" w:hAnsi="楷体" w:eastAsia="仿宋_GB2312"/>
          <w:b/>
          <w:sz w:val="34"/>
          <w:szCs w:val="34"/>
        </w:rPr>
        <w:t xml:space="preserve">第六条 </w:t>
      </w:r>
      <w:r>
        <w:rPr>
          <w:rFonts w:hint="eastAsia" w:ascii="仿宋_GB2312" w:hAnsi="楷体" w:eastAsia="仿宋_GB2312"/>
          <w:bCs/>
          <w:sz w:val="34"/>
          <w:szCs w:val="34"/>
        </w:rPr>
        <w:t>根据考核扣分及违规严重性，将供应商分为以下三类管理：</w:t>
      </w:r>
    </w:p>
    <w:p w14:paraId="48D5846F">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（一）合格供应商</w:t>
      </w:r>
    </w:p>
    <w:p w14:paraId="6ECA2D92">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1.考核标准：滚动周期扣分（一年内）＜10分。</w:t>
      </w:r>
    </w:p>
    <w:p w14:paraId="5615AF1E">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2.管理措施：可正常参与公司公开采购及合作，扣分自首次扣除满一年自动清零。</w:t>
      </w:r>
    </w:p>
    <w:p w14:paraId="6B374026">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（二）暂停合作供应商</w:t>
      </w:r>
    </w:p>
    <w:p w14:paraId="02FAF051">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1.考核标准：同一</w:t>
      </w:r>
      <w:r>
        <w:rPr>
          <w:rFonts w:hint="eastAsia" w:ascii="仿宋_GB2312" w:hAnsi="仿宋" w:eastAsia="仿宋_GB2312"/>
          <w:bCs/>
          <w:sz w:val="34"/>
          <w:szCs w:val="34"/>
        </w:rPr>
        <w:t>单位对同一供应商一年内的考核扣分累计</w:t>
      </w:r>
      <w:r>
        <w:rPr>
          <w:rFonts w:hint="eastAsia" w:ascii="仿宋_GB2312" w:hAnsi="楷体" w:eastAsia="仿宋_GB2312"/>
          <w:bCs/>
          <w:sz w:val="34"/>
          <w:szCs w:val="34"/>
        </w:rPr>
        <w:t>≥10分；</w:t>
      </w:r>
      <w:r>
        <w:rPr>
          <w:rFonts w:hint="eastAsia" w:ascii="仿宋_GB2312" w:hAnsi="仿宋" w:eastAsia="仿宋_GB2312"/>
          <w:bCs/>
          <w:sz w:val="34"/>
          <w:szCs w:val="34"/>
        </w:rPr>
        <w:t>不同单位对同一供应商一年内的考核扣分累计</w:t>
      </w:r>
      <w:r>
        <w:rPr>
          <w:rFonts w:hint="eastAsia" w:ascii="仿宋_GB2312" w:hAnsi="楷体" w:eastAsia="仿宋_GB2312"/>
          <w:bCs/>
          <w:sz w:val="34"/>
          <w:szCs w:val="34"/>
        </w:rPr>
        <w:t>≥15分。</w:t>
      </w:r>
    </w:p>
    <w:p w14:paraId="3E3BE3AF">
      <w:pPr>
        <w:tabs>
          <w:tab w:val="left" w:pos="2565"/>
        </w:tabs>
        <w:adjustRightInd w:val="0"/>
        <w:snapToGrid w:val="0"/>
        <w:spacing w:line="600" w:lineRule="exact"/>
        <w:ind w:firstLine="680" w:firstLineChars="200"/>
      </w:pPr>
      <w:r>
        <w:rPr>
          <w:rFonts w:hint="eastAsia" w:ascii="仿宋_GB2312" w:hAnsi="楷体" w:eastAsia="仿宋_GB2312"/>
          <w:bCs/>
          <w:sz w:val="34"/>
          <w:szCs w:val="34"/>
        </w:rPr>
        <w:t>2.管理措施：一年内停止与其产生新的合作。建立到期提示机制，到期前一个月内考核部门应主动告知相应供应商，并同步开放整改材料提交通道。</w:t>
      </w:r>
    </w:p>
    <w:p w14:paraId="49A6F8B4">
      <w:pPr>
        <w:tabs>
          <w:tab w:val="left" w:pos="2565"/>
        </w:tabs>
        <w:adjustRightInd w:val="0"/>
        <w:snapToGrid w:val="0"/>
        <w:spacing w:line="600" w:lineRule="exact"/>
        <w:ind w:firstLine="680" w:firstLineChars="200"/>
        <w:rPr>
          <w:rFonts w:ascii="仿宋_GB2312" w:hAnsi="楷体" w:eastAsia="仿宋_GB2312"/>
          <w:bCs/>
          <w:sz w:val="34"/>
          <w:szCs w:val="34"/>
        </w:rPr>
      </w:pPr>
      <w:r>
        <w:rPr>
          <w:rFonts w:hint="eastAsia" w:ascii="仿宋_GB2312" w:hAnsi="楷体" w:eastAsia="仿宋_GB2312"/>
          <w:bCs/>
          <w:sz w:val="34"/>
          <w:szCs w:val="34"/>
        </w:rPr>
        <w:t>3.评审优先级：在采购评审过程中，同等情况下应优先选择未曾被列入暂停合作供应商清单的供应商。</w:t>
      </w:r>
    </w:p>
    <w:p w14:paraId="270DB182">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（三）禁止合作供应商</w:t>
      </w:r>
    </w:p>
    <w:p w14:paraId="0DDD9163">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1.考核标准：供应商发生以下恶意行为的，将直接列入禁止合作供应商清单：</w:t>
      </w:r>
    </w:p>
    <w:p w14:paraId="55235A67">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（1）主观恶意且对公司生产经营活动造成重大损害的；</w:t>
      </w:r>
    </w:p>
    <w:p w14:paraId="5574D632">
      <w:pPr>
        <w:tabs>
          <w:tab w:val="left" w:pos="2565"/>
        </w:tabs>
        <w:adjustRightInd w:val="0"/>
        <w:snapToGrid w:val="0"/>
        <w:spacing w:line="600" w:lineRule="exact"/>
        <w:ind w:firstLine="680" w:firstLineChars="200"/>
        <w:rPr>
          <w:rFonts w:hint="eastAsia" w:ascii="仿宋_GB2312" w:hAnsi="仿宋" w:eastAsia="仿宋_GB2312"/>
          <w:bCs/>
          <w:sz w:val="34"/>
          <w:szCs w:val="34"/>
        </w:rPr>
      </w:pPr>
      <w:r>
        <w:rPr>
          <w:rFonts w:hint="eastAsia" w:ascii="仿宋_GB2312" w:hAnsi="楷体" w:eastAsia="仿宋_GB2312"/>
          <w:bCs/>
          <w:sz w:val="34"/>
          <w:szCs w:val="34"/>
        </w:rPr>
        <w:t>（2）</w:t>
      </w:r>
      <w:r>
        <w:rPr>
          <w:rFonts w:hint="eastAsia" w:ascii="仿宋_GB2312" w:hAnsi="仿宋" w:eastAsia="仿宋_GB2312"/>
          <w:bCs/>
          <w:sz w:val="34"/>
          <w:szCs w:val="34"/>
        </w:rPr>
        <w:t>恶意法律诉讼起诉我公司最终被法院裁定为败诉的；</w:t>
      </w:r>
    </w:p>
    <w:p w14:paraId="17FCE7A8">
      <w:pPr>
        <w:adjustRightInd w:val="0"/>
        <w:snapToGrid w:val="0"/>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w:t>
      </w:r>
      <w:r>
        <w:rPr>
          <w:rFonts w:hint="eastAsia" w:ascii="仿宋_GB2312" w:hAnsi="楷体" w:eastAsia="仿宋_GB2312"/>
          <w:bCs/>
          <w:sz w:val="34"/>
          <w:szCs w:val="34"/>
        </w:rPr>
        <w:t>两次列入暂停合作供应商的；</w:t>
      </w:r>
    </w:p>
    <w:p w14:paraId="1E00F4E1">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（4）</w:t>
      </w:r>
      <w:r>
        <w:rPr>
          <w:rFonts w:hint="eastAsia" w:ascii="仿宋_GB2312" w:hAnsi="仿宋" w:eastAsia="仿宋_GB2312"/>
          <w:bCs/>
          <w:sz w:val="34"/>
          <w:szCs w:val="34"/>
        </w:rPr>
        <w:t>违反廉政协议，滋生腐败现象的；</w:t>
      </w:r>
    </w:p>
    <w:p w14:paraId="148CA7BB">
      <w:pPr>
        <w:pStyle w:val="3"/>
        <w:adjustRightInd w:val="0"/>
        <w:snapToGrid w:val="0"/>
        <w:spacing w:beforeAutospacing="0" w:afterAutospacing="0" w:line="600" w:lineRule="exact"/>
        <w:ind w:firstLine="680" w:firstLineChars="200"/>
        <w:rPr>
          <w:rFonts w:hint="default"/>
        </w:rPr>
      </w:pPr>
      <w:r>
        <w:rPr>
          <w:rFonts w:ascii="仿宋_GB2312" w:hAnsi="楷体" w:eastAsia="仿宋_GB2312"/>
          <w:b w:val="0"/>
          <w:bCs/>
          <w:sz w:val="34"/>
          <w:szCs w:val="34"/>
        </w:rPr>
        <w:t>（5）存在其他严重侵害公司利益行为的。</w:t>
      </w:r>
    </w:p>
    <w:p w14:paraId="3B20DC4E">
      <w:pPr>
        <w:tabs>
          <w:tab w:val="left" w:pos="2565"/>
        </w:tabs>
        <w:adjustRightInd w:val="0"/>
        <w:snapToGrid w:val="0"/>
        <w:spacing w:line="600" w:lineRule="exact"/>
        <w:ind w:firstLine="680" w:firstLineChars="200"/>
        <w:rPr>
          <w:rFonts w:hint="eastAsia" w:ascii="仿宋_GB2312" w:hAnsi="楷体" w:eastAsia="仿宋_GB2312"/>
          <w:bCs/>
          <w:sz w:val="34"/>
          <w:szCs w:val="34"/>
        </w:rPr>
      </w:pPr>
      <w:r>
        <w:rPr>
          <w:rFonts w:hint="eastAsia" w:ascii="仿宋_GB2312" w:hAnsi="楷体" w:eastAsia="仿宋_GB2312"/>
          <w:bCs/>
          <w:sz w:val="34"/>
          <w:szCs w:val="34"/>
        </w:rPr>
        <w:t>2.管理措施：原则上永久禁止合作。</w:t>
      </w:r>
    </w:p>
    <w:p w14:paraId="68272997">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第四章 积分考核细则</w:t>
      </w:r>
    </w:p>
    <w:p w14:paraId="63EC9F9E">
      <w:pPr>
        <w:spacing w:line="600" w:lineRule="exact"/>
        <w:ind w:firstLine="683" w:firstLineChars="200"/>
        <w:rPr>
          <w:rFonts w:hint="eastAsia" w:ascii="仿宋_GB2312" w:hAnsi="楷体" w:eastAsia="仿宋_GB2312"/>
          <w:bCs/>
          <w:sz w:val="34"/>
          <w:szCs w:val="34"/>
        </w:rPr>
      </w:pPr>
      <w:r>
        <w:rPr>
          <w:rFonts w:hint="eastAsia" w:ascii="仿宋_GB2312" w:hAnsi="楷体" w:eastAsia="仿宋_GB2312"/>
          <w:b/>
          <w:sz w:val="34"/>
          <w:szCs w:val="34"/>
        </w:rPr>
        <w:t xml:space="preserve">第七条 </w:t>
      </w:r>
      <w:r>
        <w:rPr>
          <w:rFonts w:hint="eastAsia" w:ascii="仿宋_GB2312" w:hAnsi="楷体" w:eastAsia="仿宋_GB2312"/>
          <w:bCs/>
          <w:sz w:val="34"/>
          <w:szCs w:val="34"/>
        </w:rPr>
        <w:t>供应商的积分考核主要包括供货质量、交货周期、售后服务、资质信誉等方面，每项各10分，各相关部门均可提出书面考核意见。商务合作部负责对各相关部门提出的考核意见进行收集汇总，并及时公示。</w:t>
      </w:r>
    </w:p>
    <w:p w14:paraId="5758360B">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（一）质量方面</w:t>
      </w:r>
    </w:p>
    <w:p w14:paraId="29EF448F">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1.所供产品出现质量问题，未对公司造成影响，单次扣1</w:t>
      </w:r>
      <w:r>
        <w:rPr>
          <w:rFonts w:hint="eastAsia" w:ascii="仿宋_GB2312" w:hAnsi="仿宋" w:eastAsia="仿宋_GB2312"/>
          <w:bCs/>
          <w:sz w:val="34"/>
          <w:szCs w:val="34"/>
          <w:lang w:eastAsia="zh-CN"/>
        </w:rPr>
        <w:t>—</w:t>
      </w:r>
      <w:r>
        <w:rPr>
          <w:rFonts w:hint="eastAsia" w:ascii="仿宋_GB2312" w:hAnsi="仿宋" w:eastAsia="仿宋_GB2312"/>
          <w:bCs/>
          <w:sz w:val="34"/>
          <w:szCs w:val="34"/>
        </w:rPr>
        <w:t>3分。</w:t>
      </w:r>
    </w:p>
    <w:p w14:paraId="52038D66">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2.所供产品出现质量问题，对公司造成了一定影响，单次扣3</w:t>
      </w:r>
      <w:r>
        <w:rPr>
          <w:rFonts w:hint="eastAsia" w:ascii="仿宋_GB2312" w:hAnsi="仿宋" w:eastAsia="仿宋_GB2312"/>
          <w:bCs/>
          <w:sz w:val="34"/>
          <w:szCs w:val="34"/>
          <w:lang w:eastAsia="zh-CN"/>
        </w:rPr>
        <w:t>—</w:t>
      </w:r>
      <w:r>
        <w:rPr>
          <w:rFonts w:hint="eastAsia" w:ascii="仿宋_GB2312" w:hAnsi="仿宋" w:eastAsia="仿宋_GB2312"/>
          <w:bCs/>
          <w:sz w:val="34"/>
          <w:szCs w:val="34"/>
        </w:rPr>
        <w:t>5分。</w:t>
      </w:r>
    </w:p>
    <w:p w14:paraId="67FD3836">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3.所供产品出现质量问题，对公司造成了严重影响，单次扣5</w:t>
      </w:r>
      <w:r>
        <w:rPr>
          <w:rFonts w:hint="eastAsia" w:ascii="仿宋_GB2312" w:hAnsi="仿宋" w:eastAsia="仿宋_GB2312"/>
          <w:bCs/>
          <w:sz w:val="34"/>
          <w:szCs w:val="34"/>
          <w:lang w:eastAsia="zh-CN"/>
        </w:rPr>
        <w:t>—</w:t>
      </w:r>
      <w:r>
        <w:rPr>
          <w:rFonts w:hint="eastAsia" w:ascii="仿宋_GB2312" w:hAnsi="仿宋" w:eastAsia="仿宋_GB2312"/>
          <w:bCs/>
          <w:sz w:val="34"/>
          <w:szCs w:val="34"/>
        </w:rPr>
        <w:t>10分。</w:t>
      </w:r>
    </w:p>
    <w:p w14:paraId="5F89BA3D">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4.所供产品故意隐瞒质量缺陷或以次充好，单次扣10分。</w:t>
      </w:r>
    </w:p>
    <w:p w14:paraId="2C836825">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（二）交货方面</w:t>
      </w:r>
    </w:p>
    <w:p w14:paraId="6CDE7FD6">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1.交货时无质检报告或合格证等必要资料的，单次扣1</w:t>
      </w:r>
      <w:r>
        <w:rPr>
          <w:rFonts w:hint="eastAsia" w:ascii="仿宋_GB2312" w:hAnsi="仿宋" w:eastAsia="仿宋_GB2312"/>
          <w:bCs/>
          <w:sz w:val="34"/>
          <w:szCs w:val="34"/>
          <w:lang w:eastAsia="zh-CN"/>
        </w:rPr>
        <w:t>—</w:t>
      </w:r>
      <w:r>
        <w:rPr>
          <w:rFonts w:hint="eastAsia" w:ascii="仿宋_GB2312" w:hAnsi="仿宋" w:eastAsia="仿宋_GB2312"/>
          <w:bCs/>
          <w:sz w:val="34"/>
          <w:szCs w:val="34"/>
        </w:rPr>
        <w:t>3分。</w:t>
      </w:r>
    </w:p>
    <w:p w14:paraId="61FF33B2">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2.交货时未按规定包装的，单次扣1</w:t>
      </w:r>
      <w:r>
        <w:rPr>
          <w:rFonts w:hint="eastAsia" w:ascii="仿宋_GB2312" w:hAnsi="仿宋" w:eastAsia="仿宋_GB2312"/>
          <w:bCs/>
          <w:sz w:val="34"/>
          <w:szCs w:val="34"/>
          <w:lang w:eastAsia="zh-CN"/>
        </w:rPr>
        <w:t>—</w:t>
      </w:r>
      <w:r>
        <w:rPr>
          <w:rFonts w:hint="eastAsia" w:ascii="仿宋_GB2312" w:hAnsi="仿宋" w:eastAsia="仿宋_GB2312"/>
          <w:bCs/>
          <w:sz w:val="34"/>
          <w:szCs w:val="34"/>
        </w:rPr>
        <w:t>3分。</w:t>
      </w:r>
    </w:p>
    <w:p w14:paraId="71849F99">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3.延期交货，但未对公司造成影响，单次扣1</w:t>
      </w:r>
      <w:r>
        <w:rPr>
          <w:rFonts w:hint="eastAsia" w:ascii="仿宋_GB2312" w:hAnsi="仿宋" w:eastAsia="仿宋_GB2312"/>
          <w:bCs/>
          <w:sz w:val="34"/>
          <w:szCs w:val="34"/>
          <w:lang w:eastAsia="zh-CN"/>
        </w:rPr>
        <w:t>—</w:t>
      </w:r>
      <w:r>
        <w:rPr>
          <w:rFonts w:hint="eastAsia" w:ascii="仿宋_GB2312" w:hAnsi="仿宋" w:eastAsia="仿宋_GB2312"/>
          <w:bCs/>
          <w:sz w:val="34"/>
          <w:szCs w:val="34"/>
        </w:rPr>
        <w:t>3分；造成一定影响，单次扣3</w:t>
      </w:r>
      <w:r>
        <w:rPr>
          <w:rFonts w:hint="eastAsia" w:ascii="仿宋_GB2312" w:hAnsi="仿宋" w:eastAsia="仿宋_GB2312"/>
          <w:bCs/>
          <w:sz w:val="34"/>
          <w:szCs w:val="34"/>
          <w:lang w:eastAsia="zh-CN"/>
        </w:rPr>
        <w:t>—</w:t>
      </w:r>
      <w:r>
        <w:rPr>
          <w:rFonts w:hint="eastAsia" w:ascii="仿宋_GB2312" w:hAnsi="仿宋" w:eastAsia="仿宋_GB2312"/>
          <w:bCs/>
          <w:sz w:val="34"/>
          <w:szCs w:val="34"/>
        </w:rPr>
        <w:t>5分；造成严重影响，单次扣5</w:t>
      </w:r>
      <w:r>
        <w:rPr>
          <w:rFonts w:hint="eastAsia" w:ascii="仿宋_GB2312" w:hAnsi="仿宋" w:eastAsia="仿宋_GB2312"/>
          <w:bCs/>
          <w:sz w:val="34"/>
          <w:szCs w:val="34"/>
          <w:lang w:eastAsia="zh-CN"/>
        </w:rPr>
        <w:t>—</w:t>
      </w:r>
      <w:r>
        <w:rPr>
          <w:rFonts w:hint="eastAsia" w:ascii="仿宋_GB2312" w:hAnsi="仿宋" w:eastAsia="仿宋_GB2312"/>
          <w:bCs/>
          <w:sz w:val="34"/>
          <w:szCs w:val="34"/>
        </w:rPr>
        <w:t>10分。</w:t>
      </w:r>
    </w:p>
    <w:p w14:paraId="6BE2FCBB">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（三）售后方面</w:t>
      </w:r>
    </w:p>
    <w:p w14:paraId="3B4B291D">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1.对我公司的售后服务要求不能及时响应，单次扣1</w:t>
      </w:r>
      <w:r>
        <w:rPr>
          <w:rFonts w:hint="eastAsia" w:ascii="仿宋_GB2312" w:hAnsi="仿宋" w:eastAsia="仿宋_GB2312"/>
          <w:bCs/>
          <w:sz w:val="34"/>
          <w:szCs w:val="34"/>
          <w:lang w:eastAsia="zh-CN"/>
        </w:rPr>
        <w:t>—</w:t>
      </w:r>
      <w:r>
        <w:rPr>
          <w:rFonts w:hint="eastAsia" w:ascii="仿宋_GB2312" w:hAnsi="仿宋" w:eastAsia="仿宋_GB2312"/>
          <w:bCs/>
          <w:sz w:val="34"/>
          <w:szCs w:val="34"/>
        </w:rPr>
        <w:t>3分；已造成一定影响，单次扣3</w:t>
      </w:r>
      <w:r>
        <w:rPr>
          <w:rFonts w:hint="eastAsia" w:ascii="仿宋_GB2312" w:hAnsi="仿宋" w:eastAsia="仿宋_GB2312"/>
          <w:bCs/>
          <w:sz w:val="34"/>
          <w:szCs w:val="34"/>
          <w:lang w:eastAsia="zh-CN"/>
        </w:rPr>
        <w:t>—</w:t>
      </w:r>
      <w:r>
        <w:rPr>
          <w:rFonts w:hint="eastAsia" w:ascii="仿宋_GB2312" w:hAnsi="仿宋" w:eastAsia="仿宋_GB2312"/>
          <w:bCs/>
          <w:sz w:val="34"/>
          <w:szCs w:val="34"/>
        </w:rPr>
        <w:t>5分；造成严重影响，单次扣5</w:t>
      </w:r>
      <w:r>
        <w:rPr>
          <w:rFonts w:hint="eastAsia" w:ascii="仿宋_GB2312" w:hAnsi="仿宋" w:eastAsia="仿宋_GB2312"/>
          <w:bCs/>
          <w:sz w:val="34"/>
          <w:szCs w:val="34"/>
          <w:lang w:eastAsia="zh-CN"/>
        </w:rPr>
        <w:t>—</w:t>
      </w:r>
      <w:r>
        <w:rPr>
          <w:rFonts w:hint="eastAsia" w:ascii="仿宋_GB2312" w:hAnsi="仿宋" w:eastAsia="仿宋_GB2312"/>
          <w:bCs/>
          <w:sz w:val="34"/>
          <w:szCs w:val="34"/>
        </w:rPr>
        <w:t>10分。</w:t>
      </w:r>
    </w:p>
    <w:p w14:paraId="5B406239">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2.售后人员不能及时解决问题，单次扣1</w:t>
      </w:r>
      <w:r>
        <w:rPr>
          <w:rFonts w:hint="eastAsia" w:ascii="仿宋_GB2312" w:hAnsi="仿宋" w:eastAsia="仿宋_GB2312"/>
          <w:bCs/>
          <w:sz w:val="34"/>
          <w:szCs w:val="34"/>
          <w:lang w:eastAsia="zh-CN"/>
        </w:rPr>
        <w:t>—</w:t>
      </w:r>
      <w:r>
        <w:rPr>
          <w:rFonts w:hint="eastAsia" w:ascii="仿宋_GB2312" w:hAnsi="仿宋" w:eastAsia="仿宋_GB2312"/>
          <w:bCs/>
          <w:sz w:val="34"/>
          <w:szCs w:val="34"/>
        </w:rPr>
        <w:t>3分。</w:t>
      </w:r>
    </w:p>
    <w:p w14:paraId="20A0D87A">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3.在质保期之内，拒绝按合同提供售后服务，单次扣5</w:t>
      </w:r>
      <w:r>
        <w:rPr>
          <w:rFonts w:hint="eastAsia" w:ascii="仿宋_GB2312" w:hAnsi="仿宋" w:eastAsia="仿宋_GB2312"/>
          <w:bCs/>
          <w:sz w:val="34"/>
          <w:szCs w:val="34"/>
          <w:lang w:eastAsia="zh-CN"/>
        </w:rPr>
        <w:t>—</w:t>
      </w:r>
      <w:r>
        <w:rPr>
          <w:rFonts w:hint="eastAsia" w:ascii="仿宋_GB2312" w:hAnsi="仿宋" w:eastAsia="仿宋_GB2312"/>
          <w:bCs/>
          <w:sz w:val="34"/>
          <w:szCs w:val="34"/>
        </w:rPr>
        <w:t>10分。</w:t>
      </w:r>
    </w:p>
    <w:p w14:paraId="6502EFE0">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（四）资信方面</w:t>
      </w:r>
    </w:p>
    <w:p w14:paraId="7C1C36F1">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1.未提供询价书要求的资质文件、不满足询价书资质要求、报价与技术要求不符等，单次扣1～3 分。   </w:t>
      </w:r>
    </w:p>
    <w:p w14:paraId="5AA7541E">
      <w:pPr>
        <w:spacing w:line="600" w:lineRule="exact"/>
        <w:ind w:firstLine="680" w:firstLineChars="200"/>
        <w:rPr>
          <w:rFonts w:hint="eastAsia" w:ascii="仿宋_GB2312" w:hAnsi="仿宋" w:eastAsia="仿宋_GB2312"/>
          <w:bCs/>
          <w:sz w:val="34"/>
          <w:szCs w:val="34"/>
        </w:rPr>
      </w:pPr>
      <w:r>
        <w:rPr>
          <w:rFonts w:hint="eastAsia" w:ascii="仿宋_GB2312" w:hAnsi="仿宋" w:eastAsia="仿宋_GB2312"/>
          <w:bCs/>
          <w:sz w:val="34"/>
          <w:szCs w:val="34"/>
        </w:rPr>
        <w:t>2.中选之后因报价、参数错误等原因，报价人放弃成交，单次扣3</w:t>
      </w:r>
      <w:r>
        <w:rPr>
          <w:rFonts w:hint="eastAsia" w:ascii="仿宋_GB2312" w:hAnsi="仿宋" w:eastAsia="仿宋_GB2312"/>
          <w:bCs/>
          <w:sz w:val="34"/>
          <w:szCs w:val="34"/>
          <w:lang w:eastAsia="zh-CN"/>
        </w:rPr>
        <w:t>—</w:t>
      </w:r>
      <w:r>
        <w:rPr>
          <w:rFonts w:hint="eastAsia" w:ascii="仿宋_GB2312" w:hAnsi="仿宋" w:eastAsia="仿宋_GB2312"/>
          <w:bCs/>
          <w:sz w:val="34"/>
          <w:szCs w:val="34"/>
        </w:rPr>
        <w:t>5分。</w:t>
      </w:r>
    </w:p>
    <w:p w14:paraId="3EC9285F">
      <w:pPr>
        <w:spacing w:line="600" w:lineRule="exact"/>
        <w:rPr>
          <w:rFonts w:hint="eastAsia" w:ascii="仿宋_GB2312" w:hAnsi="仿宋" w:eastAsia="仿宋_GB2312"/>
          <w:bCs/>
          <w:sz w:val="34"/>
          <w:szCs w:val="34"/>
        </w:rPr>
      </w:pPr>
      <w:r>
        <w:rPr>
          <w:rFonts w:hint="eastAsia" w:ascii="仿宋_GB2312" w:hAnsi="仿宋" w:eastAsia="仿宋_GB2312"/>
          <w:bCs/>
          <w:sz w:val="34"/>
          <w:szCs w:val="34"/>
        </w:rPr>
        <w:t xml:space="preserve">    3.中选之后拒绝签订合同或拒绝履行合同，单次扣5</w:t>
      </w:r>
      <w:r>
        <w:rPr>
          <w:rFonts w:hint="eastAsia" w:ascii="仿宋_GB2312" w:hAnsi="仿宋" w:eastAsia="仿宋_GB2312"/>
          <w:bCs/>
          <w:sz w:val="34"/>
          <w:szCs w:val="34"/>
          <w:lang w:eastAsia="zh-CN"/>
        </w:rPr>
        <w:t>—</w:t>
      </w:r>
      <w:r>
        <w:rPr>
          <w:rFonts w:hint="eastAsia" w:ascii="仿宋_GB2312" w:hAnsi="仿宋" w:eastAsia="仿宋_GB2312"/>
          <w:bCs/>
          <w:sz w:val="34"/>
          <w:szCs w:val="34"/>
        </w:rPr>
        <w:t>10分。</w:t>
      </w:r>
    </w:p>
    <w:p w14:paraId="1234596F">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4.无正当理由未及时开具发票给我方或未按合同约定价格开票，单次扣1</w:t>
      </w:r>
      <w:r>
        <w:rPr>
          <w:rFonts w:hint="eastAsia" w:ascii="仿宋_GB2312" w:hAnsi="仿宋" w:eastAsia="仿宋_GB2312"/>
          <w:bCs/>
          <w:sz w:val="34"/>
          <w:szCs w:val="34"/>
          <w:lang w:eastAsia="zh-CN"/>
        </w:rPr>
        <w:t>—</w:t>
      </w:r>
      <w:r>
        <w:rPr>
          <w:rFonts w:hint="eastAsia" w:ascii="仿宋_GB2312" w:hAnsi="仿宋" w:eastAsia="仿宋_GB2312"/>
          <w:bCs/>
          <w:sz w:val="34"/>
          <w:szCs w:val="34"/>
        </w:rPr>
        <w:t>3分。</w:t>
      </w:r>
    </w:p>
    <w:p w14:paraId="2DD1EE74">
      <w:pPr>
        <w:spacing w:line="600" w:lineRule="exact"/>
        <w:ind w:firstLine="680"/>
        <w:rPr>
          <w:rFonts w:ascii="仿宋_GB2312" w:hAnsi="仿宋" w:eastAsia="仿宋_GB2312"/>
          <w:bCs/>
          <w:sz w:val="34"/>
          <w:szCs w:val="34"/>
        </w:rPr>
      </w:pPr>
      <w:r>
        <w:rPr>
          <w:rFonts w:hint="eastAsia" w:ascii="仿宋_GB2312" w:hAnsi="仿宋" w:eastAsia="仿宋_GB2312"/>
          <w:bCs/>
          <w:sz w:val="34"/>
          <w:szCs w:val="34"/>
        </w:rPr>
        <w:t>5.未按照《江苏索普(集团)有限公司工程造价审计管理制度》要求提供工程结算资料，或未按规定进行工程结算确认的，单次扣1</w:t>
      </w:r>
      <w:r>
        <w:rPr>
          <w:rFonts w:hint="eastAsia" w:ascii="仿宋_GB2312" w:hAnsi="仿宋" w:eastAsia="仿宋_GB2312"/>
          <w:bCs/>
          <w:sz w:val="34"/>
          <w:szCs w:val="34"/>
          <w:lang w:eastAsia="zh-CN"/>
        </w:rPr>
        <w:t>—</w:t>
      </w:r>
      <w:r>
        <w:rPr>
          <w:rFonts w:hint="eastAsia" w:ascii="仿宋_GB2312" w:hAnsi="仿宋" w:eastAsia="仿宋_GB2312"/>
          <w:bCs/>
          <w:sz w:val="34"/>
          <w:szCs w:val="34"/>
        </w:rPr>
        <w:t>3分。</w:t>
      </w:r>
    </w:p>
    <w:p w14:paraId="444342AC">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6.报价人经核实资质造假或因知识产权引起纠纷，单次扣6</w:t>
      </w:r>
      <w:r>
        <w:rPr>
          <w:rFonts w:hint="eastAsia" w:ascii="仿宋_GB2312" w:hAnsi="仿宋" w:eastAsia="仿宋_GB2312"/>
          <w:bCs/>
          <w:sz w:val="34"/>
          <w:szCs w:val="34"/>
          <w:lang w:eastAsia="zh-CN"/>
        </w:rPr>
        <w:t>—</w:t>
      </w:r>
      <w:r>
        <w:rPr>
          <w:rFonts w:hint="eastAsia" w:ascii="仿宋_GB2312" w:hAnsi="仿宋" w:eastAsia="仿宋_GB2312"/>
          <w:bCs/>
          <w:sz w:val="34"/>
          <w:szCs w:val="34"/>
        </w:rPr>
        <w:t>10分。</w:t>
      </w:r>
    </w:p>
    <w:p w14:paraId="0108A8F5">
      <w:pPr>
        <w:spacing w:line="600" w:lineRule="exact"/>
        <w:ind w:firstLine="680"/>
        <w:rPr>
          <w:rFonts w:hint="eastAsia" w:ascii="仿宋_GB2312" w:hAnsi="仿宋" w:eastAsia="仿宋_GB2312"/>
          <w:bCs/>
          <w:sz w:val="34"/>
          <w:szCs w:val="34"/>
        </w:rPr>
      </w:pPr>
      <w:r>
        <w:rPr>
          <w:rFonts w:hint="eastAsia" w:ascii="仿宋_GB2312" w:hAnsi="仿宋" w:eastAsia="仿宋_GB2312"/>
          <w:bCs/>
          <w:sz w:val="34"/>
          <w:szCs w:val="34"/>
        </w:rPr>
        <w:t>7.报价低于成本价且无合理说明扰乱公开采购秩序</w:t>
      </w:r>
      <w:r>
        <w:rPr>
          <w:rFonts w:hint="eastAsia" w:ascii="仿宋_GB2312" w:hAnsi="仿宋" w:eastAsia="仿宋_GB2312"/>
          <w:bCs/>
          <w:sz w:val="34"/>
          <w:szCs w:val="34"/>
          <w:lang w:eastAsia="zh-CN"/>
        </w:rPr>
        <w:t>，</w:t>
      </w:r>
      <w:r>
        <w:rPr>
          <w:rFonts w:hint="eastAsia" w:ascii="仿宋_GB2312" w:hAnsi="仿宋" w:eastAsia="仿宋_GB2312"/>
          <w:bCs/>
          <w:sz w:val="34"/>
          <w:szCs w:val="34"/>
        </w:rPr>
        <w:t>单次扣10 分。</w:t>
      </w:r>
    </w:p>
    <w:p w14:paraId="7C179B90">
      <w:pPr>
        <w:spacing w:line="600" w:lineRule="exact"/>
        <w:ind w:firstLine="642"/>
        <w:rPr>
          <w:rFonts w:hint="eastAsia" w:ascii="仿宋_GB2312" w:hAnsi="仿宋" w:eastAsia="仿宋_GB2312"/>
          <w:bCs/>
          <w:sz w:val="34"/>
          <w:szCs w:val="34"/>
        </w:rPr>
      </w:pPr>
      <w:r>
        <w:rPr>
          <w:rFonts w:hint="eastAsia" w:ascii="仿宋_GB2312" w:hAnsi="楷体" w:eastAsia="仿宋_GB2312"/>
          <w:b/>
          <w:sz w:val="34"/>
          <w:szCs w:val="34"/>
        </w:rPr>
        <w:t xml:space="preserve">第八条 </w:t>
      </w:r>
      <w:r>
        <w:rPr>
          <w:rFonts w:hint="eastAsia" w:ascii="仿宋_GB2312" w:hAnsi="仿宋" w:eastAsia="仿宋_GB2312"/>
          <w:bCs/>
          <w:sz w:val="34"/>
          <w:szCs w:val="34"/>
        </w:rPr>
        <w:t>关于无效投诉的处理办法</w:t>
      </w:r>
    </w:p>
    <w:p w14:paraId="0701A037">
      <w:pPr>
        <w:spacing w:line="600" w:lineRule="exact"/>
        <w:ind w:firstLine="641"/>
        <w:rPr>
          <w:rFonts w:hint="eastAsia" w:ascii="仿宋_GB2312" w:hAnsi="仿宋" w:eastAsia="仿宋_GB2312"/>
          <w:bCs/>
          <w:sz w:val="34"/>
          <w:szCs w:val="34"/>
        </w:rPr>
      </w:pPr>
      <w:r>
        <w:rPr>
          <w:rFonts w:hint="eastAsia" w:ascii="仿宋_GB2312" w:hAnsi="仿宋" w:eastAsia="仿宋_GB2312"/>
          <w:bCs/>
          <w:sz w:val="34"/>
          <w:szCs w:val="34"/>
        </w:rPr>
        <w:t>报价人如对评审结果存有异议，可向监管部门提起投诉。但为了维护公开采购工作的严肃性，报价人所提出的投诉一旦被公司认定为无效投诉，单次扣除投诉人3分；如果报价人仍不接受解释且采取重复投诉，甚至出现捏造事实、无理取闹、聚众围堵、恶意诽谤等严重扰乱公司生产经营秩序的恶劣行为，可再扣除投诉人5</w:t>
      </w:r>
      <w:r>
        <w:rPr>
          <w:rFonts w:hint="eastAsia" w:ascii="仿宋_GB2312" w:hAnsi="仿宋" w:eastAsia="仿宋_GB2312"/>
          <w:bCs/>
          <w:sz w:val="34"/>
          <w:szCs w:val="34"/>
          <w:lang w:eastAsia="zh-CN"/>
        </w:rPr>
        <w:t>—</w:t>
      </w:r>
      <w:r>
        <w:rPr>
          <w:rFonts w:hint="eastAsia" w:ascii="仿宋_GB2312" w:hAnsi="仿宋" w:eastAsia="仿宋_GB2312"/>
          <w:bCs/>
          <w:sz w:val="34"/>
          <w:szCs w:val="34"/>
        </w:rPr>
        <w:t>10分；报价人对同一事件进行重复的无效投诉，或一年内累计无效投诉达三次以上（含三次），均直接列入暂停交易清单，情节严重的可直接列入禁止交易供应商清单。</w:t>
      </w:r>
    </w:p>
    <w:p w14:paraId="10E2999D">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第五章  重要事项</w:t>
      </w:r>
    </w:p>
    <w:p w14:paraId="1C5005F1">
      <w:pPr>
        <w:pStyle w:val="3"/>
        <w:adjustRightInd w:val="0"/>
        <w:snapToGrid w:val="0"/>
        <w:spacing w:beforeAutospacing="0" w:afterAutospacing="0" w:line="600" w:lineRule="exact"/>
        <w:ind w:firstLine="683" w:firstLineChars="200"/>
        <w:rPr>
          <w:rFonts w:ascii="仿宋_GB2312" w:hAnsi="仿宋" w:eastAsia="仿宋_GB2312"/>
          <w:b w:val="0"/>
          <w:bCs/>
          <w:kern w:val="2"/>
          <w:sz w:val="34"/>
          <w:szCs w:val="34"/>
        </w:rPr>
      </w:pPr>
      <w:r>
        <w:rPr>
          <w:rFonts w:ascii="仿宋_GB2312" w:hAnsi="仿宋" w:eastAsia="仿宋_GB2312"/>
          <w:kern w:val="2"/>
          <w:sz w:val="34"/>
          <w:szCs w:val="34"/>
        </w:rPr>
        <w:t>第九条</w:t>
      </w:r>
      <w:r>
        <w:rPr>
          <w:rFonts w:ascii="仿宋_GB2312" w:hAnsi="仿宋" w:eastAsia="仿宋_GB2312"/>
          <w:b w:val="0"/>
          <w:bCs/>
          <w:kern w:val="2"/>
          <w:sz w:val="34"/>
          <w:szCs w:val="34"/>
        </w:rPr>
        <w:t xml:space="preserve"> 为确保集团内部供应商管理的一致性和高效性，各部门应统一按照集团公司制定的供应商管理要求严格执行。</w:t>
      </w:r>
    </w:p>
    <w:p w14:paraId="2C049B2D">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第十条</w:t>
      </w:r>
      <w:r>
        <w:rPr>
          <w:rFonts w:hint="eastAsia" w:ascii="仿宋_GB2312" w:hAnsi="仿宋" w:eastAsia="仿宋_GB2312"/>
          <w:bCs/>
          <w:sz w:val="34"/>
          <w:szCs w:val="34"/>
        </w:rPr>
        <w:t xml:space="preserve"> 各部门将供应商纳入负面清单时应秉持审慎原则，需建立在事实调查与证据收集基础之上，确保决定的合理性与公正性。</w:t>
      </w:r>
    </w:p>
    <w:p w14:paraId="4FF62297">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第十一条</w:t>
      </w:r>
      <w:r>
        <w:rPr>
          <w:rFonts w:hint="eastAsia" w:ascii="仿宋_GB2312" w:hAnsi="仿宋" w:eastAsia="仿宋_GB2312"/>
          <w:bCs/>
          <w:sz w:val="34"/>
          <w:szCs w:val="34"/>
        </w:rPr>
        <w:t xml:space="preserve"> 原则上不得与禁止合作的供应商恢复合作关系。如确因生产需要恢复合作的，须经相关审批流程后方可实施。</w:t>
      </w:r>
    </w:p>
    <w:p w14:paraId="1D56303A">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第十二条</w:t>
      </w:r>
      <w:r>
        <w:rPr>
          <w:rFonts w:hint="eastAsia" w:ascii="仿宋_GB2312" w:hAnsi="仿宋" w:eastAsia="仿宋_GB2312"/>
          <w:bCs/>
          <w:sz w:val="34"/>
          <w:szCs w:val="34"/>
        </w:rPr>
        <w:t xml:space="preserve"> 暂停合作供应商考核满一年后，如主动申请经公司审议符合移出暂停合作清单条件的，各部门无正当理由不得拒绝或拖延将其移出负面清单。</w:t>
      </w:r>
    </w:p>
    <w:p w14:paraId="7A832BE9">
      <w:pPr>
        <w:adjustRightInd w:val="0"/>
        <w:snapToGrid w:val="0"/>
        <w:spacing w:line="600" w:lineRule="exact"/>
        <w:ind w:firstLine="683" w:firstLineChars="200"/>
        <w:rPr>
          <w:rFonts w:ascii="仿宋_GB2312" w:hAnsi="仿宋" w:eastAsia="仿宋_GB2312"/>
          <w:bCs/>
          <w:sz w:val="34"/>
          <w:szCs w:val="34"/>
        </w:rPr>
      </w:pPr>
      <w:r>
        <w:rPr>
          <w:rFonts w:hint="eastAsia" w:ascii="仿宋_GB2312" w:hAnsi="仿宋" w:eastAsia="仿宋_GB2312"/>
          <w:b/>
          <w:sz w:val="34"/>
          <w:szCs w:val="34"/>
        </w:rPr>
        <w:t>第十三条</w:t>
      </w:r>
      <w:r>
        <w:rPr>
          <w:rFonts w:hint="eastAsia" w:ascii="仿宋_GB2312" w:hAnsi="仿宋" w:eastAsia="仿宋_GB2312"/>
          <w:bCs/>
          <w:sz w:val="34"/>
          <w:szCs w:val="34"/>
        </w:rPr>
        <w:t xml:space="preserve"> 如果被暂停合作供应商未能提供有效整改材料或一年内不能完成整改的，相关单位可将其列入禁止合作供应商清单，不再与其开展合作。</w:t>
      </w:r>
    </w:p>
    <w:p w14:paraId="141C716E">
      <w:pPr>
        <w:adjustRightInd w:val="0"/>
        <w:snapToGrid w:val="0"/>
        <w:spacing w:line="600" w:lineRule="exact"/>
        <w:ind w:firstLine="683" w:firstLineChars="200"/>
        <w:rPr>
          <w:rFonts w:hint="eastAsia" w:ascii="仿宋_GB2312" w:hAnsi="仿宋" w:eastAsia="仿宋_GB2312"/>
          <w:bCs/>
          <w:sz w:val="34"/>
          <w:szCs w:val="34"/>
        </w:rPr>
      </w:pPr>
      <w:r>
        <w:rPr>
          <w:rFonts w:hint="eastAsia" w:ascii="仿宋_GB2312" w:hAnsi="仿宋" w:eastAsia="仿宋_GB2312"/>
          <w:b/>
          <w:sz w:val="34"/>
          <w:szCs w:val="34"/>
        </w:rPr>
        <w:t xml:space="preserve">第十四条 </w:t>
      </w:r>
      <w:r>
        <w:rPr>
          <w:rFonts w:hint="eastAsia" w:ascii="仿宋_GB2312" w:hAnsi="仿宋" w:eastAsia="仿宋_GB2312"/>
          <w:bCs/>
          <w:sz w:val="34"/>
          <w:szCs w:val="34"/>
        </w:rPr>
        <w:t>各单位、各部门需真实、准确地记录供应商的考核结果，并按照要求及时报送供应商考核信息至集团商务合作部，确保信息及时、透明。</w:t>
      </w:r>
    </w:p>
    <w:p w14:paraId="2F81C00B">
      <w:pPr>
        <w:adjustRightInd w:val="0"/>
        <w:snapToGrid w:val="0"/>
        <w:spacing w:line="600" w:lineRule="exact"/>
        <w:ind w:firstLine="683" w:firstLineChars="200"/>
        <w:rPr>
          <w:rFonts w:ascii="仿宋_GB2312" w:hAnsi="仿宋" w:eastAsia="仿宋_GB2312"/>
          <w:bCs/>
          <w:sz w:val="34"/>
          <w:szCs w:val="34"/>
        </w:rPr>
      </w:pPr>
      <w:r>
        <w:rPr>
          <w:rFonts w:hint="eastAsia" w:ascii="仿宋_GB2312" w:hAnsi="仿宋" w:eastAsia="仿宋_GB2312"/>
          <w:b/>
          <w:sz w:val="34"/>
          <w:szCs w:val="34"/>
        </w:rPr>
        <w:t>第十五条</w:t>
      </w:r>
      <w:r>
        <w:rPr>
          <w:rFonts w:hint="eastAsia" w:ascii="仿宋_GB2312" w:hAnsi="仿宋" w:eastAsia="仿宋_GB2312"/>
          <w:bCs/>
          <w:sz w:val="34"/>
          <w:szCs w:val="34"/>
        </w:rPr>
        <w:t xml:space="preserve"> 对于严重侵害我公司利益的供应商，除按照供应商管理制度进行正常考核外，对于存在违法违规行为的供应商，应依法追究其法律责任，包括但不限于通过法律途径索赔、向相关监管机构举报等。</w:t>
      </w:r>
    </w:p>
    <w:p w14:paraId="7B1AC35A">
      <w:pPr>
        <w:keepNext w:val="0"/>
        <w:keepLines w:val="0"/>
        <w:pageBreakBefore w:val="0"/>
        <w:widowControl/>
        <w:kinsoku/>
        <w:wordWrap/>
        <w:overflowPunct/>
        <w:topLinePunct w:val="0"/>
        <w:autoSpaceDE/>
        <w:autoSpaceDN/>
        <w:bidi w:val="0"/>
        <w:adjustRightInd/>
        <w:spacing w:after="160" w:line="560" w:lineRule="exact"/>
        <w:jc w:val="center"/>
        <w:textAlignment w:val="auto"/>
        <w:rPr>
          <w:rFonts w:hint="eastAsia" w:ascii="黑体" w:hAnsi="黑体" w:eastAsia="黑体" w:cs="黑体"/>
          <w:kern w:val="0"/>
          <w:sz w:val="34"/>
          <w:szCs w:val="34"/>
        </w:rPr>
      </w:pPr>
      <w:r>
        <w:rPr>
          <w:rFonts w:hint="eastAsia" w:ascii="黑体" w:hAnsi="黑体" w:eastAsia="黑体" w:cs="黑体"/>
          <w:kern w:val="0"/>
          <w:sz w:val="34"/>
          <w:szCs w:val="34"/>
        </w:rPr>
        <w:t>第六章  附则</w:t>
      </w:r>
    </w:p>
    <w:p w14:paraId="36B275F9">
      <w:pPr>
        <w:spacing w:line="600" w:lineRule="exact"/>
        <w:ind w:firstLine="642"/>
        <w:rPr>
          <w:rFonts w:hint="eastAsia" w:ascii="仿宋_GB2312" w:hAnsi="仿宋" w:eastAsia="仿宋_GB2312"/>
          <w:bCs/>
          <w:sz w:val="34"/>
          <w:szCs w:val="34"/>
        </w:rPr>
      </w:pPr>
      <w:r>
        <w:rPr>
          <w:rFonts w:hint="eastAsia" w:ascii="仿宋_GB2312" w:hAnsi="楷体" w:eastAsia="仿宋_GB2312"/>
          <w:b/>
          <w:sz w:val="34"/>
          <w:szCs w:val="34"/>
        </w:rPr>
        <w:t>第十六条</w:t>
      </w:r>
      <w:r>
        <w:rPr>
          <w:rFonts w:hint="eastAsia" w:ascii="仿宋_GB2312" w:hAnsi="楷体" w:eastAsia="仿宋_GB2312"/>
          <w:b/>
          <w:sz w:val="34"/>
          <w:szCs w:val="34"/>
          <w:lang w:val="en-US" w:eastAsia="zh-CN"/>
        </w:rPr>
        <w:t xml:space="preserve"> </w:t>
      </w:r>
      <w:r>
        <w:rPr>
          <w:rFonts w:hint="eastAsia" w:ascii="仿宋_GB2312" w:hAnsi="仿宋" w:eastAsia="仿宋_GB2312"/>
          <w:bCs/>
          <w:sz w:val="34"/>
          <w:szCs w:val="34"/>
        </w:rPr>
        <w:t>各部门、各单位应努力按照公开、公平、公正的原则，做好供应商负面清单的考核和管理工作。</w:t>
      </w:r>
    </w:p>
    <w:p w14:paraId="077E388C">
      <w:pPr>
        <w:spacing w:line="600" w:lineRule="exact"/>
        <w:ind w:firstLine="642"/>
        <w:rPr>
          <w:rFonts w:hint="eastAsia" w:ascii="仿宋_GB2312" w:hAnsi="仿宋" w:eastAsia="仿宋_GB2312"/>
          <w:bCs/>
          <w:sz w:val="34"/>
          <w:szCs w:val="34"/>
        </w:rPr>
      </w:pPr>
      <w:r>
        <w:rPr>
          <w:rFonts w:hint="eastAsia" w:ascii="仿宋_GB2312" w:hAnsi="楷体" w:eastAsia="仿宋_GB2312"/>
          <w:b/>
          <w:sz w:val="34"/>
          <w:szCs w:val="34"/>
        </w:rPr>
        <w:t>第十七条</w:t>
      </w:r>
      <w:r>
        <w:rPr>
          <w:rFonts w:hint="eastAsia" w:ascii="仿宋_GB2312" w:hAnsi="楷体" w:eastAsia="仿宋_GB2312"/>
          <w:b/>
          <w:sz w:val="34"/>
          <w:szCs w:val="34"/>
          <w:lang w:val="en-US" w:eastAsia="zh-CN"/>
        </w:rPr>
        <w:t xml:space="preserve"> </w:t>
      </w:r>
      <w:r>
        <w:rPr>
          <w:rFonts w:hint="eastAsia" w:ascii="仿宋_GB2312" w:hAnsi="仿宋" w:eastAsia="仿宋_GB2312"/>
          <w:bCs/>
          <w:sz w:val="34"/>
          <w:szCs w:val="34"/>
        </w:rPr>
        <w:t>不同单位对同一供应商12个月内的考核扣分累计达到15分及以上的，由集团商务合作部将其列为暂停合作供应商。</w:t>
      </w:r>
    </w:p>
    <w:p w14:paraId="12779CE1">
      <w:pPr>
        <w:spacing w:line="600" w:lineRule="exact"/>
        <w:ind w:firstLine="683" w:firstLineChars="200"/>
        <w:jc w:val="left"/>
        <w:rPr>
          <w:rFonts w:hint="eastAsia" w:ascii="仿宋_GB2312" w:hAnsi="楷体" w:eastAsia="仿宋_GB2312"/>
          <w:bCs/>
          <w:sz w:val="34"/>
          <w:szCs w:val="34"/>
        </w:rPr>
      </w:pPr>
      <w:r>
        <w:rPr>
          <w:rFonts w:hint="eastAsia" w:ascii="仿宋_GB2312" w:hAnsi="楷体" w:eastAsia="仿宋_GB2312"/>
          <w:b/>
          <w:sz w:val="34"/>
          <w:szCs w:val="34"/>
        </w:rPr>
        <w:t>第十八条</w:t>
      </w:r>
      <w:r>
        <w:rPr>
          <w:rFonts w:hint="eastAsia" w:ascii="仿宋_GB2312" w:hAnsi="楷体" w:eastAsia="仿宋_GB2312"/>
          <w:bCs/>
          <w:sz w:val="34"/>
          <w:szCs w:val="34"/>
        </w:rPr>
        <w:t xml:space="preserve"> 自然人、废旧物资处置单位参照本制度进行管理。</w:t>
      </w:r>
    </w:p>
    <w:p w14:paraId="39401A41">
      <w:pPr>
        <w:spacing w:line="600" w:lineRule="exact"/>
        <w:ind w:firstLine="683" w:firstLineChars="200"/>
        <w:jc w:val="left"/>
        <w:rPr>
          <w:rFonts w:ascii="仿宋_GB2312" w:hAnsi="楷体" w:eastAsia="仿宋_GB2312"/>
          <w:bCs/>
          <w:sz w:val="34"/>
          <w:szCs w:val="34"/>
        </w:rPr>
      </w:pPr>
      <w:r>
        <w:rPr>
          <w:rFonts w:hint="eastAsia" w:ascii="仿宋_GB2312" w:hAnsi="楷体" w:eastAsia="仿宋_GB2312"/>
          <w:b/>
          <w:sz w:val="34"/>
          <w:szCs w:val="34"/>
        </w:rPr>
        <w:t>第十九条</w:t>
      </w:r>
      <w:r>
        <w:rPr>
          <w:rFonts w:hint="eastAsia" w:ascii="仿宋_GB2312" w:hAnsi="楷体" w:eastAsia="仿宋_GB2312"/>
          <w:bCs/>
          <w:sz w:val="34"/>
          <w:szCs w:val="34"/>
        </w:rPr>
        <w:t xml:space="preserve"> 如某一实际控制人所控制的公司被列入负面清单，该实控人直接或间接控制的所有相关公司也视同列入负面清单。</w:t>
      </w:r>
    </w:p>
    <w:p w14:paraId="77A69D1A">
      <w:pPr>
        <w:spacing w:line="600" w:lineRule="exact"/>
        <w:ind w:firstLine="683" w:firstLineChars="200"/>
        <w:jc w:val="left"/>
        <w:rPr>
          <w:rFonts w:ascii="仿宋_GB2312" w:hAnsi="楷体" w:eastAsia="仿宋_GB2312"/>
          <w:bCs/>
          <w:sz w:val="34"/>
          <w:szCs w:val="34"/>
        </w:rPr>
      </w:pPr>
      <w:r>
        <w:rPr>
          <w:rFonts w:hint="eastAsia" w:ascii="仿宋_GB2312" w:hAnsi="楷体" w:eastAsia="仿宋_GB2312"/>
          <w:b/>
          <w:sz w:val="34"/>
          <w:szCs w:val="34"/>
        </w:rPr>
        <w:t>第二十条</w:t>
      </w:r>
      <w:r>
        <w:rPr>
          <w:rFonts w:hint="eastAsia" w:ascii="仿宋_GB2312" w:hAnsi="楷体" w:eastAsia="仿宋_GB2312"/>
          <w:bCs/>
          <w:sz w:val="34"/>
          <w:szCs w:val="34"/>
        </w:rPr>
        <w:t xml:space="preserve"> 集团公司开发供应商管理信息系统，实现扣分、清单更新、公示全流程线上化，并与采购系统联动拦截违规供应商。</w:t>
      </w:r>
    </w:p>
    <w:p w14:paraId="29C6C096">
      <w:pPr>
        <w:keepNext w:val="0"/>
        <w:keepLines w:val="0"/>
        <w:pageBreakBefore w:val="0"/>
        <w:widowControl/>
        <w:kinsoku/>
        <w:wordWrap/>
        <w:overflowPunct/>
        <w:topLinePunct w:val="0"/>
        <w:autoSpaceDE/>
        <w:autoSpaceDN/>
        <w:bidi w:val="0"/>
        <w:adjustRightInd/>
        <w:spacing w:line="560" w:lineRule="exact"/>
        <w:ind w:firstLine="683" w:firstLineChars="200"/>
        <w:jc w:val="left"/>
        <w:textAlignment w:val="auto"/>
        <w:rPr>
          <w:rFonts w:hint="eastAsia" w:ascii="方正小标宋简体" w:hAnsi="宋体" w:eastAsia="方正小标宋简体" w:cs="宋体"/>
          <w:sz w:val="34"/>
          <w:szCs w:val="34"/>
        </w:rPr>
      </w:pPr>
      <w:r>
        <w:rPr>
          <w:rFonts w:hint="eastAsia" w:ascii="仿宋_GB2312" w:hAnsi="楷体" w:eastAsia="仿宋_GB2312"/>
          <w:b/>
          <w:sz w:val="34"/>
          <w:szCs w:val="34"/>
        </w:rPr>
        <w:t>第二十</w:t>
      </w:r>
      <w:r>
        <w:rPr>
          <w:rFonts w:hint="eastAsia" w:ascii="仿宋_GB2312" w:hAnsi="楷体" w:eastAsia="仿宋_GB2312"/>
          <w:b/>
          <w:sz w:val="34"/>
          <w:szCs w:val="34"/>
          <w:lang w:val="en-US" w:eastAsia="zh-CN"/>
        </w:rPr>
        <w:t>一</w:t>
      </w:r>
      <w:r>
        <w:rPr>
          <w:rFonts w:hint="eastAsia" w:ascii="仿宋_GB2312" w:hAnsi="楷体" w:eastAsia="仿宋_GB2312"/>
          <w:b/>
          <w:sz w:val="34"/>
          <w:szCs w:val="34"/>
        </w:rPr>
        <w:t>条</w:t>
      </w:r>
      <w:r>
        <w:rPr>
          <w:rFonts w:hint="eastAsia" w:ascii="仿宋_GB2312" w:hAnsi="楷体" w:eastAsia="仿宋_GB2312"/>
          <w:b/>
          <w:sz w:val="34"/>
          <w:szCs w:val="34"/>
          <w:lang w:val="en-US" w:eastAsia="zh-CN"/>
        </w:rPr>
        <w:t xml:space="preserve"> </w:t>
      </w:r>
      <w:r>
        <w:rPr>
          <w:rFonts w:hint="eastAsia" w:ascii="仿宋_GB2312" w:hAnsi="仿宋_GB2312" w:eastAsia="仿宋_GB2312" w:cs="仿宋_GB2312"/>
          <w:kern w:val="2"/>
          <w:sz w:val="34"/>
          <w:szCs w:val="34"/>
        </w:rPr>
        <w:t>本</w:t>
      </w:r>
      <w:r>
        <w:rPr>
          <w:rFonts w:hint="eastAsia" w:ascii="仿宋_GB2312" w:hAnsi="仿宋_GB2312" w:eastAsia="仿宋_GB2312" w:cs="仿宋_GB2312"/>
          <w:kern w:val="2"/>
          <w:sz w:val="34"/>
          <w:szCs w:val="34"/>
          <w:lang w:val="en-US" w:eastAsia="zh-CN"/>
        </w:rPr>
        <w:t>规定</w:t>
      </w:r>
      <w:r>
        <w:rPr>
          <w:rFonts w:hint="eastAsia" w:ascii="仿宋_GB2312" w:hAnsi="仿宋_GB2312" w:eastAsia="仿宋_GB2312" w:cs="仿宋_GB2312"/>
          <w:kern w:val="2"/>
          <w:sz w:val="34"/>
          <w:szCs w:val="34"/>
        </w:rPr>
        <w:t>经公司董事会</w:t>
      </w:r>
      <w:r>
        <w:rPr>
          <w:rFonts w:hint="eastAsia" w:ascii="仿宋_GB2312" w:hAnsi="仿宋_GB2312" w:eastAsia="仿宋_GB2312" w:cs="仿宋_GB2312"/>
          <w:kern w:val="2"/>
          <w:sz w:val="34"/>
          <w:szCs w:val="34"/>
          <w:lang w:val="en-US" w:eastAsia="zh-CN"/>
        </w:rPr>
        <w:t>讨论</w:t>
      </w:r>
      <w:r>
        <w:rPr>
          <w:rFonts w:hint="eastAsia" w:ascii="仿宋_GB2312" w:hAnsi="仿宋_GB2312" w:eastAsia="仿宋_GB2312" w:cs="仿宋_GB2312"/>
          <w:kern w:val="2"/>
          <w:sz w:val="34"/>
          <w:szCs w:val="34"/>
        </w:rPr>
        <w:t>通过，自下发之日起实施，</w:t>
      </w:r>
      <w:r>
        <w:rPr>
          <w:rFonts w:hint="eastAsia" w:ascii="仿宋_GB2312" w:hAnsi="仿宋_GB2312" w:eastAsia="仿宋_GB2312" w:cs="仿宋_GB2312"/>
          <w:kern w:val="2"/>
          <w:sz w:val="34"/>
          <w:szCs w:val="34"/>
          <w:lang w:val="en-US" w:eastAsia="zh-CN"/>
        </w:rPr>
        <w:t>解释权归商务合作部所有</w:t>
      </w:r>
      <w:r>
        <w:rPr>
          <w:rFonts w:hint="eastAsia" w:ascii="仿宋_GB2312" w:hAnsi="仿宋_GB2312" w:eastAsia="仿宋_GB2312" w:cs="仿宋_GB2312"/>
          <w:sz w:val="34"/>
          <w:szCs w:val="34"/>
        </w:rPr>
        <w:t>。</w:t>
      </w:r>
      <w:r>
        <w:rPr>
          <w:rFonts w:hint="eastAsia" w:ascii="仿宋_GB2312" w:hAnsi="宋体" w:eastAsia="仿宋_GB2312" w:cs="宋体"/>
          <w:sz w:val="34"/>
          <w:szCs w:val="34"/>
        </w:rPr>
        <w:t>原苏索瑞企字〔2023〕28号索普赛瑞供应商负面清单管理规定（2023年修订版）废止。</w:t>
      </w:r>
    </w:p>
    <w:p w14:paraId="2D84D653">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356B4FCE">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311A4841">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7268561B">
      <w:pPr>
        <w:pageBreakBefore w:val="0"/>
        <w:numPr>
          <w:ilvl w:val="0"/>
          <w:numId w:val="0"/>
        </w:numPr>
        <w:kinsoku/>
        <w:wordWrap/>
        <w:overflowPunct/>
        <w:topLinePunct w:val="0"/>
        <w:autoSpaceDE/>
        <w:autoSpaceDN/>
        <w:bidi w:val="0"/>
        <w:adjustRightInd w:val="0"/>
        <w:snapToGrid w:val="0"/>
        <w:spacing w:line="580" w:lineRule="exact"/>
        <w:ind w:left="1530" w:leftChars="0"/>
        <w:textAlignment w:val="auto"/>
        <w:rPr>
          <w:rFonts w:hint="default" w:ascii="仿宋_GB2312" w:hAnsi="仿宋_GB2312" w:eastAsia="仿宋_GB2312" w:cs="仿宋_GB2312"/>
          <w:sz w:val="34"/>
          <w:szCs w:val="34"/>
          <w:lang w:val="en-US" w:eastAsia="zh-CN"/>
        </w:rPr>
      </w:pPr>
    </w:p>
    <w:p w14:paraId="7BAF11EA">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right"/>
        <w:textAlignment w:val="auto"/>
        <w:rPr>
          <w:rFonts w:ascii="仿宋_GB2312" w:hAnsi="仿宋_GB2312" w:eastAsia="仿宋_GB2312" w:cs="Times New Roman"/>
          <w:color w:val="000000"/>
          <w:sz w:val="34"/>
          <w:szCs w:val="34"/>
        </w:rPr>
      </w:pPr>
      <w:r>
        <w:rPr>
          <w:rFonts w:hint="eastAsia" w:ascii="仿宋_GB2312" w:hAnsi="仿宋_GB2312" w:eastAsia="仿宋_GB2312" w:cs="Times New Roman"/>
          <w:color w:val="000000"/>
          <w:sz w:val="34"/>
          <w:szCs w:val="34"/>
        </w:rPr>
        <w:t>江苏索普赛瑞装备制造有限公司</w:t>
      </w:r>
    </w:p>
    <w:p w14:paraId="58A92584">
      <w:pPr>
        <w:keepNext w:val="0"/>
        <w:keepLines w:val="0"/>
        <w:pageBreakBefore w:val="0"/>
        <w:kinsoku/>
        <w:wordWrap/>
        <w:overflowPunct/>
        <w:topLinePunct w:val="0"/>
        <w:autoSpaceDE/>
        <w:autoSpaceDN/>
        <w:bidi w:val="0"/>
        <w:adjustRightInd/>
        <w:snapToGrid/>
        <w:spacing w:line="580" w:lineRule="exact"/>
        <w:ind w:right="1020" w:firstLine="680" w:firstLineChars="200"/>
        <w:jc w:val="right"/>
        <w:textAlignment w:val="auto"/>
        <w:rPr>
          <w:rFonts w:hint="eastAsia" w:ascii="仿宋_GB2312" w:hAnsi="仿宋_GB2312" w:eastAsia="仿宋_GB2312" w:cs="Times New Roman"/>
          <w:color w:val="000000"/>
          <w:sz w:val="34"/>
          <w:szCs w:val="34"/>
        </w:rPr>
      </w:pPr>
      <w:r>
        <w:rPr>
          <w:rFonts w:hint="eastAsia" w:ascii="仿宋_GB2312" w:hAnsi="仿宋_GB2312" w:eastAsia="仿宋_GB2312" w:cs="Times New Roman"/>
          <w:color w:val="000000"/>
          <w:sz w:val="34"/>
          <w:szCs w:val="34"/>
        </w:rPr>
        <w:t>2</w:t>
      </w:r>
      <w:r>
        <w:rPr>
          <w:rFonts w:ascii="仿宋_GB2312" w:hAnsi="仿宋_GB2312" w:eastAsia="仿宋_GB2312" w:cs="Times New Roman"/>
          <w:color w:val="000000"/>
          <w:sz w:val="34"/>
          <w:szCs w:val="34"/>
        </w:rPr>
        <w:t>02</w:t>
      </w:r>
      <w:r>
        <w:rPr>
          <w:rFonts w:hint="eastAsia" w:ascii="仿宋_GB2312" w:hAnsi="仿宋_GB2312" w:eastAsia="仿宋_GB2312" w:cs="Times New Roman"/>
          <w:color w:val="000000"/>
          <w:sz w:val="34"/>
          <w:szCs w:val="34"/>
          <w:lang w:val="en-US" w:eastAsia="zh-CN"/>
        </w:rPr>
        <w:t>5</w:t>
      </w:r>
      <w:r>
        <w:rPr>
          <w:rFonts w:hint="eastAsia" w:ascii="仿宋_GB2312" w:hAnsi="仿宋_GB2312" w:eastAsia="仿宋_GB2312" w:cs="Times New Roman"/>
          <w:color w:val="000000"/>
          <w:sz w:val="34"/>
          <w:szCs w:val="34"/>
        </w:rPr>
        <w:t>年</w:t>
      </w:r>
      <w:r>
        <w:rPr>
          <w:rFonts w:hint="eastAsia" w:ascii="仿宋_GB2312" w:hAnsi="仿宋_GB2312" w:eastAsia="仿宋_GB2312" w:cs="Times New Roman"/>
          <w:color w:val="000000"/>
          <w:sz w:val="34"/>
          <w:szCs w:val="34"/>
          <w:lang w:val="en-US" w:eastAsia="zh-CN"/>
        </w:rPr>
        <w:t>6</w:t>
      </w:r>
      <w:r>
        <w:rPr>
          <w:rFonts w:hint="eastAsia" w:ascii="仿宋_GB2312" w:hAnsi="仿宋_GB2312" w:eastAsia="仿宋_GB2312" w:cs="Times New Roman"/>
          <w:color w:val="000000"/>
          <w:sz w:val="34"/>
          <w:szCs w:val="34"/>
        </w:rPr>
        <w:t>月</w:t>
      </w:r>
      <w:r>
        <w:rPr>
          <w:rFonts w:hint="eastAsia" w:ascii="仿宋_GB2312" w:hAnsi="仿宋_GB2312" w:eastAsia="仿宋_GB2312" w:cs="Times New Roman"/>
          <w:color w:val="000000"/>
          <w:sz w:val="34"/>
          <w:szCs w:val="34"/>
          <w:lang w:val="en-US" w:eastAsia="zh-CN"/>
        </w:rPr>
        <w:t>4</w:t>
      </w:r>
      <w:r>
        <w:rPr>
          <w:rFonts w:hint="eastAsia" w:ascii="仿宋_GB2312" w:hAnsi="仿宋_GB2312" w:eastAsia="仿宋_GB2312" w:cs="Times New Roman"/>
          <w:color w:val="000000"/>
          <w:sz w:val="34"/>
          <w:szCs w:val="34"/>
        </w:rPr>
        <w:t>日</w:t>
      </w:r>
    </w:p>
    <w:p w14:paraId="70B22F1E">
      <w:pPr>
        <w:keepNext w:val="0"/>
        <w:keepLines w:val="0"/>
        <w:pageBreakBefore w:val="0"/>
        <w:kinsoku/>
        <w:wordWrap/>
        <w:overflowPunct/>
        <w:topLinePunct w:val="0"/>
        <w:autoSpaceDE/>
        <w:autoSpaceDN/>
        <w:bidi w:val="0"/>
        <w:adjustRightInd/>
        <w:snapToGrid/>
        <w:spacing w:line="580" w:lineRule="exact"/>
        <w:ind w:right="1020" w:firstLine="680" w:firstLineChars="200"/>
        <w:jc w:val="right"/>
        <w:textAlignment w:val="auto"/>
        <w:rPr>
          <w:rFonts w:hint="eastAsia" w:ascii="仿宋_GB2312" w:hAnsi="仿宋_GB2312" w:eastAsia="仿宋_GB2312" w:cs="Times New Roman"/>
          <w:color w:val="000000"/>
          <w:sz w:val="34"/>
          <w:szCs w:val="34"/>
        </w:rPr>
      </w:pPr>
    </w:p>
    <w:p w14:paraId="51CC366A">
      <w:pPr>
        <w:keepNext w:val="0"/>
        <w:keepLines w:val="0"/>
        <w:pageBreakBefore w:val="0"/>
        <w:kinsoku/>
        <w:wordWrap/>
        <w:overflowPunct/>
        <w:topLinePunct w:val="0"/>
        <w:autoSpaceDE/>
        <w:autoSpaceDN/>
        <w:bidi w:val="0"/>
        <w:adjustRightInd/>
        <w:snapToGrid/>
        <w:spacing w:line="580" w:lineRule="exact"/>
        <w:ind w:right="1020" w:firstLine="680" w:firstLineChars="200"/>
        <w:jc w:val="right"/>
        <w:textAlignment w:val="auto"/>
        <w:rPr>
          <w:rFonts w:hint="eastAsia" w:ascii="仿宋_GB2312" w:hAnsi="仿宋_GB2312" w:eastAsia="仿宋_GB2312" w:cs="Times New Roman"/>
          <w:color w:val="000000"/>
          <w:sz w:val="34"/>
          <w:szCs w:val="34"/>
        </w:rPr>
      </w:pPr>
    </w:p>
    <w:p w14:paraId="1D5001B7">
      <w:pPr>
        <w:widowControl/>
        <w:wordWrap/>
        <w:snapToGrid/>
        <w:spacing w:line="600" w:lineRule="exact"/>
        <w:ind w:firstLine="210" w:firstLineChars="100"/>
        <w:jc w:val="left"/>
        <w:textAlignment w:val="auto"/>
        <w:rPr>
          <w:rFonts w:hint="eastAsia" w:ascii="仿宋_GB2312" w:hAnsi="仿宋_GB2312" w:eastAsia="仿宋_GB2312" w:cs="仿宋_GB2312"/>
          <w:w w:val="75"/>
          <w:sz w:val="34"/>
          <w:szCs w:val="34"/>
          <w:highlight w:val="none"/>
        </w:rPr>
      </w:pPr>
      <w:r>
        <w:rPr>
          <w:rFonts w:ascii="Calibri" w:hAnsi="Calibri" w:eastAsia="宋体" w:cs="黑体"/>
          <w:kern w:val="2"/>
          <w:sz w:val="21"/>
          <w:szCs w:val="2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415925</wp:posOffset>
                </wp:positionV>
                <wp:extent cx="5579745" cy="127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79745" cy="12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32.75pt;height:0.1pt;width:439.35pt;z-index:251659264;mso-width-relative:page;mso-height-relative:page;" filled="f" stroked="t" coordsize="21600,21600" o:gfxdata="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U96Gh1wAAAAgBAAAPAAAAAAAAAAEAIAAAACIAAABkcnMvZG93bnJl&#10;di54bWxQSwECFAAUAAAACACHTuJAwn6zzf4BAAD3AwAADgAAAAAAAAABACAAAAAmAQAAZHJzL2Uy&#10;b0RvYy54bWxQSwUGAAAAAAYABgBZAQAAlgUAAAAA&#10;">
                <v:fill on="f" focussize="0,0"/>
                <v:stroke color="#000000" joinstyle="round"/>
                <v:imagedata o:title=""/>
                <o:lock v:ext="edit" aspectratio="f"/>
              </v:line>
            </w:pict>
          </mc:Fallback>
        </mc:AlternateContent>
      </w:r>
      <w:r>
        <w:rPr>
          <w:rFonts w:ascii="Calibri" w:hAnsi="Calibri" w:eastAsia="宋体" w:cs="黑体"/>
          <w:kern w:val="2"/>
          <w:sz w:val="21"/>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79375</wp:posOffset>
                </wp:positionV>
                <wp:extent cx="5579745" cy="127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579745" cy="12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pt;margin-top:6.25pt;height:0.1pt;width:439.35pt;z-index:251660288;mso-width-relative:page;mso-height-relative:page;" filled="f" stroked="t" coordsize="21600,21600" o:gfxdata="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ZM0xNMAAAAHAQAADwAAAAAAAAABACAAAAAiAAAAZHJzL2Rvd25yZXYueG1s&#10;UEsBAhQAFAAAAAgAh07iQM8E3Mn9AQAA9wMAAA4AAAAAAAAAAQAgAAAAIgEAAGRycy9lMm9Eb2Mu&#10;eG1sUEsFBgAAAAAGAAYAWQEAAJEFAAAAAA==&#10;">
                <v:fill on="f" focussize="0,0"/>
                <v:stroke color="#000000" joinstyle="round"/>
                <v:imagedata o:title=""/>
                <o:lock v:ext="edit" aspectratio="f"/>
              </v:line>
            </w:pict>
          </mc:Fallback>
        </mc:AlternateContent>
      </w:r>
      <w:r>
        <w:rPr>
          <w:rFonts w:hint="eastAsia" w:ascii="仿宋_GB2312" w:hAnsi="仿宋" w:eastAsia="仿宋_GB2312"/>
          <w:sz w:val="34"/>
          <w:szCs w:val="34"/>
        </w:rPr>
        <w:t>江苏索普</w:t>
      </w:r>
      <w:r>
        <w:rPr>
          <w:rFonts w:hint="eastAsia" w:ascii="仿宋_GB2312" w:hAnsi="仿宋" w:eastAsia="仿宋_GB2312"/>
          <w:sz w:val="34"/>
          <w:szCs w:val="34"/>
          <w:lang w:eastAsia="zh-CN"/>
        </w:rPr>
        <w:t>赛瑞装备制造</w:t>
      </w:r>
      <w:r>
        <w:rPr>
          <w:rFonts w:hint="eastAsia" w:ascii="仿宋_GB2312" w:hAnsi="仿宋" w:eastAsia="仿宋_GB2312"/>
          <w:sz w:val="34"/>
          <w:szCs w:val="34"/>
        </w:rPr>
        <w:t>有限公司</w:t>
      </w:r>
      <w:r>
        <w:rPr>
          <w:rFonts w:hint="eastAsia" w:ascii="仿宋_GB2312" w:hAnsi="仿宋_GB2312" w:eastAsia="仿宋_GB2312" w:cs="仿宋_GB2312"/>
          <w:w w:val="75"/>
          <w:sz w:val="34"/>
          <w:szCs w:val="34"/>
          <w:lang w:val="en-US" w:eastAsia="zh-CN"/>
        </w:rPr>
        <w:t xml:space="preserve">           </w:t>
      </w:r>
      <w:r>
        <w:rPr>
          <w:rFonts w:hint="eastAsia" w:ascii="仿宋_GB2312" w:hAnsi="仿宋_GB2312" w:eastAsia="仿宋_GB2312" w:cs="仿宋_GB2312"/>
          <w:w w:val="75"/>
          <w:sz w:val="34"/>
          <w:szCs w:val="34"/>
          <w:highlight w:val="none"/>
        </w:rPr>
        <w:t>20</w:t>
      </w:r>
      <w:r>
        <w:rPr>
          <w:rFonts w:hint="eastAsia" w:ascii="仿宋_GB2312" w:hAnsi="仿宋_GB2312" w:eastAsia="仿宋_GB2312" w:cs="仿宋_GB2312"/>
          <w:w w:val="75"/>
          <w:sz w:val="34"/>
          <w:szCs w:val="34"/>
          <w:highlight w:val="none"/>
          <w:lang w:val="en-US" w:eastAsia="zh-CN"/>
        </w:rPr>
        <w:t>25年6</w:t>
      </w:r>
      <w:r>
        <w:rPr>
          <w:rFonts w:hint="eastAsia" w:ascii="仿宋_GB2312" w:hAnsi="仿宋_GB2312" w:eastAsia="仿宋_GB2312" w:cs="仿宋_GB2312"/>
          <w:w w:val="75"/>
          <w:sz w:val="34"/>
          <w:szCs w:val="34"/>
          <w:highlight w:val="none"/>
        </w:rPr>
        <w:t>月</w:t>
      </w:r>
      <w:r>
        <w:rPr>
          <w:rFonts w:hint="eastAsia" w:ascii="仿宋_GB2312" w:hAnsi="仿宋_GB2312" w:eastAsia="仿宋_GB2312" w:cs="仿宋_GB2312"/>
          <w:w w:val="75"/>
          <w:sz w:val="34"/>
          <w:szCs w:val="34"/>
          <w:highlight w:val="none"/>
          <w:lang w:val="en-US" w:eastAsia="zh-CN"/>
        </w:rPr>
        <w:t>4</w:t>
      </w:r>
      <w:r>
        <w:rPr>
          <w:rFonts w:hint="eastAsia" w:ascii="仿宋_GB2312" w:hAnsi="仿宋_GB2312" w:eastAsia="仿宋_GB2312" w:cs="仿宋_GB2312"/>
          <w:w w:val="75"/>
          <w:sz w:val="34"/>
          <w:szCs w:val="34"/>
          <w:highlight w:val="none"/>
        </w:rPr>
        <w:t>日发</w:t>
      </w:r>
    </w:p>
    <w:p w14:paraId="336C7397">
      <w:pPr>
        <w:jc w:val="left"/>
        <w:rPr>
          <w:rFonts w:hint="eastAsia" w:ascii="黑体" w:hAnsi="黑体" w:eastAsia="黑体" w:cs="黑体"/>
          <w:bCs/>
          <w:kern w:val="0"/>
          <w:sz w:val="34"/>
          <w:szCs w:val="34"/>
        </w:rPr>
        <w:sectPr>
          <w:headerReference r:id="rId3" w:type="default"/>
          <w:footerReference r:id="rId4" w:type="default"/>
          <w:pgSz w:w="11906" w:h="16838"/>
          <w:pgMar w:top="1757" w:right="1417" w:bottom="1757" w:left="1417" w:header="851" w:footer="992" w:gutter="0"/>
          <w:cols w:space="720" w:num="1"/>
          <w:docGrid w:type="lines" w:linePitch="312" w:charSpace="0"/>
        </w:sectPr>
      </w:pPr>
    </w:p>
    <w:p w14:paraId="2517626B">
      <w:pPr>
        <w:ind w:left="0" w:leftChars="0" w:firstLine="0" w:firstLineChars="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附件三</w:t>
      </w:r>
    </w:p>
    <w:p w14:paraId="0E1B4D06">
      <w:pPr>
        <w:ind w:left="0" w:leftChars="0" w:firstLine="0" w:firstLineChars="0"/>
        <w:jc w:val="center"/>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44"/>
          <w:szCs w:val="44"/>
        </w:rPr>
        <w:t>采购合同廉政协议</w:t>
      </w:r>
    </w:p>
    <w:p w14:paraId="168BA1BA">
      <w:pPr>
        <w:keepNext w:val="0"/>
        <w:keepLines w:val="0"/>
        <w:pageBreakBefore w:val="0"/>
        <w:widowControl w:val="0"/>
        <w:tabs>
          <w:tab w:val="left" w:pos="426"/>
        </w:tabs>
        <w:kinsoku/>
        <w:wordWrap/>
        <w:overflowPunct/>
        <w:topLinePunct w:val="0"/>
        <w:autoSpaceDE/>
        <w:autoSpaceDN/>
        <w:bidi w:val="0"/>
        <w:adjustRightInd/>
        <w:snapToGrid/>
        <w:spacing w:line="560" w:lineRule="exact"/>
        <w:ind w:firstLine="680" w:firstLineChars="200"/>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为规范和约束采购过程中采供双方的行为， 杜绝吃、拿、卡、要、回扣等违法违纪和不廉洁问题发生，切实维护双方合法利益，买卖双方自愿遵守本廉政协议，并同意将本协议作为双方签订的采购合同的附件，具有采购合同补充条款之效力。</w:t>
      </w:r>
    </w:p>
    <w:p w14:paraId="684AD1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1.买受人不向出卖人索取或接受出卖人任何形式的现金、有价证券、支付凭证和贵重礼品等。</w:t>
      </w:r>
    </w:p>
    <w:p w14:paraId="2530FC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 xml:space="preserve">2.买受人不得以咨询费、劳务费等名义向出卖人索要合同以外的各种费用，不在出卖人报销应由本单位或个人承担的费用。 </w:t>
      </w:r>
    </w:p>
    <w:p w14:paraId="70651A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3.买受人不接受出卖人提供的公款旅游和高消费健身、娱乐等活动，不参加出卖人组织的有可能影响公正履行合同的宴请等活动。 </w:t>
      </w:r>
    </w:p>
    <w:p w14:paraId="67D392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4.买受人不得要求出卖人为自己亲友的经营活动提供便利条件。</w:t>
      </w:r>
    </w:p>
    <w:p w14:paraId="27545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5.买受人不准在出卖人合同签订、验收、付款等正常按约履行时为索取合同约定以外的费用而推诿扯皮、借故刁难。</w:t>
      </w:r>
    </w:p>
    <w:p w14:paraId="4889E0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6.出卖人不得以任何形式向买受人及其工作人员送礼金、有价证券、支付凭证和贵重礼品等。 </w:t>
      </w:r>
    </w:p>
    <w:p w14:paraId="380F00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7.出卖人不得支付买受人及其工作人员以咨询费、劳务费等名义索要的各种费用，报销应由买受人单位或个人承担的费用。</w:t>
      </w:r>
    </w:p>
    <w:p w14:paraId="2C64E6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8.出卖人不得为买受人单位及个人提供的公款旅游和高消费健身、娱乐等活动，不利用宴请等活动影响买受人公正履行合同。 </w:t>
      </w:r>
    </w:p>
    <w:p w14:paraId="444329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9.出卖人不得为买受人亲友的经营活动提供便利条件。</w:t>
      </w:r>
    </w:p>
    <w:p w14:paraId="602DD9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10.出卖人不得在合同签订、验收、付款等正常按约履行环节为获取便利向买受人支付合同约定以外的费用。</w:t>
      </w:r>
    </w:p>
    <w:p w14:paraId="1B8847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11.买受人违反本协议，将根据公司相关制度进行处理。</w:t>
      </w:r>
    </w:p>
    <w:p w14:paraId="00BE37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12.出卖人违反本协议，买受人有权决定是否解除合同并对出卖人处以处罚。</w:t>
      </w:r>
    </w:p>
    <w:p w14:paraId="7DF4DF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13.出卖人对于买受人违反本协议知情不报的，视同出卖人违反本协议。</w:t>
      </w:r>
    </w:p>
    <w:p w14:paraId="4F2F4F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14.买卖双方不遵守本协议，构成违纪违法的，交司法机关处理。</w:t>
      </w:r>
    </w:p>
    <w:p w14:paraId="40756A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15.本协议为采购合同的组成部分，具有与采购合同相同的法律效力。</w:t>
      </w:r>
    </w:p>
    <w:p w14:paraId="472A1819">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 w:eastAsia="仿宋_GB2312" w:cstheme="minorBidi"/>
          <w:b w:val="0"/>
          <w:bCs/>
          <w:kern w:val="2"/>
          <w:sz w:val="34"/>
          <w:szCs w:val="34"/>
          <w:lang w:val="en-US" w:eastAsia="zh-CN" w:bidi="ar-SA"/>
        </w:rPr>
      </w:pPr>
    </w:p>
    <w:p w14:paraId="089CCC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b w:val="0"/>
          <w:bCs/>
          <w:kern w:val="2"/>
          <w:sz w:val="34"/>
          <w:szCs w:val="34"/>
          <w:lang w:val="en-US" w:eastAsia="zh-CN" w:bidi="ar-SA"/>
        </w:rPr>
      </w:pPr>
      <w:r>
        <w:rPr>
          <w:rFonts w:hint="eastAsia" w:ascii="仿宋_GB2312" w:hAnsi="仿宋" w:eastAsia="仿宋_GB2312" w:cstheme="minorBidi"/>
          <w:b w:val="0"/>
          <w:bCs/>
          <w:kern w:val="2"/>
          <w:sz w:val="34"/>
          <w:szCs w:val="34"/>
          <w:lang w:val="en-US" w:eastAsia="zh-CN" w:bidi="ar-SA"/>
        </w:rPr>
        <w:t>买受人:江苏索普赛瑞装备制造有限公司 出卖人：</w:t>
      </w:r>
    </w:p>
    <w:p w14:paraId="4B5222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781A">
    <w:pPr>
      <w:pStyle w:val="4"/>
      <w:jc w:val="center"/>
    </w:pPr>
    <w:r>
      <w:fldChar w:fldCharType="begin"/>
    </w:r>
    <w:r>
      <w:instrText xml:space="preserve">PAGE   \* MERGEFORMAT</w:instrText>
    </w:r>
    <w:r>
      <w:fldChar w:fldCharType="separate"/>
    </w:r>
    <w:r>
      <w:rPr>
        <w:lang w:val="zh-CN"/>
      </w:rPr>
      <w:t>8</w:t>
    </w:r>
    <w:r>
      <w:fldChar w:fldCharType="end"/>
    </w:r>
  </w:p>
  <w:p w14:paraId="48DB611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2863">
    <w:pPr>
      <w:ind w:right="359" w:rightChars="171"/>
      <w:jc w:val="left"/>
      <w:rPr>
        <w:rFonts w:hint="default"/>
        <w:sz w:val="36"/>
        <w:szCs w:val="3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B6039"/>
    <w:multiLevelType w:val="singleLevel"/>
    <w:tmpl w:val="B3BB6039"/>
    <w:lvl w:ilvl="0" w:tentative="0">
      <w:start w:val="1"/>
      <w:numFmt w:val="decimal"/>
      <w:lvlText w:val="%1."/>
      <w:lvlJc w:val="left"/>
      <w:pPr>
        <w:ind w:left="720" w:hanging="360"/>
      </w:pPr>
      <w:rPr>
        <w:rFonts w:hint="default"/>
        <w:sz w:val="32"/>
        <w:szCs w:val="32"/>
      </w:rPr>
    </w:lvl>
  </w:abstractNum>
  <w:abstractNum w:abstractNumId="1">
    <w:nsid w:val="D16EB5AD"/>
    <w:multiLevelType w:val="singleLevel"/>
    <w:tmpl w:val="D16EB5AD"/>
    <w:lvl w:ilvl="0" w:tentative="0">
      <w:start w:val="1"/>
      <w:numFmt w:val="decimal"/>
      <w:lvlText w:val="%1."/>
      <w:lvlJc w:val="left"/>
      <w:pPr>
        <w:ind w:left="720" w:hanging="360"/>
      </w:pPr>
      <w:rPr>
        <w:rFonts w:hint="default" w:ascii="仿宋_GB2312" w:hAnsi="仿宋_GB2312" w:eastAsia="仿宋_GB2312" w:cs="仿宋_GB2312"/>
        <w:sz w:val="32"/>
        <w:szCs w:val="32"/>
      </w:rPr>
    </w:lvl>
  </w:abstractNum>
  <w:abstractNum w:abstractNumId="2">
    <w:nsid w:val="EF6D9DAF"/>
    <w:multiLevelType w:val="singleLevel"/>
    <w:tmpl w:val="EF6D9DAF"/>
    <w:lvl w:ilvl="0" w:tentative="0">
      <w:start w:val="1"/>
      <w:numFmt w:val="decimal"/>
      <w:lvlText w:val="%1."/>
      <w:lvlJc w:val="left"/>
      <w:pPr>
        <w:ind w:left="720" w:hanging="360"/>
      </w:pPr>
      <w:rPr>
        <w:sz w:val="24"/>
      </w:rPr>
    </w:lvl>
  </w:abstractNum>
  <w:abstractNum w:abstractNumId="3">
    <w:nsid w:val="F92A8DE5"/>
    <w:multiLevelType w:val="singleLevel"/>
    <w:tmpl w:val="F92A8DE5"/>
    <w:lvl w:ilvl="0" w:tentative="0">
      <w:start w:val="1"/>
      <w:numFmt w:val="decimal"/>
      <w:lvlText w:val="%1."/>
      <w:lvlJc w:val="left"/>
      <w:pPr>
        <w:ind w:left="720" w:hanging="360"/>
      </w:pPr>
      <w:rPr>
        <w:rFonts w:hint="default"/>
        <w:sz w:val="32"/>
        <w:szCs w:val="32"/>
      </w:rPr>
    </w:lvl>
  </w:abstractNum>
  <w:abstractNum w:abstractNumId="4">
    <w:nsid w:val="43D93797"/>
    <w:multiLevelType w:val="singleLevel"/>
    <w:tmpl w:val="43D93797"/>
    <w:lvl w:ilvl="0" w:tentative="0">
      <w:start w:val="1"/>
      <w:numFmt w:val="decimal"/>
      <w:lvlText w:val="%1."/>
      <w:lvlJc w:val="left"/>
      <w:pPr>
        <w:ind w:left="720" w:hanging="360"/>
      </w:pPr>
      <w:rPr>
        <w:rFonts w:hint="default"/>
        <w:sz w:val="32"/>
        <w:szCs w:val="32"/>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B62C5"/>
    <w:rsid w:val="37A00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478</Words>
  <Characters>499</Characters>
  <Lines>0</Lines>
  <Paragraphs>0</Paragraphs>
  <TotalTime>0</TotalTime>
  <ScaleCrop>false</ScaleCrop>
  <LinksUpToDate>false</LinksUpToDate>
  <CharactersWithSpaces>500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2026-02-14T00:59:00Z</dcterms:created>
  <dc:creator>Administrator</dc:creator>
  <cp:lastModifiedBy>岁月</cp:lastModifiedBy>
  <dcterms:modified xsi:type="dcterms:W3CDTF">2026-02-14T01:01:35Z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eyJoZGlkIjoiMjRhZGNkMmE4Y2RhMzIzZjg0YzQxMjdmZThhOGM0ZWQiLCJ1c2VySWQiOiIyODI3MzAxMTQifQ==</vt:lpwstr>
  </property>
  <property fmtid="{D5CDD505-2E9C-101B-9397-08002B2CF9AE}" pid="4" name="ICV">
    <vt:lpwstr>9870226C64CC472A9A2209C209D0923B_13</vt:lpwstr>
  </property>
</Properties>
</file>