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192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  <w:bdr w:val="none" w:color="auto" w:sz="0" w:space="0"/>
        </w:rPr>
        <w:t>GB 7231-2016《工业管道的基本识别色、识别符号和安全标识》</w:t>
      </w:r>
    </w:p>
    <w:p w14:paraId="5B486CC4">
      <w:pPr>
        <w:keepNext w:val="0"/>
        <w:keepLines w:val="0"/>
        <w:widowControl/>
        <w:suppressLineNumbers w:val="0"/>
        <w:pBdr>
          <w:top w:val="single" w:color="000000" w:sz="4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GB 7231-2016 规定了工业生产中非地下埋没的气体、液体输送管道的基本识别色、识别符号与安全标识，是保障管道运维与应急安全的核心标准，于 2016 年 12 月 13 日发布、2017 年 7 月 1 日实施</w:t>
      </w:r>
    </w:p>
    <w:p w14:paraId="1B59D0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一、基本识别色（8 类核心介质对应标准色）</w:t>
      </w:r>
    </w:p>
    <w:p w14:paraId="08F0F6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按介质性能分为 8 类，对应 8 种标准识别色，具体如下表：</w:t>
      </w:r>
    </w:p>
    <w:tbl>
      <w:tblPr>
        <w:tblW w:w="4999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34"/>
        <w:gridCol w:w="2095"/>
        <w:gridCol w:w="2535"/>
      </w:tblGrid>
      <w:tr w14:paraId="7FE3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2204" w:type="pct"/>
            <w:shd w:val="clear"/>
            <w:vAlign w:val="center"/>
          </w:tcPr>
          <w:p w14:paraId="4DEF2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介质类别</w:t>
            </w:r>
          </w:p>
        </w:tc>
        <w:tc>
          <w:tcPr>
            <w:tcW w:w="1234" w:type="pct"/>
            <w:shd w:val="clear"/>
            <w:vAlign w:val="center"/>
          </w:tcPr>
          <w:p w14:paraId="0E272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基本识别色</w:t>
            </w:r>
          </w:p>
        </w:tc>
        <w:tc>
          <w:tcPr>
            <w:tcW w:w="1488" w:type="pct"/>
            <w:shd w:val="clear"/>
            <w:vAlign w:val="center"/>
          </w:tcPr>
          <w:p w14:paraId="0D467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颜色标准编号</w:t>
            </w:r>
          </w:p>
        </w:tc>
      </w:tr>
      <w:tr w14:paraId="6235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04" w:type="pct"/>
            <w:shd w:val="clear"/>
            <w:vAlign w:val="center"/>
          </w:tcPr>
          <w:p w14:paraId="7B448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</w:t>
            </w:r>
          </w:p>
        </w:tc>
        <w:tc>
          <w:tcPr>
            <w:tcW w:w="1234" w:type="pct"/>
            <w:shd w:val="clear"/>
            <w:vAlign w:val="center"/>
          </w:tcPr>
          <w:p w14:paraId="4AD07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艳绿</w:t>
            </w:r>
          </w:p>
        </w:tc>
        <w:tc>
          <w:tcPr>
            <w:tcW w:w="1488" w:type="pct"/>
            <w:shd w:val="clear"/>
            <w:vAlign w:val="center"/>
          </w:tcPr>
          <w:p w14:paraId="1C6E7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G03</w:t>
            </w:r>
          </w:p>
        </w:tc>
      </w:tr>
      <w:tr w14:paraId="6B23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04" w:type="pct"/>
            <w:shd w:val="clear"/>
            <w:vAlign w:val="center"/>
          </w:tcPr>
          <w:p w14:paraId="7CA17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水蒸气</w:t>
            </w:r>
          </w:p>
        </w:tc>
        <w:tc>
          <w:tcPr>
            <w:tcW w:w="1234" w:type="pct"/>
            <w:shd w:val="clear"/>
            <w:vAlign w:val="center"/>
          </w:tcPr>
          <w:p w14:paraId="5E596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大红</w:t>
            </w:r>
          </w:p>
        </w:tc>
        <w:tc>
          <w:tcPr>
            <w:tcW w:w="1488" w:type="pct"/>
            <w:shd w:val="clear"/>
            <w:vAlign w:val="center"/>
          </w:tcPr>
          <w:p w14:paraId="41D78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R03</w:t>
            </w:r>
          </w:p>
        </w:tc>
      </w:tr>
      <w:tr w14:paraId="4256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04" w:type="pct"/>
            <w:shd w:val="clear"/>
            <w:vAlign w:val="center"/>
          </w:tcPr>
          <w:p w14:paraId="5F127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空气</w:t>
            </w:r>
          </w:p>
        </w:tc>
        <w:tc>
          <w:tcPr>
            <w:tcW w:w="1234" w:type="pct"/>
            <w:shd w:val="clear"/>
            <w:vAlign w:val="center"/>
          </w:tcPr>
          <w:p w14:paraId="4434D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淡灰</w:t>
            </w:r>
          </w:p>
        </w:tc>
        <w:tc>
          <w:tcPr>
            <w:tcW w:w="1488" w:type="pct"/>
            <w:shd w:val="clear"/>
            <w:vAlign w:val="center"/>
          </w:tcPr>
          <w:p w14:paraId="0A4B1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B03</w:t>
            </w:r>
          </w:p>
        </w:tc>
      </w:tr>
      <w:tr w14:paraId="3CFA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04" w:type="pct"/>
            <w:shd w:val="clear"/>
            <w:vAlign w:val="center"/>
          </w:tcPr>
          <w:p w14:paraId="4020F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气体（含燃气等）</w:t>
            </w:r>
          </w:p>
        </w:tc>
        <w:tc>
          <w:tcPr>
            <w:tcW w:w="1234" w:type="pct"/>
            <w:shd w:val="clear"/>
            <w:vAlign w:val="center"/>
          </w:tcPr>
          <w:p w14:paraId="06ABB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中黄</w:t>
            </w:r>
          </w:p>
        </w:tc>
        <w:tc>
          <w:tcPr>
            <w:tcW w:w="1488" w:type="pct"/>
            <w:shd w:val="clear"/>
            <w:vAlign w:val="center"/>
          </w:tcPr>
          <w:p w14:paraId="1D1AF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Y07</w:t>
            </w:r>
          </w:p>
        </w:tc>
      </w:tr>
      <w:tr w14:paraId="2A31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04" w:type="pct"/>
            <w:shd w:val="clear"/>
            <w:vAlign w:val="center"/>
          </w:tcPr>
          <w:p w14:paraId="21FA7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酸、碱等腐蚀性介质</w:t>
            </w:r>
          </w:p>
        </w:tc>
        <w:tc>
          <w:tcPr>
            <w:tcW w:w="1234" w:type="pct"/>
            <w:shd w:val="clear"/>
            <w:vAlign w:val="center"/>
          </w:tcPr>
          <w:p w14:paraId="153F5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紫</w:t>
            </w:r>
          </w:p>
        </w:tc>
        <w:tc>
          <w:tcPr>
            <w:tcW w:w="1488" w:type="pct"/>
            <w:shd w:val="clear"/>
            <w:vAlign w:val="center"/>
          </w:tcPr>
          <w:p w14:paraId="1770E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P02</w:t>
            </w:r>
          </w:p>
        </w:tc>
      </w:tr>
      <w:tr w14:paraId="6714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04" w:type="pct"/>
            <w:shd w:val="clear"/>
            <w:vAlign w:val="center"/>
          </w:tcPr>
          <w:p w14:paraId="3657C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可燃液体</w:t>
            </w:r>
          </w:p>
        </w:tc>
        <w:tc>
          <w:tcPr>
            <w:tcW w:w="1234" w:type="pct"/>
            <w:shd w:val="clear"/>
            <w:vAlign w:val="center"/>
          </w:tcPr>
          <w:p w14:paraId="0A429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棕</w:t>
            </w:r>
          </w:p>
        </w:tc>
        <w:tc>
          <w:tcPr>
            <w:tcW w:w="1488" w:type="pct"/>
            <w:shd w:val="clear"/>
            <w:vAlign w:val="center"/>
          </w:tcPr>
          <w:p w14:paraId="4D266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YR05</w:t>
            </w:r>
          </w:p>
        </w:tc>
      </w:tr>
      <w:tr w14:paraId="516E4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04" w:type="pct"/>
            <w:shd w:val="clear"/>
            <w:vAlign w:val="center"/>
          </w:tcPr>
          <w:p w14:paraId="6261B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其他液体</w:t>
            </w:r>
          </w:p>
        </w:tc>
        <w:tc>
          <w:tcPr>
            <w:tcW w:w="1234" w:type="pct"/>
            <w:shd w:val="clear"/>
            <w:vAlign w:val="center"/>
          </w:tcPr>
          <w:p w14:paraId="58363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黑色</w:t>
            </w:r>
          </w:p>
        </w:tc>
        <w:tc>
          <w:tcPr>
            <w:tcW w:w="1488" w:type="pct"/>
            <w:shd w:val="clear"/>
            <w:vAlign w:val="center"/>
          </w:tcPr>
          <w:p w14:paraId="593C4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0FE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04" w:type="pct"/>
            <w:shd w:val="clear"/>
            <w:vAlign w:val="center"/>
          </w:tcPr>
          <w:p w14:paraId="28D7C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氧气</w:t>
            </w:r>
          </w:p>
        </w:tc>
        <w:tc>
          <w:tcPr>
            <w:tcW w:w="1234" w:type="pct"/>
            <w:shd w:val="clear"/>
            <w:vAlign w:val="center"/>
          </w:tcPr>
          <w:p w14:paraId="501AF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淡蓝</w:t>
            </w:r>
          </w:p>
        </w:tc>
        <w:tc>
          <w:tcPr>
            <w:tcW w:w="1488" w:type="pct"/>
            <w:shd w:val="clear"/>
            <w:vAlign w:val="center"/>
          </w:tcPr>
          <w:p w14:paraId="7D91C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PB06</w:t>
            </w:r>
          </w:p>
        </w:tc>
      </w:tr>
    </w:tbl>
    <w:p w14:paraId="5EF061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标识方法（5 种任选）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：</w:t>
      </w:r>
    </w:p>
    <w:p w14:paraId="795EC60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管道全长标识</w:t>
      </w:r>
    </w:p>
    <w:p w14:paraId="2E71C4C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150mm 宽色环标识</w:t>
      </w:r>
    </w:p>
    <w:p w14:paraId="6BBF8FB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长方形识别色标牌</w:t>
      </w:r>
    </w:p>
    <w:p w14:paraId="16B1048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带箭头的长方形识别色标牌（箭头指示流向）</w:t>
      </w:r>
    </w:p>
    <w:p w14:paraId="517809A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系挂式识别色标牌</w:t>
      </w:r>
    </w:p>
    <w:p w14:paraId="4AD661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二、识别符号（物质 + 流向 + 工艺参数）</w:t>
      </w:r>
    </w:p>
    <w:p w14:paraId="3C7322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识别符号由物质名称、流向、工艺参数组成，规范如下：</w:t>
      </w:r>
    </w:p>
    <w:p w14:paraId="21FD3A0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物质名称</w:t>
      </w:r>
      <w:r>
        <w:rPr>
          <w:color w:val="000000"/>
          <w:sz w:val="16"/>
          <w:szCs w:val="16"/>
          <w:bdr w:val="none" w:color="auto" w:sz="0" w:space="0"/>
        </w:rPr>
        <w:t>：标注全称（如 “氮气”“硫酸”）或化学分子式（如 N₂、H₂SO₄）。</w:t>
      </w:r>
    </w:p>
    <w:p w14:paraId="56FFC7A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流向标识</w:t>
      </w:r>
      <w:r>
        <w:rPr>
          <w:color w:val="000000"/>
          <w:sz w:val="16"/>
          <w:szCs w:val="16"/>
          <w:bdr w:val="none" w:color="auto" w:sz="0" w:space="0"/>
        </w:rPr>
        <w:t>：用箭头指示单向 / 双向流向；采用带箭头标牌或系挂式标牌时，标牌指向即为流向。</w:t>
      </w:r>
    </w:p>
    <w:p w14:paraId="1ED164D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工艺参数</w:t>
      </w:r>
      <w:r>
        <w:rPr>
          <w:color w:val="000000"/>
          <w:sz w:val="16"/>
          <w:szCs w:val="16"/>
          <w:bdr w:val="none" w:color="auto" w:sz="0" w:space="0"/>
        </w:rPr>
        <w:t>：压力、温度、流速等按需标注，字体与箭头尺寸需满足标准最小要求（如箭头最小外形尺寸、字体最小高度）。</w:t>
      </w:r>
    </w:p>
    <w:p w14:paraId="7ABF6B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三、安全标识（危险 + 消防双核心）</w:t>
      </w:r>
    </w:p>
    <w:p w14:paraId="4BFFBE7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危险标识</w:t>
      </w:r>
    </w:p>
    <w:p w14:paraId="03FF8023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适用：输送 GB 13690 规定的危险化学品的管道。</w:t>
      </w:r>
    </w:p>
    <w:p w14:paraId="7BD73CF7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形式：150mm 宽黄色色环，两侧各加 25mm 宽黑色色环，可叠加在识别色标识上或附近，符合 GB 2893 安全色要求。</w:t>
      </w:r>
    </w:p>
    <w:p w14:paraId="1F120F6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消防标识</w:t>
      </w:r>
    </w:p>
    <w:p w14:paraId="42D52562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适用：消防专用管道（消防水、泡沫等）。</w:t>
      </w:r>
    </w:p>
    <w:p w14:paraId="338D7DBF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要求：标注 “消防专用” 识别符号，标识部位与字体尺寸符合标准第 4.5、5.4 条规定。</w:t>
      </w:r>
    </w:p>
    <w:p w14:paraId="0AC2CA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四、关键执行要求</w:t>
      </w:r>
    </w:p>
    <w:p w14:paraId="50E0061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标识位置</w:t>
      </w:r>
      <w:r>
        <w:rPr>
          <w:color w:val="000000"/>
          <w:sz w:val="16"/>
          <w:szCs w:val="16"/>
          <w:bdr w:val="none" w:color="auto" w:sz="0" w:space="0"/>
        </w:rPr>
        <w:t>：起点、终点、转弯处、分支处、阀门、穿墙 / 楼板处等关键节点必须标识，确保清晰可见。</w:t>
      </w:r>
    </w:p>
    <w:p w14:paraId="537CAB6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尺寸规范</w:t>
      </w:r>
      <w:r>
        <w:rPr>
          <w:color w:val="000000"/>
          <w:sz w:val="16"/>
          <w:szCs w:val="16"/>
          <w:bdr w:val="none" w:color="auto" w:sz="0" w:space="0"/>
        </w:rPr>
        <w:t>：色环宽度、标牌尺寸、箭头大小、字体高度等需符合标准附录 A 的示例与最小尺寸要求。</w:t>
      </w:r>
    </w:p>
    <w:p w14:paraId="2ABA1A6E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持久性</w:t>
      </w:r>
      <w:r>
        <w:rPr>
          <w:color w:val="000000"/>
          <w:sz w:val="16"/>
          <w:szCs w:val="16"/>
          <w:bdr w:val="none" w:color="auto" w:sz="0" w:space="0"/>
        </w:rPr>
        <w:t>：标识需耐环境影响（如腐蚀、磨损、褪色），保持长期清晰。</w:t>
      </w:r>
    </w:p>
    <w:p w14:paraId="512277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  <w:bdr w:val="none" w:color="auto" w:sz="0" w:space="0"/>
          <w:lang w:eastAsia="zh-CN"/>
        </w:rPr>
        <w:t>五</w:t>
      </w:r>
      <w:r>
        <w:rPr>
          <w:color w:val="000000"/>
          <w:sz w:val="16"/>
          <w:szCs w:val="16"/>
          <w:bdr w:val="none" w:color="auto" w:sz="0" w:space="0"/>
        </w:rPr>
        <w:t>、常见应用场景示例</w:t>
      </w:r>
    </w:p>
    <w:tbl>
      <w:tblPr>
        <w:tblW w:w="4999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7032"/>
      </w:tblGrid>
      <w:tr w14:paraId="7275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769" w:type="pct"/>
            <w:shd w:val="clear"/>
            <w:vAlign w:val="center"/>
          </w:tcPr>
          <w:p w14:paraId="6EA91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场景</w:t>
            </w:r>
          </w:p>
        </w:tc>
        <w:tc>
          <w:tcPr>
            <w:tcW w:w="4176" w:type="pct"/>
            <w:shd w:val="clear"/>
            <w:vAlign w:val="center"/>
          </w:tcPr>
          <w:p w14:paraId="66B86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推荐标识方案</w:t>
            </w:r>
          </w:p>
        </w:tc>
      </w:tr>
      <w:tr w14:paraId="229C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69" w:type="pct"/>
            <w:shd w:val="clear"/>
            <w:vAlign w:val="center"/>
          </w:tcPr>
          <w:p w14:paraId="04650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消防水管道</w:t>
            </w:r>
          </w:p>
        </w:tc>
        <w:tc>
          <w:tcPr>
            <w:tcW w:w="4176" w:type="pct"/>
            <w:shd w:val="clear"/>
            <w:vAlign w:val="center"/>
          </w:tcPr>
          <w:p w14:paraId="60311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全长大红 +“消防专用” 标牌 + 危险标识（按需）</w:t>
            </w:r>
          </w:p>
        </w:tc>
      </w:tr>
      <w:tr w14:paraId="10C7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69" w:type="pct"/>
            <w:shd w:val="clear"/>
            <w:vAlign w:val="center"/>
          </w:tcPr>
          <w:p w14:paraId="61C4C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硫酸管道</w:t>
            </w:r>
          </w:p>
        </w:tc>
        <w:tc>
          <w:tcPr>
            <w:tcW w:w="4176" w:type="pct"/>
            <w:shd w:val="clear"/>
            <w:vAlign w:val="center"/>
          </w:tcPr>
          <w:p w14:paraId="354D8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紫色色环（150mm）+“硫酸”“H₂SO₄”+ 黑色 / 黄色危险色环</w:t>
            </w:r>
          </w:p>
        </w:tc>
      </w:tr>
      <w:tr w14:paraId="5099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69" w:type="pct"/>
            <w:shd w:val="clear"/>
            <w:vAlign w:val="center"/>
          </w:tcPr>
          <w:p w14:paraId="4E1E2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天然气管道</w:t>
            </w:r>
          </w:p>
        </w:tc>
        <w:tc>
          <w:tcPr>
            <w:tcW w:w="4176" w:type="pct"/>
            <w:shd w:val="clear"/>
            <w:vAlign w:val="center"/>
          </w:tcPr>
          <w:p w14:paraId="76FD9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中黄色环 +“天然气”+ 单向流向箭头</w:t>
            </w:r>
          </w:p>
        </w:tc>
      </w:tr>
      <w:tr w14:paraId="24478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69" w:type="pct"/>
            <w:shd w:val="clear"/>
            <w:vAlign w:val="center"/>
          </w:tcPr>
          <w:p w14:paraId="27512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氧气管道</w:t>
            </w:r>
          </w:p>
        </w:tc>
        <w:tc>
          <w:tcPr>
            <w:tcW w:w="4176" w:type="pct"/>
            <w:shd w:val="clear"/>
            <w:vAlign w:val="center"/>
          </w:tcPr>
          <w:p w14:paraId="7E3D1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淡蓝色全长标识 +“氧气”“O₂” 标牌</w:t>
            </w:r>
          </w:p>
        </w:tc>
      </w:tr>
    </w:tbl>
    <w:p w14:paraId="6399ECFA"/>
    <w:p w14:paraId="5AACD6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4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</w:pPr>
    </w:p>
    <w:p w14:paraId="7580D6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4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</w:pPr>
    </w:p>
    <w:p w14:paraId="59FF22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4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</w:pPr>
      <w:bookmarkStart w:id="0" w:name="_GoBack"/>
      <w:bookmarkEnd w:id="0"/>
    </w:p>
    <w:p w14:paraId="678C5C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4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GB/T 50726-2023</w:t>
      </w:r>
    </w:p>
    <w:p w14:paraId="76E30D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4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《工业设备及管道防腐蚀工程技术标准》</w:t>
      </w:r>
    </w:p>
    <w:p w14:paraId="6E4BF7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40" w:lineRule="atLeast"/>
        <w:ind w:left="0" w:right="0" w:firstLine="320" w:firstLineChars="20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对工业设备及管道防腐蚀的核心要求贯穿基体设计、表面处理、衬里 / 涂层施工、检验验收与运维全流程，重点聚焦钢 / 铸铁基体的防腐蚀内衬与外涂层，以下为分模块核心内容与关键指标</w:t>
      </w:r>
    </w:p>
    <w:p w14:paraId="691E2F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一、基体表面处理（第 4 章）：防腐蚀的核心基础</w:t>
      </w:r>
    </w:p>
    <w:p w14:paraId="7498A5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表面处理决定防腐层附着力与耐久性，标准明确处理流程、等级、指标及检验要求，覆盖设计、施工、验收全环节。</w:t>
      </w:r>
    </w:p>
    <w:p w14:paraId="461307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1. 一般规定</w:t>
      </w:r>
    </w:p>
    <w:p w14:paraId="65E1FE0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适用范围：钢 / 铸铁基体的内衬与外涂层施工前的表面处理，优先喷射 / 抛射清理，其次动力 / 手工工具清理。</w:t>
      </w:r>
    </w:p>
    <w:p w14:paraId="2D09B5B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处理前预处理：先修补表面缺陷（如补焊、打磨毛刺），清除油污、锈蚀、旧涂层等污染物，确保表面洁净。</w:t>
      </w:r>
    </w:p>
    <w:p w14:paraId="3B51297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处理等级：喷射 / 抛射清理分 Sa1、Sa2、Sa2.5、Sa3 级；动力 / 手工工具清理分 St2、St3 级，需符合 GB/T 8923.1。</w:t>
      </w:r>
    </w:p>
    <w:p w14:paraId="4ACAA6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2. 设计指标（关键量化要求）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3470"/>
        <w:gridCol w:w="3085"/>
      </w:tblGrid>
      <w:tr w14:paraId="4BE5A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C3F3EE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0" w:type="auto"/>
            <w:shd w:val="clear"/>
            <w:vAlign w:val="center"/>
          </w:tcPr>
          <w:p w14:paraId="3AFC3F9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0" w:type="auto"/>
            <w:shd w:val="clear"/>
            <w:vAlign w:val="center"/>
          </w:tcPr>
          <w:p w14:paraId="510A2E9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适用场景</w:t>
            </w:r>
          </w:p>
        </w:tc>
      </w:tr>
      <w:tr w14:paraId="7E8A5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60E4E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除锈等级</w:t>
            </w:r>
          </w:p>
        </w:tc>
        <w:tc>
          <w:tcPr>
            <w:tcW w:w="0" w:type="auto"/>
            <w:shd w:val="clear"/>
            <w:vAlign w:val="center"/>
          </w:tcPr>
          <w:p w14:paraId="42617A9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≥Sa2.5 级（常规）；特殊工况≥Sa3 级</w:t>
            </w:r>
          </w:p>
        </w:tc>
        <w:tc>
          <w:tcPr>
            <w:tcW w:w="0" w:type="auto"/>
            <w:shd w:val="clear"/>
            <w:vAlign w:val="center"/>
          </w:tcPr>
          <w:p w14:paraId="515BF76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纤维增强塑料、玻璃鳞片、喷涂聚脲等衬里</w:t>
            </w:r>
          </w:p>
        </w:tc>
      </w:tr>
      <w:tr w14:paraId="0A80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F7A0E9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表面粗糙度</w:t>
            </w:r>
          </w:p>
        </w:tc>
        <w:tc>
          <w:tcPr>
            <w:tcW w:w="0" w:type="auto"/>
            <w:shd w:val="clear"/>
            <w:vAlign w:val="center"/>
          </w:tcPr>
          <w:p w14:paraId="3266E1A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30–75μm（中等级）；部分涂料衬里 40–60μm</w:t>
            </w:r>
          </w:p>
        </w:tc>
        <w:tc>
          <w:tcPr>
            <w:tcW w:w="0" w:type="auto"/>
            <w:shd w:val="clear"/>
            <w:vAlign w:val="center"/>
          </w:tcPr>
          <w:p w14:paraId="5F75708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适配多数防腐层附着力要求</w:t>
            </w:r>
          </w:p>
        </w:tc>
      </w:tr>
      <w:tr w14:paraId="7A47F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EC4A29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处理后间隔</w:t>
            </w:r>
          </w:p>
        </w:tc>
        <w:tc>
          <w:tcPr>
            <w:tcW w:w="0" w:type="auto"/>
            <w:shd w:val="clear"/>
            <w:vAlign w:val="center"/>
          </w:tcPr>
          <w:p w14:paraId="2F51212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≤4h（干燥环境）；≤2h（潮湿环境）</w:t>
            </w:r>
          </w:p>
        </w:tc>
        <w:tc>
          <w:tcPr>
            <w:tcW w:w="0" w:type="auto"/>
            <w:shd w:val="clear"/>
            <w:vAlign w:val="center"/>
          </w:tcPr>
          <w:p w14:paraId="5B752FD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避免二次锈蚀，确保防腐层结合力</w:t>
            </w:r>
          </w:p>
        </w:tc>
      </w:tr>
      <w:tr w14:paraId="203A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1EB4DC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转角过渡</w:t>
            </w:r>
          </w:p>
        </w:tc>
        <w:tc>
          <w:tcPr>
            <w:tcW w:w="0" w:type="auto"/>
            <w:shd w:val="clear"/>
            <w:vAlign w:val="center"/>
          </w:tcPr>
          <w:p w14:paraId="1D34C40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圆弧 R≥25mm</w:t>
            </w:r>
          </w:p>
        </w:tc>
        <w:tc>
          <w:tcPr>
            <w:tcW w:w="0" w:type="auto"/>
            <w:shd w:val="clear"/>
            <w:vAlign w:val="center"/>
          </w:tcPr>
          <w:p w14:paraId="3966933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纤维增强塑料、橡胶等衬里，防止应力集中</w:t>
            </w:r>
          </w:p>
        </w:tc>
      </w:tr>
    </w:tbl>
    <w:p w14:paraId="75DDA3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3. 施工工艺要点</w:t>
      </w:r>
    </w:p>
    <w:p w14:paraId="5ECEBE5A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喷射 / 抛射清理：选用洁净磨料（如石英砂、钢丸），压力 0.4–0.6MPa，均匀覆盖无漏喷；处理后无可见油污、锈蚀、氧化皮。</w:t>
      </w:r>
    </w:p>
    <w:p w14:paraId="18AC8A10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动力 / 手工工具清理：仅用于无法喷射的部位，需达到 St3 级（彻底清理），表面无松动锈蚀与杂质。</w:t>
      </w:r>
    </w:p>
    <w:p w14:paraId="1BEE5F9E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表面保护：处理后避免手触、水渍污染，及时施工防腐层，间隔超时需重新处理。</w:t>
      </w:r>
    </w:p>
    <w:p w14:paraId="1AB351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4. 检验标准</w:t>
      </w:r>
    </w:p>
    <w:p w14:paraId="7305E5EF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外观：目视无油污、锈蚀、氧化皮，处理等级符合设计要求（对照 GB/T 8923.1 标准图谱）。</w:t>
      </w:r>
    </w:p>
    <w:p w14:paraId="231E540C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粗糙度：用粗糙度仪检测，每 20m² 取 3 个点，均值达标。</w:t>
      </w:r>
    </w:p>
    <w:p w14:paraId="207FE937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附着力前置验证：处理后可做胶带附着力测试，无涂层脱落为合</w:t>
      </w:r>
    </w:p>
    <w:p w14:paraId="699CB2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二、防腐层施工核心要求（内衬 + 外涂层）</w:t>
      </w:r>
    </w:p>
    <w:p w14:paraId="311A29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标准按材料类型细化施工规范，以下为高频应用的关键指标，覆盖设计、施工、质量控制。</w:t>
      </w:r>
    </w:p>
    <w:p w14:paraId="2A0293A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1. 内衬里（第 5–14 章）：分类型技术参数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2849"/>
        <w:gridCol w:w="2354"/>
        <w:gridCol w:w="2289"/>
      </w:tblGrid>
      <w:tr w14:paraId="57FD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169B55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衬里类型</w:t>
            </w:r>
          </w:p>
        </w:tc>
        <w:tc>
          <w:tcPr>
            <w:tcW w:w="0" w:type="auto"/>
            <w:shd w:val="clear"/>
            <w:vAlign w:val="center"/>
          </w:tcPr>
          <w:p w14:paraId="5409FFE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设计要点</w:t>
            </w:r>
          </w:p>
        </w:tc>
        <w:tc>
          <w:tcPr>
            <w:tcW w:w="0" w:type="auto"/>
            <w:shd w:val="clear"/>
            <w:vAlign w:val="center"/>
          </w:tcPr>
          <w:p w14:paraId="161F875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施工指标</w:t>
            </w:r>
          </w:p>
        </w:tc>
        <w:tc>
          <w:tcPr>
            <w:tcW w:w="0" w:type="auto"/>
            <w:shd w:val="clear"/>
            <w:vAlign w:val="center"/>
          </w:tcPr>
          <w:p w14:paraId="7E6D5F0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检验要求</w:t>
            </w:r>
          </w:p>
        </w:tc>
      </w:tr>
      <w:tr w14:paraId="388B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6560E7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纤维增强塑料</w:t>
            </w:r>
          </w:p>
        </w:tc>
        <w:tc>
          <w:tcPr>
            <w:tcW w:w="0" w:type="auto"/>
            <w:shd w:val="clear"/>
            <w:vAlign w:val="center"/>
          </w:tcPr>
          <w:p w14:paraId="70BD18F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接缝搭接≥50mm；拐角 R≥25mm</w:t>
            </w:r>
          </w:p>
        </w:tc>
        <w:tc>
          <w:tcPr>
            <w:tcW w:w="0" w:type="auto"/>
            <w:shd w:val="clear"/>
            <w:vAlign w:val="center"/>
          </w:tcPr>
          <w:p w14:paraId="2A284FE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树脂含量达标；分层固化无针孔</w:t>
            </w:r>
          </w:p>
        </w:tc>
        <w:tc>
          <w:tcPr>
            <w:tcW w:w="0" w:type="auto"/>
            <w:shd w:val="clear"/>
            <w:vAlign w:val="center"/>
          </w:tcPr>
          <w:p w14:paraId="7211561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电火花检测无击穿；厚度均匀</w:t>
            </w:r>
          </w:p>
        </w:tc>
      </w:tr>
      <w:tr w14:paraId="4E30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2F294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橡胶衬里</w:t>
            </w:r>
          </w:p>
        </w:tc>
        <w:tc>
          <w:tcPr>
            <w:tcW w:w="0" w:type="auto"/>
            <w:shd w:val="clear"/>
            <w:vAlign w:val="center"/>
          </w:tcPr>
          <w:p w14:paraId="69D872F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法兰密封面防粘连；避免局部冷热不均</w:t>
            </w:r>
          </w:p>
        </w:tc>
        <w:tc>
          <w:tcPr>
            <w:tcW w:w="0" w:type="auto"/>
            <w:shd w:val="clear"/>
            <w:vAlign w:val="center"/>
          </w:tcPr>
          <w:p w14:paraId="198B2EC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胶板贴合无气泡；搭接≥50mm</w:t>
            </w:r>
          </w:p>
        </w:tc>
        <w:tc>
          <w:tcPr>
            <w:tcW w:w="0" w:type="auto"/>
            <w:shd w:val="clear"/>
            <w:vAlign w:val="center"/>
          </w:tcPr>
          <w:p w14:paraId="5A69BAE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硬度≥邵氏 A60；粘合强度≥2.0MPa</w:t>
            </w:r>
          </w:p>
        </w:tc>
      </w:tr>
      <w:tr w14:paraId="7360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C9912B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玻璃鳞片</w:t>
            </w:r>
          </w:p>
        </w:tc>
        <w:tc>
          <w:tcPr>
            <w:tcW w:w="0" w:type="auto"/>
            <w:shd w:val="clear"/>
            <w:vAlign w:val="center"/>
          </w:tcPr>
          <w:p w14:paraId="0E88FDA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适配温度 - 20℃～120℃；酸 / 碱 / 盐介质</w:t>
            </w:r>
          </w:p>
        </w:tc>
        <w:tc>
          <w:tcPr>
            <w:tcW w:w="0" w:type="auto"/>
            <w:shd w:val="clear"/>
            <w:vAlign w:val="center"/>
          </w:tcPr>
          <w:p w14:paraId="6CBABBF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鳞片定向排列；干膜≥150μm</w:t>
            </w:r>
          </w:p>
        </w:tc>
        <w:tc>
          <w:tcPr>
            <w:tcW w:w="0" w:type="auto"/>
            <w:shd w:val="clear"/>
            <w:vAlign w:val="center"/>
          </w:tcPr>
          <w:p w14:paraId="5778E80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针孔检测无渗漏；附着力≥1.5MPa</w:t>
            </w:r>
          </w:p>
        </w:tc>
      </w:tr>
      <w:tr w14:paraId="3EFF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32865E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涂料衬里</w:t>
            </w:r>
          </w:p>
        </w:tc>
        <w:tc>
          <w:tcPr>
            <w:tcW w:w="0" w:type="auto"/>
            <w:shd w:val="clear"/>
            <w:vAlign w:val="center"/>
          </w:tcPr>
          <w:p w14:paraId="5862AE2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设计压力 - 0.02MPa～0.10MPa</w:t>
            </w:r>
          </w:p>
        </w:tc>
        <w:tc>
          <w:tcPr>
            <w:tcW w:w="0" w:type="auto"/>
            <w:shd w:val="clear"/>
            <w:vAlign w:val="center"/>
          </w:tcPr>
          <w:p w14:paraId="3E9DA38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底漆干膜≥60μm；总厚度按腐蚀等级</w:t>
            </w:r>
          </w:p>
        </w:tc>
        <w:tc>
          <w:tcPr>
            <w:tcW w:w="0" w:type="auto"/>
            <w:shd w:val="clear"/>
            <w:vAlign w:val="center"/>
          </w:tcPr>
          <w:p w14:paraId="22E54FE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划格法附着力≥1 级；电火花无击穿</w:t>
            </w:r>
          </w:p>
        </w:tc>
      </w:tr>
      <w:tr w14:paraId="07298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2A781E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金属热喷涂</w:t>
            </w:r>
          </w:p>
        </w:tc>
        <w:tc>
          <w:tcPr>
            <w:tcW w:w="0" w:type="auto"/>
            <w:shd w:val="clear"/>
            <w:vAlign w:val="center"/>
          </w:tcPr>
          <w:p w14:paraId="6D8D8A2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基材预热 80–120℃；适配高温 / 磨损工况</w:t>
            </w:r>
          </w:p>
        </w:tc>
        <w:tc>
          <w:tcPr>
            <w:tcW w:w="0" w:type="auto"/>
            <w:shd w:val="clear"/>
            <w:vAlign w:val="center"/>
          </w:tcPr>
          <w:p w14:paraId="09CF158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涂层厚度按腐蚀速率设计</w:t>
            </w:r>
          </w:p>
        </w:tc>
        <w:tc>
          <w:tcPr>
            <w:tcW w:w="0" w:type="auto"/>
            <w:shd w:val="clear"/>
            <w:vAlign w:val="center"/>
          </w:tcPr>
          <w:p w14:paraId="4FD758E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结合力测试合格；孔隙率≤3%</w:t>
            </w:r>
          </w:p>
        </w:tc>
      </w:tr>
    </w:tbl>
    <w:p w14:paraId="397477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2. 外表面涂层（第 15 章）：分腐蚀等级控制</w:t>
      </w:r>
    </w:p>
    <w:p w14:paraId="161E9A4E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设计原则：按大气、土壤、海洋等环境选用涂层体系（底漆 + 中间漆 + 面漆），总厚度：轻度腐蚀≥120μm，中度≥180μm，重度≥250μm。</w:t>
      </w:r>
    </w:p>
    <w:p w14:paraId="7F3FBC9C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施工环境：温度 5–35℃，相对湿度≤85%；雨天、大风天禁止施工。</w:t>
      </w:r>
    </w:p>
    <w:p w14:paraId="36969833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涂层配套：底漆干膜≥60μm，中间漆 / 面漆按设计厚度叠加，避免流挂、针孔。</w:t>
      </w:r>
    </w:p>
    <w:p w14:paraId="7373A5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三、质量检验与验收</w:t>
      </w:r>
    </w:p>
    <w:p w14:paraId="66C680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1. 过程检验</w:t>
      </w:r>
    </w:p>
    <w:p w14:paraId="3F693FE5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内衬里：电火花检测（电压按厚度调整，如玻璃鳞片衬里≥3000V）、附着力测试（拉开法 / 划格法）。</w:t>
      </w:r>
    </w:p>
    <w:p w14:paraId="144D3DA4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外涂层：湿膜 / 干膜厚度检测（每 10m² 取 5 点）、针孔检测（无击穿为合格）。</w:t>
      </w:r>
    </w:p>
    <w:p w14:paraId="40A515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2. 竣工验收</w:t>
      </w:r>
    </w:p>
    <w:p w14:paraId="28D1E836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资料验收：表面处理记录、材料合格证、检测报告等齐全。</w:t>
      </w:r>
    </w:p>
    <w:p w14:paraId="31C18159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实体验收：外观无缺陷，关键指标（厚度、附着力、电火花）达标，符合设计与标准要求。</w:t>
      </w:r>
    </w:p>
    <w:p w14:paraId="4CC5E7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四、合规与实操提示</w:t>
      </w:r>
    </w:p>
    <w:p w14:paraId="7D2E19E2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表面处理是防腐层寿命的核心，优先选用 Sa2.5 级喷射清理，严格控制粗糙度与间隔时间。</w:t>
      </w:r>
    </w:p>
    <w:p w14:paraId="1A5F5564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正式项目需选用出版社正版标准，确保指标准确与法律效力。</w:t>
      </w:r>
    </w:p>
    <w:p w14:paraId="7A8D4819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  <w:shd w:val="clear" w:fill="FFFFFF"/>
        </w:rPr>
        <w:t>不同衬里 / 涂层的表面处理等级与粗糙度要求不同，需对照标准表 4.2.2-1 与表 4.2.3 执行。</w:t>
      </w:r>
    </w:p>
    <w:p w14:paraId="156DEE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FBD9B"/>
    <w:multiLevelType w:val="multilevel"/>
    <w:tmpl w:val="846FBD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CB0A2D0"/>
    <w:multiLevelType w:val="multilevel"/>
    <w:tmpl w:val="9CB0A2D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A02AAFF1"/>
    <w:multiLevelType w:val="multilevel"/>
    <w:tmpl w:val="A02AAF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C6C312AF"/>
    <w:multiLevelType w:val="multilevel"/>
    <w:tmpl w:val="C6C312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CCE20650"/>
    <w:multiLevelType w:val="multilevel"/>
    <w:tmpl w:val="CCE206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0894BA1A"/>
    <w:multiLevelType w:val="multilevel"/>
    <w:tmpl w:val="0894BA1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14F088FD"/>
    <w:multiLevelType w:val="multilevel"/>
    <w:tmpl w:val="14F088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26CC7379"/>
    <w:multiLevelType w:val="multilevel"/>
    <w:tmpl w:val="26CC73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48EA2DEC"/>
    <w:multiLevelType w:val="multilevel"/>
    <w:tmpl w:val="48EA2D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55CB474F"/>
    <w:multiLevelType w:val="multilevel"/>
    <w:tmpl w:val="55CB474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5748645D"/>
    <w:multiLevelType w:val="multilevel"/>
    <w:tmpl w:val="5748645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D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2026-01-28T07:10:14Z</dcterms:created>
  <dc:creator>张</dc:creator>
  <cp:lastModifiedBy>♡岑屿</cp:lastModifiedBy>
  <dcterms:modified xsi:type="dcterms:W3CDTF">2026-01-28T07:24:03Z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eyJoZGlkIjoiZjVkNzliNTg4MTZhNDE3YTNiNTY3MzAxMjMwMzBlNTQiLCJ1c2VySWQiOiIyNjQ1NjA0NzgifQ==</vt:lpwstr>
  </property>
  <property fmtid="{D5CDD505-2E9C-101B-9397-08002B2CF9AE}" pid="4" name="ICV">
    <vt:lpwstr>93A0C869A1754FDFA862A0D7E1A61549_12</vt:lpwstr>
  </property>
</Properties>
</file>