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ascii="Times New Roman" w:hAnsi="Times New Roman" w:cs="Times New Roman"/>
        </w:rPr>
      </w:pPr>
      <w:r>
        <w:rPr>
          <w:b/>
        </w:rPr>
        <w:t>项目名称</w:t>
      </w:r>
      <w:r>
        <w:rPr>
          <w:rFonts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乙醇4000吨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：2026年1月28日10：00（北京时间）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 w:ascii="Times New Roman" w:hAnsi="Times New Roman" w:cs="Times New Roman"/>
          <w:lang w:val="en-US" w:eastAsia="zh-CN"/>
        </w:rPr>
        <w:t>船运送到：须在2026年2月13日具备到货条件；船运自提：须在2026年2月8日前具备交货条件；汽运送到：须在2026年2月3日起听通知陆续到货（具备每天到货</w:t>
      </w:r>
      <w:r>
        <w:rPr>
          <w:rFonts w:hint="eastAsia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0车条件），将根据采购人生产实际情况通知提、送货时间。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</w:t>
      </w:r>
      <w:bookmarkStart w:id="0" w:name="_GoBack"/>
      <w:bookmarkEnd w:id="0"/>
      <w:r>
        <w:t>普化工股份有限公司</w:t>
      </w:r>
      <w:r>
        <w:rPr>
          <w:rFonts w:hint="eastAsia"/>
          <w:lang w:val="en-US" w:eastAsia="zh-CN"/>
        </w:rPr>
        <w:t>海纳川罐区（江苏省镇江市京口区求索路）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7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1620"/>
        <w:gridCol w:w="1260"/>
        <w:gridCol w:w="141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03020000000018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乙醇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4000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50AC7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2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技术标准</w:t>
      </w:r>
      <w:r>
        <w:t>：</w:t>
      </w:r>
      <w:r>
        <w:rPr>
          <w:rFonts w:hint="eastAsia" w:ascii="Times New Roman" w:hAnsi="Times New Roman" w:cs="Times New Roman"/>
          <w:lang w:val="en-US" w:eastAsia="zh-CN"/>
        </w:rPr>
        <w:t>乙醇必须符合国标GB/T 10343-2023《食用酒精》， GB/T 6820-2016《工业用乙醇》，要求气相色谱图上无苯的特征峰出现，苯、甲苯、乙苯、二甲苯未检出，异丙醇（mg/L）≤50。氧化时间要求达到二十分钟以上。具体指标如下：</w:t>
      </w:r>
    </w:p>
    <w:p w14:paraId="678E43FE">
      <w:pPr>
        <w:adjustRightInd w:val="0"/>
        <w:snapToGrid w:val="0"/>
        <w:spacing w:line="24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1"/>
          <w:sz w:val="30"/>
          <w:szCs w:val="30"/>
          <w:lang w:val="en-US" w:eastAsia="zh-CN"/>
        </w:rPr>
        <w:drawing>
          <wp:inline distT="0" distB="0" distL="114300" distR="114300">
            <wp:extent cx="4914900" cy="4448175"/>
            <wp:effectExtent l="0" t="0" r="0" b="9525"/>
            <wp:docPr id="2" name="图片 1" descr="乙醇分析指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乙醇分析指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5D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2.我公司要求所供产品为生物制乙醇，如发现供货中掺杂煤制乙醇导致分析数据异常，将对供应商处以合同总价3倍罚款，参与报价即视为已完全理解并接受本条款的所有内容。</w:t>
      </w:r>
    </w:p>
    <w:p w14:paraId="1E40F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2.1成交人采用汽运方式送货时，应做好运输车辆跟踪监控工作，请务必将每车清洗置换干净。每车必检，当出现不合格要求退换货处理且不得因供货影响采购人正常生产；当出现多次不合格时，采购人将根据公司规定进行处理，并且视情况有权无条件解除合同，期间所产生的一切费用由成交人全部承担。</w:t>
      </w:r>
    </w:p>
    <w:p w14:paraId="77C5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2.2如采用汽运方式供货时，建议送货车辆在车辆下部安装取样口（充分置换）便于取样，同时必须符合并遵守中华人民共和国相关法律法规要求，送货途中应注意安全、杜绝违章，发生异常情况由成交人全权负责。进入厂区送货车辆要求达到“国五”及以上排放标准，严禁超限超载（行驶证核定总质量）。不接受以燃气为动力的车辆送货。如遇夏季高温季节，将采取规避高温的卸货方案，请严格执行实时的卸货规定。</w:t>
      </w:r>
    </w:p>
    <w:p w14:paraId="3FC5E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3.船运送到时，要求单船送货量不小于2000吨,建议选用2000吨级以上有资质的船只运输。</w:t>
      </w:r>
    </w:p>
    <w:p w14:paraId="5478B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4.其他资质要求：《生产许可证》、危化品经营、授权代理证书、工业产品生产许可证或危险化学品经营许可证、危化品安全技术说明书（MSDS）、危化品安全标签、安全标准化认证证书等，并要求资质文件在有效期内等。</w:t>
      </w:r>
    </w:p>
    <w:p w14:paraId="451C0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5.有合作意向的新供应商请提供相关资质文件、产品小样及同类行业使用业绩，审核通过符合要求后，方可参与报价，否则报价无效。</w:t>
      </w:r>
    </w:p>
    <w:p w14:paraId="727FA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360" w:leftChars="0"/>
        <w:textAlignment w:val="auto"/>
      </w:pPr>
      <w:r>
        <w:rPr>
          <w:rFonts w:hint="eastAsia"/>
          <w:b/>
          <w:lang w:val="en-US" w:eastAsia="zh-CN"/>
        </w:rPr>
        <w:t>6.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须提供营业执照、生产许可证或危化品经营许可证、授权代理证书（如有）等</w:t>
      </w:r>
      <w:r>
        <w:t>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</w:t>
      </w:r>
      <w:r>
        <w:t>0日内</w:t>
      </w:r>
      <w:r>
        <w:rPr>
          <w:rFonts w:hint="eastAsia"/>
          <w:lang w:val="en-US" w:eastAsia="zh-CN"/>
        </w:rPr>
        <w:t>承兑</w:t>
      </w:r>
      <w:r>
        <w:t>支付货款（</w:t>
      </w:r>
      <w:r>
        <w:rPr>
          <w:rFonts w:hint="eastAsia"/>
          <w:lang w:val="en-US" w:eastAsia="zh-CN"/>
        </w:rPr>
        <w:t>6个月内承兑汇票</w:t>
      </w:r>
      <w:r>
        <w:t>）。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  <w:rPr>
          <w:rFonts w:ascii="Times New Roman" w:hAnsi="Times New Roman" w:cs="Times New Roman"/>
        </w:rPr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</w:t>
      </w:r>
      <w:r>
        <w:rPr>
          <w:rFonts w:hint="eastAsia" w:ascii="Times New Roman" w:hAnsi="Times New Roman" w:cs="Times New Roman"/>
          <w:lang w:val="en-US" w:eastAsia="zh-CN"/>
        </w:rPr>
        <w:t>号，逾期无效</w:t>
      </w:r>
      <w:r>
        <w:rPr>
          <w:rFonts w:ascii="Times New Roman" w:hAnsi="Times New Roman" w:cs="Times New Roman"/>
        </w:rPr>
        <w:t>。</w:t>
      </w:r>
    </w:p>
    <w:p w14:paraId="272C70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3.报价要求报价方具备船运、汽运送到条件。</w:t>
      </w:r>
    </w:p>
    <w:p w14:paraId="45AB3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3.1船运、汽运送到供货数量须≥2000吨或2000吨的倍数。</w:t>
      </w:r>
    </w:p>
    <w:tbl>
      <w:tblPr>
        <w:tblStyle w:val="7"/>
        <w:tblpPr w:leftFromText="180" w:rightFromText="180" w:vertAnchor="text" w:horzAnchor="page" w:tblpX="1725" w:tblpY="45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113"/>
        <w:gridCol w:w="2113"/>
        <w:gridCol w:w="2147"/>
      </w:tblGrid>
      <w:tr w14:paraId="1BF70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47" w:type="dxa"/>
            <w:noWrap w:val="0"/>
            <w:vAlign w:val="center"/>
          </w:tcPr>
          <w:p w14:paraId="0DF3BF7D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送到价（元/吨）</w:t>
            </w:r>
          </w:p>
        </w:tc>
        <w:tc>
          <w:tcPr>
            <w:tcW w:w="2113" w:type="dxa"/>
            <w:noWrap w:val="0"/>
            <w:vAlign w:val="center"/>
          </w:tcPr>
          <w:p w14:paraId="6B4AA7E6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供</w:t>
            </w:r>
            <w:r>
              <w:rPr>
                <w:rFonts w:hint="eastAsia" w:ascii="Times New Roman" w:hAnsi="Times New Roman" w:cs="Times New Roman"/>
                <w:lang w:eastAsia="zh-CN"/>
              </w:rPr>
              <w:t>货</w:t>
            </w:r>
            <w:r>
              <w:rPr>
                <w:rFonts w:hint="eastAsia" w:ascii="Times New Roman" w:hAnsi="Times New Roman" w:cs="Times New Roman"/>
              </w:rPr>
              <w:t>数量（吨）</w:t>
            </w:r>
          </w:p>
        </w:tc>
        <w:tc>
          <w:tcPr>
            <w:tcW w:w="2113" w:type="dxa"/>
            <w:noWrap w:val="0"/>
            <w:vAlign w:val="center"/>
          </w:tcPr>
          <w:p w14:paraId="728C0706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运输方式</w:t>
            </w:r>
          </w:p>
        </w:tc>
        <w:tc>
          <w:tcPr>
            <w:tcW w:w="2147" w:type="dxa"/>
            <w:noWrap w:val="0"/>
            <w:vAlign w:val="center"/>
          </w:tcPr>
          <w:p w14:paraId="3669CD60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到货时间</w:t>
            </w:r>
          </w:p>
        </w:tc>
      </w:tr>
      <w:tr w14:paraId="33521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7" w:type="dxa"/>
            <w:noWrap w:val="0"/>
            <w:vAlign w:val="center"/>
          </w:tcPr>
          <w:p w14:paraId="46E608F7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3FA69371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4CDBC019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船运、汽运</w:t>
            </w:r>
          </w:p>
        </w:tc>
        <w:tc>
          <w:tcPr>
            <w:tcW w:w="2147" w:type="dxa"/>
            <w:noWrap w:val="0"/>
            <w:vAlign w:val="center"/>
          </w:tcPr>
          <w:p w14:paraId="31931DE9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</w:tbl>
    <w:p w14:paraId="29904014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 w:ascii="Times New Roman" w:hAnsi="Times New Roman" w:cs="Times New Roman"/>
          <w:lang w:val="en-US" w:eastAsia="zh-CN"/>
        </w:rPr>
      </w:pPr>
    </w:p>
    <w:tbl>
      <w:tblPr>
        <w:tblStyle w:val="8"/>
        <w:tblpPr w:leftFromText="180" w:rightFromText="180" w:vertAnchor="text" w:horzAnchor="page" w:tblpX="1740" w:tblpY="6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2550"/>
        <w:gridCol w:w="2985"/>
      </w:tblGrid>
      <w:tr w14:paraId="1C8E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noWrap w:val="0"/>
            <w:vAlign w:val="center"/>
          </w:tcPr>
          <w:p w14:paraId="4A575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交货数量（吨）</w:t>
            </w:r>
          </w:p>
        </w:tc>
        <w:tc>
          <w:tcPr>
            <w:tcW w:w="2550" w:type="dxa"/>
            <w:noWrap w:val="0"/>
            <w:vAlign w:val="center"/>
          </w:tcPr>
          <w:p w14:paraId="2C058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具备交货条件时间</w:t>
            </w:r>
          </w:p>
        </w:tc>
        <w:tc>
          <w:tcPr>
            <w:tcW w:w="2985" w:type="dxa"/>
            <w:noWrap w:val="0"/>
            <w:vAlign w:val="center"/>
          </w:tcPr>
          <w:p w14:paraId="0D329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平舱价格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（元/吨）</w:t>
            </w:r>
          </w:p>
        </w:tc>
      </w:tr>
      <w:tr w14:paraId="45B1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noWrap w:val="0"/>
            <w:vAlign w:val="center"/>
          </w:tcPr>
          <w:p w14:paraId="51D52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12685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kern w:val="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日前</w:t>
            </w:r>
          </w:p>
        </w:tc>
        <w:tc>
          <w:tcPr>
            <w:tcW w:w="2985" w:type="dxa"/>
            <w:noWrap w:val="0"/>
            <w:vAlign w:val="center"/>
          </w:tcPr>
          <w:p w14:paraId="196AF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</w:p>
        </w:tc>
      </w:tr>
    </w:tbl>
    <w:p w14:paraId="0ED852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210" w:firstLineChars="1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3.2报价方具备锦州港或仙人岛港（鲅鱼圈除外）平舱交货条件。</w:t>
      </w:r>
    </w:p>
    <w:p w14:paraId="5C762F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textAlignment w:val="auto"/>
      </w:pP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金坚</w:t>
      </w:r>
      <w:r>
        <w:t>，电话：139</w:t>
      </w:r>
      <w:r>
        <w:rPr>
          <w:rFonts w:hint="eastAsia"/>
          <w:lang w:val="en-US" w:eastAsia="zh-CN"/>
        </w:rPr>
        <w:t>51400185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金坚</w:t>
      </w:r>
      <w:r>
        <w:t>139</w:t>
      </w:r>
      <w:r>
        <w:rPr>
          <w:rFonts w:hint="eastAsia"/>
          <w:lang w:val="en-US" w:eastAsia="zh-CN"/>
        </w:rPr>
        <w:t>51400185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5278A02B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售后服务</w:t>
      </w:r>
      <w:r>
        <w:t>：电话响应≤8小时，明确解决方案。</w:t>
      </w:r>
    </w:p>
    <w:p w14:paraId="0059EF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3.</w:t>
      </w: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48A65E6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right="0" w:rightChars="0" w:firstLine="723" w:firstLineChars="30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评定标准</w:t>
      </w:r>
      <w:r>
        <w:t>：</w:t>
      </w:r>
    </w:p>
    <w:p w14:paraId="714862E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240" w:firstLineChars="100"/>
        <w:textAlignment w:val="auto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2.1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在能够满足采购人技术要求及供货期要求的供应商中选择单价</w:t>
      </w:r>
    </w:p>
    <w:p w14:paraId="19E3E1A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leftChars="100" w:right="0" w:firstLine="0" w:firstLineChars="0"/>
        <w:textAlignment w:val="auto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最低的一家作为成交候选人，若该候选人能够完全满足采购数量需求，则确定其为唯一成交人。</w:t>
      </w:r>
    </w:p>
    <w:p w14:paraId="0F994B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leftChars="100" w:firstLine="0" w:firstLineChars="0"/>
        <w:textAlignment w:val="auto"/>
      </w:pPr>
      <w:r>
        <w:rPr>
          <w:rFonts w:hint="eastAsia" w:ascii="Times New Roman" w:hAnsi="Times New Roman" w:cs="Times New Roman"/>
          <w:color w:val="000000"/>
          <w:sz w:val="21"/>
          <w:szCs w:val="24"/>
          <w:lang w:val="en-US" w:eastAsia="zh-CN" w:bidi="ar-SA"/>
        </w:rPr>
        <w:t>2.2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在能够满足采购人技术要求及供货期要求的供应商中，如最低报价供应商供货数量不能满足采购人要求，则采购人将同报价第二低供应商确定供货数量和价格，以此类推，确定成交候选人，最终成交人可能为两人或多人</w:t>
      </w:r>
      <w:r>
        <w:rPr>
          <w:rFonts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。</w:t>
      </w:r>
    </w:p>
    <w:p w14:paraId="3F9E10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3.</w:t>
      </w: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4.</w:t>
      </w: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%支付违约金；超20日，采购人有权解除合同，要求返还货款并按总额</w:t>
      </w:r>
      <w:r>
        <w:rPr>
          <w:rFonts w:hint="eastAsia"/>
          <w:lang w:val="en-US" w:eastAsia="zh-CN"/>
        </w:rPr>
        <w:t>1</w:t>
      </w:r>
      <w:r>
        <w:t>0%赔偿。</w:t>
      </w:r>
    </w:p>
    <w:p w14:paraId="7CD62B7E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6"/>
        </w:numPr>
        <w:spacing w:before="0" w:beforeAutospacing="1" w:after="0" w:afterAutospacing="1"/>
        <w:ind w:left="1440" w:hanging="360"/>
      </w:pPr>
      <w:r>
        <w:t>换货：费用由供应商承担，</w:t>
      </w:r>
      <w:r>
        <w:rPr>
          <w:rFonts w:hint="eastAsia"/>
          <w:lang w:val="en-US" w:eastAsia="zh-CN"/>
        </w:rPr>
        <w:t>20</w:t>
      </w:r>
      <w:r>
        <w:t>日内重新供货，逾期按逾期条款处理；两次不合格则解除合同，返还货款并赔偿</w:t>
      </w:r>
      <w:r>
        <w:rPr>
          <w:rFonts w:hint="eastAsia"/>
          <w:lang w:val="en-US" w:eastAsia="zh-CN"/>
        </w:rPr>
        <w:t>1</w:t>
      </w:r>
      <w:r>
        <w:t>0%违约金。</w:t>
      </w:r>
    </w:p>
    <w:p w14:paraId="35B2520F">
      <w:pPr>
        <w:numPr>
          <w:ilvl w:val="1"/>
          <w:numId w:val="6"/>
        </w:numPr>
        <w:spacing w:before="0" w:beforeAutospacing="1" w:after="0" w:afterAutospacing="1"/>
        <w:ind w:left="1440" w:hanging="360"/>
      </w:pPr>
      <w:r>
        <w:t>解除合同：退货费用由供应商承担，返还货款并赔偿</w:t>
      </w:r>
      <w:r>
        <w:rPr>
          <w:rFonts w:hint="eastAsia"/>
          <w:lang w:val="en-US" w:eastAsia="zh-CN"/>
        </w:rPr>
        <w:t>1</w:t>
      </w:r>
      <w:r>
        <w:t>0%违约金（质押货物期间仓储费由供应商承担）。</w:t>
      </w:r>
    </w:p>
    <w:p w14:paraId="52632EB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</w:t>
      </w:r>
      <w:r>
        <w:rPr>
          <w:rFonts w:hint="eastAsia"/>
          <w:lang w:val="en-US" w:eastAsia="zh-CN"/>
        </w:rPr>
        <w:t>1</w:t>
      </w:r>
      <w:r>
        <w:t>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1</w:t>
      </w:r>
      <w:r>
        <w:t>月</w:t>
      </w:r>
      <w:r>
        <w:rPr>
          <w:rFonts w:hint="eastAsia"/>
          <w:lang w:val="en-US" w:eastAsia="zh-CN"/>
        </w:rPr>
        <w:t>21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</w:t>
      </w:r>
      <w:r>
        <w:rPr>
          <w:rFonts w:hint="eastAsia"/>
          <w:b/>
          <w:bCs/>
          <w:lang w:val="en-US" w:eastAsia="zh-CN"/>
        </w:rPr>
        <w:t>4000吨乙醇</w:t>
      </w:r>
      <w:r>
        <w:t>公开询比价活动，报价如下：</w:t>
      </w:r>
    </w:p>
    <w:p w14:paraId="5AB6199D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1.报价要求报价方具备船运或汽运送到条件</w:t>
      </w:r>
      <w:r>
        <w:rPr>
          <w:rFonts w:ascii="Times New Roman" w:hAnsi="Times New Roman" w:cs="Times New Roman"/>
        </w:rPr>
        <w:t>。</w:t>
      </w:r>
    </w:p>
    <w:p w14:paraId="09D24A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1.1船运、汽运送到供货数量须≥2000吨或2000吨的倍数。</w:t>
      </w:r>
    </w:p>
    <w:tbl>
      <w:tblPr>
        <w:tblStyle w:val="7"/>
        <w:tblpPr w:leftFromText="180" w:rightFromText="180" w:vertAnchor="text" w:horzAnchor="page" w:tblpX="1725" w:tblpY="45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113"/>
        <w:gridCol w:w="2113"/>
        <w:gridCol w:w="2147"/>
      </w:tblGrid>
      <w:tr w14:paraId="6E243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47" w:type="dxa"/>
            <w:noWrap w:val="0"/>
            <w:vAlign w:val="center"/>
          </w:tcPr>
          <w:p w14:paraId="46AE64A0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送到价（元/吨）</w:t>
            </w:r>
          </w:p>
        </w:tc>
        <w:tc>
          <w:tcPr>
            <w:tcW w:w="2113" w:type="dxa"/>
            <w:noWrap w:val="0"/>
            <w:vAlign w:val="center"/>
          </w:tcPr>
          <w:p w14:paraId="7511126B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供</w:t>
            </w:r>
            <w:r>
              <w:rPr>
                <w:rFonts w:hint="eastAsia" w:ascii="Times New Roman" w:hAnsi="Times New Roman" w:cs="Times New Roman"/>
                <w:lang w:eastAsia="zh-CN"/>
              </w:rPr>
              <w:t>货</w:t>
            </w:r>
            <w:r>
              <w:rPr>
                <w:rFonts w:hint="eastAsia" w:ascii="Times New Roman" w:hAnsi="Times New Roman" w:cs="Times New Roman"/>
              </w:rPr>
              <w:t>数量（吨）</w:t>
            </w:r>
          </w:p>
        </w:tc>
        <w:tc>
          <w:tcPr>
            <w:tcW w:w="2113" w:type="dxa"/>
            <w:noWrap w:val="0"/>
            <w:vAlign w:val="center"/>
          </w:tcPr>
          <w:p w14:paraId="6F0798E4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运输方式</w:t>
            </w:r>
          </w:p>
        </w:tc>
        <w:tc>
          <w:tcPr>
            <w:tcW w:w="2147" w:type="dxa"/>
            <w:noWrap w:val="0"/>
            <w:vAlign w:val="center"/>
          </w:tcPr>
          <w:p w14:paraId="4255C39B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到货时间</w:t>
            </w:r>
          </w:p>
        </w:tc>
      </w:tr>
      <w:tr w14:paraId="0B82F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7" w:type="dxa"/>
            <w:noWrap w:val="0"/>
            <w:vAlign w:val="center"/>
          </w:tcPr>
          <w:p w14:paraId="250CECE4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01AC5BA4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77C32920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船运、汽运</w:t>
            </w:r>
          </w:p>
        </w:tc>
        <w:tc>
          <w:tcPr>
            <w:tcW w:w="2147" w:type="dxa"/>
            <w:noWrap w:val="0"/>
            <w:vAlign w:val="center"/>
          </w:tcPr>
          <w:p w14:paraId="1BDBD857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</w:tbl>
    <w:p w14:paraId="594E352B">
      <w:pPr>
        <w:widowControl w:val="0"/>
        <w:numPr>
          <w:ilvl w:val="0"/>
          <w:numId w:val="0"/>
        </w:numPr>
        <w:spacing w:before="0" w:beforeAutospacing="0" w:after="0" w:afterAutospacing="0"/>
        <w:jc w:val="both"/>
      </w:pPr>
    </w:p>
    <w:tbl>
      <w:tblPr>
        <w:tblStyle w:val="8"/>
        <w:tblpPr w:leftFromText="180" w:rightFromText="180" w:vertAnchor="text" w:horzAnchor="page" w:tblpX="1695" w:tblpY="19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2550"/>
        <w:gridCol w:w="2985"/>
      </w:tblGrid>
      <w:tr w14:paraId="365B7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noWrap w:val="0"/>
            <w:vAlign w:val="center"/>
          </w:tcPr>
          <w:p w14:paraId="64186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交货数量（吨）</w:t>
            </w:r>
          </w:p>
        </w:tc>
        <w:tc>
          <w:tcPr>
            <w:tcW w:w="2550" w:type="dxa"/>
            <w:noWrap w:val="0"/>
            <w:vAlign w:val="center"/>
          </w:tcPr>
          <w:p w14:paraId="19862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具备交货条件时间</w:t>
            </w:r>
          </w:p>
        </w:tc>
        <w:tc>
          <w:tcPr>
            <w:tcW w:w="2985" w:type="dxa"/>
            <w:noWrap w:val="0"/>
            <w:vAlign w:val="center"/>
          </w:tcPr>
          <w:p w14:paraId="66DCF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平舱价格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（元/吨）</w:t>
            </w:r>
          </w:p>
        </w:tc>
      </w:tr>
      <w:tr w14:paraId="2F20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noWrap w:val="0"/>
            <w:vAlign w:val="center"/>
          </w:tcPr>
          <w:p w14:paraId="5EDB5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3808E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kern w:val="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日前</w:t>
            </w:r>
          </w:p>
        </w:tc>
        <w:tc>
          <w:tcPr>
            <w:tcW w:w="2985" w:type="dxa"/>
            <w:noWrap w:val="0"/>
            <w:vAlign w:val="center"/>
          </w:tcPr>
          <w:p w14:paraId="4D02C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</w:p>
        </w:tc>
      </w:tr>
    </w:tbl>
    <w:p w14:paraId="0CE872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  <w:rPr>
          <w:rFonts w:hint="eastAsia"/>
          <w:b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1.2报价方具备锦州港或仙人岛港（鲅鱼圈除外）平舱交货条件</w:t>
      </w:r>
    </w:p>
    <w:p w14:paraId="167DA1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交货时间</w:t>
      </w:r>
      <w:r>
        <w:t>：________________________。</w:t>
      </w:r>
    </w:p>
    <w:p w14:paraId="7E6B9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lang w:val="en-US" w:eastAsia="zh-CN"/>
        </w:rPr>
        <w:t>3.</w:t>
      </w: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lang w:val="en-US" w:eastAsia="zh-CN"/>
        </w:rPr>
        <w:t>4.</w:t>
      </w:r>
      <w:r>
        <w:t>愿意提供与报价相关的所有数据、资料，理解贵方无义务接受最低价或任何报价。</w:t>
      </w:r>
    </w:p>
    <w:p w14:paraId="6B117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b/>
          <w:lang w:val="en-US" w:eastAsia="zh-CN"/>
        </w:rPr>
        <w:t>5.</w:t>
      </w:r>
      <w:r>
        <w:rPr>
          <w:b/>
        </w:rPr>
        <w:t>不接受项</w:t>
      </w:r>
      <w:r>
        <w:t>：________________________。</w:t>
      </w:r>
    </w:p>
    <w:p w14:paraId="1D8C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7D14D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</w:p>
    <w:p w14:paraId="0F59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t>全权代表（签字）：________ 联系电话：________</w:t>
      </w:r>
    </w:p>
    <w:p w14:paraId="46656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</w:p>
    <w:p w14:paraId="0082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t>报价单位（盖章）：________ 日期：____年__月__日</w:t>
      </w:r>
    </w:p>
    <w:p w14:paraId="56B27BFA">
      <w:r>
        <w:br w:type="page"/>
      </w:r>
    </w:p>
    <w:p w14:paraId="705360FE">
      <w:pPr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2：      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索普股份外来装卸货人员安全告知书</w:t>
      </w:r>
    </w:p>
    <w:p w14:paraId="77227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尊敬的客户：</w:t>
      </w:r>
    </w:p>
    <w:p w14:paraId="495BE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前请认真阅读学习和理解此告知书，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后请转发给您的承运方，进入我公司厂区请严格按告知书要求执行。</w:t>
      </w:r>
    </w:p>
    <w:p w14:paraId="20CD8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一、危化品危险危害因素：</w:t>
      </w:r>
    </w:p>
    <w:p w14:paraId="4AEF5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我公司厂区生产过程中具有高温高压、易燃易爆、有毒有害和腐蚀等危险危害特性，主要危险化学品包括醋酸、甲醇、醋酸乙酯、乙醇、一氧化碳等，进入厂区，请严格遵守工厂安全规定，确保装卸作业安全。</w:t>
      </w:r>
    </w:p>
    <w:p w14:paraId="637ED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二、应当遵守的安全规定：</w:t>
      </w:r>
    </w:p>
    <w:p w14:paraId="42817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1、进入厂区，严禁烟火，严禁携带火种。</w:t>
      </w:r>
    </w:p>
    <w:p w14:paraId="565D7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2、危险化学品车辆必须配备GPS定位系统。</w:t>
      </w:r>
    </w:p>
    <w:p w14:paraId="1ACB5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3、车辆必须配备阻火器，确保车况完好，随车配有相应的消防器材。危化品运输车辆须持“危险品运输证”等相关证件，并悬挂“危险品”标志，进入厂区内严禁超速等（厂区最高行驶速度30KM/H），必须遵守厂内交通安全管理制度。</w:t>
      </w:r>
    </w:p>
    <w:p w14:paraId="49382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4、车辆进入公司前，须在门口办理进门登记手续，领取车辆和人员定位卡。并按指定线路行驶。</w:t>
      </w:r>
    </w:p>
    <w:p w14:paraId="57E36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5、车辆进入厂区，应在指定区域等待，服从岗位人员管理，定点停放，车辆有防溜车措施。</w:t>
      </w:r>
    </w:p>
    <w:p w14:paraId="73CF7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6、驾驶人员和押运人员进入生产装置区域的，必须随车配好安全帽，下车即必须按规定带好安全帽，方可进入生产区域。</w:t>
      </w:r>
    </w:p>
    <w:p w14:paraId="6E7B8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7、进入生产区域严禁擅自动用岗位任何设施和用品。</w:t>
      </w:r>
    </w:p>
    <w:p w14:paraId="45A88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8、生产区域内，需要叉车配合作业的，随车人员严禁擅自作业，应服从岗位人员的指挥和管理，以确保装卸作业的安全，如需要装卸操作的，必须按规定穿戴好劳动防护用品方可操作。</w:t>
      </w:r>
    </w:p>
    <w:p w14:paraId="7768F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9、生产区域，必须注意各种安全标识，禁止穿化纤服装，禁止穿钉鞋，禁止在易燃易爆区域内使用手机等通讯工具。</w:t>
      </w:r>
    </w:p>
    <w:p w14:paraId="7540D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10、夏季醋酸乙酯灌装应避开高温时间段。</w:t>
      </w:r>
    </w:p>
    <w:p w14:paraId="48506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11、提货人员在进行装卸货作业准备工作前，必须进行人体静电释放，放下车辆的接地带，对车辆进行检查确认完好后至岗位交出车钥匙，做好装卸货的准备工作。</w:t>
      </w:r>
    </w:p>
    <w:p w14:paraId="66147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12、装卸危化品的车辆必须按装卸作业检查票的规定进行装卸作业，同时要配合好岗位人员做好装卸前安全检查、装卸过程安全检查以及装卸作业结束后的安全确认。</w:t>
      </w:r>
    </w:p>
    <w:p w14:paraId="4F946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13、车辆入厂前须自行检查车辆的人孔、阀门、接缘等静密封点有无泄漏，快速接头、胶管等配件是否完好，接头密封圈、脚垫是否老化。装卸前须与岗位人员一起再次检查装卸作业接口连接可靠性。</w:t>
      </w:r>
    </w:p>
    <w:p w14:paraId="5297F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14、车辆在进行装卸货过程中严禁物料“跑、冒、滴、漏”，严禁启动车辆，易燃易爆区域严禁使用非防爆灯具。</w:t>
      </w:r>
    </w:p>
    <w:p w14:paraId="7C8BC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15、在装卸货过程中，若出现异常，应立即停止装卸货作业，并采取相应的措施。</w:t>
      </w:r>
    </w:p>
    <w:p w14:paraId="7CC6A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16、当发生紧急危险情况时，应在岗位人员的指挥下，迅速绕过泄漏点，向上风向安全地点撤离和疏散。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5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6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4FFB"/>
    <w:rsid w:val="03661A20"/>
    <w:rsid w:val="0B1408EB"/>
    <w:rsid w:val="0C825B1D"/>
    <w:rsid w:val="12922C84"/>
    <w:rsid w:val="134678C7"/>
    <w:rsid w:val="13A91615"/>
    <w:rsid w:val="147931F1"/>
    <w:rsid w:val="14D05D11"/>
    <w:rsid w:val="15386004"/>
    <w:rsid w:val="15F1304B"/>
    <w:rsid w:val="17920BDE"/>
    <w:rsid w:val="194D1260"/>
    <w:rsid w:val="1C0D408C"/>
    <w:rsid w:val="1D7C655F"/>
    <w:rsid w:val="215C682E"/>
    <w:rsid w:val="228D7161"/>
    <w:rsid w:val="247C629F"/>
    <w:rsid w:val="24960418"/>
    <w:rsid w:val="24E05525"/>
    <w:rsid w:val="2A68414C"/>
    <w:rsid w:val="2B8C00D9"/>
    <w:rsid w:val="2D6D29C6"/>
    <w:rsid w:val="2E730AF8"/>
    <w:rsid w:val="2EEE0779"/>
    <w:rsid w:val="30DA11D4"/>
    <w:rsid w:val="3757355A"/>
    <w:rsid w:val="38342E0E"/>
    <w:rsid w:val="384D2BD3"/>
    <w:rsid w:val="387364AE"/>
    <w:rsid w:val="42791D7B"/>
    <w:rsid w:val="47233E4B"/>
    <w:rsid w:val="4A361F60"/>
    <w:rsid w:val="4AC251FD"/>
    <w:rsid w:val="4ADB406F"/>
    <w:rsid w:val="4AE1260F"/>
    <w:rsid w:val="4BD96800"/>
    <w:rsid w:val="4C1C66ED"/>
    <w:rsid w:val="4D994499"/>
    <w:rsid w:val="4E4D0DDF"/>
    <w:rsid w:val="4E65437B"/>
    <w:rsid w:val="4E9E788D"/>
    <w:rsid w:val="513A2283"/>
    <w:rsid w:val="55E464CD"/>
    <w:rsid w:val="58113834"/>
    <w:rsid w:val="582924E0"/>
    <w:rsid w:val="5A702373"/>
    <w:rsid w:val="5CAC586B"/>
    <w:rsid w:val="5FED582A"/>
    <w:rsid w:val="605C6362"/>
    <w:rsid w:val="60681AA9"/>
    <w:rsid w:val="626F711E"/>
    <w:rsid w:val="6326564D"/>
    <w:rsid w:val="63F87D96"/>
    <w:rsid w:val="64B90B25"/>
    <w:rsid w:val="64E5191A"/>
    <w:rsid w:val="65984BDE"/>
    <w:rsid w:val="672F50CE"/>
    <w:rsid w:val="694037F5"/>
    <w:rsid w:val="6B7E2906"/>
    <w:rsid w:val="6D4A37B2"/>
    <w:rsid w:val="6DD76B71"/>
    <w:rsid w:val="6F584A8E"/>
    <w:rsid w:val="74B54E81"/>
    <w:rsid w:val="7A995229"/>
    <w:rsid w:val="7B106F4E"/>
    <w:rsid w:val="7E61605D"/>
    <w:rsid w:val="7EC0633F"/>
    <w:rsid w:val="7ED0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uiPriority w:val="99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font9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101"/>
    <w:basedOn w:val="9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12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3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81"/>
    <w:basedOn w:val="9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7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3741</Words>
  <Characters>4090</Characters>
  <Lines>0</Lines>
  <Paragraphs>0</Paragraphs>
  <TotalTime>5</TotalTime>
  <ScaleCrop>false</ScaleCrop>
  <LinksUpToDate>false</LinksUpToDate>
  <CharactersWithSpaces>4117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龙王驾到</cp:lastModifiedBy>
  <cp:lastPrinted>2026-01-13T08:37:00Z</cp:lastPrinted>
  <dcterms:modified xsi:type="dcterms:W3CDTF">2026-01-21T07:27:59Z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eyJoZGlkIjoiM2I4Y2U2ZGEzNmM0OWQyNTgwNjg0ODZjZWZmYzZlMjgiLCJ1c2VySWQiOiIzMzgzNjM2NzcifQ==</vt:lpwstr>
  </property>
  <property fmtid="{D5CDD505-2E9C-101B-9397-08002B2CF9AE}" pid="4" name="ICV">
    <vt:lpwstr>AC08B15DEC824E5996F0D7D741009FFB_12</vt:lpwstr>
  </property>
</Properties>
</file>