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ascii="Times New Roman" w:hAnsi="Times New Roman" w:cs="Times New Roman"/>
          <w:lang w:val="en-US" w:eastAsia="zh-CN"/>
        </w:rPr>
        <w:t>蝶阀19只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：2026年1月28日14：00（北京时间）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详见清单明细（附件2）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35E5C53D">
      <w:pPr>
        <w:numPr>
          <w:ilvl w:val="0"/>
          <w:numId w:val="2"/>
        </w:numPr>
        <w:spacing w:before="0" w:beforeAutospacing="1" w:after="0" w:afterAutospacing="1"/>
        <w:ind w:left="720" w:hanging="360"/>
      </w:pPr>
      <w:r>
        <w:rPr>
          <w:rFonts w:ascii="Times New Roman" w:hAnsi="Times New Roman" w:cs="Times New Roman"/>
          <w:b/>
          <w:bCs/>
        </w:rPr>
        <w:t>技术标准：</w:t>
      </w:r>
      <w:r>
        <w:rPr>
          <w:rFonts w:hint="eastAsia" w:ascii="Times New Roman" w:hAnsi="Times New Roman" w:cs="Times New Roman"/>
        </w:rPr>
        <w:t>阀门需满足GB/T12224-2015等现行标准，不允许以企业制造标准参与报价。本次蝶阀密封等级须达到Ⅴ级并通过水压试验，阀门加工完毕后，应在其法兰密封面上涂防锈剂，并用采取密封面保护措施，防止划伤和撞击。交货时必须提供特种设备制造许可证及型式试验报告，并附产品合格证及检测报告，装箱清单位于包装箱明显位置。</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w:t>
      </w:r>
      <w:bookmarkStart w:id="1" w:name="_GoBack"/>
      <w:bookmarkEnd w:id="1"/>
      <w:r>
        <w:rPr>
          <w:rFonts w:hint="eastAsia" w:ascii="Times New Roman" w:hAnsi="Times New Roman" w:cs="Times New Roman"/>
        </w:rPr>
        <w:t>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供应商实缴资本不少于1500万元。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E730AF8"/>
    <w:rsid w:val="2EEE0779"/>
    <w:rsid w:val="30DA11D4"/>
    <w:rsid w:val="340E422E"/>
    <w:rsid w:val="4AC251FD"/>
    <w:rsid w:val="4AE1260F"/>
    <w:rsid w:val="4BD96800"/>
    <w:rsid w:val="513A2283"/>
    <w:rsid w:val="58113834"/>
    <w:rsid w:val="5A702373"/>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1770</Words>
  <Characters>2025</Characters>
  <Lines>0</Lines>
  <Paragraphs>0</Paragraphs>
  <TotalTime>4</TotalTime>
  <ScaleCrop>false</ScaleCrop>
  <LinksUpToDate>false</LinksUpToDate>
  <CharactersWithSpaces>2044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2026-01-19T07:29:48Z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66C6B0162A7F4D13AB5A853CD561B1B9_13</vt:lpwstr>
  </property>
</Properties>
</file>