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泡沫比例混合装置公开采购文件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highlight w:val="none"/>
          <w:u w:val="single"/>
          <w:lang w:val="en-US" w:eastAsia="zh-CN"/>
        </w:rPr>
        <w:t>泡沫比例混合装置2套</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泡沫比例混合装置2套</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2个工作日内反条件图纸、2026年4月31日前具备发货条件（如无法满足请在报价时注明）。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7</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7</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bookmarkStart w:id="0" w:name="_GoBack"/>
      <w:bookmarkEnd w:id="0"/>
      <w:r>
        <w:rPr>
          <w:rFonts w:hint="eastAsia" w:ascii="仿宋_GB2312" w:hAnsi="仿宋_GB2312" w:eastAsia="仿宋_GB2312" w:cs="仿宋_GB2312"/>
          <w:color w:val="auto"/>
          <w:kern w:val="1"/>
          <w:sz w:val="28"/>
          <w:szCs w:val="28"/>
          <w:highlight w:val="none"/>
        </w:rPr>
        <w:t>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2EF6C3E">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1"/>
          <w:sz w:val="28"/>
          <w:szCs w:val="28"/>
          <w:lang w:val="en-US" w:eastAsia="zh-CN"/>
        </w:rPr>
        <w:t>2.3 报价人须</w:t>
      </w:r>
      <w:r>
        <w:rPr>
          <w:rFonts w:hint="eastAsia" w:ascii="仿宋_GB2312" w:hAnsi="仿宋_GB2312" w:eastAsia="仿宋_GB2312" w:cs="仿宋_GB2312"/>
          <w:kern w:val="2"/>
          <w:sz w:val="28"/>
          <w:szCs w:val="28"/>
          <w:lang w:val="en-US" w:eastAsia="zh-CN" w:bidi="ar-SA"/>
        </w:rPr>
        <w:t>具有同类注入器产品的设计与加工业绩，报价时须提供1份及以上合同扫描件。</w:t>
      </w:r>
    </w:p>
    <w:p w14:paraId="69ACA5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4</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2.7不接受被列入失信被执行人、重大违法案件当事人报价。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
        <w:gridCol w:w="2632"/>
        <w:gridCol w:w="1024"/>
        <w:gridCol w:w="3277"/>
        <w:gridCol w:w="926"/>
        <w:gridCol w:w="893"/>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700" w:type="pct"/>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6C36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655C7E8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14:paraId="1BBCAF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平衡式比例混合装置</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AEE232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122V01</w:t>
            </w:r>
          </w:p>
        </w:tc>
        <w:tc>
          <w:tcPr>
            <w:tcW w:w="1700" w:type="pct"/>
            <w:tcBorders>
              <w:top w:val="single" w:color="000000" w:sz="4" w:space="0"/>
              <w:left w:val="single" w:color="000000" w:sz="4" w:space="0"/>
              <w:bottom w:val="single" w:color="000000" w:sz="4" w:space="0"/>
              <w:right w:val="single" w:color="000000" w:sz="4" w:space="0"/>
            </w:tcBorders>
            <w:noWrap w:val="0"/>
            <w:vAlign w:val="center"/>
          </w:tcPr>
          <w:p w14:paraId="557E0F7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非标，详见附件：泡沫比例混合装置技术要求</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0AE182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61FE7E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r w14:paraId="482A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226C870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65" w:type="pct"/>
            <w:tcBorders>
              <w:top w:val="single" w:color="000000" w:sz="4" w:space="0"/>
              <w:left w:val="single" w:color="000000" w:sz="4" w:space="0"/>
              <w:bottom w:val="single" w:color="000000" w:sz="4" w:space="0"/>
              <w:right w:val="single" w:color="000000" w:sz="4" w:space="0"/>
            </w:tcBorders>
            <w:noWrap w:val="0"/>
            <w:vAlign w:val="center"/>
          </w:tcPr>
          <w:p w14:paraId="2EA53F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压力隔膜式空气泡沫比例混合装置（立式罐）</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736D6B1">
            <w:pPr>
              <w:keepNext w:val="0"/>
              <w:keepLines w:val="0"/>
              <w:widowControl/>
              <w:suppressLineNumbers w:val="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122V02</w:t>
            </w:r>
          </w:p>
        </w:tc>
        <w:tc>
          <w:tcPr>
            <w:tcW w:w="1700" w:type="pct"/>
            <w:tcBorders>
              <w:top w:val="single" w:color="000000" w:sz="4" w:space="0"/>
              <w:left w:val="single" w:color="000000" w:sz="4" w:space="0"/>
              <w:bottom w:val="single" w:color="000000" w:sz="4" w:space="0"/>
              <w:right w:val="single" w:color="000000" w:sz="4" w:space="0"/>
            </w:tcBorders>
            <w:noWrap w:val="0"/>
            <w:vAlign w:val="center"/>
          </w:tcPr>
          <w:p w14:paraId="7B017C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高倍数、非标，详见附件：泡沫比例混合装置技术要求</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144F86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75387E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r>
    </w:tbl>
    <w:p w14:paraId="4ECA0686">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59AC008E">
      <w:pPr>
        <w:keepNext w:val="0"/>
        <w:keepLines w:val="0"/>
        <w:widowControl/>
        <w:suppressLineNumbers w:val="0"/>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压力式比例混合装置投标时需取得国家固定灭火系统和耐火构件质量监督检验中心检测出具的型式试验检测报告。报价人报价时提供有效期内的型式检验报告及证书，并可在国家应急管理部消防产品合格评定中心(www.cccf.com.cn)网站查询到。</w:t>
      </w:r>
    </w:p>
    <w:p w14:paraId="55D49CB9">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3.2本次采购泡沫比例混合装置包含设计、材料采购、制造、检验、试验、试运转、包装及运输、指导安装、调试、技术支持、服务及数字化交付等费用。</w:t>
      </w:r>
    </w:p>
    <w:p w14:paraId="7FA9633C">
      <w:pPr>
        <w:keepNext w:val="0"/>
        <w:keepLines w:val="0"/>
        <w:widowControl/>
        <w:suppressLineNumbers w:val="0"/>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 xml:space="preserve">3.3成套设备供货商负责消防审批的手续办理，并负责通过当地消防部门的检测验收。消防部门的消防验收通过视为达到合同要求的性能保证值，可以 </w:t>
      </w:r>
    </w:p>
    <w:p w14:paraId="1A00C11F">
      <w:pPr>
        <w:keepNext w:val="0"/>
        <w:keepLines w:val="0"/>
        <w:widowControl/>
        <w:suppressLineNumbers w:val="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 xml:space="preserve">宣布考核成功，并签署验收证书；如本成套设备未能通过当地消防部门的检 </w:t>
      </w:r>
    </w:p>
    <w:p w14:paraId="1B89B03B">
      <w:pPr>
        <w:keepNext w:val="0"/>
        <w:keepLines w:val="0"/>
        <w:widowControl/>
        <w:suppressLineNumbers w:val="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测验收，则必须无偿整改，直至消防验收通过。</w:t>
      </w:r>
    </w:p>
    <w:p w14:paraId="6C6CE42C">
      <w:pPr>
        <w:pStyle w:val="3"/>
        <w:spacing w:line="360" w:lineRule="auto"/>
        <w:ind w:firstLine="480"/>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000000"/>
          <w:kern w:val="1"/>
          <w:sz w:val="28"/>
          <w:szCs w:val="28"/>
          <w:lang w:val="en-US" w:eastAsia="zh-CN" w:bidi="ar-SA"/>
        </w:rPr>
        <w:t>3.</w:t>
      </w:r>
      <w:r>
        <w:rPr>
          <w:rFonts w:hint="eastAsia" w:ascii="仿宋_GB2312" w:hAnsi="仿宋_GB2312" w:eastAsia="仿宋_GB2312" w:cs="仿宋_GB2312"/>
          <w:color w:val="auto"/>
          <w:kern w:val="1"/>
          <w:sz w:val="28"/>
          <w:szCs w:val="28"/>
          <w:lang w:val="en-US" w:eastAsia="zh-CN"/>
        </w:rPr>
        <w:t>3报价人报价时须提供初步设计图纸及设备分项明细清单供询价人评审。中选后，须在收到询价人通知后的2个工作日内反初步条件。</w:t>
      </w:r>
    </w:p>
    <w:p w14:paraId="7FFF950D">
      <w:pPr>
        <w:pStyle w:val="3"/>
        <w:spacing w:line="360" w:lineRule="auto"/>
        <w:ind w:firstLine="480"/>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3.4 技术要求详见附件：泡沫比例混合装置技术要求。</w:t>
      </w:r>
    </w:p>
    <w:p w14:paraId="20752E21">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3"/>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2"/>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796"/>
        <w:gridCol w:w="996"/>
        <w:gridCol w:w="2851"/>
        <w:gridCol w:w="715"/>
        <w:gridCol w:w="797"/>
        <w:gridCol w:w="941"/>
        <w:gridCol w:w="843"/>
      </w:tblGrid>
      <w:tr w14:paraId="047C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AE88A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B9451E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14:paraId="6BE2211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479" w:type="pct"/>
            <w:tcBorders>
              <w:top w:val="single" w:color="000000" w:sz="4" w:space="0"/>
              <w:left w:val="single" w:color="000000" w:sz="4" w:space="0"/>
              <w:bottom w:val="single" w:color="000000" w:sz="4" w:space="0"/>
              <w:right w:val="single" w:color="000000" w:sz="4" w:space="0"/>
            </w:tcBorders>
            <w:noWrap w:val="0"/>
            <w:vAlign w:val="center"/>
          </w:tcPr>
          <w:p w14:paraId="598BC0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9205F4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D1E3B0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DEE7684">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单价（元）</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151BB1E">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总价（元）</w:t>
            </w:r>
          </w:p>
        </w:tc>
      </w:tr>
      <w:tr w14:paraId="316B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6C89D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8B6BFB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平衡式比例混合装置</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14:paraId="604FA4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122V01</w:t>
            </w:r>
          </w:p>
        </w:tc>
        <w:tc>
          <w:tcPr>
            <w:tcW w:w="1479" w:type="pct"/>
            <w:tcBorders>
              <w:top w:val="single" w:color="000000" w:sz="4" w:space="0"/>
              <w:left w:val="single" w:color="000000" w:sz="4" w:space="0"/>
              <w:bottom w:val="single" w:color="000000" w:sz="4" w:space="0"/>
              <w:right w:val="single" w:color="000000" w:sz="4" w:space="0"/>
            </w:tcBorders>
            <w:noWrap w:val="0"/>
            <w:vAlign w:val="center"/>
          </w:tcPr>
          <w:p w14:paraId="2150BCF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非标，详见附件：泡沫比例混合装置数据表</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42DFC7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9C295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094F2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AEB2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B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D8F37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6C0EB2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压力隔膜式空气泡沫比例混合装置（立式罐）</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14:paraId="4D5B7B26">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122V02</w:t>
            </w:r>
          </w:p>
        </w:tc>
        <w:tc>
          <w:tcPr>
            <w:tcW w:w="1479" w:type="pct"/>
            <w:tcBorders>
              <w:top w:val="single" w:color="000000" w:sz="4" w:space="0"/>
              <w:left w:val="single" w:color="000000" w:sz="4" w:space="0"/>
              <w:bottom w:val="single" w:color="000000" w:sz="4" w:space="0"/>
              <w:right w:val="single" w:color="000000" w:sz="4" w:space="0"/>
            </w:tcBorders>
            <w:noWrap w:val="0"/>
            <w:vAlign w:val="center"/>
          </w:tcPr>
          <w:p w14:paraId="4B690D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高倍数、非标，详见附件：泡沫比例混合装置数据表</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2E71AD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55667B4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2CC2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E674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0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4562" w:type="pct"/>
            <w:gridSpan w:val="7"/>
            <w:tcBorders>
              <w:top w:val="single" w:color="000000" w:sz="4" w:space="0"/>
              <w:left w:val="single" w:color="000000" w:sz="4" w:space="0"/>
              <w:bottom w:val="single" w:color="000000" w:sz="4" w:space="0"/>
              <w:right w:val="single" w:color="000000" w:sz="4" w:space="0"/>
            </w:tcBorders>
            <w:noWrap/>
            <w:vAlign w:val="center"/>
          </w:tcPr>
          <w:p w14:paraId="5A4269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0BFC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319B3F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2"/>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2"/>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95EEDC7">
      <w:pPr>
        <w:rPr>
          <w:rFonts w:hint="eastAsia" w:ascii="仿宋_GB2312" w:hAnsi="仿宋_GB2312" w:eastAsia="仿宋_GB2312" w:cs="仿宋_GB2312"/>
          <w:color w:val="000000"/>
          <w:sz w:val="28"/>
          <w:szCs w:val="28"/>
          <w:highlight w:val="none"/>
          <w:lang w:val="en-US" w:eastAsia="zh-CN"/>
        </w:rPr>
      </w:pPr>
    </w:p>
    <w:p w14:paraId="61F89846">
      <w:pPr>
        <w:pStyle w:val="2"/>
        <w:rPr>
          <w:rFonts w:hint="eastAsia" w:ascii="仿宋_GB2312" w:hAnsi="仿宋_GB2312" w:eastAsia="仿宋_GB2312" w:cs="仿宋_GB2312"/>
          <w:color w:val="000000"/>
          <w:sz w:val="28"/>
          <w:szCs w:val="28"/>
          <w:highlight w:val="none"/>
          <w:lang w:val="en-US" w:eastAsia="zh-CN"/>
        </w:rPr>
      </w:pPr>
    </w:p>
    <w:p w14:paraId="25E5B5F1">
      <w:pPr>
        <w:pStyle w:val="3"/>
        <w:rPr>
          <w:rFonts w:hint="eastAsia" w:ascii="仿宋_GB2312" w:hAnsi="仿宋_GB2312" w:eastAsia="仿宋_GB2312" w:cs="仿宋_GB2312"/>
          <w:color w:val="000000"/>
          <w:sz w:val="28"/>
          <w:szCs w:val="28"/>
          <w:highlight w:val="none"/>
          <w:lang w:val="en-US" w:eastAsia="zh-CN"/>
        </w:rPr>
      </w:pPr>
    </w:p>
    <w:p w14:paraId="2018A24E">
      <w:pPr>
        <w:pStyle w:val="3"/>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4"/>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D7F3FB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A700AE"/>
    <w:rsid w:val="00E87FD8"/>
    <w:rsid w:val="018342DF"/>
    <w:rsid w:val="049A1BA3"/>
    <w:rsid w:val="05537C91"/>
    <w:rsid w:val="068A242D"/>
    <w:rsid w:val="068E5CAD"/>
    <w:rsid w:val="07184E4C"/>
    <w:rsid w:val="07424D15"/>
    <w:rsid w:val="08110CB7"/>
    <w:rsid w:val="0855653B"/>
    <w:rsid w:val="089D102A"/>
    <w:rsid w:val="099A19B7"/>
    <w:rsid w:val="0A9C3C10"/>
    <w:rsid w:val="0AA82ADC"/>
    <w:rsid w:val="0C566AD6"/>
    <w:rsid w:val="0D075905"/>
    <w:rsid w:val="0D307F6B"/>
    <w:rsid w:val="0D85794C"/>
    <w:rsid w:val="0D945B5C"/>
    <w:rsid w:val="0E0E6DB4"/>
    <w:rsid w:val="0F875418"/>
    <w:rsid w:val="11213F47"/>
    <w:rsid w:val="12244F80"/>
    <w:rsid w:val="124814D0"/>
    <w:rsid w:val="133D6635"/>
    <w:rsid w:val="13EB585D"/>
    <w:rsid w:val="1486627C"/>
    <w:rsid w:val="1489454D"/>
    <w:rsid w:val="14F12E77"/>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DF87FC5"/>
    <w:rsid w:val="1E12411C"/>
    <w:rsid w:val="1E210886"/>
    <w:rsid w:val="1E6E6AEF"/>
    <w:rsid w:val="1F2678E9"/>
    <w:rsid w:val="1F6B79D8"/>
    <w:rsid w:val="1F7E35D3"/>
    <w:rsid w:val="1F9245AF"/>
    <w:rsid w:val="21112BD3"/>
    <w:rsid w:val="21933ED0"/>
    <w:rsid w:val="2225022C"/>
    <w:rsid w:val="22334287"/>
    <w:rsid w:val="23CF0F9F"/>
    <w:rsid w:val="23FC6252"/>
    <w:rsid w:val="25F658BE"/>
    <w:rsid w:val="26425E06"/>
    <w:rsid w:val="26A27C21"/>
    <w:rsid w:val="280A4C5F"/>
    <w:rsid w:val="28B16468"/>
    <w:rsid w:val="298A418F"/>
    <w:rsid w:val="29EC4F1D"/>
    <w:rsid w:val="2AA7564C"/>
    <w:rsid w:val="2AB873E6"/>
    <w:rsid w:val="2B263D2B"/>
    <w:rsid w:val="2B7969FB"/>
    <w:rsid w:val="2BA23352"/>
    <w:rsid w:val="2BB463C2"/>
    <w:rsid w:val="2D1431D5"/>
    <w:rsid w:val="2D711326"/>
    <w:rsid w:val="2DCD459B"/>
    <w:rsid w:val="2E29640B"/>
    <w:rsid w:val="2F552E82"/>
    <w:rsid w:val="2F5A2F6A"/>
    <w:rsid w:val="306A72AD"/>
    <w:rsid w:val="307C7118"/>
    <w:rsid w:val="33604F9A"/>
    <w:rsid w:val="341252C0"/>
    <w:rsid w:val="34880AB5"/>
    <w:rsid w:val="359A6B07"/>
    <w:rsid w:val="35B841ED"/>
    <w:rsid w:val="36783E04"/>
    <w:rsid w:val="36CC7FE0"/>
    <w:rsid w:val="37321293"/>
    <w:rsid w:val="375211E9"/>
    <w:rsid w:val="3797278D"/>
    <w:rsid w:val="392E47B3"/>
    <w:rsid w:val="39AA08AE"/>
    <w:rsid w:val="3A1C3FA6"/>
    <w:rsid w:val="3A260472"/>
    <w:rsid w:val="3A3D3E1C"/>
    <w:rsid w:val="3AD73DE7"/>
    <w:rsid w:val="3B741D0B"/>
    <w:rsid w:val="3B8E1539"/>
    <w:rsid w:val="3C633297"/>
    <w:rsid w:val="3E8B6D79"/>
    <w:rsid w:val="3F400341"/>
    <w:rsid w:val="40E424A8"/>
    <w:rsid w:val="413403E0"/>
    <w:rsid w:val="41923A7A"/>
    <w:rsid w:val="4286740D"/>
    <w:rsid w:val="42E66EDA"/>
    <w:rsid w:val="431A73EB"/>
    <w:rsid w:val="43301127"/>
    <w:rsid w:val="446A2417"/>
    <w:rsid w:val="44C01413"/>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975E71"/>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BE13B0"/>
    <w:rsid w:val="58DF219E"/>
    <w:rsid w:val="58FB2325"/>
    <w:rsid w:val="5A7C589A"/>
    <w:rsid w:val="5AB04526"/>
    <w:rsid w:val="5ADF7263"/>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882F3C"/>
    <w:rsid w:val="69EF47E9"/>
    <w:rsid w:val="6A9E4352"/>
    <w:rsid w:val="6B1078B7"/>
    <w:rsid w:val="6B152869"/>
    <w:rsid w:val="6BC120DD"/>
    <w:rsid w:val="6C4E17FE"/>
    <w:rsid w:val="6CAF1558"/>
    <w:rsid w:val="6DD528D6"/>
    <w:rsid w:val="6E360072"/>
    <w:rsid w:val="6EF6477A"/>
    <w:rsid w:val="6F59261E"/>
    <w:rsid w:val="6F812E05"/>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9ED6F37"/>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7">
    <w:name w:val="font31"/>
    <w:basedOn w:val="12"/>
    <w:qFormat/>
    <w:uiPriority w:val="0"/>
    <w:rPr>
      <w:rFonts w:hint="default" w:ascii="Times New Roman" w:hAnsi="Times New Roman" w:cs="Times New Roman"/>
      <w:color w:val="000000"/>
      <w:sz w:val="20"/>
      <w:szCs w:val="20"/>
      <w:u w:val="none"/>
    </w:rPr>
  </w:style>
  <w:style w:type="character" w:customStyle="1" w:styleId="18">
    <w:name w:val="font41"/>
    <w:basedOn w:val="12"/>
    <w:qFormat/>
    <w:uiPriority w:val="0"/>
    <w:rPr>
      <w:rFonts w:hint="eastAsia" w:ascii="宋体" w:hAnsi="宋体" w:eastAsia="宋体" w:cs="宋体"/>
      <w:color w:val="000000"/>
      <w:sz w:val="20"/>
      <w:szCs w:val="20"/>
      <w:u w:val="none"/>
    </w:rPr>
  </w:style>
  <w:style w:type="character" w:customStyle="1" w:styleId="19">
    <w:name w:val="font21"/>
    <w:basedOn w:val="12"/>
    <w:qFormat/>
    <w:uiPriority w:val="0"/>
    <w:rPr>
      <w:rFonts w:hint="eastAsia" w:ascii="宋体" w:hAnsi="宋体" w:eastAsia="宋体" w:cs="宋体"/>
      <w:color w:val="000000"/>
      <w:sz w:val="20"/>
      <w:szCs w:val="20"/>
      <w:u w:val="none"/>
    </w:rPr>
  </w:style>
  <w:style w:type="character" w:customStyle="1" w:styleId="20">
    <w:name w:val="font11"/>
    <w:basedOn w:val="12"/>
    <w:qFormat/>
    <w:uiPriority w:val="0"/>
    <w:rPr>
      <w:rFonts w:hint="eastAsia" w:ascii="仿宋_GB2312" w:eastAsia="仿宋_GB2312" w:cs="仿宋_GB2312"/>
      <w:color w:val="000000"/>
      <w:sz w:val="18"/>
      <w:szCs w:val="18"/>
      <w:u w:val="none"/>
    </w:rPr>
  </w:style>
  <w:style w:type="character" w:customStyle="1" w:styleId="21">
    <w:name w:val="font51"/>
    <w:basedOn w:val="12"/>
    <w:qFormat/>
    <w:uiPriority w:val="0"/>
    <w:rPr>
      <w:rFonts w:ascii="Calibri" w:hAnsi="Calibri" w:cs="Calibri"/>
      <w:color w:val="000000"/>
      <w:sz w:val="18"/>
      <w:szCs w:val="18"/>
      <w:u w:val="none"/>
    </w:rPr>
  </w:style>
  <w:style w:type="character" w:customStyle="1" w:styleId="22">
    <w:name w:val="font61"/>
    <w:basedOn w:val="12"/>
    <w:qFormat/>
    <w:uiPriority w:val="0"/>
    <w:rPr>
      <w:rFonts w:ascii="Arial" w:hAnsi="Arial" w:cs="Arial"/>
      <w:b/>
      <w:bCs/>
      <w:color w:val="FF0000"/>
      <w:sz w:val="18"/>
      <w:szCs w:val="18"/>
      <w:u w:val="none"/>
    </w:rPr>
  </w:style>
  <w:style w:type="character" w:customStyle="1" w:styleId="23">
    <w:name w:val="font71"/>
    <w:basedOn w:val="12"/>
    <w:qFormat/>
    <w:uiPriority w:val="0"/>
    <w:rPr>
      <w:rFonts w:ascii="Arial" w:hAnsi="Arial" w:cs="Arial"/>
      <w:color w:val="000000"/>
      <w:sz w:val="18"/>
      <w:szCs w:val="18"/>
      <w:u w:val="none"/>
    </w:rPr>
  </w:style>
  <w:style w:type="paragraph" w:customStyle="1" w:styleId="24">
    <w:name w:val="小于节标题"/>
    <w:basedOn w:val="25"/>
    <w:qFormat/>
    <w:uiPriority w:val="0"/>
    <w:pPr>
      <w:tabs>
        <w:tab w:val="left" w:pos="567"/>
      </w:tabs>
      <w:ind w:firstLine="0" w:firstLineChars="0"/>
    </w:pPr>
  </w:style>
  <w:style w:type="paragraph" w:customStyle="1" w:styleId="25">
    <w:name w:val="新正文样式"/>
    <w:basedOn w:val="1"/>
    <w:qFormat/>
    <w:uiPriority w:val="0"/>
    <w:pPr>
      <w:tabs>
        <w:tab w:val="left" w:pos="567"/>
      </w:tabs>
      <w:spacing w:line="360" w:lineRule="auto"/>
      <w:ind w:firstLine="200" w:firstLineChars="200"/>
    </w:pPr>
    <w:rPr>
      <w:spacing w:val="0"/>
      <w:szCs w:val="24"/>
    </w:rPr>
  </w:style>
  <w:style w:type="paragraph" w:customStyle="1" w:styleId="26">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7">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4347</Words>
  <Characters>4701</Characters>
  <Lines>0</Lines>
  <Paragraphs>0</Paragraphs>
  <TotalTime>1</TotalTime>
  <ScaleCrop>false</ScaleCrop>
  <LinksUpToDate>false</LinksUpToDate>
  <CharactersWithSpaces>4852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2025-12-29T02:35:06Z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