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EC8A6">
      <w:pPr>
        <w:pStyle w:val="2"/>
        <w:pageBreakBefore/>
        <w:widowControl w:val="0"/>
        <w:numPr>
          <w:ilvl w:val="0"/>
          <w:numId w:val="0"/>
        </w:numPr>
        <w:tabs>
          <w:tab w:val="left" w:pos="432"/>
        </w:tabs>
        <w:rPr>
          <w:rFonts w:ascii="楷体_GB2312" w:eastAsia="楷体_GB2312" w:cs="Arial"/>
          <w:bCs/>
          <w:sz w:val="21"/>
          <w:szCs w:val="21"/>
        </w:rPr>
      </w:pPr>
      <w:bookmarkStart w:id="0" w:name="_Toc493858822"/>
      <w:bookmarkStart w:id="1" w:name="_Toc288739204"/>
      <w:r>
        <w:rPr>
          <w:rFonts w:hint="eastAsia" w:ascii="楷体_GB2312" w:eastAsia="楷体_GB2312" w:cs="Arial"/>
          <w:bCs/>
          <w:sz w:val="21"/>
          <w:szCs w:val="21"/>
        </w:rPr>
        <w:t>1总则</w:t>
      </w:r>
      <w:bookmarkEnd w:id="0"/>
    </w:p>
    <w:p w14:paraId="145D8E82">
      <w:pPr>
        <w:pStyle w:val="12"/>
        <w:ind w:firstLine="0" w:firstLineChars="0"/>
        <w:rPr>
          <w:rFonts w:ascii="楷体_GB2312" w:eastAsia="楷体_GB2312"/>
          <w:szCs w:val="21"/>
          <w:lang w:val="de-AT"/>
        </w:rPr>
      </w:pPr>
      <w:r>
        <w:rPr>
          <w:rFonts w:hint="eastAsia" w:ascii="楷体_GB2312" w:eastAsia="楷体_GB2312"/>
          <w:szCs w:val="21"/>
          <w:lang w:val="de-AT"/>
        </w:rPr>
        <w:t>1.1</w:t>
      </w:r>
      <w:r>
        <w:rPr>
          <w:rFonts w:hint="eastAsia" w:ascii="楷体_GB2312" w:eastAsia="楷体_GB2312"/>
          <w:szCs w:val="21"/>
          <w:lang w:val="en-GB"/>
        </w:rPr>
        <w:t>本技术规范书适用</w:t>
      </w:r>
      <w:r>
        <w:rPr>
          <w:rFonts w:hint="eastAsia" w:ascii="楷体_GB2312" w:eastAsia="楷体_GB2312"/>
          <w:szCs w:val="21"/>
        </w:rPr>
        <w:t>于</w:t>
      </w:r>
      <w:r>
        <w:rPr>
          <w:rFonts w:hint="eastAsia" w:ascii="楷体_GB2312" w:eastAsia="楷体_GB2312"/>
          <w:szCs w:val="21"/>
          <w:lang w:val="en-US" w:eastAsia="zh-CN"/>
        </w:rPr>
        <w:t>醋酸乙烯及EVA一体化项目</w:t>
      </w:r>
      <w:r>
        <w:rPr>
          <w:rFonts w:hint="eastAsia" w:ascii="楷体_GB2312" w:eastAsia="楷体_GB2312"/>
          <w:color w:val="auto"/>
          <w:szCs w:val="21"/>
        </w:rPr>
        <w:t>电缆采购</w:t>
      </w:r>
      <w:r>
        <w:rPr>
          <w:rFonts w:hint="eastAsia" w:ascii="楷体_GB2312" w:eastAsia="楷体_GB2312"/>
          <w:szCs w:val="21"/>
        </w:rPr>
        <w:t>的动力及控制电缆</w:t>
      </w:r>
      <w:r>
        <w:rPr>
          <w:rFonts w:hint="eastAsia" w:ascii="楷体_GB2312" w:eastAsia="楷体_GB2312"/>
          <w:szCs w:val="21"/>
          <w:lang w:val="zh-TW"/>
        </w:rPr>
        <w:t>部分</w:t>
      </w:r>
      <w:r>
        <w:rPr>
          <w:rFonts w:hint="eastAsia" w:ascii="楷体_GB2312" w:eastAsia="楷体_GB2312"/>
          <w:szCs w:val="21"/>
          <w:lang w:val="de-AT"/>
        </w:rPr>
        <w:t>，</w:t>
      </w:r>
      <w:r>
        <w:rPr>
          <w:rFonts w:hint="eastAsia" w:ascii="楷体_GB2312" w:eastAsia="楷体_GB2312"/>
          <w:szCs w:val="21"/>
          <w:lang w:val="zh-TW"/>
        </w:rPr>
        <w:t>它包括</w:t>
      </w:r>
      <w:r>
        <w:rPr>
          <w:rFonts w:hint="eastAsia" w:ascii="楷体_GB2312" w:eastAsia="楷体_GB2312"/>
          <w:szCs w:val="21"/>
        </w:rPr>
        <w:t>动力及控制电缆</w:t>
      </w:r>
      <w:r>
        <w:rPr>
          <w:rFonts w:hint="eastAsia" w:ascii="楷体_GB2312" w:eastAsia="楷体_GB2312"/>
          <w:szCs w:val="21"/>
          <w:lang w:val="zh-TW"/>
        </w:rPr>
        <w:t>功能设计、结构、性能、安装和试验等方面</w:t>
      </w:r>
      <w:r>
        <w:rPr>
          <w:rFonts w:hint="eastAsia" w:ascii="楷体_GB2312" w:eastAsia="楷体_GB2312"/>
          <w:szCs w:val="21"/>
          <w:lang w:val="de-AT"/>
        </w:rPr>
        <w:t>的技术要求。</w:t>
      </w:r>
    </w:p>
    <w:bookmarkEnd w:id="1"/>
    <w:p w14:paraId="4B25731E">
      <w:pPr>
        <w:pStyle w:val="12"/>
        <w:ind w:firstLine="0" w:firstLineChars="0"/>
        <w:rPr>
          <w:rFonts w:ascii="楷体_GB2312" w:eastAsia="楷体_GB2312"/>
          <w:szCs w:val="21"/>
        </w:rPr>
      </w:pPr>
      <w:bookmarkStart w:id="2" w:name="_Toc316388740"/>
      <w:r>
        <w:rPr>
          <w:rFonts w:hint="eastAsia" w:ascii="楷体_GB2312" w:eastAsia="楷体_GB2312"/>
          <w:szCs w:val="21"/>
        </w:rPr>
        <w:t>1.2  本技术规范提出的是最低限度的技术要求，并未对一切技术细节作出规定，也未充分引述有关标准和规范的条文，卖方应提供符合本技术规范引用标准的最新版本标准和本技术规范技术要求的全新产品，如果所引用的标准之间不一致或本技术规范所使用的标准如与卖方所执行的标准不一致时，按要求较高的标准执行。</w:t>
      </w:r>
    </w:p>
    <w:p w14:paraId="4157A047">
      <w:pPr>
        <w:pStyle w:val="12"/>
        <w:ind w:firstLine="0" w:firstLineChars="0"/>
        <w:rPr>
          <w:rFonts w:ascii="楷体_GB2312" w:eastAsia="楷体_GB2312"/>
          <w:szCs w:val="21"/>
        </w:rPr>
      </w:pPr>
      <w:r>
        <w:rPr>
          <w:rFonts w:hint="eastAsia" w:ascii="楷体_GB2312" w:eastAsia="楷体_GB2312"/>
          <w:szCs w:val="21"/>
        </w:rPr>
        <w:t>1.3  如果卖方没有以书面形式对本技术规范的条文提出差异，则意味着卖方提供的设备完全符合本技术规范的要求，需方将认为供方完全接受和同意本技术规范书的要求。</w:t>
      </w:r>
    </w:p>
    <w:p w14:paraId="2492483C">
      <w:pPr>
        <w:pStyle w:val="12"/>
        <w:ind w:firstLine="0" w:firstLineChars="0"/>
        <w:rPr>
          <w:rFonts w:ascii="楷体_GB2312" w:eastAsia="楷体_GB2312"/>
          <w:szCs w:val="21"/>
        </w:rPr>
      </w:pPr>
      <w:r>
        <w:rPr>
          <w:rFonts w:hint="eastAsia" w:ascii="楷体_GB2312" w:eastAsia="楷体_GB2312"/>
          <w:szCs w:val="21"/>
        </w:rPr>
        <w:t>1.4  在签订合同之后，到供方开始制造之日的这段时间内，需方有权提出因规范标准和规程发生变化而产生的一些补充修改要求，供方应遵守这个要求，具体款项内容由供、需双方共同商定。</w:t>
      </w:r>
    </w:p>
    <w:p w14:paraId="3071CC53">
      <w:pPr>
        <w:pStyle w:val="12"/>
        <w:ind w:firstLine="0" w:firstLineChars="0"/>
        <w:rPr>
          <w:rFonts w:ascii="楷体_GB2312" w:eastAsia="楷体_GB2312"/>
          <w:szCs w:val="21"/>
        </w:rPr>
      </w:pPr>
      <w:r>
        <w:rPr>
          <w:rFonts w:hint="eastAsia" w:ascii="楷体_GB2312" w:eastAsia="楷体_GB2312"/>
          <w:szCs w:val="21"/>
        </w:rPr>
        <w:t>1.5  本技术规范书所使用的标准，如遇与供方所执行的标准不一致时，按较高的标准执行。如果本技术规范书与现行使用的有关国家标准以及部颁标准有明显抵触的条文，供方应及时书面通知需方进行解决。</w:t>
      </w:r>
    </w:p>
    <w:bookmarkEnd w:id="2"/>
    <w:p w14:paraId="734F2D58">
      <w:pPr>
        <w:pStyle w:val="12"/>
        <w:ind w:firstLine="0" w:firstLineChars="0"/>
        <w:rPr>
          <w:rFonts w:ascii="楷体_GB2312" w:hAnsi="楷体_GB2312" w:eastAsia="楷体_GB2312"/>
        </w:rPr>
      </w:pPr>
      <w:bookmarkStart w:id="3" w:name="_Toc316388741"/>
      <w:r>
        <w:rPr>
          <w:rFonts w:hint="eastAsia" w:ascii="楷体_GB2312" w:hAnsi="楷体_GB2312" w:eastAsia="楷体_GB2312"/>
        </w:rPr>
        <w:t>1.6应执行但不限于以下标准：</w:t>
      </w:r>
    </w:p>
    <w:p w14:paraId="522626E0">
      <w:pPr>
        <w:tabs>
          <w:tab w:val="center" w:pos="4706"/>
          <w:tab w:val="right" w:pos="9044"/>
        </w:tabs>
        <w:topLinePunct/>
        <w:spacing w:before="160" w:after="60" w:line="240" w:lineRule="auto"/>
        <w:jc w:val="center"/>
        <w:rPr>
          <w:rFonts w:ascii="楷体_GB2312" w:eastAsia="楷体_GB2312"/>
          <w:sz w:val="21"/>
          <w:szCs w:val="21"/>
          <w:lang w:val="de-AT" w:eastAsia="zh-CN"/>
        </w:rPr>
      </w:pPr>
      <w:r>
        <w:rPr>
          <w:rFonts w:ascii="楷体_GB2312" w:eastAsia="楷体_GB2312"/>
          <w:sz w:val="21"/>
          <w:szCs w:val="21"/>
          <w:lang w:val="de-AT" w:eastAsia="zh-CN"/>
        </w:rPr>
        <w:t>表1　引用标准一览表</w:t>
      </w:r>
    </w:p>
    <w:tbl>
      <w:tblPr>
        <w:tblStyle w:val="6"/>
        <w:tblW w:w="881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320"/>
        <w:gridCol w:w="5797"/>
      </w:tblGrid>
      <w:tr w14:paraId="79902A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trPr>
        <w:tc>
          <w:tcPr>
            <w:tcW w:w="701" w:type="dxa"/>
            <w:tcMar>
              <w:left w:w="0" w:type="dxa"/>
              <w:right w:w="0" w:type="dxa"/>
            </w:tcMar>
            <w:vAlign w:val="center"/>
          </w:tcPr>
          <w:p w14:paraId="28FC1999">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序号</w:t>
            </w:r>
          </w:p>
        </w:tc>
        <w:tc>
          <w:tcPr>
            <w:tcW w:w="2320" w:type="dxa"/>
            <w:tcMar>
              <w:left w:w="0" w:type="dxa"/>
              <w:right w:w="0" w:type="dxa"/>
            </w:tcMar>
            <w:vAlign w:val="center"/>
          </w:tcPr>
          <w:p w14:paraId="22FD47CE">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标  准  号</w:t>
            </w:r>
          </w:p>
        </w:tc>
        <w:tc>
          <w:tcPr>
            <w:tcW w:w="5797" w:type="dxa"/>
            <w:tcMar>
              <w:left w:w="0" w:type="dxa"/>
              <w:right w:w="0" w:type="dxa"/>
            </w:tcMar>
            <w:vAlign w:val="center"/>
          </w:tcPr>
          <w:p w14:paraId="1AA02C9A">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标  准  名  称</w:t>
            </w:r>
          </w:p>
        </w:tc>
      </w:tr>
      <w:tr w14:paraId="167FE7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40AECA98">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1</w:t>
            </w:r>
          </w:p>
        </w:tc>
        <w:tc>
          <w:tcPr>
            <w:tcW w:w="2320" w:type="dxa"/>
            <w:tcMar>
              <w:left w:w="0" w:type="dxa"/>
              <w:right w:w="0" w:type="dxa"/>
            </w:tcMar>
            <w:vAlign w:val="center"/>
          </w:tcPr>
          <w:p w14:paraId="3B7129D0">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 311.1</w:t>
            </w:r>
          </w:p>
        </w:tc>
        <w:tc>
          <w:tcPr>
            <w:tcW w:w="5797" w:type="dxa"/>
            <w:tcMar>
              <w:left w:w="0" w:type="dxa"/>
              <w:right w:w="0" w:type="dxa"/>
            </w:tcMar>
            <w:vAlign w:val="center"/>
          </w:tcPr>
          <w:p w14:paraId="2DEBD372">
            <w:pPr>
              <w:tabs>
                <w:tab w:val="left" w:pos="6840"/>
              </w:tabs>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高压输变电设备的绝缘配合</w:t>
            </w:r>
          </w:p>
        </w:tc>
      </w:tr>
      <w:tr w14:paraId="71D65E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11698C85">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2</w:t>
            </w:r>
          </w:p>
        </w:tc>
        <w:tc>
          <w:tcPr>
            <w:tcW w:w="2320" w:type="dxa"/>
            <w:tcMar>
              <w:left w:w="0" w:type="dxa"/>
              <w:right w:w="0" w:type="dxa"/>
            </w:tcMar>
            <w:vAlign w:val="center"/>
          </w:tcPr>
          <w:p w14:paraId="50E99353">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GB/T 2951</w:t>
            </w:r>
          </w:p>
        </w:tc>
        <w:tc>
          <w:tcPr>
            <w:tcW w:w="5797" w:type="dxa"/>
            <w:tcMar>
              <w:left w:w="0" w:type="dxa"/>
              <w:right w:w="0" w:type="dxa"/>
            </w:tcMar>
            <w:vAlign w:val="center"/>
          </w:tcPr>
          <w:p w14:paraId="529AD162">
            <w:pPr>
              <w:tabs>
                <w:tab w:val="left" w:pos="6840"/>
              </w:tabs>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电缆和光缆绝缘和护套材料通用试验方法</w:t>
            </w:r>
          </w:p>
        </w:tc>
      </w:tr>
      <w:tr w14:paraId="15B2EE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604DF1B9">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3</w:t>
            </w:r>
          </w:p>
        </w:tc>
        <w:tc>
          <w:tcPr>
            <w:tcW w:w="2320" w:type="dxa"/>
            <w:tcMar>
              <w:left w:w="0" w:type="dxa"/>
              <w:right w:w="0" w:type="dxa"/>
            </w:tcMar>
            <w:vAlign w:val="center"/>
          </w:tcPr>
          <w:p w14:paraId="16543E99">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GB/T 2952.1</w:t>
            </w:r>
          </w:p>
        </w:tc>
        <w:tc>
          <w:tcPr>
            <w:tcW w:w="5797" w:type="dxa"/>
            <w:tcMar>
              <w:left w:w="0" w:type="dxa"/>
              <w:right w:w="0" w:type="dxa"/>
            </w:tcMar>
            <w:vAlign w:val="center"/>
          </w:tcPr>
          <w:p w14:paraId="311976F1">
            <w:pPr>
              <w:tabs>
                <w:tab w:val="left" w:pos="6840"/>
              </w:tabs>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 xml:space="preserve">电缆外护层  </w:t>
            </w:r>
            <w:r>
              <w:rPr>
                <w:rFonts w:hint="eastAsia" w:ascii="楷体_GB2312" w:eastAsia="楷体_GB2312"/>
                <w:sz w:val="21"/>
                <w:szCs w:val="21"/>
                <w:lang w:val="de-AT" w:eastAsia="zh-CN"/>
              </w:rPr>
              <w:t>第1部分：</w:t>
            </w:r>
            <w:r>
              <w:rPr>
                <w:rFonts w:ascii="楷体_GB2312" w:eastAsia="楷体_GB2312"/>
                <w:sz w:val="21"/>
                <w:szCs w:val="21"/>
                <w:lang w:val="de-AT" w:eastAsia="zh-CN"/>
              </w:rPr>
              <w:t>总则</w:t>
            </w:r>
          </w:p>
        </w:tc>
      </w:tr>
      <w:tr w14:paraId="0B9F3B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33B1BE9C">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4</w:t>
            </w:r>
          </w:p>
        </w:tc>
        <w:tc>
          <w:tcPr>
            <w:tcW w:w="2320" w:type="dxa"/>
            <w:tcMar>
              <w:left w:w="0" w:type="dxa"/>
              <w:right w:w="0" w:type="dxa"/>
            </w:tcMar>
            <w:vAlign w:val="center"/>
          </w:tcPr>
          <w:p w14:paraId="00CB3886">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GB/T 3048</w:t>
            </w:r>
          </w:p>
        </w:tc>
        <w:tc>
          <w:tcPr>
            <w:tcW w:w="5797" w:type="dxa"/>
            <w:tcMar>
              <w:left w:w="0" w:type="dxa"/>
              <w:right w:w="0" w:type="dxa"/>
            </w:tcMar>
            <w:vAlign w:val="center"/>
          </w:tcPr>
          <w:p w14:paraId="0EB64CD7">
            <w:pPr>
              <w:tabs>
                <w:tab w:val="left" w:pos="6840"/>
              </w:tabs>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电线电缆电性能试验方法</w:t>
            </w:r>
          </w:p>
        </w:tc>
      </w:tr>
      <w:tr w14:paraId="57A05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2E8E7DDE">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5</w:t>
            </w:r>
          </w:p>
        </w:tc>
        <w:tc>
          <w:tcPr>
            <w:tcW w:w="2320" w:type="dxa"/>
            <w:tcMar>
              <w:left w:w="0" w:type="dxa"/>
              <w:right w:w="0" w:type="dxa"/>
            </w:tcMar>
            <w:vAlign w:val="center"/>
          </w:tcPr>
          <w:p w14:paraId="0384211A">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GB/T 3956</w:t>
            </w:r>
          </w:p>
        </w:tc>
        <w:tc>
          <w:tcPr>
            <w:tcW w:w="5797" w:type="dxa"/>
            <w:tcMar>
              <w:left w:w="0" w:type="dxa"/>
              <w:right w:w="0" w:type="dxa"/>
            </w:tcMar>
            <w:vAlign w:val="center"/>
          </w:tcPr>
          <w:p w14:paraId="6C3C71C7">
            <w:pPr>
              <w:tabs>
                <w:tab w:val="left" w:pos="6840"/>
              </w:tabs>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电缆的导体</w:t>
            </w:r>
          </w:p>
        </w:tc>
      </w:tr>
      <w:tr w14:paraId="47DEDF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3EBBC596">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6</w:t>
            </w:r>
          </w:p>
        </w:tc>
        <w:tc>
          <w:tcPr>
            <w:tcW w:w="2320" w:type="dxa"/>
            <w:tcMar>
              <w:left w:w="0" w:type="dxa"/>
              <w:right w:w="0" w:type="dxa"/>
            </w:tcMar>
            <w:vAlign w:val="center"/>
          </w:tcPr>
          <w:p w14:paraId="5862E562">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 6995.1</w:t>
            </w:r>
          </w:p>
        </w:tc>
        <w:tc>
          <w:tcPr>
            <w:tcW w:w="5797" w:type="dxa"/>
            <w:tcMar>
              <w:left w:w="0" w:type="dxa"/>
              <w:right w:w="0" w:type="dxa"/>
            </w:tcMar>
            <w:vAlign w:val="center"/>
          </w:tcPr>
          <w:p w14:paraId="7742750F">
            <w:pPr>
              <w:tabs>
                <w:tab w:val="left" w:pos="6840"/>
              </w:tabs>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电线电缆识别标志方法  第1部分：一般规定</w:t>
            </w:r>
          </w:p>
        </w:tc>
      </w:tr>
      <w:tr w14:paraId="27F850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76F5F348">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7</w:t>
            </w:r>
          </w:p>
        </w:tc>
        <w:tc>
          <w:tcPr>
            <w:tcW w:w="2320" w:type="dxa"/>
            <w:tcMar>
              <w:left w:w="0" w:type="dxa"/>
              <w:right w:w="0" w:type="dxa"/>
            </w:tcMar>
            <w:vAlign w:val="center"/>
          </w:tcPr>
          <w:p w14:paraId="18C73EA2">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 6995.3</w:t>
            </w:r>
          </w:p>
        </w:tc>
        <w:tc>
          <w:tcPr>
            <w:tcW w:w="5797" w:type="dxa"/>
            <w:tcMar>
              <w:left w:w="0" w:type="dxa"/>
              <w:right w:w="0" w:type="dxa"/>
            </w:tcMar>
            <w:vAlign w:val="center"/>
          </w:tcPr>
          <w:p w14:paraId="6D16F1CD">
            <w:pPr>
              <w:tabs>
                <w:tab w:val="left" w:pos="6840"/>
              </w:tabs>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电线电缆识别标志方法  第3部分：电线电缆识别标志</w:t>
            </w:r>
          </w:p>
        </w:tc>
      </w:tr>
      <w:tr w14:paraId="69026E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3A422867">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8</w:t>
            </w:r>
          </w:p>
        </w:tc>
        <w:tc>
          <w:tcPr>
            <w:tcW w:w="2320" w:type="dxa"/>
            <w:tcMar>
              <w:left w:w="0" w:type="dxa"/>
              <w:right w:w="0" w:type="dxa"/>
            </w:tcMar>
            <w:vAlign w:val="center"/>
          </w:tcPr>
          <w:p w14:paraId="0DC7A16B">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GB/T 7354</w:t>
            </w:r>
          </w:p>
        </w:tc>
        <w:tc>
          <w:tcPr>
            <w:tcW w:w="5797" w:type="dxa"/>
            <w:tcMar>
              <w:left w:w="0" w:type="dxa"/>
              <w:right w:w="0" w:type="dxa"/>
            </w:tcMar>
            <w:vAlign w:val="center"/>
          </w:tcPr>
          <w:p w14:paraId="600084A6">
            <w:pPr>
              <w:tabs>
                <w:tab w:val="left" w:pos="6840"/>
              </w:tabs>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局部放电测量</w:t>
            </w:r>
          </w:p>
        </w:tc>
      </w:tr>
      <w:tr w14:paraId="587AFF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0CF040D1">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9</w:t>
            </w:r>
          </w:p>
        </w:tc>
        <w:tc>
          <w:tcPr>
            <w:tcW w:w="2320" w:type="dxa"/>
            <w:tcMar>
              <w:left w:w="0" w:type="dxa"/>
              <w:right w:w="0" w:type="dxa"/>
            </w:tcMar>
            <w:vAlign w:val="center"/>
          </w:tcPr>
          <w:p w14:paraId="0294FAC4">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 14315</w:t>
            </w:r>
          </w:p>
        </w:tc>
        <w:tc>
          <w:tcPr>
            <w:tcW w:w="5797" w:type="dxa"/>
            <w:tcMar>
              <w:left w:w="0" w:type="dxa"/>
              <w:right w:w="0" w:type="dxa"/>
            </w:tcMar>
            <w:vAlign w:val="center"/>
          </w:tcPr>
          <w:p w14:paraId="6C5E6D3F">
            <w:pPr>
              <w:tabs>
                <w:tab w:val="left" w:pos="6840"/>
              </w:tabs>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电力电缆导体用压接型铜、铝接线端子和连接管</w:t>
            </w:r>
          </w:p>
        </w:tc>
      </w:tr>
      <w:tr w14:paraId="4B288A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50833EDF">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10</w:t>
            </w:r>
          </w:p>
        </w:tc>
        <w:tc>
          <w:tcPr>
            <w:tcW w:w="2320" w:type="dxa"/>
            <w:tcMar>
              <w:left w:w="0" w:type="dxa"/>
              <w:right w:w="0" w:type="dxa"/>
            </w:tcMar>
            <w:vAlign w:val="center"/>
          </w:tcPr>
          <w:p w14:paraId="748BD874">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GB/T 12706.1</w:t>
            </w:r>
          </w:p>
        </w:tc>
        <w:tc>
          <w:tcPr>
            <w:tcW w:w="5797" w:type="dxa"/>
            <w:tcMar>
              <w:left w:w="0" w:type="dxa"/>
              <w:right w:w="0" w:type="dxa"/>
            </w:tcMar>
            <w:vAlign w:val="center"/>
          </w:tcPr>
          <w:p w14:paraId="249B24C3">
            <w:pPr>
              <w:tabs>
                <w:tab w:val="left" w:pos="6840"/>
              </w:tabs>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额定电压1kV（Um=1.2kV）到35 kV（Um=40.5kV）挤包绝缘电力电缆及其附件  第2部分：额定电压30 kV 及以下电缆一般规定和结构要求</w:t>
            </w:r>
          </w:p>
        </w:tc>
      </w:tr>
      <w:tr w14:paraId="5292DF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6EC0C3ED">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11</w:t>
            </w:r>
          </w:p>
        </w:tc>
        <w:tc>
          <w:tcPr>
            <w:tcW w:w="2320" w:type="dxa"/>
            <w:tcMar>
              <w:left w:w="0" w:type="dxa"/>
              <w:right w:w="0" w:type="dxa"/>
            </w:tcMar>
            <w:vAlign w:val="center"/>
          </w:tcPr>
          <w:p w14:paraId="436D242E">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GB/T 12706.2</w:t>
            </w:r>
          </w:p>
        </w:tc>
        <w:tc>
          <w:tcPr>
            <w:tcW w:w="5797" w:type="dxa"/>
            <w:tcMar>
              <w:left w:w="0" w:type="dxa"/>
              <w:right w:w="0" w:type="dxa"/>
            </w:tcMar>
            <w:vAlign w:val="center"/>
          </w:tcPr>
          <w:p w14:paraId="2D3ABEB0">
            <w:pPr>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额定电压1kV（Um=1.2kV）到35 kV （Um=40.5kV）挤包绝缘电力电缆及其附件  第2部分：额定电压6 kV（Um=7.2kV）到30 kV（Um=36kV）电缆</w:t>
            </w:r>
          </w:p>
        </w:tc>
      </w:tr>
    </w:tbl>
    <w:p w14:paraId="78197945">
      <w:pPr>
        <w:tabs>
          <w:tab w:val="center" w:pos="4706"/>
          <w:tab w:val="right" w:pos="9044"/>
        </w:tabs>
        <w:topLinePunct/>
        <w:spacing w:before="160" w:after="60" w:line="440" w:lineRule="exact"/>
        <w:jc w:val="center"/>
        <w:rPr>
          <w:rFonts w:ascii="楷体_GB2312" w:eastAsia="楷体_GB2312"/>
          <w:sz w:val="21"/>
          <w:szCs w:val="21"/>
          <w:lang w:val="de-AT" w:eastAsia="zh-CN"/>
        </w:rPr>
      </w:pPr>
      <w:r>
        <w:rPr>
          <w:rFonts w:hint="eastAsia" w:ascii="楷体_GB2312" w:eastAsia="楷体_GB2312"/>
          <w:sz w:val="21"/>
          <w:szCs w:val="21"/>
          <w:lang w:val="de-AT" w:eastAsia="zh-CN"/>
        </w:rPr>
        <w:t>表1（续）</w:t>
      </w:r>
    </w:p>
    <w:tbl>
      <w:tblPr>
        <w:tblStyle w:val="6"/>
        <w:tblW w:w="881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320"/>
        <w:gridCol w:w="5797"/>
      </w:tblGrid>
      <w:tr w14:paraId="484A95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trPr>
        <w:tc>
          <w:tcPr>
            <w:tcW w:w="701" w:type="dxa"/>
            <w:tcMar>
              <w:left w:w="0" w:type="dxa"/>
              <w:right w:w="0" w:type="dxa"/>
            </w:tcMar>
            <w:vAlign w:val="center"/>
          </w:tcPr>
          <w:p w14:paraId="3D2150A5">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序号</w:t>
            </w:r>
          </w:p>
        </w:tc>
        <w:tc>
          <w:tcPr>
            <w:tcW w:w="2320" w:type="dxa"/>
            <w:tcMar>
              <w:left w:w="0" w:type="dxa"/>
              <w:right w:w="0" w:type="dxa"/>
            </w:tcMar>
            <w:vAlign w:val="center"/>
          </w:tcPr>
          <w:p w14:paraId="0584B0BA">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标  准  号</w:t>
            </w:r>
          </w:p>
        </w:tc>
        <w:tc>
          <w:tcPr>
            <w:tcW w:w="5797" w:type="dxa"/>
            <w:tcMar>
              <w:left w:w="0" w:type="dxa"/>
              <w:right w:w="0" w:type="dxa"/>
            </w:tcMar>
            <w:vAlign w:val="center"/>
          </w:tcPr>
          <w:p w14:paraId="1DE0B6E8">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标  准  名  称</w:t>
            </w:r>
          </w:p>
        </w:tc>
      </w:tr>
      <w:tr w14:paraId="26EE76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3F765B73">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12</w:t>
            </w:r>
          </w:p>
        </w:tc>
        <w:tc>
          <w:tcPr>
            <w:tcW w:w="2320" w:type="dxa"/>
            <w:tcMar>
              <w:left w:w="0" w:type="dxa"/>
              <w:right w:w="0" w:type="dxa"/>
            </w:tcMar>
            <w:vAlign w:val="center"/>
          </w:tcPr>
          <w:p w14:paraId="7BC63E42">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GB/T 19666</w:t>
            </w:r>
          </w:p>
        </w:tc>
        <w:tc>
          <w:tcPr>
            <w:tcW w:w="5797" w:type="dxa"/>
            <w:tcMar>
              <w:left w:w="0" w:type="dxa"/>
              <w:right w:w="0" w:type="dxa"/>
            </w:tcMar>
            <w:vAlign w:val="center"/>
          </w:tcPr>
          <w:p w14:paraId="0F5F8108">
            <w:pPr>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阻燃和耐火电线电缆通则</w:t>
            </w:r>
          </w:p>
        </w:tc>
      </w:tr>
      <w:tr w14:paraId="007121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5D281DD4">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13</w:t>
            </w:r>
          </w:p>
        </w:tc>
        <w:tc>
          <w:tcPr>
            <w:tcW w:w="2320" w:type="dxa"/>
            <w:tcMar>
              <w:left w:w="0" w:type="dxa"/>
              <w:right w:w="0" w:type="dxa"/>
            </w:tcMar>
            <w:vAlign w:val="center"/>
          </w:tcPr>
          <w:p w14:paraId="5425F649">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JB/T 10181</w:t>
            </w:r>
          </w:p>
        </w:tc>
        <w:tc>
          <w:tcPr>
            <w:tcW w:w="5797" w:type="dxa"/>
            <w:tcMar>
              <w:left w:w="0" w:type="dxa"/>
              <w:right w:w="0" w:type="dxa"/>
            </w:tcMar>
            <w:vAlign w:val="center"/>
          </w:tcPr>
          <w:p w14:paraId="09EF1E9E">
            <w:pPr>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电缆载流量计算</w:t>
            </w:r>
          </w:p>
        </w:tc>
      </w:tr>
      <w:tr w14:paraId="44B2AF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5D3D0116">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14</w:t>
            </w:r>
          </w:p>
        </w:tc>
        <w:tc>
          <w:tcPr>
            <w:tcW w:w="2320" w:type="dxa"/>
            <w:tcMar>
              <w:left w:w="0" w:type="dxa"/>
              <w:right w:w="0" w:type="dxa"/>
            </w:tcMar>
            <w:vAlign w:val="center"/>
          </w:tcPr>
          <w:p w14:paraId="05A1287C">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IEC 60287</w:t>
            </w:r>
          </w:p>
        </w:tc>
        <w:tc>
          <w:tcPr>
            <w:tcW w:w="5797" w:type="dxa"/>
            <w:tcMar>
              <w:left w:w="0" w:type="dxa"/>
              <w:right w:w="0" w:type="dxa"/>
            </w:tcMar>
            <w:vAlign w:val="center"/>
          </w:tcPr>
          <w:p w14:paraId="54551A21">
            <w:pPr>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有关电缆载流量计算的标准</w:t>
            </w:r>
          </w:p>
        </w:tc>
      </w:tr>
      <w:tr w14:paraId="050E34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01" w:type="dxa"/>
            <w:tcMar>
              <w:left w:w="0" w:type="dxa"/>
              <w:right w:w="0" w:type="dxa"/>
            </w:tcMar>
            <w:vAlign w:val="center"/>
          </w:tcPr>
          <w:p w14:paraId="245F6A0D">
            <w:pPr>
              <w:overflowPunct w:val="0"/>
              <w:topLinePunct/>
              <w:snapToGrid w:val="0"/>
              <w:spacing w:before="56" w:after="56" w:line="240" w:lineRule="auto"/>
              <w:jc w:val="center"/>
              <w:rPr>
                <w:rFonts w:ascii="楷体_GB2312" w:eastAsia="楷体_GB2312"/>
                <w:sz w:val="21"/>
                <w:szCs w:val="21"/>
                <w:lang w:val="de-AT" w:eastAsia="zh-CN"/>
              </w:rPr>
            </w:pPr>
            <w:r>
              <w:rPr>
                <w:rFonts w:hint="eastAsia" w:ascii="楷体_GB2312" w:eastAsia="楷体_GB2312"/>
                <w:sz w:val="21"/>
                <w:szCs w:val="21"/>
                <w:lang w:val="de-AT" w:eastAsia="zh-CN"/>
              </w:rPr>
              <w:t>15</w:t>
            </w:r>
          </w:p>
        </w:tc>
        <w:tc>
          <w:tcPr>
            <w:tcW w:w="2320" w:type="dxa"/>
            <w:tcMar>
              <w:left w:w="0" w:type="dxa"/>
              <w:right w:w="0" w:type="dxa"/>
            </w:tcMar>
            <w:vAlign w:val="center"/>
          </w:tcPr>
          <w:p w14:paraId="10809479">
            <w:pPr>
              <w:overflowPunct w:val="0"/>
              <w:topLinePunct/>
              <w:snapToGrid w:val="0"/>
              <w:spacing w:before="56" w:after="56" w:line="240" w:lineRule="auto"/>
              <w:jc w:val="center"/>
              <w:rPr>
                <w:rFonts w:ascii="楷体_GB2312" w:eastAsia="楷体_GB2312"/>
                <w:sz w:val="21"/>
                <w:szCs w:val="21"/>
                <w:lang w:val="de-AT" w:eastAsia="zh-CN"/>
              </w:rPr>
            </w:pPr>
            <w:r>
              <w:rPr>
                <w:rFonts w:ascii="楷体_GB2312" w:eastAsia="楷体_GB2312"/>
                <w:sz w:val="21"/>
                <w:szCs w:val="21"/>
                <w:lang w:val="de-AT" w:eastAsia="zh-CN"/>
              </w:rPr>
              <w:t>IEC 60502</w:t>
            </w:r>
          </w:p>
        </w:tc>
        <w:tc>
          <w:tcPr>
            <w:tcW w:w="5797" w:type="dxa"/>
            <w:tcMar>
              <w:left w:w="0" w:type="dxa"/>
              <w:right w:w="0" w:type="dxa"/>
            </w:tcMar>
            <w:vAlign w:val="center"/>
          </w:tcPr>
          <w:p w14:paraId="603139C6">
            <w:pPr>
              <w:overflowPunct w:val="0"/>
              <w:topLinePunct/>
              <w:snapToGrid w:val="0"/>
              <w:spacing w:before="56" w:after="56" w:line="240" w:lineRule="auto"/>
              <w:ind w:left="44" w:leftChars="20" w:right="44" w:rightChars="20" w:firstLine="210" w:firstLineChars="100"/>
              <w:rPr>
                <w:rFonts w:ascii="楷体_GB2312" w:eastAsia="楷体_GB2312"/>
                <w:sz w:val="21"/>
                <w:szCs w:val="21"/>
                <w:lang w:val="de-AT" w:eastAsia="zh-CN"/>
              </w:rPr>
            </w:pPr>
            <w:r>
              <w:rPr>
                <w:rFonts w:ascii="楷体_GB2312" w:eastAsia="楷体_GB2312"/>
                <w:sz w:val="21"/>
                <w:szCs w:val="21"/>
                <w:lang w:val="de-AT" w:eastAsia="zh-CN"/>
              </w:rPr>
              <w:t>额定电压1kV（Um=1.2kV）到30kV（Um=36kV）挤包绝缘电力电缆及其附件</w:t>
            </w:r>
          </w:p>
        </w:tc>
      </w:tr>
    </w:tbl>
    <w:p w14:paraId="7CC069FC">
      <w:pPr>
        <w:pStyle w:val="12"/>
        <w:ind w:firstLine="0" w:firstLineChars="0"/>
        <w:rPr>
          <w:rFonts w:ascii="楷体_GB2312" w:eastAsia="楷体_GB2312"/>
          <w:kern w:val="21"/>
          <w:szCs w:val="21"/>
        </w:rPr>
      </w:pPr>
      <w:r>
        <w:rPr>
          <w:rFonts w:hint="eastAsia" w:ascii="楷体_GB2312" w:eastAsia="楷体_GB2312"/>
          <w:szCs w:val="21"/>
          <w:lang w:val="de-DE"/>
        </w:rPr>
        <w:t xml:space="preserve">1.7  </w:t>
      </w:r>
      <w:r>
        <w:rPr>
          <w:rFonts w:hint="eastAsia" w:ascii="楷体_GB2312" w:eastAsia="楷体_GB2312"/>
          <w:kern w:val="21"/>
          <w:szCs w:val="21"/>
        </w:rPr>
        <w:t>本技术规范将作为订货合同的附件，与合同具有同等的法律效力。本技术规范未尽事宜，由合同签约双方在合同谈判时协商确定。</w:t>
      </w:r>
    </w:p>
    <w:p w14:paraId="0183BEBE">
      <w:pPr>
        <w:pStyle w:val="2"/>
        <w:numPr>
          <w:ilvl w:val="0"/>
          <w:numId w:val="0"/>
        </w:numPr>
        <w:rPr>
          <w:rFonts w:ascii="楷体_GB2312" w:hAnsi="楷体_GB2312" w:eastAsia="楷体_GB2312" w:cs="楷体_GB2312"/>
          <w:sz w:val="21"/>
          <w:szCs w:val="21"/>
        </w:rPr>
      </w:pPr>
      <w:bookmarkStart w:id="4" w:name="_Toc9021"/>
      <w:bookmarkStart w:id="5" w:name="_Toc493858823"/>
      <w:r>
        <w:rPr>
          <w:rFonts w:hint="eastAsia" w:ascii="楷体_GB2312" w:hAnsi="楷体_GB2312" w:eastAsia="楷体_GB2312" w:cs="楷体_GB2312"/>
          <w:sz w:val="21"/>
          <w:szCs w:val="21"/>
        </w:rPr>
        <w:t>2工程概况</w:t>
      </w:r>
      <w:bookmarkEnd w:id="4"/>
      <w:bookmarkEnd w:id="5"/>
    </w:p>
    <w:p w14:paraId="39D06B83">
      <w:pPr>
        <w:pStyle w:val="12"/>
        <w:ind w:firstLine="0" w:firstLineChars="0"/>
        <w:rPr>
          <w:rFonts w:ascii="楷体_GB2312" w:eastAsia="楷体_GB2312"/>
          <w:szCs w:val="21"/>
          <w:lang w:val="de-DE"/>
        </w:rPr>
      </w:pPr>
      <w:r>
        <w:rPr>
          <w:rFonts w:hint="eastAsia" w:ascii="楷体_GB2312" w:eastAsia="楷体_GB2312"/>
          <w:szCs w:val="21"/>
          <w:lang w:val="de-DE"/>
        </w:rPr>
        <w:t>2.1 工程概况</w:t>
      </w:r>
    </w:p>
    <w:p w14:paraId="6CD8F2EA">
      <w:pPr>
        <w:pStyle w:val="12"/>
        <w:ind w:firstLine="420"/>
        <w:rPr>
          <w:rFonts w:eastAsia="楷体"/>
          <w:szCs w:val="21"/>
        </w:rPr>
      </w:pPr>
      <w:r>
        <w:rPr>
          <w:rFonts w:hint="eastAsia" w:eastAsia="楷体"/>
          <w:szCs w:val="21"/>
        </w:rPr>
        <w:t>项目名称：</w:t>
      </w:r>
      <w:r>
        <w:rPr>
          <w:rFonts w:hint="eastAsia" w:eastAsia="楷体"/>
          <w:szCs w:val="21"/>
          <w:lang w:val="en-US" w:eastAsia="zh-CN"/>
        </w:rPr>
        <w:t>醋酸乙烯及EVA一体化</w:t>
      </w:r>
      <w:r>
        <w:rPr>
          <w:rFonts w:hint="eastAsia" w:eastAsia="楷体"/>
          <w:szCs w:val="21"/>
        </w:rPr>
        <w:t>项目</w:t>
      </w:r>
    </w:p>
    <w:p w14:paraId="3F4A74E8">
      <w:pPr>
        <w:pStyle w:val="12"/>
        <w:ind w:firstLine="420"/>
        <w:rPr>
          <w:rFonts w:hint="eastAsia" w:ascii="楷体_GB2312" w:eastAsia="楷体"/>
          <w:szCs w:val="21"/>
          <w:lang w:eastAsia="zh-CN"/>
        </w:rPr>
      </w:pPr>
      <w:r>
        <w:rPr>
          <w:rFonts w:hint="eastAsia" w:eastAsia="楷体"/>
          <w:szCs w:val="21"/>
        </w:rPr>
        <w:t>业主：</w:t>
      </w:r>
      <w:r>
        <w:rPr>
          <w:rFonts w:hint="eastAsia" w:eastAsia="楷体"/>
          <w:szCs w:val="21"/>
          <w:lang w:eastAsia="zh-CN"/>
        </w:rPr>
        <w:t>江苏索普</w:t>
      </w:r>
      <w:r>
        <w:rPr>
          <w:rFonts w:hint="eastAsia" w:eastAsia="楷体"/>
          <w:szCs w:val="21"/>
          <w:lang w:val="en-US" w:eastAsia="zh-CN"/>
        </w:rPr>
        <w:t>新材料科技</w:t>
      </w:r>
      <w:r>
        <w:rPr>
          <w:rFonts w:hint="eastAsia" w:eastAsia="楷体"/>
          <w:szCs w:val="21"/>
          <w:lang w:eastAsia="zh-CN"/>
        </w:rPr>
        <w:t>有限公司</w:t>
      </w:r>
    </w:p>
    <w:p w14:paraId="5322EB01">
      <w:pPr>
        <w:pStyle w:val="12"/>
        <w:ind w:firstLine="420"/>
        <w:rPr>
          <w:rFonts w:eastAsia="楷体"/>
          <w:szCs w:val="21"/>
        </w:rPr>
      </w:pPr>
      <w:r>
        <w:rPr>
          <w:rFonts w:hint="eastAsia" w:eastAsia="楷体"/>
          <w:szCs w:val="21"/>
        </w:rPr>
        <w:t>项目所在地：江苏省镇江市京口区</w:t>
      </w:r>
      <w:bookmarkStart w:id="52" w:name="_GoBack"/>
      <w:bookmarkEnd w:id="52"/>
    </w:p>
    <w:p w14:paraId="7BA10E56">
      <w:pPr>
        <w:pStyle w:val="12"/>
        <w:ind w:firstLine="0" w:firstLineChars="0"/>
        <w:rPr>
          <w:rFonts w:ascii="楷体_GB2312" w:eastAsia="楷体_GB2312"/>
          <w:szCs w:val="21"/>
        </w:rPr>
      </w:pPr>
      <w:r>
        <w:rPr>
          <w:rFonts w:hint="eastAsia" w:ascii="楷体_GB2312" w:eastAsia="楷体_GB2312"/>
          <w:szCs w:val="21"/>
        </w:rPr>
        <w:t>2.2 气候条件</w:t>
      </w:r>
    </w:p>
    <w:p w14:paraId="0FB5AA9F">
      <w:pPr>
        <w:pStyle w:val="12"/>
        <w:ind w:firstLine="420"/>
        <w:rPr>
          <w:rFonts w:eastAsia="楷体"/>
          <w:szCs w:val="21"/>
        </w:rPr>
      </w:pPr>
      <w:r>
        <w:rPr>
          <w:rFonts w:eastAsia="楷体"/>
          <w:szCs w:val="21"/>
        </w:rPr>
        <w:t>镇江属亚热带季风气候，四季分明。市区年平均气温15.6</w:t>
      </w:r>
      <w:r>
        <w:rPr>
          <w:rFonts w:hint="eastAsia" w:eastAsia="楷体"/>
          <w:szCs w:val="21"/>
        </w:rPr>
        <w:t>℃</w:t>
      </w:r>
      <w:r>
        <w:rPr>
          <w:rFonts w:eastAsia="楷体"/>
          <w:szCs w:val="21"/>
        </w:rPr>
        <w:t>，降水量1088.2毫米，其中</w:t>
      </w:r>
      <w:r>
        <w:fldChar w:fldCharType="begin"/>
      </w:r>
      <w:r>
        <w:instrText xml:space="preserve"> HYPERLINK "https://baike.baidu.com/item/%E6%A2%85%E9%9B%A8" \t "_blank" </w:instrText>
      </w:r>
      <w:r>
        <w:fldChar w:fldCharType="separate"/>
      </w:r>
      <w:r>
        <w:rPr>
          <w:rFonts w:eastAsia="楷体"/>
        </w:rPr>
        <w:t>梅雨</w:t>
      </w:r>
      <w:r>
        <w:rPr>
          <w:rFonts w:eastAsia="楷体"/>
        </w:rPr>
        <w:fldChar w:fldCharType="end"/>
      </w:r>
      <w:r>
        <w:rPr>
          <w:rFonts w:eastAsia="楷体"/>
          <w:szCs w:val="21"/>
        </w:rPr>
        <w:t>量263.3毫米，</w:t>
      </w:r>
      <w:r>
        <w:fldChar w:fldCharType="begin"/>
      </w:r>
      <w:r>
        <w:instrText xml:space="preserve"> HYPERLINK "https://baike.baidu.com/item/%E6%97%A5%E7%85%A7" \t "_blank" </w:instrText>
      </w:r>
      <w:r>
        <w:fldChar w:fldCharType="separate"/>
      </w:r>
      <w:r>
        <w:rPr>
          <w:rFonts w:eastAsia="楷体"/>
        </w:rPr>
        <w:t>日照</w:t>
      </w:r>
      <w:r>
        <w:rPr>
          <w:rFonts w:eastAsia="楷体"/>
        </w:rPr>
        <w:fldChar w:fldCharType="end"/>
      </w:r>
      <w:r>
        <w:rPr>
          <w:rFonts w:eastAsia="楷体"/>
          <w:szCs w:val="21"/>
        </w:rPr>
        <w:t>时数2000.9小时，极端最高气温40.2</w:t>
      </w:r>
      <w:r>
        <w:rPr>
          <w:rFonts w:hint="eastAsia" w:eastAsia="楷体"/>
          <w:szCs w:val="21"/>
        </w:rPr>
        <w:t>℃</w:t>
      </w:r>
      <w:r>
        <w:rPr>
          <w:rFonts w:eastAsia="楷体"/>
          <w:szCs w:val="21"/>
        </w:rPr>
        <w:t>，极端最低气温-10.1</w:t>
      </w:r>
      <w:r>
        <w:rPr>
          <w:rFonts w:hint="eastAsia" w:eastAsia="楷体"/>
          <w:szCs w:val="21"/>
        </w:rPr>
        <w:t>℃</w:t>
      </w:r>
      <w:r>
        <w:rPr>
          <w:rFonts w:eastAsia="楷体"/>
          <w:szCs w:val="21"/>
        </w:rPr>
        <w:t>。</w:t>
      </w:r>
    </w:p>
    <w:p w14:paraId="5E957882">
      <w:pPr>
        <w:pStyle w:val="12"/>
        <w:ind w:firstLine="0" w:firstLineChars="0"/>
        <w:rPr>
          <w:rFonts w:ascii="楷体_GB2312" w:eastAsia="楷体_GB2312"/>
          <w:szCs w:val="21"/>
        </w:rPr>
      </w:pPr>
      <w:r>
        <w:rPr>
          <w:rFonts w:hint="eastAsia" w:ascii="楷体_GB2312" w:eastAsia="楷体_GB2312"/>
          <w:szCs w:val="21"/>
        </w:rPr>
        <w:t>2.3设备工作条件及要求</w:t>
      </w:r>
    </w:p>
    <w:p w14:paraId="0DC01CCB">
      <w:pPr>
        <w:pStyle w:val="12"/>
        <w:ind w:firstLine="420"/>
        <w:rPr>
          <w:rFonts w:ascii="楷体_GB2312" w:eastAsia="楷体_GB2312"/>
          <w:szCs w:val="21"/>
        </w:rPr>
      </w:pPr>
      <w:r>
        <w:rPr>
          <w:rFonts w:hint="eastAsia" w:ascii="楷体_GB2312" w:eastAsia="楷体_GB2312"/>
          <w:szCs w:val="21"/>
        </w:rPr>
        <w:t>室内布置</w:t>
      </w:r>
    </w:p>
    <w:p w14:paraId="6599F453">
      <w:pPr>
        <w:pStyle w:val="12"/>
        <w:ind w:left="422" w:leftChars="192" w:firstLine="0" w:firstLineChars="0"/>
        <w:rPr>
          <w:rFonts w:ascii="楷体_GB2312" w:eastAsia="楷体_GB2312"/>
          <w:szCs w:val="21"/>
        </w:rPr>
      </w:pPr>
      <w:r>
        <w:rPr>
          <w:rFonts w:hint="eastAsia" w:ascii="楷体_GB2312" w:eastAsia="楷体_GB2312"/>
          <w:szCs w:val="21"/>
        </w:rPr>
        <w:t xml:space="preserve">海拔不超过1000m。 </w:t>
      </w:r>
      <w:r>
        <w:rPr>
          <w:rFonts w:hint="eastAsia" w:ascii="楷体_GB2312" w:eastAsia="楷体_GB2312"/>
          <w:szCs w:val="21"/>
        </w:rPr>
        <w:br w:type="textWrapping"/>
      </w:r>
      <w:r>
        <w:rPr>
          <w:rFonts w:hint="eastAsia" w:ascii="楷体_GB2312" w:eastAsia="楷体_GB2312"/>
          <w:szCs w:val="21"/>
        </w:rPr>
        <w:t xml:space="preserve">设备运行期间周围空气温度不高于40℃，不低于-10℃。 </w:t>
      </w:r>
      <w:r>
        <w:rPr>
          <w:rFonts w:hint="eastAsia" w:ascii="楷体_GB2312" w:eastAsia="楷体_GB2312"/>
          <w:szCs w:val="21"/>
        </w:rPr>
        <w:br w:type="textWrapping"/>
      </w:r>
      <w:r>
        <w:rPr>
          <w:rFonts w:hint="eastAsia" w:ascii="楷体_GB2312" w:eastAsia="楷体_GB2312"/>
          <w:szCs w:val="21"/>
        </w:rPr>
        <w:t>使用地点不得有爆炸危险介质，周围介质不含有腐蚀金属和破坏绝缘的有害气体及导电介质。</w:t>
      </w:r>
    </w:p>
    <w:bookmarkEnd w:id="3"/>
    <w:p w14:paraId="3B75BE84">
      <w:pPr>
        <w:pStyle w:val="2"/>
        <w:numPr>
          <w:ilvl w:val="0"/>
          <w:numId w:val="0"/>
        </w:numPr>
        <w:tabs>
          <w:tab w:val="left" w:pos="432"/>
        </w:tabs>
        <w:rPr>
          <w:rFonts w:ascii="楷体_GB2312" w:eastAsia="楷体_GB2312" w:cs="Arial"/>
          <w:bCs/>
          <w:sz w:val="21"/>
          <w:szCs w:val="21"/>
        </w:rPr>
      </w:pPr>
      <w:bookmarkStart w:id="6" w:name="_Toc13866"/>
      <w:bookmarkStart w:id="7" w:name="_Toc19094"/>
      <w:bookmarkStart w:id="8" w:name="_Toc4918"/>
      <w:bookmarkStart w:id="9" w:name="_Toc493858824"/>
      <w:r>
        <w:rPr>
          <w:rFonts w:hint="eastAsia" w:ascii="楷体_GB2312" w:eastAsia="楷体_GB2312" w:cs="Arial"/>
          <w:bCs/>
          <w:sz w:val="21"/>
          <w:szCs w:val="21"/>
        </w:rPr>
        <w:t>3动力及控制电缆参数及要求</w:t>
      </w:r>
      <w:bookmarkEnd w:id="6"/>
      <w:bookmarkEnd w:id="7"/>
      <w:bookmarkEnd w:id="8"/>
      <w:bookmarkEnd w:id="9"/>
    </w:p>
    <w:p w14:paraId="4F5637AA">
      <w:pPr>
        <w:topLinePunct/>
        <w:rPr>
          <w:rFonts w:ascii="楷体_GB2312" w:eastAsia="楷体_GB2312"/>
          <w:spacing w:val="5"/>
          <w:sz w:val="21"/>
          <w:szCs w:val="24"/>
          <w:lang w:val="en-US"/>
        </w:rPr>
      </w:pPr>
      <w:bookmarkStart w:id="10" w:name="_Toc156123409"/>
      <w:bookmarkStart w:id="11" w:name="_Toc247620584"/>
      <w:bookmarkStart w:id="12" w:name="_Toc313518722"/>
      <w:r>
        <w:rPr>
          <w:rFonts w:hint="eastAsia" w:ascii="楷体_GB2312" w:eastAsia="楷体_GB2312"/>
          <w:spacing w:val="5"/>
          <w:sz w:val="21"/>
          <w:szCs w:val="24"/>
          <w:lang w:val="en-US"/>
        </w:rPr>
        <w:t>3</w:t>
      </w:r>
      <w:r>
        <w:rPr>
          <w:rFonts w:ascii="楷体_GB2312" w:eastAsia="楷体_GB2312"/>
          <w:spacing w:val="5"/>
          <w:sz w:val="21"/>
          <w:szCs w:val="24"/>
          <w:lang w:val="en-US"/>
        </w:rPr>
        <w:t>.1</w:t>
      </w:r>
      <w:bookmarkEnd w:id="10"/>
      <w:r>
        <w:rPr>
          <w:rFonts w:ascii="楷体_GB2312" w:eastAsia="楷体_GB2312"/>
          <w:spacing w:val="5"/>
          <w:sz w:val="21"/>
          <w:szCs w:val="24"/>
          <w:lang w:val="en-US"/>
        </w:rPr>
        <w:t>　电缆结构</w:t>
      </w:r>
      <w:bookmarkEnd w:id="11"/>
    </w:p>
    <w:p w14:paraId="175B74A0">
      <w:pPr>
        <w:tabs>
          <w:tab w:val="left" w:pos="6840"/>
        </w:tabs>
        <w:overflowPunct w:val="0"/>
        <w:topLinePunct/>
        <w:rPr>
          <w:rFonts w:ascii="楷体_GB2312" w:eastAsia="楷体_GB2312"/>
          <w:spacing w:val="5"/>
          <w:sz w:val="21"/>
          <w:szCs w:val="24"/>
          <w:lang w:val="en-US" w:eastAsia="zh-CN"/>
        </w:rPr>
      </w:pPr>
      <w:r>
        <w:rPr>
          <w:rFonts w:ascii="楷体_GB2312" w:eastAsia="楷体_GB2312"/>
          <w:spacing w:val="5"/>
          <w:sz w:val="21"/>
          <w:szCs w:val="24"/>
          <w:lang w:val="en-US"/>
        </w:rPr>
        <w:t>电缆结构除符合GB/T 12706.2的规定外，还应满足以下要求。</w:t>
      </w:r>
    </w:p>
    <w:p w14:paraId="46C34501">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3.1.1</w:t>
      </w:r>
      <w:r>
        <w:rPr>
          <w:rFonts w:ascii="楷体_GB2312" w:eastAsia="楷体_GB2312"/>
          <w:spacing w:val="5"/>
          <w:sz w:val="21"/>
          <w:szCs w:val="24"/>
          <w:lang w:val="en-US"/>
        </w:rPr>
        <w:t>　导体</w:t>
      </w:r>
    </w:p>
    <w:p w14:paraId="70A3DDF0">
      <w:pPr>
        <w:overflowPunct w:val="0"/>
        <w:rPr>
          <w:rFonts w:ascii="楷体_GB2312" w:eastAsia="楷体_GB2312"/>
          <w:spacing w:val="5"/>
          <w:sz w:val="21"/>
          <w:szCs w:val="24"/>
          <w:lang w:val="en-US"/>
        </w:rPr>
      </w:pPr>
      <w:r>
        <w:rPr>
          <w:rFonts w:ascii="楷体_GB2312" w:eastAsia="楷体_GB2312"/>
          <w:spacing w:val="5"/>
          <w:sz w:val="21"/>
          <w:szCs w:val="24"/>
          <w:lang w:val="en-US"/>
        </w:rPr>
        <w:t>导体表面应光洁、无油污、无损伤屏蔽及绝缘的毛刺、锐边，无凸起或断裂的单线。导体应为圆形并绞合紧压，紧压系数不小于0.9。铜导体单线必须采用TR型软铜线；铝导体应采用电工铝（导电率≥61%IACS）。</w:t>
      </w:r>
    </w:p>
    <w:p w14:paraId="2F3B8494">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3.1.2</w:t>
      </w:r>
      <w:r>
        <w:rPr>
          <w:rFonts w:ascii="楷体_GB2312" w:eastAsia="楷体_GB2312"/>
          <w:spacing w:val="5"/>
          <w:sz w:val="21"/>
          <w:szCs w:val="24"/>
          <w:lang w:val="en-US"/>
        </w:rPr>
        <w:t>　挤出交联工艺</w:t>
      </w:r>
    </w:p>
    <w:p w14:paraId="05AD4420">
      <w:pPr>
        <w:overflowPunct w:val="0"/>
        <w:rPr>
          <w:rFonts w:ascii="楷体_GB2312" w:eastAsia="楷体_GB2312"/>
          <w:spacing w:val="5"/>
          <w:sz w:val="21"/>
          <w:szCs w:val="24"/>
          <w:lang w:val="en-US"/>
        </w:rPr>
      </w:pPr>
      <w:r>
        <w:rPr>
          <w:rFonts w:ascii="楷体_GB2312" w:eastAsia="楷体_GB2312"/>
          <w:spacing w:val="5"/>
          <w:sz w:val="21"/>
          <w:szCs w:val="24"/>
          <w:lang w:val="en-US"/>
        </w:rPr>
        <w:t>导体屏蔽、绝缘、绝缘屏蔽应采用三层共挤工艺，全封闭化学交联。绝缘料采用交联聚乙烯料，半导电屏蔽料采用交联型材料，绝缘料和半导电料从生产之日到使用不应超过半年。生产厂家提供对产品工艺制造水平的描述，包括干式交联流水线方式，生产设备中的测偏装置、干式交联，冷却装置的描述等。</w:t>
      </w:r>
    </w:p>
    <w:p w14:paraId="2B701362">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3.1.3</w:t>
      </w:r>
      <w:r>
        <w:rPr>
          <w:rFonts w:ascii="楷体_GB2312" w:eastAsia="楷体_GB2312"/>
          <w:spacing w:val="5"/>
          <w:sz w:val="21"/>
          <w:szCs w:val="24"/>
          <w:lang w:val="en-US"/>
        </w:rPr>
        <w:t>　导体屏蔽</w:t>
      </w:r>
    </w:p>
    <w:p w14:paraId="5A932DA6">
      <w:pPr>
        <w:overflowPunct w:val="0"/>
        <w:rPr>
          <w:rFonts w:ascii="楷体_GB2312" w:eastAsia="楷体_GB2312"/>
          <w:spacing w:val="5"/>
          <w:sz w:val="21"/>
          <w:szCs w:val="24"/>
          <w:lang w:val="en-US"/>
        </w:rPr>
      </w:pPr>
      <w:r>
        <w:rPr>
          <w:rFonts w:ascii="楷体_GB2312" w:eastAsia="楷体_GB2312"/>
          <w:spacing w:val="5"/>
          <w:sz w:val="21"/>
          <w:szCs w:val="24"/>
          <w:lang w:val="en-US"/>
        </w:rPr>
        <w:t>导体屏蔽为挤包的交联半导电层，电阻率不大于100Ω</w:t>
      </w:r>
      <w:r>
        <w:rPr>
          <w:rFonts w:hint="eastAsia" w:ascii="楷体_GB2312" w:eastAsia="楷体_GB2312"/>
          <w:spacing w:val="5"/>
          <w:sz w:val="21"/>
          <w:szCs w:val="24"/>
          <w:lang w:val="en-US"/>
        </w:rPr>
        <w:t>·</w:t>
      </w:r>
      <w:r>
        <w:rPr>
          <w:rFonts w:ascii="楷体_GB2312" w:eastAsia="楷体_GB2312"/>
          <w:spacing w:val="5"/>
          <w:sz w:val="21"/>
          <w:szCs w:val="24"/>
          <w:lang w:val="en-US"/>
        </w:rPr>
        <w:t>cm。半导电层应均匀地包覆在导体上，并和绝缘紧密结合，表面光滑，无明显绞线凸纹，不应有尖角、颗粒、烧焦或擦伤的痕迹。在剥离导体屏蔽时，半导电层不应有卡留在导体绞股之间的现象。</w:t>
      </w:r>
    </w:p>
    <w:p w14:paraId="715E3BBA">
      <w:pPr>
        <w:overflowPunct w:val="0"/>
        <w:rPr>
          <w:rFonts w:ascii="楷体_GB2312" w:eastAsia="楷体_GB2312"/>
          <w:spacing w:val="5"/>
          <w:sz w:val="21"/>
          <w:szCs w:val="24"/>
          <w:lang w:val="en-US"/>
        </w:rPr>
      </w:pPr>
      <w:r>
        <w:rPr>
          <w:rFonts w:ascii="楷体_GB2312" w:eastAsia="楷体_GB2312"/>
          <w:spacing w:val="5"/>
          <w:sz w:val="21"/>
          <w:szCs w:val="24"/>
          <w:lang w:val="en-US"/>
        </w:rPr>
        <w:t>导体屏蔽标称厚度为0.8mm，最小厚度应不小于0.7mm。</w:t>
      </w:r>
    </w:p>
    <w:p w14:paraId="7FBBB1FF">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3.1.4</w:t>
      </w:r>
      <w:r>
        <w:rPr>
          <w:rFonts w:ascii="楷体_GB2312" w:eastAsia="楷体_GB2312"/>
          <w:spacing w:val="5"/>
          <w:sz w:val="21"/>
          <w:szCs w:val="24"/>
          <w:lang w:val="en-US"/>
        </w:rPr>
        <w:t>　绝缘</w:t>
      </w:r>
    </w:p>
    <w:p w14:paraId="25FBC476">
      <w:pPr>
        <w:overflowPunct w:val="0"/>
        <w:rPr>
          <w:rFonts w:ascii="楷体_GB2312" w:eastAsia="楷体_GB2312"/>
          <w:spacing w:val="5"/>
          <w:sz w:val="21"/>
          <w:szCs w:val="24"/>
          <w:lang w:val="en-US"/>
        </w:rPr>
      </w:pPr>
      <w:r>
        <w:rPr>
          <w:rFonts w:ascii="楷体_GB2312" w:eastAsia="楷体_GB2312"/>
          <w:spacing w:val="5"/>
          <w:sz w:val="21"/>
          <w:szCs w:val="24"/>
          <w:lang w:val="en-US"/>
        </w:rPr>
        <w:t>绝缘标称厚度</w:t>
      </w:r>
      <w:r>
        <w:rPr>
          <w:rFonts w:hint="eastAsia" w:ascii="楷体_GB2312" w:eastAsia="楷体_GB2312"/>
          <w:spacing w:val="5"/>
          <w:sz w:val="21"/>
          <w:szCs w:val="24"/>
          <w:lang w:val="en-US"/>
        </w:rPr>
        <w:t>为</w:t>
      </w:r>
      <w:r>
        <w:rPr>
          <w:rFonts w:ascii="楷体_GB2312" w:eastAsia="楷体_GB2312"/>
          <w:spacing w:val="5"/>
          <w:sz w:val="21"/>
          <w:szCs w:val="24"/>
          <w:lang w:val="en-US"/>
        </w:rPr>
        <w:t>4.5mm，绝缘厚度平均值应不小于标称值，任一点最小测量厚度应不小于标称值的90%。任一断面的偏心率</w:t>
      </w:r>
      <w:r>
        <w:rPr>
          <w:rFonts w:hint="eastAsia" w:ascii="楷体_GB2312" w:eastAsia="楷体_GB2312"/>
          <w:spacing w:val="5"/>
          <w:sz w:val="21"/>
          <w:szCs w:val="24"/>
          <w:lang w:val="en-US"/>
        </w:rPr>
        <w:t>[</w:t>
      </w:r>
      <w:r>
        <w:rPr>
          <w:rFonts w:ascii="楷体_GB2312" w:eastAsia="楷体_GB2312"/>
          <w:spacing w:val="5"/>
          <w:sz w:val="21"/>
          <w:szCs w:val="24"/>
          <w:lang w:val="en-US"/>
        </w:rPr>
        <w:t>(最大测量厚度－最小测量厚度)/最大测量厚度</w:t>
      </w:r>
      <w:r>
        <w:rPr>
          <w:rFonts w:hint="eastAsia" w:ascii="楷体_GB2312" w:eastAsia="楷体_GB2312"/>
          <w:spacing w:val="5"/>
          <w:sz w:val="21"/>
          <w:szCs w:val="24"/>
          <w:lang w:val="en-US"/>
        </w:rPr>
        <w:t>]</w:t>
      </w:r>
      <w:r>
        <w:rPr>
          <w:rFonts w:ascii="楷体_GB2312" w:eastAsia="楷体_GB2312"/>
          <w:spacing w:val="5"/>
          <w:sz w:val="21"/>
          <w:szCs w:val="24"/>
          <w:lang w:val="en-US"/>
        </w:rPr>
        <w:t>应不大于10% 。</w:t>
      </w:r>
    </w:p>
    <w:p w14:paraId="7CA8702C">
      <w:pPr>
        <w:tabs>
          <w:tab w:val="left" w:pos="6840"/>
        </w:tabs>
        <w:overflowPunct w:val="0"/>
        <w:topLinePunct/>
        <w:rPr>
          <w:rFonts w:ascii="楷体_GB2312" w:eastAsia="楷体_GB2312"/>
          <w:spacing w:val="5"/>
          <w:sz w:val="21"/>
          <w:szCs w:val="24"/>
          <w:lang w:val="en-US"/>
        </w:rPr>
      </w:pPr>
      <w:r>
        <w:rPr>
          <w:rFonts w:ascii="楷体_GB2312" w:eastAsia="楷体_GB2312"/>
          <w:spacing w:val="5"/>
          <w:sz w:val="21"/>
          <w:szCs w:val="24"/>
          <w:lang w:val="en-US"/>
        </w:rPr>
        <w:t>8.7/15kV电缆的绝缘偏心度应符合下式规定</w:t>
      </w:r>
    </w:p>
    <w:p w14:paraId="0F4E1801">
      <w:pPr>
        <w:overflowPunct w:val="0"/>
        <w:jc w:val="center"/>
        <w:rPr>
          <w:rFonts w:ascii="楷体_GB2312" w:eastAsia="楷体_GB2312"/>
          <w:spacing w:val="5"/>
          <w:sz w:val="21"/>
          <w:szCs w:val="24"/>
          <w:lang w:val="en-US"/>
        </w:rPr>
      </w:pPr>
      <w:r>
        <w:rPr>
          <w:rFonts w:ascii="楷体_GB2312" w:eastAsia="楷体_GB2312"/>
          <w:spacing w:val="5"/>
          <w:sz w:val="21"/>
          <w:szCs w:val="24"/>
          <w:lang w:val="en-US"/>
        </w:rPr>
        <w:t>（tmax－ tmin）/tmax≤10%</w:t>
      </w:r>
      <w:r>
        <w:rPr>
          <w:rFonts w:ascii="楷体_GB2312" w:eastAsia="楷体_GB2312"/>
          <w:spacing w:val="5"/>
          <w:sz w:val="21"/>
          <w:szCs w:val="24"/>
          <w:lang w:val="en-US"/>
        </w:rPr>
        <w:pict>
          <v:shape id="_x0000_i1025" o:spt="75" type="#_x0000_t75" style="height:17.4pt;width:72pt;" filled="f" o:preferrelative="t" stroked="f" coordsize="21600,21600">
            <v:path/>
            <v:fill on="f" focussize="0,0"/>
            <v:stroke on="f" joinstyle="miter"/>
            <v:imagedata r:id="rId6" o:title=""/>
            <o:lock v:ext="edit" aspectratio="t"/>
            <w10:wrap type="none"/>
            <w10:anchorlock/>
          </v:shape>
        </w:pict>
      </w:r>
    </w:p>
    <w:p w14:paraId="63E94810">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式中：</w:t>
      </w:r>
    </w:p>
    <w:p w14:paraId="19990E91">
      <w:pPr>
        <w:tabs>
          <w:tab w:val="left" w:pos="6840"/>
        </w:tabs>
        <w:overflowPunct w:val="0"/>
        <w:topLinePunct/>
        <w:ind w:firstLine="440" w:firstLineChars="200"/>
        <w:rPr>
          <w:rFonts w:ascii="楷体_GB2312" w:eastAsia="楷体_GB2312"/>
          <w:spacing w:val="5"/>
          <w:sz w:val="21"/>
          <w:szCs w:val="24"/>
          <w:lang w:val="en-US"/>
        </w:rPr>
      </w:pPr>
      <w:r>
        <w:rPr>
          <w:rFonts w:ascii="楷体_GB2312" w:eastAsia="楷体_GB2312"/>
          <w:spacing w:val="5"/>
          <w:sz w:val="21"/>
          <w:szCs w:val="24"/>
          <w:lang w:val="en-US"/>
        </w:rPr>
        <w:t>tmax</w:t>
      </w:r>
      <w:r>
        <w:rPr>
          <w:rFonts w:hint="eastAsia" w:ascii="楷体_GB2312" w:eastAsia="楷体_GB2312"/>
          <w:spacing w:val="5"/>
          <w:sz w:val="21"/>
          <w:szCs w:val="24"/>
          <w:lang w:val="en-US"/>
        </w:rPr>
        <w:t>——</w:t>
      </w:r>
      <w:r>
        <w:rPr>
          <w:rFonts w:ascii="楷体_GB2312" w:eastAsia="楷体_GB2312"/>
          <w:spacing w:val="5"/>
          <w:sz w:val="21"/>
          <w:szCs w:val="24"/>
          <w:lang w:val="en-US"/>
        </w:rPr>
        <w:t>绝缘最大厚度，mm；</w:t>
      </w:r>
    </w:p>
    <w:p w14:paraId="2EC9472B">
      <w:pPr>
        <w:tabs>
          <w:tab w:val="left" w:pos="6840"/>
        </w:tabs>
        <w:overflowPunct w:val="0"/>
        <w:topLinePunct/>
        <w:ind w:firstLine="431" w:firstLineChars="196"/>
        <w:rPr>
          <w:rFonts w:ascii="楷体_GB2312" w:eastAsia="楷体_GB2312"/>
          <w:spacing w:val="5"/>
          <w:sz w:val="21"/>
          <w:szCs w:val="24"/>
          <w:lang w:val="en-US"/>
        </w:rPr>
      </w:pPr>
      <w:r>
        <w:rPr>
          <w:rFonts w:ascii="楷体_GB2312" w:eastAsia="楷体_GB2312"/>
          <w:spacing w:val="5"/>
          <w:sz w:val="21"/>
          <w:szCs w:val="24"/>
          <w:lang w:val="en-US"/>
        </w:rPr>
        <w:t>tmin</w:t>
      </w:r>
      <w:r>
        <w:rPr>
          <w:rFonts w:hint="eastAsia" w:ascii="楷体_GB2312" w:eastAsia="楷体_GB2312"/>
          <w:spacing w:val="5"/>
          <w:sz w:val="21"/>
          <w:szCs w:val="24"/>
          <w:lang w:val="en-US"/>
        </w:rPr>
        <w:t>——</w:t>
      </w:r>
      <w:r>
        <w:rPr>
          <w:rFonts w:ascii="楷体_GB2312" w:eastAsia="楷体_GB2312"/>
          <w:spacing w:val="5"/>
          <w:sz w:val="21"/>
          <w:szCs w:val="24"/>
          <w:lang w:val="en-US"/>
        </w:rPr>
        <w:t>绝缘最小厚度，mm；</w:t>
      </w:r>
    </w:p>
    <w:p w14:paraId="5BCAC4CF">
      <w:pPr>
        <w:tabs>
          <w:tab w:val="left" w:pos="6840"/>
        </w:tabs>
        <w:overflowPunct w:val="0"/>
        <w:topLinePunct/>
        <w:ind w:firstLine="431" w:firstLineChars="196"/>
        <w:rPr>
          <w:rFonts w:ascii="楷体_GB2312" w:eastAsia="楷体_GB2312"/>
          <w:spacing w:val="5"/>
          <w:sz w:val="21"/>
          <w:szCs w:val="24"/>
          <w:lang w:val="en-US"/>
        </w:rPr>
      </w:pPr>
      <w:r>
        <w:rPr>
          <w:rFonts w:ascii="楷体_GB2312" w:eastAsia="楷体_GB2312"/>
          <w:spacing w:val="5"/>
          <w:sz w:val="21"/>
          <w:szCs w:val="24"/>
          <w:lang w:val="en-US"/>
        </w:rPr>
        <w:t>tn</w:t>
      </w:r>
      <w:r>
        <w:rPr>
          <w:rFonts w:hint="eastAsia" w:ascii="楷体_GB2312" w:eastAsia="楷体_GB2312"/>
          <w:spacing w:val="5"/>
          <w:sz w:val="21"/>
          <w:szCs w:val="24"/>
          <w:lang w:val="en-US"/>
        </w:rPr>
        <w:t>——</w:t>
      </w:r>
      <w:r>
        <w:rPr>
          <w:rFonts w:ascii="楷体_GB2312" w:eastAsia="楷体_GB2312"/>
          <w:spacing w:val="5"/>
          <w:sz w:val="21"/>
          <w:szCs w:val="24"/>
          <w:lang w:val="en-US"/>
        </w:rPr>
        <w:t>绝缘标称厚度，mm</w:t>
      </w:r>
      <w:r>
        <w:rPr>
          <w:rFonts w:hint="eastAsia" w:ascii="楷体_GB2312" w:eastAsia="楷体_GB2312"/>
          <w:spacing w:val="5"/>
          <w:sz w:val="21"/>
          <w:szCs w:val="24"/>
          <w:lang w:val="en-US"/>
        </w:rPr>
        <w:t>。</w:t>
      </w:r>
    </w:p>
    <w:p w14:paraId="2DC7909D">
      <w:pPr>
        <w:overflowPunct w:val="0"/>
        <w:ind w:firstLine="440" w:firstLineChars="200"/>
        <w:rPr>
          <w:rFonts w:ascii="楷体_GB2312" w:eastAsia="楷体_GB2312"/>
          <w:spacing w:val="5"/>
          <w:sz w:val="21"/>
          <w:szCs w:val="24"/>
          <w:lang w:val="en-US"/>
        </w:rPr>
      </w:pPr>
      <w:r>
        <w:rPr>
          <w:rFonts w:ascii="楷体_GB2312" w:eastAsia="楷体_GB2312"/>
          <w:spacing w:val="5"/>
          <w:sz w:val="21"/>
          <w:szCs w:val="24"/>
          <w:lang w:val="en-US"/>
        </w:rPr>
        <w:t>tmax和tmin在绝缘同一断面上测得。</w:t>
      </w:r>
    </w:p>
    <w:p w14:paraId="6F08026E">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3.1.5</w:t>
      </w:r>
      <w:r>
        <w:rPr>
          <w:rFonts w:ascii="楷体_GB2312" w:eastAsia="楷体_GB2312"/>
          <w:spacing w:val="5"/>
          <w:sz w:val="21"/>
          <w:szCs w:val="24"/>
          <w:lang w:val="en-US"/>
        </w:rPr>
        <w:t>　绝缘屏蔽</w:t>
      </w:r>
    </w:p>
    <w:p w14:paraId="013CAE54">
      <w:pPr>
        <w:overflowPunct w:val="0"/>
        <w:rPr>
          <w:rFonts w:ascii="楷体_GB2312" w:eastAsia="楷体_GB2312"/>
          <w:spacing w:val="5"/>
          <w:sz w:val="21"/>
          <w:szCs w:val="24"/>
          <w:lang w:val="en-US"/>
        </w:rPr>
      </w:pPr>
      <w:r>
        <w:rPr>
          <w:rFonts w:ascii="楷体_GB2312" w:eastAsia="楷体_GB2312"/>
          <w:spacing w:val="5"/>
          <w:sz w:val="21"/>
          <w:szCs w:val="24"/>
          <w:lang w:val="en-US"/>
        </w:rPr>
        <w:t>绝缘屏蔽为挤包的交联半导电层，半导电层应均匀地包覆在绝缘表面，表面应光滑，不应有尖角</w:t>
      </w:r>
      <w:r>
        <w:rPr>
          <w:rFonts w:hint="eastAsia" w:ascii="楷体_GB2312" w:eastAsia="楷体_GB2312"/>
          <w:spacing w:val="5"/>
          <w:sz w:val="21"/>
          <w:szCs w:val="24"/>
          <w:lang w:val="en-US"/>
        </w:rPr>
        <w:t>、</w:t>
      </w:r>
      <w:r>
        <w:rPr>
          <w:rFonts w:ascii="楷体_GB2312" w:eastAsia="楷体_GB2312"/>
          <w:spacing w:val="5"/>
          <w:sz w:val="21"/>
          <w:szCs w:val="24"/>
          <w:lang w:val="en-US"/>
        </w:rPr>
        <w:t>颗粒、烧焦或擦伤的痕迹。绝缘屏蔽应为可剥离型。绝缘屏蔽的标称厚度为0.8mm。</w:t>
      </w:r>
    </w:p>
    <w:p w14:paraId="684745D6">
      <w:pPr>
        <w:overflowPunct w:val="0"/>
        <w:rPr>
          <w:rFonts w:ascii="楷体_GB2312" w:eastAsia="楷体_GB2312"/>
          <w:spacing w:val="5"/>
          <w:sz w:val="21"/>
          <w:szCs w:val="24"/>
          <w:lang w:val="en-US"/>
        </w:rPr>
      </w:pPr>
      <w:r>
        <w:rPr>
          <w:rFonts w:ascii="楷体_GB2312" w:eastAsia="楷体_GB2312"/>
          <w:spacing w:val="5"/>
          <w:sz w:val="21"/>
          <w:szCs w:val="24"/>
          <w:lang w:val="en-US"/>
        </w:rPr>
        <w:t>三芯电缆绝缘屏蔽与金属屏蔽之间应有沿缆芯纵向的相色（黄绿红）标志带，其宽度不小于2mm。</w:t>
      </w:r>
    </w:p>
    <w:p w14:paraId="5DB3AF26">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3.1.6</w:t>
      </w:r>
      <w:r>
        <w:rPr>
          <w:rFonts w:ascii="楷体_GB2312" w:eastAsia="楷体_GB2312"/>
          <w:spacing w:val="5"/>
          <w:sz w:val="21"/>
          <w:szCs w:val="24"/>
          <w:lang w:val="en-US"/>
        </w:rPr>
        <w:t>　金属屏蔽</w:t>
      </w:r>
    </w:p>
    <w:p w14:paraId="6C449F37">
      <w:pPr>
        <w:overflowPunct w:val="0"/>
        <w:rPr>
          <w:rFonts w:ascii="楷体_GB2312" w:eastAsia="楷体_GB2312"/>
          <w:spacing w:val="5"/>
          <w:sz w:val="21"/>
          <w:szCs w:val="24"/>
          <w:lang w:val="en-US"/>
        </w:rPr>
      </w:pPr>
      <w:r>
        <w:rPr>
          <w:rFonts w:ascii="楷体_GB2312" w:eastAsia="楷体_GB2312"/>
          <w:spacing w:val="5"/>
          <w:sz w:val="21"/>
          <w:szCs w:val="24"/>
          <w:lang w:val="en-US"/>
        </w:rPr>
        <w:t>金属屏蔽用重叠绕包的软铜带（或软铜丝）组成，电阻率不大于0.0180Ω</w:t>
      </w:r>
      <w:r>
        <w:rPr>
          <w:rFonts w:hint="eastAsia" w:ascii="楷体_GB2312" w:eastAsia="楷体_GB2312"/>
          <w:spacing w:val="5"/>
          <w:sz w:val="21"/>
          <w:szCs w:val="24"/>
          <w:lang w:val="en-US"/>
        </w:rPr>
        <w:t>·</w:t>
      </w:r>
      <w:r>
        <w:rPr>
          <w:rFonts w:ascii="楷体_GB2312" w:eastAsia="楷体_GB2312"/>
          <w:spacing w:val="5"/>
          <w:sz w:val="21"/>
          <w:szCs w:val="24"/>
          <w:lang w:val="en-US"/>
        </w:rPr>
        <w:t>m（20℃），绕包连续均匀</w:t>
      </w:r>
      <w:r>
        <w:rPr>
          <w:rFonts w:hint="eastAsia" w:ascii="楷体_GB2312" w:eastAsia="楷体_GB2312"/>
          <w:spacing w:val="5"/>
          <w:sz w:val="21"/>
          <w:szCs w:val="24"/>
          <w:lang w:val="en-US"/>
        </w:rPr>
        <w:t>、</w:t>
      </w:r>
      <w:r>
        <w:rPr>
          <w:rFonts w:ascii="楷体_GB2312" w:eastAsia="楷体_GB2312"/>
          <w:spacing w:val="5"/>
          <w:sz w:val="21"/>
          <w:szCs w:val="24"/>
          <w:lang w:val="en-US"/>
        </w:rPr>
        <w:t>平整光滑</w:t>
      </w:r>
      <w:r>
        <w:rPr>
          <w:rFonts w:hint="eastAsia" w:ascii="楷体_GB2312" w:eastAsia="楷体_GB2312"/>
          <w:spacing w:val="5"/>
          <w:sz w:val="21"/>
          <w:szCs w:val="24"/>
          <w:lang w:val="en-US"/>
        </w:rPr>
        <w:t>、</w:t>
      </w:r>
      <w:r>
        <w:rPr>
          <w:rFonts w:ascii="楷体_GB2312" w:eastAsia="楷体_GB2312"/>
          <w:spacing w:val="5"/>
          <w:sz w:val="21"/>
          <w:szCs w:val="24"/>
          <w:lang w:val="en-US"/>
        </w:rPr>
        <w:t>没有断裂，铜带间绕包平均搭盖率不小于20％（标称值）。铜带标称厚度为0.10mm，截面</w:t>
      </w:r>
      <w:r>
        <w:rPr>
          <w:rFonts w:hint="eastAsia" w:ascii="楷体_GB2312" w:eastAsia="楷体_GB2312"/>
          <w:spacing w:val="5"/>
          <w:sz w:val="21"/>
          <w:szCs w:val="24"/>
          <w:lang w:val="en-US"/>
        </w:rPr>
        <w:t>积</w:t>
      </w:r>
      <w:r>
        <w:rPr>
          <w:rFonts w:ascii="楷体_GB2312" w:eastAsia="楷体_GB2312"/>
          <w:spacing w:val="5"/>
          <w:sz w:val="21"/>
          <w:szCs w:val="24"/>
          <w:lang w:val="en-US"/>
        </w:rPr>
        <w:t>大于25mm2（按管状计算），且三芯屏蔽应接触良好。</w:t>
      </w:r>
    </w:p>
    <w:p w14:paraId="2AE3A4A3">
      <w:pPr>
        <w:overflowPunct w:val="0"/>
        <w:rPr>
          <w:rFonts w:ascii="楷体_GB2312" w:eastAsia="楷体_GB2312"/>
          <w:spacing w:val="5"/>
          <w:sz w:val="21"/>
          <w:szCs w:val="24"/>
          <w:lang w:val="en-US"/>
        </w:rPr>
      </w:pPr>
      <w:r>
        <w:rPr>
          <w:rFonts w:ascii="楷体_GB2312" w:eastAsia="楷体_GB2312"/>
          <w:spacing w:val="5"/>
          <w:sz w:val="21"/>
          <w:szCs w:val="24"/>
          <w:lang w:val="en-US"/>
        </w:rPr>
        <w:t>铜带的最小厚度应不小于标称值的90%。</w:t>
      </w:r>
    </w:p>
    <w:p w14:paraId="3D9DBD24">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3.1.7</w:t>
      </w:r>
      <w:r>
        <w:rPr>
          <w:rFonts w:ascii="楷体_GB2312" w:eastAsia="楷体_GB2312"/>
          <w:spacing w:val="5"/>
          <w:sz w:val="21"/>
          <w:szCs w:val="24"/>
          <w:lang w:val="en-US"/>
        </w:rPr>
        <w:t>　填充及隔离套</w:t>
      </w:r>
    </w:p>
    <w:p w14:paraId="131AE396">
      <w:pPr>
        <w:overflowPunct w:val="0"/>
        <w:rPr>
          <w:rFonts w:ascii="楷体_GB2312" w:eastAsia="楷体_GB2312"/>
          <w:spacing w:val="5"/>
          <w:sz w:val="21"/>
          <w:szCs w:val="24"/>
          <w:lang w:val="en-US"/>
        </w:rPr>
      </w:pPr>
      <w:r>
        <w:rPr>
          <w:rFonts w:ascii="楷体_GB2312" w:eastAsia="楷体_GB2312"/>
          <w:spacing w:val="5"/>
          <w:sz w:val="21"/>
          <w:szCs w:val="24"/>
          <w:lang w:val="en-US"/>
        </w:rPr>
        <w:t>缆芯采用与电缆运行温度相适应的非吸湿性聚丙烯撕裂薄膜填充，应紧密无空隙，并保证在成品电缆段附加老化试验后不粉化。三芯成缆后外</w:t>
      </w:r>
      <w:r>
        <w:rPr>
          <w:rFonts w:hint="eastAsia" w:ascii="楷体_GB2312" w:eastAsia="楷体_GB2312"/>
          <w:spacing w:val="5"/>
          <w:sz w:val="21"/>
          <w:szCs w:val="24"/>
          <w:lang w:val="en-US"/>
        </w:rPr>
        <w:t>形</w:t>
      </w:r>
      <w:r>
        <w:rPr>
          <w:rFonts w:ascii="楷体_GB2312" w:eastAsia="楷体_GB2312"/>
          <w:spacing w:val="5"/>
          <w:sz w:val="21"/>
          <w:szCs w:val="24"/>
          <w:lang w:val="en-US"/>
        </w:rPr>
        <w:t>应圆整。</w:t>
      </w:r>
    </w:p>
    <w:p w14:paraId="0EF97342">
      <w:pPr>
        <w:overflowPunct w:val="0"/>
        <w:rPr>
          <w:rFonts w:ascii="楷体_GB2312" w:eastAsia="楷体_GB2312"/>
          <w:spacing w:val="5"/>
          <w:sz w:val="21"/>
          <w:szCs w:val="24"/>
          <w:lang w:val="en-US"/>
        </w:rPr>
      </w:pPr>
      <w:r>
        <w:rPr>
          <w:rFonts w:ascii="楷体_GB2312" w:eastAsia="楷体_GB2312"/>
          <w:spacing w:val="5"/>
          <w:sz w:val="21"/>
          <w:szCs w:val="24"/>
          <w:lang w:val="en-US"/>
        </w:rPr>
        <w:t>隔离套采用挤包型。隔离套厚度平均值</w:t>
      </w:r>
      <w:r>
        <w:rPr>
          <w:rFonts w:hint="eastAsia" w:ascii="楷体_GB2312" w:eastAsia="楷体_GB2312"/>
          <w:spacing w:val="5"/>
          <w:sz w:val="21"/>
          <w:szCs w:val="24"/>
          <w:lang w:val="en-US"/>
        </w:rPr>
        <w:t>应</w:t>
      </w:r>
      <w:r>
        <w:rPr>
          <w:rFonts w:ascii="楷体_GB2312" w:eastAsia="楷体_GB2312"/>
          <w:spacing w:val="5"/>
          <w:sz w:val="21"/>
          <w:szCs w:val="24"/>
          <w:lang w:val="en-US"/>
        </w:rPr>
        <w:t>不小于标称值，任一点最小厚度应不小于标称值的80%。</w:t>
      </w:r>
    </w:p>
    <w:p w14:paraId="6320145A">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3.1.8</w:t>
      </w:r>
      <w:r>
        <w:rPr>
          <w:rFonts w:ascii="楷体_GB2312" w:eastAsia="楷体_GB2312"/>
          <w:spacing w:val="5"/>
          <w:sz w:val="21"/>
          <w:szCs w:val="24"/>
          <w:lang w:val="en-US"/>
        </w:rPr>
        <w:t>　铠装</w:t>
      </w:r>
    </w:p>
    <w:p w14:paraId="001295C8">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ascii="楷体_GB2312" w:eastAsia="楷体_GB2312"/>
          <w:spacing w:val="5"/>
          <w:sz w:val="21"/>
          <w:szCs w:val="24"/>
          <w:lang w:val="en-US"/>
        </w:rPr>
        <w:t>铠装采用双层镀锌钢带，螺旋绕包两层，外层钢带的中间大致在内层钢带间隙上方，包带间隙应不大于钢带宽度的50%，绕包应平整光滑，3×240 mm2及以上电缆的钢带标称厚度为0.8 mm，3×240 mm2以下电缆的钢带标称厚度为0.5 mm。</w:t>
      </w:r>
    </w:p>
    <w:p w14:paraId="77AA07B6">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3.1.9</w:t>
      </w:r>
      <w:r>
        <w:rPr>
          <w:rFonts w:ascii="楷体_GB2312" w:eastAsia="楷体_GB2312"/>
          <w:spacing w:val="5"/>
          <w:sz w:val="21"/>
          <w:szCs w:val="24"/>
          <w:lang w:val="en-US"/>
        </w:rPr>
        <w:t>　外护套</w:t>
      </w:r>
    </w:p>
    <w:p w14:paraId="2454D7F2">
      <w:pPr>
        <w:overflowPunct w:val="0"/>
        <w:rPr>
          <w:rFonts w:ascii="楷体_GB2312" w:eastAsia="楷体_GB2312"/>
          <w:spacing w:val="5"/>
          <w:sz w:val="21"/>
          <w:szCs w:val="24"/>
          <w:lang w:val="en-US"/>
        </w:rPr>
      </w:pPr>
      <w:r>
        <w:rPr>
          <w:rFonts w:ascii="楷体_GB2312" w:eastAsia="楷体_GB2312"/>
          <w:spacing w:val="5"/>
          <w:sz w:val="21"/>
          <w:szCs w:val="24"/>
          <w:lang w:val="en-US"/>
        </w:rPr>
        <w:t>外护套应采用聚氯乙烯或聚乙烯料挤包。</w:t>
      </w:r>
    </w:p>
    <w:p w14:paraId="49693E76">
      <w:pPr>
        <w:overflowPunct w:val="0"/>
        <w:spacing w:beforeLines="50"/>
        <w:rPr>
          <w:rFonts w:ascii="楷体_GB2312" w:eastAsia="楷体_GB2312"/>
          <w:spacing w:val="5"/>
          <w:sz w:val="21"/>
          <w:szCs w:val="24"/>
          <w:lang w:val="en-US"/>
        </w:rPr>
      </w:pPr>
      <w:r>
        <w:rPr>
          <w:rFonts w:ascii="楷体_GB2312" w:eastAsia="楷体_GB2312"/>
          <w:spacing w:val="5"/>
          <w:sz w:val="21"/>
          <w:szCs w:val="24"/>
          <w:lang w:val="en-US"/>
        </w:rPr>
        <w:t>外护套厚度平均值应不小于标称值，任一点最小厚度应不小于标称值的90%。</w:t>
      </w:r>
    </w:p>
    <w:p w14:paraId="2EB8BB96">
      <w:pPr>
        <w:overflowPunct w:val="0"/>
        <w:rPr>
          <w:rFonts w:ascii="楷体_GB2312" w:eastAsia="楷体_GB2312"/>
          <w:spacing w:val="5"/>
          <w:sz w:val="21"/>
          <w:szCs w:val="24"/>
          <w:lang w:val="en-US"/>
        </w:rPr>
      </w:pPr>
      <w:r>
        <w:rPr>
          <w:rFonts w:ascii="楷体_GB2312" w:eastAsia="楷体_GB2312"/>
          <w:spacing w:val="5"/>
          <w:sz w:val="21"/>
          <w:szCs w:val="24"/>
          <w:lang w:val="en-US"/>
        </w:rPr>
        <w:t>外护套通常为黑色</w:t>
      </w:r>
      <w:r>
        <w:rPr>
          <w:rFonts w:hint="eastAsia" w:ascii="楷体_GB2312" w:eastAsia="楷体_GB2312"/>
          <w:spacing w:val="5"/>
          <w:sz w:val="21"/>
          <w:szCs w:val="24"/>
          <w:lang w:val="en-US"/>
        </w:rPr>
        <w:t>或</w:t>
      </w:r>
      <w:r>
        <w:rPr>
          <w:rFonts w:ascii="楷体_GB2312" w:eastAsia="楷体_GB2312"/>
          <w:spacing w:val="5"/>
          <w:sz w:val="21"/>
          <w:szCs w:val="24"/>
          <w:lang w:val="en-US"/>
        </w:rPr>
        <w:t>红色，也可以按照制造方和买方协议采用黑色以外的其他颜色，以适应电缆使用的特定环境。外护套应经受GB/T 3048.10</w:t>
      </w:r>
      <w:r>
        <w:rPr>
          <w:rFonts w:hint="eastAsia" w:ascii="楷体_GB2312" w:eastAsia="楷体_GB2312"/>
          <w:spacing w:val="5"/>
          <w:sz w:val="21"/>
          <w:szCs w:val="24"/>
          <w:lang w:val="en-US"/>
        </w:rPr>
        <w:t>—</w:t>
      </w:r>
      <w:r>
        <w:rPr>
          <w:rFonts w:ascii="楷体_GB2312" w:eastAsia="楷体_GB2312"/>
          <w:spacing w:val="5"/>
          <w:sz w:val="21"/>
          <w:szCs w:val="24"/>
          <w:lang w:val="en-US"/>
        </w:rPr>
        <w:t>2007</w:t>
      </w:r>
      <w:r>
        <w:rPr>
          <w:rFonts w:hint="eastAsia" w:ascii="楷体_GB2312" w:eastAsia="楷体_GB2312"/>
          <w:spacing w:val="5"/>
          <w:sz w:val="21"/>
          <w:szCs w:val="24"/>
          <w:lang w:val="en-US"/>
        </w:rPr>
        <w:t>《电力电缆电性能试验方法  第10部分：挤出护套火花试验》</w:t>
      </w:r>
      <w:r>
        <w:rPr>
          <w:rFonts w:ascii="楷体_GB2312" w:eastAsia="楷体_GB2312"/>
          <w:spacing w:val="5"/>
          <w:sz w:val="21"/>
          <w:szCs w:val="24"/>
          <w:lang w:val="en-US"/>
        </w:rPr>
        <w:t>规定的火花试验。</w:t>
      </w:r>
    </w:p>
    <w:p w14:paraId="71F25F9F">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3.1.10</w:t>
      </w:r>
      <w:r>
        <w:rPr>
          <w:rFonts w:ascii="楷体_GB2312" w:eastAsia="楷体_GB2312"/>
          <w:spacing w:val="5"/>
          <w:sz w:val="21"/>
          <w:szCs w:val="24"/>
          <w:lang w:val="en-US"/>
        </w:rPr>
        <w:t>　电缆不圆度</w:t>
      </w:r>
    </w:p>
    <w:p w14:paraId="3D7863C2">
      <w:pPr>
        <w:overflowPunct w:val="0"/>
        <w:rPr>
          <w:rFonts w:ascii="楷体_GB2312" w:eastAsia="楷体_GB2312"/>
          <w:spacing w:val="5"/>
          <w:sz w:val="21"/>
          <w:szCs w:val="24"/>
          <w:lang w:val="en-US"/>
        </w:rPr>
      </w:pPr>
      <w:r>
        <w:rPr>
          <w:rFonts w:ascii="楷体_GB2312" w:eastAsia="楷体_GB2312"/>
          <w:spacing w:val="5"/>
          <w:sz w:val="21"/>
          <w:szCs w:val="24"/>
          <w:lang w:val="en-US"/>
        </w:rPr>
        <w:t>电缆不圆度应不大于10%。</w:t>
      </w:r>
    </w:p>
    <w:p w14:paraId="6D03FA6E">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电缆不圆度的计算公式为</w:t>
      </w:r>
    </w:p>
    <w:p w14:paraId="0FF0BAC7">
      <w:pPr>
        <w:overflowPunct w:val="0"/>
        <w:jc w:val="center"/>
        <w:textAlignment w:val="center"/>
        <w:rPr>
          <w:rFonts w:ascii="楷体_GB2312" w:eastAsia="楷体_GB2312"/>
          <w:spacing w:val="5"/>
          <w:sz w:val="21"/>
          <w:szCs w:val="24"/>
          <w:lang w:val="en-US"/>
        </w:rPr>
      </w:pPr>
      <w:r>
        <w:rPr>
          <w:rFonts w:ascii="楷体_GB2312" w:eastAsia="楷体_GB2312"/>
          <w:spacing w:val="5"/>
          <w:sz w:val="21"/>
          <w:szCs w:val="24"/>
          <w:lang w:val="en-US"/>
        </w:rPr>
        <w:t>电缆不圆度=</w:t>
      </w:r>
      <w:r>
        <w:rPr>
          <w:rFonts w:ascii="楷体_GB2312" w:eastAsia="楷体_GB2312"/>
          <w:spacing w:val="5"/>
          <w:sz w:val="21"/>
          <w:szCs w:val="24"/>
          <w:lang w:val="en-US"/>
        </w:rPr>
        <w:pict>
          <v:shape id="_x0000_i1026" o:spt="75" type="#_x0000_t75" style="height:32.4pt;width:134.4pt;" fillcolor="#FFFFFF" filled="f" o:preferrelative="t" stroked="f" coordsize="21600,21600">
            <v:path/>
            <v:fill on="f" focussize="0,0"/>
            <v:stroke on="f" joinstyle="miter"/>
            <v:imagedata r:id="rId7" o:title=""/>
            <o:lock v:ext="edit" aspectratio="t"/>
            <w10:wrap type="none"/>
            <w10:anchorlock/>
          </v:shape>
        </w:pict>
      </w:r>
      <w:r>
        <w:rPr>
          <w:rFonts w:ascii="楷体_GB2312" w:eastAsia="楷体_GB2312"/>
          <w:spacing w:val="5"/>
          <w:sz w:val="21"/>
          <w:szCs w:val="24"/>
          <w:lang w:val="en-US"/>
        </w:rPr>
        <w:t>×100%</w:t>
      </w:r>
    </w:p>
    <w:p w14:paraId="0AA8E1AD">
      <w:pPr>
        <w:overflowPunct w:val="0"/>
        <w:rPr>
          <w:rFonts w:ascii="楷体_GB2312" w:eastAsia="楷体_GB2312"/>
          <w:spacing w:val="5"/>
          <w:sz w:val="21"/>
          <w:szCs w:val="24"/>
          <w:lang w:val="en-US"/>
        </w:rPr>
      </w:pPr>
      <w:r>
        <w:rPr>
          <w:rFonts w:hint="eastAsia" w:ascii="楷体_GB2312" w:eastAsia="楷体_GB2312"/>
          <w:spacing w:val="5"/>
          <w:sz w:val="21"/>
          <w:szCs w:val="24"/>
          <w:lang w:val="en-US"/>
        </w:rPr>
        <w:t>3.1.11</w:t>
      </w:r>
      <w:r>
        <w:rPr>
          <w:rFonts w:ascii="楷体_GB2312" w:eastAsia="楷体_GB2312"/>
          <w:spacing w:val="5"/>
          <w:sz w:val="21"/>
          <w:szCs w:val="24"/>
          <w:lang w:val="en-US"/>
        </w:rPr>
        <w:t>　电缆阻燃要求</w:t>
      </w:r>
    </w:p>
    <w:p w14:paraId="6F7D369A">
      <w:pPr>
        <w:overflowPunct w:val="0"/>
        <w:rPr>
          <w:rFonts w:ascii="楷体_GB2312" w:eastAsia="楷体_GB2312"/>
          <w:spacing w:val="5"/>
          <w:sz w:val="21"/>
          <w:szCs w:val="24"/>
          <w:lang w:val="en-US" w:eastAsia="zh-CN"/>
        </w:rPr>
      </w:pPr>
      <w:r>
        <w:rPr>
          <w:rFonts w:ascii="楷体_GB2312" w:eastAsia="楷体_GB2312"/>
          <w:spacing w:val="5"/>
          <w:sz w:val="21"/>
          <w:szCs w:val="24"/>
          <w:lang w:val="en-US"/>
        </w:rPr>
        <w:t>采用阻燃电缆时，电缆的阻燃特性和技术参数要求需符合GB/T 19666的相关规定。</w:t>
      </w:r>
    </w:p>
    <w:p w14:paraId="1B7BEE3B">
      <w:pPr>
        <w:topLinePunct/>
        <w:rPr>
          <w:rFonts w:ascii="楷体_GB2312" w:eastAsia="楷体_GB2312"/>
          <w:spacing w:val="5"/>
          <w:sz w:val="21"/>
          <w:szCs w:val="24"/>
          <w:lang w:val="en-US"/>
        </w:rPr>
      </w:pPr>
      <w:bookmarkStart w:id="13" w:name="_Toc247620585"/>
      <w:r>
        <w:rPr>
          <w:rFonts w:hint="eastAsia" w:ascii="楷体_GB2312" w:eastAsia="楷体_GB2312"/>
          <w:spacing w:val="5"/>
          <w:sz w:val="21"/>
          <w:szCs w:val="24"/>
          <w:lang w:val="en-US"/>
        </w:rPr>
        <w:t>3</w:t>
      </w:r>
      <w:r>
        <w:rPr>
          <w:rFonts w:ascii="楷体_GB2312" w:eastAsia="楷体_GB2312"/>
          <w:spacing w:val="5"/>
          <w:sz w:val="21"/>
          <w:szCs w:val="24"/>
          <w:lang w:val="en-US"/>
        </w:rPr>
        <w:t>.2　密封和牵引头</w:t>
      </w:r>
      <w:bookmarkEnd w:id="13"/>
    </w:p>
    <w:p w14:paraId="63C82882">
      <w:pPr>
        <w:tabs>
          <w:tab w:val="left" w:pos="6840"/>
        </w:tabs>
        <w:overflowPunct w:val="0"/>
        <w:topLinePunct/>
        <w:rPr>
          <w:rFonts w:ascii="楷体_GB2312" w:eastAsia="楷体_GB2312"/>
          <w:spacing w:val="5"/>
          <w:sz w:val="21"/>
          <w:szCs w:val="24"/>
          <w:lang w:val="en-US"/>
        </w:rPr>
      </w:pPr>
      <w:r>
        <w:rPr>
          <w:rFonts w:ascii="楷体_GB2312" w:eastAsia="楷体_GB2312"/>
          <w:spacing w:val="5"/>
          <w:sz w:val="21"/>
          <w:szCs w:val="24"/>
          <w:lang w:val="en-US"/>
        </w:rPr>
        <w:t>电缆两端应用防水密封套密封，密封套和电缆的重叠长度</w:t>
      </w:r>
      <w:r>
        <w:rPr>
          <w:rFonts w:hint="eastAsia" w:ascii="楷体_GB2312" w:eastAsia="楷体_GB2312"/>
          <w:spacing w:val="5"/>
          <w:sz w:val="21"/>
          <w:szCs w:val="24"/>
          <w:lang w:val="en-US"/>
        </w:rPr>
        <w:t>应</w:t>
      </w:r>
      <w:r>
        <w:rPr>
          <w:rFonts w:ascii="楷体_GB2312" w:eastAsia="楷体_GB2312"/>
          <w:spacing w:val="5"/>
          <w:sz w:val="21"/>
          <w:szCs w:val="24"/>
          <w:lang w:val="en-US"/>
        </w:rPr>
        <w:t>不小于200mm</w:t>
      </w:r>
      <w:r>
        <w:rPr>
          <w:rFonts w:hint="eastAsia" w:ascii="楷体_GB2312" w:eastAsia="楷体_GB2312"/>
          <w:spacing w:val="5"/>
          <w:sz w:val="21"/>
          <w:szCs w:val="24"/>
          <w:lang w:val="en-US"/>
        </w:rPr>
        <w:t>。</w:t>
      </w:r>
      <w:r>
        <w:rPr>
          <w:rFonts w:ascii="楷体_GB2312" w:eastAsia="楷体_GB2312"/>
          <w:spacing w:val="5"/>
          <w:sz w:val="21"/>
          <w:szCs w:val="24"/>
          <w:lang w:val="en-US"/>
        </w:rPr>
        <w:t>如有要求安装牵引头，牵引头应与线芯采用围压的连接方式并与电缆可靠密封，在运输、储存、敷设过程中保证电缆密封不失效。</w:t>
      </w:r>
    </w:p>
    <w:p w14:paraId="47372D99">
      <w:pPr>
        <w:topLinePunct/>
        <w:rPr>
          <w:rFonts w:ascii="楷体_GB2312" w:eastAsia="楷体_GB2312"/>
          <w:spacing w:val="5"/>
          <w:sz w:val="21"/>
          <w:szCs w:val="21"/>
          <w:lang w:val="en-US" w:eastAsia="zh-CN"/>
        </w:rPr>
      </w:pPr>
      <w:bookmarkStart w:id="14" w:name="_Toc247620586"/>
      <w:r>
        <w:rPr>
          <w:rFonts w:hint="eastAsia" w:ascii="楷体_GB2312" w:eastAsia="楷体_GB2312"/>
          <w:spacing w:val="5"/>
          <w:sz w:val="21"/>
          <w:szCs w:val="24"/>
          <w:lang w:val="en-US"/>
        </w:rPr>
        <w:t>3.</w:t>
      </w:r>
      <w:r>
        <w:rPr>
          <w:rFonts w:ascii="楷体_GB2312" w:eastAsia="楷体_GB2312"/>
          <w:spacing w:val="5"/>
          <w:sz w:val="21"/>
          <w:szCs w:val="24"/>
          <w:lang w:val="en-US"/>
        </w:rPr>
        <w:t>3　技术参数</w:t>
      </w:r>
      <w:bookmarkEnd w:id="14"/>
    </w:p>
    <w:p w14:paraId="4ED67B71">
      <w:pPr>
        <w:tabs>
          <w:tab w:val="left" w:pos="6840"/>
        </w:tabs>
        <w:overflowPunct w:val="0"/>
        <w:topLinePunct/>
        <w:rPr>
          <w:rFonts w:ascii="楷体_GB2312" w:eastAsia="楷体_GB2312"/>
          <w:spacing w:val="5"/>
          <w:sz w:val="21"/>
          <w:szCs w:val="24"/>
          <w:lang w:val="en-US"/>
        </w:rPr>
      </w:pPr>
      <w:r>
        <w:rPr>
          <w:rFonts w:ascii="楷体_GB2312" w:eastAsia="楷体_GB2312"/>
          <w:spacing w:val="5"/>
          <w:sz w:val="21"/>
          <w:szCs w:val="24"/>
          <w:lang w:val="en-US"/>
        </w:rPr>
        <w:t>买方应认真填写技术协议专用部分技术参数响应表中</w:t>
      </w:r>
      <w:r>
        <w:rPr>
          <w:rFonts w:hint="eastAsia" w:ascii="楷体_GB2312" w:eastAsia="楷体_GB2312"/>
          <w:spacing w:val="5"/>
          <w:sz w:val="21"/>
          <w:szCs w:val="24"/>
          <w:lang w:val="en-US"/>
        </w:rPr>
        <w:t>的</w:t>
      </w:r>
      <w:r>
        <w:rPr>
          <w:rFonts w:ascii="楷体_GB2312" w:eastAsia="楷体_GB2312"/>
          <w:spacing w:val="5"/>
          <w:sz w:val="21"/>
          <w:szCs w:val="24"/>
          <w:lang w:val="en-US"/>
        </w:rPr>
        <w:t>买方要求值，卖方应认真填写技术参数响应表中</w:t>
      </w:r>
      <w:r>
        <w:rPr>
          <w:rFonts w:hint="eastAsia" w:ascii="楷体_GB2312" w:eastAsia="楷体_GB2312"/>
          <w:spacing w:val="5"/>
          <w:sz w:val="21"/>
          <w:szCs w:val="24"/>
          <w:lang w:val="en-US"/>
        </w:rPr>
        <w:t>的</w:t>
      </w:r>
      <w:r>
        <w:rPr>
          <w:rFonts w:ascii="楷体_GB2312" w:eastAsia="楷体_GB2312"/>
          <w:spacing w:val="5"/>
          <w:sz w:val="21"/>
          <w:szCs w:val="24"/>
          <w:lang w:val="en-US"/>
        </w:rPr>
        <w:t>卖方保证值。</w:t>
      </w:r>
    </w:p>
    <w:p w14:paraId="557B4924">
      <w:pPr>
        <w:pStyle w:val="2"/>
        <w:numPr>
          <w:ilvl w:val="0"/>
          <w:numId w:val="0"/>
        </w:numPr>
        <w:tabs>
          <w:tab w:val="left" w:pos="432"/>
        </w:tabs>
        <w:rPr>
          <w:rFonts w:ascii="楷体_GB2312" w:eastAsia="楷体_GB2312" w:cs="Arial"/>
          <w:bCs/>
          <w:sz w:val="21"/>
          <w:szCs w:val="21"/>
          <w:lang w:val="en-US"/>
        </w:rPr>
      </w:pPr>
      <w:bookmarkStart w:id="15" w:name="_Toc9992"/>
      <w:bookmarkStart w:id="16" w:name="_Toc7949"/>
      <w:bookmarkStart w:id="17" w:name="_Toc493858825"/>
      <w:bookmarkStart w:id="18" w:name="_Toc3940"/>
      <w:r>
        <w:rPr>
          <w:rFonts w:hint="eastAsia" w:ascii="楷体_GB2312" w:eastAsia="楷体_GB2312" w:cs="Arial"/>
          <w:bCs/>
          <w:sz w:val="21"/>
          <w:szCs w:val="21"/>
        </w:rPr>
        <w:t>4　</w:t>
      </w:r>
      <w:r>
        <w:rPr>
          <w:rFonts w:hint="eastAsia" w:ascii="楷体_GB2312" w:eastAsia="楷体_GB2312" w:cs="Arial"/>
          <w:bCs/>
          <w:sz w:val="21"/>
          <w:szCs w:val="21"/>
          <w:lang w:val="en-US"/>
        </w:rPr>
        <w:t>光伏专用电缆技术要求</w:t>
      </w:r>
      <w:bookmarkEnd w:id="15"/>
      <w:bookmarkEnd w:id="16"/>
      <w:bookmarkEnd w:id="17"/>
      <w:bookmarkEnd w:id="18"/>
    </w:p>
    <w:p w14:paraId="0A4B8FF0">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.1</w:t>
      </w:r>
      <w:r>
        <w:rPr>
          <w:rFonts w:hint="eastAsia" w:ascii="楷体_GB2312" w:eastAsia="楷体_GB2312"/>
          <w:spacing w:val="5"/>
          <w:sz w:val="21"/>
          <w:szCs w:val="24"/>
          <w:lang w:val="en-US" w:eastAsia="zh-CN"/>
        </w:rPr>
        <w:t xml:space="preserve"> </w:t>
      </w:r>
      <w:r>
        <w:rPr>
          <w:rFonts w:hint="eastAsia" w:ascii="楷体_GB2312" w:eastAsia="楷体_GB2312"/>
          <w:spacing w:val="5"/>
          <w:sz w:val="21"/>
          <w:szCs w:val="24"/>
          <w:lang w:val="en-US"/>
        </w:rPr>
        <w:t>适用范围</w:t>
      </w:r>
    </w:p>
    <w:p w14:paraId="7514CD1D">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ascii="楷体_GB2312" w:eastAsia="楷体_GB2312"/>
          <w:spacing w:val="5"/>
          <w:sz w:val="21"/>
          <w:szCs w:val="24"/>
          <w:lang w:val="en-US"/>
        </w:rPr>
        <w:t>本产品依据</w:t>
      </w:r>
      <w:r>
        <w:rPr>
          <w:rFonts w:hint="eastAsia" w:ascii="楷体_GB2312" w:eastAsia="楷体_GB2312"/>
          <w:spacing w:val="5"/>
          <w:sz w:val="21"/>
          <w:szCs w:val="24"/>
          <w:lang w:val="en-US"/>
        </w:rPr>
        <w:t>2PfG 1169/08.2007</w:t>
      </w:r>
      <w:r>
        <w:rPr>
          <w:rFonts w:ascii="楷体_GB2312" w:eastAsia="楷体_GB2312"/>
          <w:spacing w:val="5"/>
          <w:sz w:val="21"/>
          <w:szCs w:val="24"/>
          <w:lang w:val="en-US"/>
        </w:rPr>
        <w:t>，</w:t>
      </w:r>
      <w:r>
        <w:rPr>
          <w:rFonts w:hint="eastAsia" w:ascii="楷体_GB2312" w:eastAsia="楷体_GB2312"/>
          <w:spacing w:val="5"/>
          <w:sz w:val="21"/>
          <w:szCs w:val="24"/>
          <w:lang w:val="en-US"/>
        </w:rPr>
        <w:t>适用于最高允许1.8kV(线芯对线芯,非接地系统)直流电压、在光伏系统中DC侧使用的单芯软电缆(电线)，该产品适合于Ⅱ类安全等级下使用，电缆运行的环境温度最高到</w:t>
      </w:r>
      <w:r>
        <w:rPr>
          <w:rFonts w:ascii="楷体_GB2312" w:eastAsia="楷体_GB2312"/>
          <w:spacing w:val="5"/>
          <w:sz w:val="21"/>
          <w:szCs w:val="24"/>
          <w:lang w:val="en-US"/>
        </w:rPr>
        <w:t>90</w:t>
      </w:r>
      <w:r>
        <w:rPr>
          <w:rFonts w:hint="eastAsia" w:ascii="楷体_GB2312" w:eastAsia="楷体_GB2312"/>
          <w:spacing w:val="5"/>
          <w:sz w:val="21"/>
          <w:szCs w:val="24"/>
          <w:lang w:val="en-US"/>
        </w:rPr>
        <w:t>℃，电缆可以多根并联使用。</w:t>
      </w:r>
    </w:p>
    <w:p w14:paraId="3792EA23">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.2</w:t>
      </w:r>
      <w:r>
        <w:rPr>
          <w:rFonts w:ascii="楷体_GB2312" w:eastAsia="楷体_GB2312"/>
          <w:spacing w:val="5"/>
          <w:sz w:val="21"/>
          <w:szCs w:val="24"/>
          <w:lang w:val="en-US"/>
        </w:rPr>
        <w:t xml:space="preserve"> 使用特性</w:t>
      </w:r>
    </w:p>
    <w:p w14:paraId="5C3A58DD">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.2.1</w:t>
      </w:r>
      <w:r>
        <w:rPr>
          <w:rFonts w:hint="eastAsia" w:ascii="楷体_GB2312" w:eastAsia="楷体_GB2312"/>
          <w:spacing w:val="5"/>
          <w:sz w:val="21"/>
          <w:szCs w:val="24"/>
          <w:lang w:val="en-US" w:eastAsia="zh-CN"/>
        </w:rPr>
        <w:t xml:space="preserve"> </w:t>
      </w:r>
      <w:r>
        <w:rPr>
          <w:rFonts w:hint="eastAsia" w:ascii="楷体_GB2312" w:eastAsia="楷体_GB2312"/>
          <w:spacing w:val="5"/>
          <w:sz w:val="21"/>
          <w:szCs w:val="24"/>
          <w:lang w:val="en-US"/>
        </w:rPr>
        <w:t>电压等级</w:t>
      </w:r>
    </w:p>
    <w:p w14:paraId="44B3D240">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rPr>
        <w:t>AC: Uo/U 0.6/1kV</w:t>
      </w:r>
    </w:p>
    <w:p w14:paraId="1493F69A">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rPr>
        <w:t>DC: 1.8kV</w:t>
      </w:r>
    </w:p>
    <w:p w14:paraId="3B827BC1">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rPr>
        <w:t>最高允许工作电压（AC）:0.7/1.2kV</w:t>
      </w:r>
    </w:p>
    <w:p w14:paraId="04ED6979">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rPr>
        <w:t>最高允许工作电压（DC）:0.9/1.8kV</w:t>
      </w:r>
    </w:p>
    <w:p w14:paraId="62AF8097">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.2.2、试验电压：</w:t>
      </w:r>
    </w:p>
    <w:p w14:paraId="1C76562B">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rPr>
        <w:t>AC：6.5kV，</w:t>
      </w:r>
    </w:p>
    <w:p w14:paraId="4400E364">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rPr>
        <w:t>DC：15kV，</w:t>
      </w:r>
    </w:p>
    <w:p w14:paraId="690BE3D7">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rPr>
        <w:t>时间：5分钟</w:t>
      </w:r>
    </w:p>
    <w:p w14:paraId="0EF69C36">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2.3</w:t>
      </w:r>
      <w:r>
        <w:rPr>
          <w:rFonts w:hint="eastAsia" w:ascii="楷体_GB2312" w:eastAsia="楷体_GB2312"/>
          <w:spacing w:val="5"/>
          <w:sz w:val="21"/>
          <w:szCs w:val="24"/>
          <w:lang w:val="en-US" w:eastAsia="zh-CN"/>
        </w:rPr>
        <w:t xml:space="preserve"> </w:t>
      </w:r>
      <w:r>
        <w:rPr>
          <w:rFonts w:hint="eastAsia" w:ascii="楷体_GB2312" w:eastAsia="楷体_GB2312"/>
          <w:spacing w:val="5"/>
          <w:sz w:val="21"/>
          <w:szCs w:val="24"/>
          <w:lang w:val="en-US"/>
        </w:rPr>
        <w:t>温度范围</w:t>
      </w:r>
      <w:r>
        <w:rPr>
          <w:rFonts w:ascii="楷体_GB2312" w:eastAsia="楷体_GB2312"/>
          <w:spacing w:val="5"/>
          <w:sz w:val="21"/>
          <w:szCs w:val="24"/>
          <w:lang w:val="en-US"/>
        </w:rPr>
        <w:t xml:space="preserve">: </w:t>
      </w:r>
    </w:p>
    <w:p w14:paraId="685D0470">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ascii="楷体_GB2312" w:eastAsia="楷体_GB2312"/>
          <w:spacing w:val="5"/>
          <w:sz w:val="21"/>
          <w:szCs w:val="24"/>
          <w:lang w:val="en-US"/>
        </w:rPr>
        <w:t xml:space="preserve">      </w:t>
      </w:r>
      <w:r>
        <w:rPr>
          <w:rFonts w:hint="eastAsia" w:ascii="楷体_GB2312" w:eastAsia="楷体_GB2312"/>
          <w:spacing w:val="5"/>
          <w:sz w:val="21"/>
          <w:szCs w:val="24"/>
          <w:lang w:val="en-US"/>
        </w:rPr>
        <w:t>环境温度</w:t>
      </w:r>
      <w:r>
        <w:rPr>
          <w:rFonts w:ascii="楷体_GB2312" w:eastAsia="楷体_GB2312"/>
          <w:spacing w:val="5"/>
          <w:sz w:val="21"/>
          <w:szCs w:val="24"/>
          <w:lang w:val="en-US"/>
        </w:rPr>
        <w:t>: -40</w:t>
      </w:r>
      <w:r>
        <w:rPr>
          <w:rFonts w:hint="eastAsia" w:ascii="楷体_GB2312" w:eastAsia="楷体_GB2312"/>
          <w:spacing w:val="5"/>
          <w:sz w:val="21"/>
          <w:szCs w:val="24"/>
          <w:lang w:val="en-US"/>
        </w:rPr>
        <w:t>℃到</w:t>
      </w:r>
      <w:r>
        <w:rPr>
          <w:rFonts w:ascii="楷体_GB2312" w:eastAsia="楷体_GB2312"/>
          <w:spacing w:val="5"/>
          <w:sz w:val="21"/>
          <w:szCs w:val="24"/>
          <w:lang w:val="en-US"/>
        </w:rPr>
        <w:t>+</w:t>
      </w:r>
      <w:r>
        <w:rPr>
          <w:rFonts w:hint="eastAsia" w:ascii="楷体_GB2312" w:eastAsia="楷体_GB2312"/>
          <w:spacing w:val="5"/>
          <w:sz w:val="21"/>
          <w:szCs w:val="24"/>
          <w:lang w:val="en-US"/>
        </w:rPr>
        <w:t>12</w:t>
      </w:r>
      <w:r>
        <w:rPr>
          <w:rFonts w:ascii="楷体_GB2312" w:eastAsia="楷体_GB2312"/>
          <w:spacing w:val="5"/>
          <w:sz w:val="21"/>
          <w:szCs w:val="24"/>
          <w:lang w:val="en-US"/>
        </w:rPr>
        <w:t>0</w:t>
      </w:r>
      <w:r>
        <w:rPr>
          <w:rFonts w:hint="eastAsia" w:ascii="楷体_GB2312" w:eastAsia="楷体_GB2312"/>
          <w:spacing w:val="5"/>
          <w:sz w:val="21"/>
          <w:szCs w:val="24"/>
          <w:lang w:val="en-US"/>
        </w:rPr>
        <w:t>℃（移动或者固定）</w:t>
      </w:r>
      <w:r>
        <w:rPr>
          <w:rFonts w:ascii="楷体_GB2312" w:eastAsia="楷体_GB2312"/>
          <w:spacing w:val="5"/>
          <w:sz w:val="21"/>
          <w:szCs w:val="24"/>
          <w:lang w:val="en-US"/>
        </w:rPr>
        <w:t xml:space="preserve"> </w:t>
      </w:r>
    </w:p>
    <w:p w14:paraId="79035C8C">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ascii="楷体_GB2312" w:eastAsia="楷体_GB2312"/>
          <w:spacing w:val="5"/>
          <w:sz w:val="21"/>
          <w:szCs w:val="24"/>
          <w:lang w:val="en-US"/>
        </w:rPr>
        <w:t xml:space="preserve">      短路时（5秒内）最高温度不超过2</w:t>
      </w:r>
      <w:r>
        <w:rPr>
          <w:rFonts w:hint="eastAsia" w:ascii="楷体_GB2312" w:eastAsia="楷体_GB2312"/>
          <w:spacing w:val="5"/>
          <w:sz w:val="21"/>
          <w:szCs w:val="24"/>
          <w:lang w:val="en-US"/>
        </w:rPr>
        <w:t>0</w:t>
      </w:r>
      <w:r>
        <w:rPr>
          <w:rFonts w:ascii="楷体_GB2312" w:eastAsia="楷体_GB2312"/>
          <w:spacing w:val="5"/>
          <w:sz w:val="21"/>
          <w:szCs w:val="24"/>
          <w:lang w:val="en-US"/>
        </w:rPr>
        <w:t>0</w:t>
      </w:r>
      <w:r>
        <w:rPr>
          <w:rFonts w:hint="eastAsia" w:ascii="楷体_GB2312" w:eastAsia="楷体_GB2312"/>
          <w:spacing w:val="5"/>
          <w:sz w:val="21"/>
          <w:szCs w:val="24"/>
          <w:lang w:val="en-US"/>
        </w:rPr>
        <w:t>℃</w:t>
      </w:r>
      <w:r>
        <w:rPr>
          <w:rFonts w:ascii="楷体_GB2312" w:eastAsia="楷体_GB2312"/>
          <w:spacing w:val="5"/>
          <w:sz w:val="21"/>
          <w:szCs w:val="24"/>
          <w:lang w:val="en-US"/>
        </w:rPr>
        <w:t>。</w:t>
      </w:r>
    </w:p>
    <w:p w14:paraId="723D69A1">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.2.4、</w:t>
      </w:r>
      <w:r>
        <w:rPr>
          <w:rFonts w:ascii="楷体_GB2312" w:eastAsia="楷体_GB2312"/>
          <w:spacing w:val="5"/>
          <w:sz w:val="21"/>
          <w:szCs w:val="24"/>
          <w:lang w:val="en-US"/>
        </w:rPr>
        <w:t>电缆的弯曲半径不小于电缆外径的</w:t>
      </w:r>
      <w:r>
        <w:rPr>
          <w:rFonts w:hint="eastAsia" w:ascii="楷体_GB2312" w:eastAsia="楷体_GB2312"/>
          <w:spacing w:val="5"/>
          <w:sz w:val="21"/>
          <w:szCs w:val="24"/>
          <w:lang w:val="en-US"/>
        </w:rPr>
        <w:t>4</w:t>
      </w:r>
      <w:r>
        <w:rPr>
          <w:rFonts w:ascii="楷体_GB2312" w:eastAsia="楷体_GB2312"/>
          <w:spacing w:val="5"/>
          <w:sz w:val="21"/>
          <w:szCs w:val="24"/>
          <w:lang w:val="en-US"/>
        </w:rPr>
        <w:t>倍</w:t>
      </w:r>
      <w:r>
        <w:rPr>
          <w:rFonts w:hint="eastAsia" w:ascii="楷体_GB2312" w:eastAsia="楷体_GB2312"/>
          <w:spacing w:val="5"/>
          <w:sz w:val="21"/>
          <w:szCs w:val="24"/>
          <w:lang w:val="en-US"/>
        </w:rPr>
        <w:t>。</w:t>
      </w:r>
    </w:p>
    <w:p w14:paraId="17339489">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.2.5、</w:t>
      </w:r>
      <w:r>
        <w:rPr>
          <w:rFonts w:ascii="楷体_GB2312" w:eastAsia="楷体_GB2312"/>
          <w:spacing w:val="5"/>
          <w:sz w:val="21"/>
          <w:szCs w:val="24"/>
          <w:lang w:val="en-US"/>
        </w:rPr>
        <w:t>绝缘</w:t>
      </w:r>
      <w:r>
        <w:rPr>
          <w:rFonts w:hint="eastAsia" w:ascii="楷体_GB2312" w:eastAsia="楷体_GB2312"/>
          <w:spacing w:val="5"/>
          <w:sz w:val="21"/>
          <w:szCs w:val="24"/>
          <w:lang w:val="en-US"/>
        </w:rPr>
        <w:t>和护套</w:t>
      </w:r>
      <w:r>
        <w:rPr>
          <w:rFonts w:ascii="楷体_GB2312" w:eastAsia="楷体_GB2312"/>
          <w:spacing w:val="5"/>
          <w:sz w:val="21"/>
          <w:szCs w:val="24"/>
          <w:lang w:val="en-US"/>
        </w:rPr>
        <w:t>采用交联聚烯烃材料。</w:t>
      </w:r>
    </w:p>
    <w:p w14:paraId="395A90D6">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.2.6、</w:t>
      </w:r>
      <w:r>
        <w:rPr>
          <w:rFonts w:ascii="楷体_GB2312" w:eastAsia="楷体_GB2312"/>
          <w:spacing w:val="5"/>
          <w:sz w:val="21"/>
          <w:szCs w:val="24"/>
          <w:lang w:val="en-US"/>
        </w:rPr>
        <w:t>电缆热寿命评定结果应符合电缆使用寿命不少于</w:t>
      </w:r>
      <w:r>
        <w:rPr>
          <w:rFonts w:hint="eastAsia" w:ascii="楷体_GB2312" w:eastAsia="楷体_GB2312"/>
          <w:spacing w:val="5"/>
          <w:sz w:val="21"/>
          <w:szCs w:val="24"/>
          <w:lang w:val="en-US"/>
        </w:rPr>
        <w:t>25</w:t>
      </w:r>
      <w:r>
        <w:rPr>
          <w:rFonts w:ascii="楷体_GB2312" w:eastAsia="楷体_GB2312"/>
          <w:spacing w:val="5"/>
          <w:sz w:val="21"/>
          <w:szCs w:val="24"/>
          <w:lang w:val="en-US"/>
        </w:rPr>
        <w:t>年的要求。</w:t>
      </w:r>
    </w:p>
    <w:p w14:paraId="548EC331">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.2.7、</w:t>
      </w:r>
      <w:r>
        <w:rPr>
          <w:rFonts w:ascii="楷体_GB2312" w:eastAsia="楷体_GB2312"/>
          <w:spacing w:val="5"/>
          <w:sz w:val="21"/>
          <w:szCs w:val="24"/>
          <w:lang w:val="en-US"/>
        </w:rPr>
        <w:t>成品电缆</w:t>
      </w:r>
      <w:r>
        <w:rPr>
          <w:rFonts w:hint="eastAsia" w:ascii="楷体_GB2312" w:eastAsia="楷体_GB2312"/>
          <w:spacing w:val="5"/>
          <w:sz w:val="21"/>
          <w:szCs w:val="24"/>
          <w:lang w:val="en-US"/>
        </w:rPr>
        <w:t>无卤阻燃，性能符合2PfG 1169/08.2007</w:t>
      </w:r>
      <w:r>
        <w:rPr>
          <w:rFonts w:ascii="楷体_GB2312" w:eastAsia="楷体_GB2312"/>
          <w:spacing w:val="5"/>
          <w:sz w:val="21"/>
          <w:szCs w:val="24"/>
          <w:lang w:val="en-US"/>
        </w:rPr>
        <w:t>。</w:t>
      </w:r>
    </w:p>
    <w:p w14:paraId="64FD7B54">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.2.8、成品</w:t>
      </w:r>
      <w:r>
        <w:rPr>
          <w:rFonts w:ascii="楷体_GB2312" w:eastAsia="楷体_GB2312"/>
          <w:spacing w:val="5"/>
          <w:sz w:val="21"/>
          <w:szCs w:val="24"/>
          <w:lang w:val="en-US"/>
        </w:rPr>
        <w:t>电缆不仅具有</w:t>
      </w:r>
      <w:r>
        <w:rPr>
          <w:rFonts w:hint="eastAsia" w:ascii="楷体_GB2312" w:eastAsia="楷体_GB2312"/>
          <w:spacing w:val="5"/>
          <w:sz w:val="21"/>
          <w:szCs w:val="24"/>
          <w:lang w:val="en-US"/>
        </w:rPr>
        <w:t>优异</w:t>
      </w:r>
      <w:r>
        <w:rPr>
          <w:rFonts w:ascii="楷体_GB2312" w:eastAsia="楷体_GB2312"/>
          <w:spacing w:val="5"/>
          <w:sz w:val="21"/>
          <w:szCs w:val="24"/>
          <w:lang w:val="en-US"/>
        </w:rPr>
        <w:t>的耐风雨性、耐紫外线和臭氧侵蚀性，而且能承受更大范围的的温度变化（例如：从–40</w:t>
      </w:r>
      <w:r>
        <w:rPr>
          <w:rFonts w:hint="eastAsia" w:ascii="楷体_GB2312" w:eastAsia="楷体_GB2312"/>
          <w:spacing w:val="5"/>
          <w:sz w:val="21"/>
          <w:szCs w:val="24"/>
          <w:lang w:val="en-US"/>
        </w:rPr>
        <w:t>℃</w:t>
      </w:r>
      <w:r>
        <w:rPr>
          <w:rFonts w:ascii="楷体_GB2312" w:eastAsia="楷体_GB2312"/>
          <w:spacing w:val="5"/>
          <w:sz w:val="21"/>
          <w:szCs w:val="24"/>
          <w:lang w:val="en-US"/>
        </w:rPr>
        <w:t>至12</w:t>
      </w:r>
      <w:r>
        <w:rPr>
          <w:rFonts w:hint="eastAsia" w:ascii="楷体_GB2312" w:eastAsia="楷体_GB2312"/>
          <w:spacing w:val="5"/>
          <w:sz w:val="21"/>
          <w:szCs w:val="24"/>
          <w:lang w:val="en-US"/>
        </w:rPr>
        <w:t>0℃</w:t>
      </w:r>
      <w:r>
        <w:rPr>
          <w:rFonts w:ascii="楷体_GB2312" w:eastAsia="楷体_GB2312"/>
          <w:spacing w:val="5"/>
          <w:sz w:val="21"/>
          <w:szCs w:val="24"/>
          <w:lang w:val="en-US"/>
        </w:rPr>
        <w:t>）</w:t>
      </w:r>
      <w:r>
        <w:rPr>
          <w:rFonts w:hint="eastAsia" w:ascii="楷体_GB2312" w:eastAsia="楷体_GB2312"/>
          <w:spacing w:val="5"/>
          <w:sz w:val="21"/>
          <w:szCs w:val="24"/>
          <w:lang w:val="en-US"/>
        </w:rPr>
        <w:t>。</w:t>
      </w:r>
    </w:p>
    <w:p w14:paraId="508B8F18">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.2.9、电缆有优异的耐穿透能力，性能符合2PfG 1169/08.2007。</w:t>
      </w:r>
    </w:p>
    <w:p w14:paraId="7BAA1134">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rPr>
      </w:pPr>
      <w:r>
        <w:rPr>
          <w:rFonts w:hint="eastAsia" w:ascii="楷体_GB2312" w:eastAsia="楷体_GB2312"/>
          <w:spacing w:val="5"/>
          <w:sz w:val="21"/>
          <w:szCs w:val="24"/>
          <w:lang w:val="en-US" w:eastAsia="zh-CN"/>
        </w:rPr>
        <w:t>4</w:t>
      </w:r>
      <w:r>
        <w:rPr>
          <w:rFonts w:hint="eastAsia" w:ascii="楷体_GB2312" w:eastAsia="楷体_GB2312"/>
          <w:spacing w:val="5"/>
          <w:sz w:val="21"/>
          <w:szCs w:val="24"/>
          <w:lang w:val="en-US"/>
        </w:rPr>
        <w:t>.2.10、产品取得</w:t>
      </w:r>
      <w:r>
        <w:rPr>
          <w:rFonts w:ascii="楷体_GB2312" w:eastAsia="楷体_GB2312"/>
          <w:spacing w:val="5"/>
          <w:sz w:val="21"/>
          <w:szCs w:val="24"/>
          <w:lang w:val="en-US"/>
        </w:rPr>
        <w:t>TÜV</w:t>
      </w:r>
      <w:r>
        <w:rPr>
          <w:rFonts w:hint="eastAsia" w:ascii="楷体_GB2312" w:eastAsia="楷体_GB2312"/>
          <w:spacing w:val="5"/>
          <w:sz w:val="21"/>
          <w:szCs w:val="24"/>
          <w:lang w:val="en-US"/>
        </w:rPr>
        <w:t>认证</w:t>
      </w:r>
    </w:p>
    <w:p w14:paraId="450930CA">
      <w:pPr>
        <w:pStyle w:val="2"/>
        <w:numPr>
          <w:ilvl w:val="0"/>
          <w:numId w:val="0"/>
        </w:numPr>
        <w:tabs>
          <w:tab w:val="left" w:pos="432"/>
        </w:tabs>
        <w:rPr>
          <w:rFonts w:ascii="楷体_GB2312" w:eastAsia="楷体_GB2312" w:cs="Arial"/>
          <w:bCs/>
          <w:sz w:val="21"/>
          <w:szCs w:val="21"/>
          <w:lang w:val="en-US"/>
        </w:rPr>
      </w:pPr>
      <w:bookmarkStart w:id="19" w:name="_Toc493858826"/>
      <w:bookmarkStart w:id="20" w:name="_Toc15844"/>
      <w:bookmarkStart w:id="21" w:name="_Toc6448"/>
      <w:bookmarkStart w:id="22" w:name="_Toc25118"/>
      <w:r>
        <w:rPr>
          <w:rFonts w:hint="eastAsia" w:ascii="楷体_GB2312" w:eastAsia="楷体_GB2312" w:cs="Arial"/>
          <w:bCs/>
          <w:sz w:val="21"/>
          <w:szCs w:val="21"/>
          <w:lang w:val="en-US"/>
        </w:rPr>
        <w:t>5</w:t>
      </w:r>
      <w:r>
        <w:rPr>
          <w:rFonts w:hint="eastAsia" w:ascii="楷体_GB2312" w:eastAsia="楷体_GB2312" w:cs="Arial"/>
          <w:bCs/>
          <w:sz w:val="21"/>
          <w:szCs w:val="21"/>
        </w:rPr>
        <w:t>　</w:t>
      </w:r>
      <w:r>
        <w:rPr>
          <w:rFonts w:hint="eastAsia" w:ascii="楷体_GB2312" w:eastAsia="楷体_GB2312" w:cs="Arial"/>
          <w:bCs/>
          <w:sz w:val="21"/>
          <w:szCs w:val="21"/>
          <w:lang w:val="en-US"/>
        </w:rPr>
        <w:t>光纤技术要求</w:t>
      </w:r>
      <w:bookmarkEnd w:id="19"/>
      <w:bookmarkEnd w:id="20"/>
      <w:bookmarkEnd w:id="21"/>
      <w:bookmarkEnd w:id="22"/>
    </w:p>
    <w:p w14:paraId="76DF40C2">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 xml:space="preserve">5.1  </w:t>
      </w:r>
      <w:bookmarkStart w:id="23" w:name="_Toc357451820"/>
      <w:r>
        <w:rPr>
          <w:rFonts w:hint="eastAsia" w:ascii="楷体_GB2312" w:eastAsia="楷体_GB2312"/>
          <w:spacing w:val="5"/>
          <w:sz w:val="21"/>
          <w:szCs w:val="24"/>
          <w:lang w:val="en-US" w:eastAsia="zh-CN"/>
        </w:rPr>
        <w:t>光纤规格</w:t>
      </w:r>
      <w:bookmarkEnd w:id="23"/>
    </w:p>
    <w:p w14:paraId="1BACB127">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光缆中的光纤应是符合GB/T15972.1中分类的B1.1、B1.3类单模光纤。</w:t>
      </w:r>
    </w:p>
    <w:p w14:paraId="70F3C2F6">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eastAsia="zh-CN"/>
        </w:rPr>
      </w:pPr>
      <w:bookmarkStart w:id="24" w:name="_Toc357451821"/>
      <w:r>
        <w:rPr>
          <w:rFonts w:hint="eastAsia" w:ascii="楷体_GB2312" w:eastAsia="楷体_GB2312"/>
          <w:spacing w:val="5"/>
          <w:sz w:val="21"/>
          <w:szCs w:val="24"/>
          <w:lang w:val="en-US" w:eastAsia="zh-CN"/>
        </w:rPr>
        <w:t>5.2  识别色谱</w:t>
      </w:r>
      <w:bookmarkEnd w:id="24"/>
    </w:p>
    <w:p w14:paraId="5AEE3F68">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同批、同型式规划的光缆应具有相同的结构排列和相同的识别色谱。</w:t>
      </w:r>
    </w:p>
    <w:p w14:paraId="0F0C16C3">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eastAsia="zh-CN"/>
        </w:rPr>
      </w:pPr>
      <w:bookmarkStart w:id="25" w:name="_Toc357451822"/>
      <w:r>
        <w:rPr>
          <w:rFonts w:hint="eastAsia" w:ascii="楷体_GB2312" w:eastAsia="楷体_GB2312"/>
          <w:spacing w:val="5"/>
          <w:sz w:val="21"/>
          <w:szCs w:val="24"/>
          <w:lang w:val="en-US" w:eastAsia="zh-CN"/>
        </w:rPr>
        <w:t>5.3  分立光纤识别</w:t>
      </w:r>
      <w:bookmarkEnd w:id="25"/>
    </w:p>
    <w:p w14:paraId="226FE2F2">
      <w:pPr>
        <w:tabs>
          <w:tab w:val="left" w:pos="26001"/>
          <w:tab w:val="left" w:pos="30932"/>
          <w:tab w:val="left" w:pos="31600"/>
          <w:tab w:val="left" w:pos="31620"/>
          <w:tab w:val="left" w:pos="31640"/>
          <w:tab w:val="left" w:pos="31660"/>
          <w:tab w:val="left" w:pos="31680"/>
        </w:tabs>
        <w:overflowPunct w:val="0"/>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松套管或骨架槽中的分立光纤应采用全色谱方式识别，其光纤序号和标志色应符合表7规定，但在不影响识别的情况下，允许用本色代替其中一个颜色。光纤着色应优先采用UV 处理法，其颜色应不迁移，不腿色（用丙酮或酒精擦拭也应不变色）并符合GB/T 6995.2的相关规定。松套管中的光纤，应采用全色谱来识别，若松套管中的光纤数高于12 芯时，应采用光纤色环加以区分。前12 芯的光纤标志颜色的顺序见表2 所示，不足12 根芯时，应在表1中按序号选用，原始的色码在整个光缆的设计寿命期内应可清晰辨认。</w:t>
      </w:r>
    </w:p>
    <w:p w14:paraId="5EC30086">
      <w:pPr>
        <w:pStyle w:val="12"/>
        <w:ind w:firstLine="0" w:firstLineChars="0"/>
        <w:jc w:val="center"/>
        <w:rPr>
          <w:rFonts w:ascii="楷体_GB2312" w:eastAsia="楷体_GB2312"/>
          <w:szCs w:val="21"/>
        </w:rPr>
      </w:pPr>
      <w:r>
        <w:rPr>
          <w:rFonts w:ascii="楷体_GB2312" w:eastAsia="楷体_GB2312"/>
          <w:szCs w:val="21"/>
        </w:rPr>
        <w:t>表</w:t>
      </w:r>
      <w:r>
        <w:rPr>
          <w:rFonts w:hint="eastAsia" w:ascii="楷体_GB2312" w:eastAsia="楷体_GB2312"/>
          <w:szCs w:val="21"/>
        </w:rPr>
        <w:t>1</w:t>
      </w:r>
      <w:r>
        <w:rPr>
          <w:rFonts w:ascii="楷体_GB2312" w:eastAsia="楷体_GB2312"/>
          <w:szCs w:val="21"/>
        </w:rPr>
        <w:t xml:space="preserve"> 全色谱识别方式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576"/>
        <w:gridCol w:w="504"/>
        <w:gridCol w:w="540"/>
        <w:gridCol w:w="540"/>
        <w:gridCol w:w="504"/>
        <w:gridCol w:w="576"/>
        <w:gridCol w:w="613"/>
        <w:gridCol w:w="553"/>
        <w:gridCol w:w="597"/>
        <w:gridCol w:w="483"/>
        <w:gridCol w:w="667"/>
        <w:gridCol w:w="720"/>
      </w:tblGrid>
      <w:tr w14:paraId="36491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vAlign w:val="center"/>
          </w:tcPr>
          <w:p w14:paraId="609168E1">
            <w:pPr>
              <w:pStyle w:val="12"/>
              <w:ind w:firstLine="0" w:firstLineChars="0"/>
              <w:rPr>
                <w:rFonts w:ascii="楷体_GB2312" w:eastAsia="楷体_GB2312"/>
                <w:szCs w:val="21"/>
              </w:rPr>
            </w:pPr>
            <w:r>
              <w:rPr>
                <w:rFonts w:ascii="楷体_GB2312" w:eastAsia="楷体_GB2312"/>
                <w:szCs w:val="21"/>
              </w:rPr>
              <w:t>序号</w:t>
            </w:r>
          </w:p>
        </w:tc>
        <w:tc>
          <w:tcPr>
            <w:tcW w:w="576" w:type="dxa"/>
            <w:vAlign w:val="center"/>
          </w:tcPr>
          <w:p w14:paraId="703FBC17">
            <w:pPr>
              <w:pStyle w:val="12"/>
              <w:ind w:firstLine="0" w:firstLineChars="0"/>
              <w:rPr>
                <w:rFonts w:ascii="楷体_GB2312" w:eastAsia="楷体_GB2312"/>
                <w:szCs w:val="21"/>
              </w:rPr>
            </w:pPr>
            <w:r>
              <w:rPr>
                <w:rFonts w:ascii="楷体_GB2312" w:eastAsia="楷体_GB2312"/>
                <w:szCs w:val="21"/>
              </w:rPr>
              <w:t>1</w:t>
            </w:r>
          </w:p>
        </w:tc>
        <w:tc>
          <w:tcPr>
            <w:tcW w:w="504" w:type="dxa"/>
            <w:vAlign w:val="center"/>
          </w:tcPr>
          <w:p w14:paraId="6DC75739">
            <w:pPr>
              <w:pStyle w:val="12"/>
              <w:ind w:firstLine="0" w:firstLineChars="0"/>
              <w:rPr>
                <w:rFonts w:ascii="楷体_GB2312" w:eastAsia="楷体_GB2312"/>
                <w:szCs w:val="21"/>
              </w:rPr>
            </w:pPr>
            <w:r>
              <w:rPr>
                <w:rFonts w:ascii="楷体_GB2312" w:eastAsia="楷体_GB2312"/>
                <w:szCs w:val="21"/>
              </w:rPr>
              <w:t>2</w:t>
            </w:r>
          </w:p>
        </w:tc>
        <w:tc>
          <w:tcPr>
            <w:tcW w:w="540" w:type="dxa"/>
            <w:vAlign w:val="center"/>
          </w:tcPr>
          <w:p w14:paraId="40AABA3E">
            <w:pPr>
              <w:pStyle w:val="12"/>
              <w:ind w:firstLine="0" w:firstLineChars="0"/>
              <w:rPr>
                <w:rFonts w:ascii="楷体_GB2312" w:eastAsia="楷体_GB2312"/>
                <w:szCs w:val="21"/>
              </w:rPr>
            </w:pPr>
            <w:r>
              <w:rPr>
                <w:rFonts w:ascii="楷体_GB2312" w:eastAsia="楷体_GB2312"/>
                <w:szCs w:val="21"/>
              </w:rPr>
              <w:t>3</w:t>
            </w:r>
          </w:p>
        </w:tc>
        <w:tc>
          <w:tcPr>
            <w:tcW w:w="540" w:type="dxa"/>
            <w:vAlign w:val="center"/>
          </w:tcPr>
          <w:p w14:paraId="530A9BFD">
            <w:pPr>
              <w:pStyle w:val="12"/>
              <w:ind w:firstLine="0" w:firstLineChars="0"/>
              <w:rPr>
                <w:rFonts w:ascii="楷体_GB2312" w:eastAsia="楷体_GB2312"/>
                <w:szCs w:val="21"/>
              </w:rPr>
            </w:pPr>
            <w:r>
              <w:rPr>
                <w:rFonts w:ascii="楷体_GB2312" w:eastAsia="楷体_GB2312"/>
                <w:szCs w:val="21"/>
              </w:rPr>
              <w:t>4</w:t>
            </w:r>
          </w:p>
        </w:tc>
        <w:tc>
          <w:tcPr>
            <w:tcW w:w="504" w:type="dxa"/>
            <w:vAlign w:val="center"/>
          </w:tcPr>
          <w:p w14:paraId="1C560F31">
            <w:pPr>
              <w:pStyle w:val="12"/>
              <w:ind w:firstLine="0" w:firstLineChars="0"/>
              <w:rPr>
                <w:rFonts w:ascii="楷体_GB2312" w:eastAsia="楷体_GB2312"/>
                <w:szCs w:val="21"/>
              </w:rPr>
            </w:pPr>
            <w:r>
              <w:rPr>
                <w:rFonts w:ascii="楷体_GB2312" w:eastAsia="楷体_GB2312"/>
                <w:szCs w:val="21"/>
              </w:rPr>
              <w:t>5</w:t>
            </w:r>
          </w:p>
        </w:tc>
        <w:tc>
          <w:tcPr>
            <w:tcW w:w="576" w:type="dxa"/>
            <w:vAlign w:val="center"/>
          </w:tcPr>
          <w:p w14:paraId="152F0A0A">
            <w:pPr>
              <w:pStyle w:val="12"/>
              <w:ind w:firstLine="0" w:firstLineChars="0"/>
              <w:rPr>
                <w:rFonts w:ascii="楷体_GB2312" w:eastAsia="楷体_GB2312"/>
                <w:szCs w:val="21"/>
              </w:rPr>
            </w:pPr>
            <w:r>
              <w:rPr>
                <w:rFonts w:ascii="楷体_GB2312" w:eastAsia="楷体_GB2312"/>
                <w:szCs w:val="21"/>
              </w:rPr>
              <w:t>6</w:t>
            </w:r>
          </w:p>
        </w:tc>
        <w:tc>
          <w:tcPr>
            <w:tcW w:w="613" w:type="dxa"/>
            <w:vAlign w:val="center"/>
          </w:tcPr>
          <w:p w14:paraId="15FB75BC">
            <w:pPr>
              <w:pStyle w:val="12"/>
              <w:ind w:firstLine="0" w:firstLineChars="0"/>
              <w:rPr>
                <w:rFonts w:ascii="楷体_GB2312" w:eastAsia="楷体_GB2312"/>
                <w:szCs w:val="21"/>
              </w:rPr>
            </w:pPr>
            <w:r>
              <w:rPr>
                <w:rFonts w:ascii="楷体_GB2312" w:eastAsia="楷体_GB2312"/>
                <w:szCs w:val="21"/>
              </w:rPr>
              <w:t>7</w:t>
            </w:r>
          </w:p>
        </w:tc>
        <w:tc>
          <w:tcPr>
            <w:tcW w:w="553" w:type="dxa"/>
            <w:vAlign w:val="center"/>
          </w:tcPr>
          <w:p w14:paraId="5945A3E1">
            <w:pPr>
              <w:pStyle w:val="12"/>
              <w:ind w:firstLine="0" w:firstLineChars="0"/>
              <w:rPr>
                <w:rFonts w:ascii="楷体_GB2312" w:eastAsia="楷体_GB2312"/>
                <w:szCs w:val="21"/>
              </w:rPr>
            </w:pPr>
            <w:r>
              <w:rPr>
                <w:rFonts w:ascii="楷体_GB2312" w:eastAsia="楷体_GB2312"/>
                <w:szCs w:val="21"/>
              </w:rPr>
              <w:t>8</w:t>
            </w:r>
          </w:p>
        </w:tc>
        <w:tc>
          <w:tcPr>
            <w:tcW w:w="597" w:type="dxa"/>
            <w:vAlign w:val="center"/>
          </w:tcPr>
          <w:p w14:paraId="05444240">
            <w:pPr>
              <w:pStyle w:val="12"/>
              <w:ind w:firstLine="0" w:firstLineChars="0"/>
              <w:rPr>
                <w:rFonts w:ascii="楷体_GB2312" w:eastAsia="楷体_GB2312"/>
                <w:szCs w:val="21"/>
              </w:rPr>
            </w:pPr>
            <w:r>
              <w:rPr>
                <w:rFonts w:ascii="楷体_GB2312" w:eastAsia="楷体_GB2312"/>
                <w:szCs w:val="21"/>
              </w:rPr>
              <w:t>9</w:t>
            </w:r>
          </w:p>
        </w:tc>
        <w:tc>
          <w:tcPr>
            <w:tcW w:w="483" w:type="dxa"/>
            <w:vAlign w:val="center"/>
          </w:tcPr>
          <w:p w14:paraId="4F070EFB">
            <w:pPr>
              <w:pStyle w:val="12"/>
              <w:ind w:firstLine="0" w:firstLineChars="0"/>
              <w:rPr>
                <w:rFonts w:ascii="楷体_GB2312" w:eastAsia="楷体_GB2312"/>
                <w:szCs w:val="21"/>
              </w:rPr>
            </w:pPr>
            <w:r>
              <w:rPr>
                <w:rFonts w:ascii="楷体_GB2312" w:eastAsia="楷体_GB2312"/>
                <w:szCs w:val="21"/>
              </w:rPr>
              <w:t>10</w:t>
            </w:r>
          </w:p>
        </w:tc>
        <w:tc>
          <w:tcPr>
            <w:tcW w:w="667" w:type="dxa"/>
            <w:vAlign w:val="center"/>
          </w:tcPr>
          <w:p w14:paraId="4A3B0A8B">
            <w:pPr>
              <w:pStyle w:val="12"/>
              <w:ind w:firstLine="0" w:firstLineChars="0"/>
              <w:rPr>
                <w:rFonts w:ascii="楷体_GB2312" w:eastAsia="楷体_GB2312"/>
                <w:szCs w:val="21"/>
              </w:rPr>
            </w:pPr>
            <w:r>
              <w:rPr>
                <w:rFonts w:ascii="楷体_GB2312" w:eastAsia="楷体_GB2312"/>
                <w:szCs w:val="21"/>
              </w:rPr>
              <w:t>11</w:t>
            </w:r>
          </w:p>
        </w:tc>
        <w:tc>
          <w:tcPr>
            <w:tcW w:w="720" w:type="dxa"/>
            <w:vAlign w:val="center"/>
          </w:tcPr>
          <w:p w14:paraId="10598FC5">
            <w:pPr>
              <w:pStyle w:val="12"/>
              <w:ind w:firstLine="0" w:firstLineChars="0"/>
              <w:rPr>
                <w:rFonts w:ascii="楷体_GB2312" w:eastAsia="楷体_GB2312"/>
                <w:szCs w:val="21"/>
              </w:rPr>
            </w:pPr>
            <w:r>
              <w:rPr>
                <w:rFonts w:ascii="楷体_GB2312" w:eastAsia="楷体_GB2312"/>
                <w:szCs w:val="21"/>
              </w:rPr>
              <w:t>12</w:t>
            </w:r>
          </w:p>
        </w:tc>
      </w:tr>
      <w:tr w14:paraId="36B2E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vAlign w:val="center"/>
          </w:tcPr>
          <w:p w14:paraId="0B8FE704">
            <w:pPr>
              <w:pStyle w:val="12"/>
              <w:ind w:firstLine="0" w:firstLineChars="0"/>
              <w:rPr>
                <w:rFonts w:ascii="楷体_GB2312" w:eastAsia="楷体_GB2312"/>
                <w:szCs w:val="21"/>
              </w:rPr>
            </w:pPr>
            <w:r>
              <w:rPr>
                <w:rFonts w:ascii="楷体_GB2312" w:eastAsia="楷体_GB2312"/>
                <w:szCs w:val="21"/>
              </w:rPr>
              <w:t>标志色</w:t>
            </w:r>
          </w:p>
        </w:tc>
        <w:tc>
          <w:tcPr>
            <w:tcW w:w="576" w:type="dxa"/>
            <w:vAlign w:val="center"/>
          </w:tcPr>
          <w:p w14:paraId="68128D29">
            <w:pPr>
              <w:pStyle w:val="12"/>
              <w:ind w:firstLine="0" w:firstLineChars="0"/>
              <w:rPr>
                <w:rFonts w:ascii="楷体_GB2312" w:eastAsia="楷体_GB2312"/>
                <w:szCs w:val="21"/>
              </w:rPr>
            </w:pPr>
            <w:r>
              <w:rPr>
                <w:rFonts w:ascii="楷体_GB2312" w:eastAsia="楷体_GB2312"/>
                <w:szCs w:val="21"/>
              </w:rPr>
              <w:t>蓝</w:t>
            </w:r>
          </w:p>
        </w:tc>
        <w:tc>
          <w:tcPr>
            <w:tcW w:w="504" w:type="dxa"/>
            <w:vAlign w:val="center"/>
          </w:tcPr>
          <w:p w14:paraId="1A555DAE">
            <w:pPr>
              <w:pStyle w:val="12"/>
              <w:ind w:firstLine="0" w:firstLineChars="0"/>
              <w:rPr>
                <w:rFonts w:ascii="楷体_GB2312" w:eastAsia="楷体_GB2312"/>
                <w:szCs w:val="21"/>
              </w:rPr>
            </w:pPr>
            <w:r>
              <w:rPr>
                <w:rFonts w:ascii="楷体_GB2312" w:eastAsia="楷体_GB2312"/>
                <w:szCs w:val="21"/>
              </w:rPr>
              <w:t>橙</w:t>
            </w:r>
          </w:p>
        </w:tc>
        <w:tc>
          <w:tcPr>
            <w:tcW w:w="540" w:type="dxa"/>
            <w:vAlign w:val="center"/>
          </w:tcPr>
          <w:p w14:paraId="2A459939">
            <w:pPr>
              <w:pStyle w:val="12"/>
              <w:ind w:firstLine="0" w:firstLineChars="0"/>
              <w:rPr>
                <w:rFonts w:ascii="楷体_GB2312" w:eastAsia="楷体_GB2312"/>
                <w:szCs w:val="21"/>
              </w:rPr>
            </w:pPr>
            <w:r>
              <w:rPr>
                <w:rFonts w:ascii="楷体_GB2312" w:eastAsia="楷体_GB2312"/>
                <w:szCs w:val="21"/>
              </w:rPr>
              <w:t>绿</w:t>
            </w:r>
          </w:p>
        </w:tc>
        <w:tc>
          <w:tcPr>
            <w:tcW w:w="540" w:type="dxa"/>
            <w:vAlign w:val="center"/>
          </w:tcPr>
          <w:p w14:paraId="0E37C19C">
            <w:pPr>
              <w:pStyle w:val="12"/>
              <w:ind w:firstLine="0" w:firstLineChars="0"/>
              <w:rPr>
                <w:rFonts w:ascii="楷体_GB2312" w:eastAsia="楷体_GB2312"/>
                <w:szCs w:val="21"/>
              </w:rPr>
            </w:pPr>
            <w:r>
              <w:rPr>
                <w:rFonts w:ascii="楷体_GB2312" w:eastAsia="楷体_GB2312"/>
                <w:szCs w:val="21"/>
              </w:rPr>
              <w:t>棕</w:t>
            </w:r>
          </w:p>
        </w:tc>
        <w:tc>
          <w:tcPr>
            <w:tcW w:w="504" w:type="dxa"/>
            <w:vAlign w:val="center"/>
          </w:tcPr>
          <w:p w14:paraId="06D2C3E8">
            <w:pPr>
              <w:pStyle w:val="12"/>
              <w:ind w:firstLine="0" w:firstLineChars="0"/>
              <w:rPr>
                <w:rFonts w:ascii="楷体_GB2312" w:eastAsia="楷体_GB2312"/>
                <w:szCs w:val="21"/>
              </w:rPr>
            </w:pPr>
            <w:r>
              <w:rPr>
                <w:rFonts w:ascii="楷体_GB2312" w:eastAsia="楷体_GB2312"/>
                <w:szCs w:val="21"/>
              </w:rPr>
              <w:t>灰</w:t>
            </w:r>
          </w:p>
        </w:tc>
        <w:tc>
          <w:tcPr>
            <w:tcW w:w="576" w:type="dxa"/>
            <w:vAlign w:val="center"/>
          </w:tcPr>
          <w:p w14:paraId="2650B5F9">
            <w:pPr>
              <w:pStyle w:val="12"/>
              <w:ind w:firstLine="0" w:firstLineChars="0"/>
              <w:rPr>
                <w:rFonts w:ascii="楷体_GB2312" w:eastAsia="楷体_GB2312"/>
                <w:szCs w:val="21"/>
              </w:rPr>
            </w:pPr>
            <w:r>
              <w:rPr>
                <w:rFonts w:ascii="楷体_GB2312" w:eastAsia="楷体_GB2312"/>
                <w:szCs w:val="21"/>
              </w:rPr>
              <w:t>白</w:t>
            </w:r>
          </w:p>
        </w:tc>
        <w:tc>
          <w:tcPr>
            <w:tcW w:w="613" w:type="dxa"/>
            <w:vAlign w:val="center"/>
          </w:tcPr>
          <w:p w14:paraId="242B0333">
            <w:pPr>
              <w:pStyle w:val="12"/>
              <w:ind w:firstLine="0" w:firstLineChars="0"/>
              <w:rPr>
                <w:rFonts w:ascii="楷体_GB2312" w:eastAsia="楷体_GB2312"/>
                <w:szCs w:val="21"/>
              </w:rPr>
            </w:pPr>
            <w:r>
              <w:rPr>
                <w:rFonts w:ascii="楷体_GB2312" w:eastAsia="楷体_GB2312"/>
                <w:szCs w:val="21"/>
              </w:rPr>
              <w:t>红</w:t>
            </w:r>
          </w:p>
        </w:tc>
        <w:tc>
          <w:tcPr>
            <w:tcW w:w="553" w:type="dxa"/>
            <w:vAlign w:val="center"/>
          </w:tcPr>
          <w:p w14:paraId="3A6A2688">
            <w:pPr>
              <w:pStyle w:val="12"/>
              <w:ind w:firstLine="0" w:firstLineChars="0"/>
              <w:rPr>
                <w:rFonts w:ascii="楷体_GB2312" w:eastAsia="楷体_GB2312"/>
                <w:szCs w:val="21"/>
              </w:rPr>
            </w:pPr>
            <w:r>
              <w:rPr>
                <w:rFonts w:ascii="楷体_GB2312" w:eastAsia="楷体_GB2312"/>
                <w:szCs w:val="21"/>
              </w:rPr>
              <w:t>黑</w:t>
            </w:r>
          </w:p>
        </w:tc>
        <w:tc>
          <w:tcPr>
            <w:tcW w:w="597" w:type="dxa"/>
            <w:vAlign w:val="center"/>
          </w:tcPr>
          <w:p w14:paraId="380F4D5D">
            <w:pPr>
              <w:pStyle w:val="12"/>
              <w:ind w:firstLine="0" w:firstLineChars="0"/>
              <w:rPr>
                <w:rFonts w:ascii="楷体_GB2312" w:eastAsia="楷体_GB2312"/>
                <w:szCs w:val="21"/>
              </w:rPr>
            </w:pPr>
            <w:r>
              <w:rPr>
                <w:rFonts w:ascii="楷体_GB2312" w:eastAsia="楷体_GB2312"/>
                <w:szCs w:val="21"/>
              </w:rPr>
              <w:t>黄</w:t>
            </w:r>
          </w:p>
        </w:tc>
        <w:tc>
          <w:tcPr>
            <w:tcW w:w="483" w:type="dxa"/>
            <w:vAlign w:val="center"/>
          </w:tcPr>
          <w:p w14:paraId="72CE594D">
            <w:pPr>
              <w:pStyle w:val="12"/>
              <w:ind w:firstLine="0" w:firstLineChars="0"/>
              <w:rPr>
                <w:rFonts w:ascii="楷体_GB2312" w:eastAsia="楷体_GB2312"/>
                <w:szCs w:val="21"/>
              </w:rPr>
            </w:pPr>
            <w:r>
              <w:rPr>
                <w:rFonts w:ascii="楷体_GB2312" w:eastAsia="楷体_GB2312"/>
                <w:szCs w:val="21"/>
              </w:rPr>
              <w:t>紫</w:t>
            </w:r>
          </w:p>
        </w:tc>
        <w:tc>
          <w:tcPr>
            <w:tcW w:w="667" w:type="dxa"/>
            <w:vAlign w:val="center"/>
          </w:tcPr>
          <w:p w14:paraId="2DC90EF0">
            <w:pPr>
              <w:pStyle w:val="12"/>
              <w:ind w:firstLine="0" w:firstLineChars="0"/>
              <w:rPr>
                <w:rFonts w:ascii="楷体_GB2312" w:eastAsia="楷体_GB2312"/>
                <w:szCs w:val="21"/>
              </w:rPr>
            </w:pPr>
            <w:r>
              <w:rPr>
                <w:rFonts w:ascii="楷体_GB2312" w:eastAsia="楷体_GB2312"/>
                <w:szCs w:val="21"/>
              </w:rPr>
              <w:t>粉红</w:t>
            </w:r>
          </w:p>
        </w:tc>
        <w:tc>
          <w:tcPr>
            <w:tcW w:w="720" w:type="dxa"/>
            <w:vAlign w:val="center"/>
          </w:tcPr>
          <w:p w14:paraId="1FB281E9">
            <w:pPr>
              <w:pStyle w:val="12"/>
              <w:ind w:firstLine="0" w:firstLineChars="0"/>
              <w:rPr>
                <w:rFonts w:ascii="楷体_GB2312" w:eastAsia="楷体_GB2312"/>
                <w:szCs w:val="21"/>
              </w:rPr>
            </w:pPr>
            <w:r>
              <w:rPr>
                <w:rFonts w:ascii="楷体_GB2312" w:eastAsia="楷体_GB2312"/>
                <w:szCs w:val="21"/>
              </w:rPr>
              <w:t>青绿</w:t>
            </w:r>
          </w:p>
        </w:tc>
      </w:tr>
    </w:tbl>
    <w:p w14:paraId="3FDB1562">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26" w:name="_Toc357451823"/>
      <w:r>
        <w:rPr>
          <w:rFonts w:hint="eastAsia" w:ascii="楷体_GB2312" w:eastAsia="楷体_GB2312"/>
          <w:spacing w:val="5"/>
          <w:sz w:val="21"/>
          <w:szCs w:val="24"/>
          <w:lang w:val="en-US" w:eastAsia="zh-CN"/>
        </w:rPr>
        <w:t>5.4  松套管和骨架槽识别</w:t>
      </w:r>
      <w:bookmarkEnd w:id="26"/>
    </w:p>
    <w:p w14:paraId="48ECB153">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层绞式缆芯中松套管和骨架槽可采用领示色谱方式或全色谱方式识别。采用领示色谱时，在光缆S端顺时针方面上的领色宜为红色、绿色，也可是特定顺序的条码。采用全色谱时，在光缆S端顺时针向上的松套管或骨架槽序号和标志色符合表2规定。</w:t>
      </w:r>
    </w:p>
    <w:p w14:paraId="37463EB0">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27" w:name="_Toc357451824"/>
      <w:r>
        <w:rPr>
          <w:rFonts w:hint="eastAsia" w:ascii="楷体_GB2312" w:eastAsia="楷体_GB2312"/>
          <w:spacing w:val="5"/>
          <w:sz w:val="21"/>
          <w:szCs w:val="24"/>
          <w:lang w:val="en-US" w:eastAsia="zh-CN"/>
        </w:rPr>
        <w:t>5.5  光纤涂履层剥除力</w:t>
      </w:r>
      <w:bookmarkEnd w:id="27"/>
    </w:p>
    <w:p w14:paraId="234B70EE">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光纤涂履层应可从光纤上剥除，其剥除力峰应为1.3N~8.9N，平均值应为1.0~5.0N。</w:t>
      </w:r>
    </w:p>
    <w:p w14:paraId="50C345A9">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28" w:name="_Toc357451825"/>
      <w:r>
        <w:rPr>
          <w:rFonts w:hint="eastAsia" w:ascii="楷体_GB2312" w:eastAsia="楷体_GB2312"/>
          <w:spacing w:val="5"/>
          <w:sz w:val="21"/>
          <w:szCs w:val="24"/>
          <w:lang w:val="en-US" w:eastAsia="zh-CN"/>
        </w:rPr>
        <w:t>5.6  光纤强度筛选水平和疲劳系数</w:t>
      </w:r>
      <w:bookmarkEnd w:id="28"/>
    </w:p>
    <w:p w14:paraId="41F69E1A">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光纤的全长度张力筛选水平应不低于0.69Gpa(相当于应变约1.0%)。</w:t>
      </w:r>
    </w:p>
    <w:p w14:paraId="01DF4ED9">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光纤的动疲劳系数nd值应小于20。</w:t>
      </w:r>
    </w:p>
    <w:p w14:paraId="3A3B8B01">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29" w:name="_Toc357451826"/>
      <w:r>
        <w:rPr>
          <w:rFonts w:hint="eastAsia" w:ascii="楷体_GB2312" w:eastAsia="楷体_GB2312"/>
          <w:spacing w:val="5"/>
          <w:sz w:val="21"/>
          <w:szCs w:val="24"/>
          <w:lang w:val="en-US" w:eastAsia="zh-CN"/>
        </w:rPr>
        <w:t>5.7  翘曲度</w:t>
      </w:r>
      <w:bookmarkEnd w:id="29"/>
      <w:r>
        <w:rPr>
          <w:rFonts w:hint="eastAsia" w:ascii="楷体_GB2312" w:eastAsia="楷体_GB2312"/>
          <w:spacing w:val="5"/>
          <w:sz w:val="21"/>
          <w:szCs w:val="24"/>
          <w:lang w:val="en-US" w:eastAsia="zh-CN"/>
        </w:rPr>
        <w:t>及熔接衰耗</w:t>
      </w:r>
    </w:p>
    <w:p w14:paraId="36229719">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光纤翘曲度应不小于4m。</w:t>
      </w:r>
    </w:p>
    <w:p w14:paraId="4B8C2EEB">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光纤熔接衰耗应满足：平均值≤0.05db，最大值≤0.1db</w:t>
      </w:r>
    </w:p>
    <w:p w14:paraId="45DC1F9C">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30" w:name="_Toc357451827"/>
      <w:r>
        <w:rPr>
          <w:rFonts w:hint="eastAsia" w:ascii="楷体_GB2312" w:eastAsia="楷体_GB2312"/>
          <w:spacing w:val="5"/>
          <w:sz w:val="21"/>
          <w:szCs w:val="24"/>
          <w:lang w:val="en-US" w:eastAsia="zh-CN"/>
        </w:rPr>
        <w:t>5.8  模场直径和尺寸参数</w:t>
      </w:r>
      <w:bookmarkEnd w:id="30"/>
    </w:p>
    <w:p w14:paraId="4E05BC10">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光纤的模场至今和尺寸参数应符合表2规定。</w:t>
      </w:r>
    </w:p>
    <w:p w14:paraId="06A8849C">
      <w:pPr>
        <w:pStyle w:val="12"/>
        <w:ind w:firstLine="0" w:firstLineChars="0"/>
        <w:jc w:val="center"/>
        <w:rPr>
          <w:rFonts w:ascii="楷体_GB2312" w:eastAsia="楷体_GB2312"/>
          <w:szCs w:val="21"/>
        </w:rPr>
      </w:pPr>
      <w:r>
        <w:rPr>
          <w:rFonts w:ascii="楷体_GB2312" w:eastAsia="楷体_GB2312"/>
          <w:szCs w:val="21"/>
        </w:rPr>
        <w:t>表</w:t>
      </w:r>
      <w:r>
        <w:rPr>
          <w:rFonts w:hint="eastAsia" w:ascii="楷体_GB2312" w:eastAsia="楷体_GB2312"/>
          <w:szCs w:val="21"/>
        </w:rPr>
        <w:t>2</w:t>
      </w:r>
      <w:r>
        <w:rPr>
          <w:rFonts w:ascii="楷体_GB2312" w:eastAsia="楷体_GB2312"/>
          <w:szCs w:val="21"/>
        </w:rPr>
        <w:t xml:space="preserve"> 光纤模场直径和尺寸参数</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669"/>
        <w:gridCol w:w="892"/>
        <w:gridCol w:w="678"/>
        <w:gridCol w:w="684"/>
        <w:gridCol w:w="711"/>
        <w:gridCol w:w="651"/>
        <w:gridCol w:w="757"/>
        <w:gridCol w:w="605"/>
        <w:gridCol w:w="757"/>
        <w:gridCol w:w="605"/>
        <w:gridCol w:w="908"/>
      </w:tblGrid>
      <w:tr w14:paraId="37C7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836" w:type="dxa"/>
            <w:vMerge w:val="restart"/>
            <w:vAlign w:val="center"/>
          </w:tcPr>
          <w:p w14:paraId="5E6AC3D3">
            <w:pPr>
              <w:pStyle w:val="12"/>
              <w:spacing w:line="240" w:lineRule="auto"/>
              <w:ind w:firstLine="0" w:firstLineChars="0"/>
              <w:jc w:val="center"/>
              <w:rPr>
                <w:rFonts w:ascii="楷体_GB2312" w:eastAsia="楷体_GB2312"/>
                <w:szCs w:val="21"/>
              </w:rPr>
            </w:pPr>
            <w:r>
              <w:rPr>
                <w:rFonts w:ascii="楷体_GB2312" w:eastAsia="楷体_GB2312"/>
                <w:szCs w:val="21"/>
              </w:rPr>
              <w:t>光纤类型</w:t>
            </w:r>
          </w:p>
        </w:tc>
        <w:tc>
          <w:tcPr>
            <w:tcW w:w="1561" w:type="dxa"/>
            <w:gridSpan w:val="2"/>
            <w:vMerge w:val="restart"/>
            <w:vAlign w:val="center"/>
          </w:tcPr>
          <w:p w14:paraId="141B1231">
            <w:pPr>
              <w:pStyle w:val="12"/>
              <w:spacing w:line="240" w:lineRule="auto"/>
              <w:ind w:firstLine="0" w:firstLineChars="0"/>
              <w:jc w:val="center"/>
              <w:rPr>
                <w:rFonts w:ascii="楷体_GB2312" w:eastAsia="楷体_GB2312"/>
                <w:szCs w:val="21"/>
              </w:rPr>
            </w:pPr>
            <w:r>
              <w:rPr>
                <w:rFonts w:ascii="楷体_GB2312" w:eastAsia="楷体_GB2312"/>
                <w:szCs w:val="21"/>
              </w:rPr>
              <w:t>模场直径</w:t>
            </w:r>
          </w:p>
          <w:p w14:paraId="378A0554">
            <w:pPr>
              <w:pStyle w:val="12"/>
              <w:spacing w:line="240" w:lineRule="auto"/>
              <w:ind w:firstLine="0" w:firstLineChars="0"/>
              <w:jc w:val="center"/>
              <w:rPr>
                <w:rFonts w:ascii="楷体_GB2312" w:eastAsia="楷体_GB2312"/>
                <w:szCs w:val="21"/>
              </w:rPr>
            </w:pPr>
            <w:r>
              <w:rPr>
                <w:rFonts w:ascii="楷体_GB2312" w:eastAsia="楷体_GB2312"/>
                <w:szCs w:val="21"/>
              </w:rPr>
              <w:t>um</w:t>
            </w:r>
          </w:p>
        </w:tc>
        <w:tc>
          <w:tcPr>
            <w:tcW w:w="1362" w:type="dxa"/>
            <w:gridSpan w:val="2"/>
            <w:vMerge w:val="restart"/>
            <w:vAlign w:val="center"/>
          </w:tcPr>
          <w:p w14:paraId="4EE948B4">
            <w:pPr>
              <w:pStyle w:val="12"/>
              <w:spacing w:line="240" w:lineRule="auto"/>
              <w:ind w:firstLine="0" w:firstLineChars="0"/>
              <w:jc w:val="center"/>
              <w:rPr>
                <w:rFonts w:ascii="楷体_GB2312" w:eastAsia="楷体_GB2312"/>
                <w:szCs w:val="21"/>
              </w:rPr>
            </w:pPr>
            <w:r>
              <w:rPr>
                <w:rFonts w:ascii="楷体_GB2312" w:eastAsia="楷体_GB2312"/>
                <w:szCs w:val="21"/>
              </w:rPr>
              <w:t>包层直径</w:t>
            </w:r>
          </w:p>
          <w:p w14:paraId="1B7EC7AE">
            <w:pPr>
              <w:pStyle w:val="12"/>
              <w:spacing w:line="240" w:lineRule="auto"/>
              <w:ind w:firstLine="0" w:firstLineChars="0"/>
              <w:jc w:val="center"/>
              <w:rPr>
                <w:rFonts w:ascii="楷体_GB2312" w:eastAsia="楷体_GB2312"/>
                <w:szCs w:val="21"/>
              </w:rPr>
            </w:pPr>
            <w:r>
              <w:rPr>
                <w:rFonts w:ascii="楷体_GB2312" w:eastAsia="楷体_GB2312"/>
                <w:szCs w:val="21"/>
              </w:rPr>
              <w:t>um</w:t>
            </w:r>
          </w:p>
        </w:tc>
        <w:tc>
          <w:tcPr>
            <w:tcW w:w="711" w:type="dxa"/>
            <w:vMerge w:val="restart"/>
            <w:vAlign w:val="center"/>
          </w:tcPr>
          <w:p w14:paraId="7914197A">
            <w:pPr>
              <w:pStyle w:val="12"/>
              <w:spacing w:line="240" w:lineRule="auto"/>
              <w:ind w:firstLine="0" w:firstLineChars="0"/>
              <w:jc w:val="center"/>
              <w:rPr>
                <w:rFonts w:ascii="楷体_GB2312" w:eastAsia="楷体_GB2312"/>
                <w:szCs w:val="21"/>
              </w:rPr>
            </w:pPr>
            <w:r>
              <w:rPr>
                <w:rFonts w:ascii="楷体_GB2312" w:eastAsia="楷体_GB2312"/>
                <w:szCs w:val="21"/>
              </w:rPr>
              <w:t>包层不圆度%</w:t>
            </w:r>
          </w:p>
        </w:tc>
        <w:tc>
          <w:tcPr>
            <w:tcW w:w="651" w:type="dxa"/>
            <w:vMerge w:val="restart"/>
            <w:vAlign w:val="center"/>
          </w:tcPr>
          <w:p w14:paraId="44CB7A55">
            <w:pPr>
              <w:pStyle w:val="12"/>
              <w:spacing w:line="240" w:lineRule="auto"/>
              <w:ind w:firstLine="0" w:firstLineChars="0"/>
              <w:jc w:val="center"/>
              <w:rPr>
                <w:rFonts w:ascii="楷体_GB2312" w:eastAsia="楷体_GB2312"/>
                <w:szCs w:val="21"/>
              </w:rPr>
            </w:pPr>
            <w:r>
              <w:rPr>
                <w:rFonts w:ascii="楷体_GB2312" w:eastAsia="楷体_GB2312"/>
                <w:szCs w:val="21"/>
              </w:rPr>
              <w:t>芯同心度误差um</w:t>
            </w:r>
          </w:p>
        </w:tc>
        <w:tc>
          <w:tcPr>
            <w:tcW w:w="1362" w:type="dxa"/>
            <w:gridSpan w:val="2"/>
            <w:vMerge w:val="restart"/>
            <w:vAlign w:val="center"/>
          </w:tcPr>
          <w:p w14:paraId="0068D31A">
            <w:pPr>
              <w:pStyle w:val="12"/>
              <w:spacing w:line="240" w:lineRule="auto"/>
              <w:ind w:firstLine="0" w:firstLineChars="0"/>
              <w:jc w:val="center"/>
              <w:rPr>
                <w:rFonts w:ascii="楷体_GB2312" w:eastAsia="楷体_GB2312"/>
                <w:szCs w:val="21"/>
              </w:rPr>
            </w:pPr>
            <w:r>
              <w:rPr>
                <w:rFonts w:ascii="楷体_GB2312" w:eastAsia="楷体_GB2312"/>
                <w:szCs w:val="21"/>
              </w:rPr>
              <w:t>涂履层直径</w:t>
            </w:r>
          </w:p>
          <w:p w14:paraId="4C1FEBEB">
            <w:pPr>
              <w:pStyle w:val="12"/>
              <w:spacing w:line="240" w:lineRule="auto"/>
              <w:ind w:firstLine="0" w:firstLineChars="0"/>
              <w:jc w:val="center"/>
              <w:rPr>
                <w:rFonts w:ascii="楷体_GB2312" w:eastAsia="楷体_GB2312"/>
                <w:szCs w:val="21"/>
              </w:rPr>
            </w:pPr>
            <w:r>
              <w:rPr>
                <w:rFonts w:ascii="楷体_GB2312" w:eastAsia="楷体_GB2312"/>
                <w:szCs w:val="21"/>
              </w:rPr>
              <w:t>um</w:t>
            </w:r>
          </w:p>
        </w:tc>
        <w:tc>
          <w:tcPr>
            <w:tcW w:w="1362" w:type="dxa"/>
            <w:gridSpan w:val="2"/>
            <w:vMerge w:val="restart"/>
            <w:vAlign w:val="center"/>
          </w:tcPr>
          <w:p w14:paraId="31B3345E">
            <w:pPr>
              <w:pStyle w:val="12"/>
              <w:spacing w:line="240" w:lineRule="auto"/>
              <w:ind w:firstLine="0" w:firstLineChars="0"/>
              <w:jc w:val="center"/>
              <w:rPr>
                <w:rFonts w:ascii="楷体_GB2312" w:eastAsia="楷体_GB2312"/>
                <w:szCs w:val="21"/>
              </w:rPr>
            </w:pPr>
            <w:r>
              <w:rPr>
                <w:rFonts w:ascii="楷体_GB2312" w:eastAsia="楷体_GB2312"/>
                <w:szCs w:val="21"/>
              </w:rPr>
              <w:t>着色层直径</w:t>
            </w:r>
          </w:p>
          <w:p w14:paraId="2D32BBEE">
            <w:pPr>
              <w:pStyle w:val="12"/>
              <w:spacing w:line="240" w:lineRule="auto"/>
              <w:ind w:firstLine="0" w:firstLineChars="0"/>
              <w:jc w:val="center"/>
              <w:rPr>
                <w:rFonts w:ascii="楷体_GB2312" w:eastAsia="楷体_GB2312"/>
                <w:szCs w:val="21"/>
              </w:rPr>
            </w:pPr>
            <w:r>
              <w:rPr>
                <w:rFonts w:ascii="楷体_GB2312" w:eastAsia="楷体_GB2312"/>
                <w:szCs w:val="21"/>
              </w:rPr>
              <w:t>um</w:t>
            </w:r>
          </w:p>
        </w:tc>
        <w:tc>
          <w:tcPr>
            <w:tcW w:w="908" w:type="dxa"/>
            <w:vMerge w:val="restart"/>
            <w:vAlign w:val="center"/>
          </w:tcPr>
          <w:p w14:paraId="536558B3">
            <w:pPr>
              <w:pStyle w:val="12"/>
              <w:spacing w:line="240" w:lineRule="auto"/>
              <w:ind w:firstLine="0" w:firstLineChars="0"/>
              <w:jc w:val="center"/>
              <w:rPr>
                <w:rFonts w:ascii="楷体_GB2312" w:eastAsia="楷体_GB2312"/>
                <w:szCs w:val="21"/>
              </w:rPr>
            </w:pPr>
            <w:r>
              <w:rPr>
                <w:rFonts w:ascii="楷体_GB2312" w:eastAsia="楷体_GB2312"/>
                <w:szCs w:val="21"/>
              </w:rPr>
              <w:t>包层/涂履层同心度误差um</w:t>
            </w:r>
          </w:p>
        </w:tc>
      </w:tr>
      <w:tr w14:paraId="1C59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836" w:type="dxa"/>
            <w:vMerge w:val="continue"/>
            <w:vAlign w:val="center"/>
          </w:tcPr>
          <w:p w14:paraId="54F634A0">
            <w:pPr>
              <w:pStyle w:val="12"/>
              <w:spacing w:line="240" w:lineRule="auto"/>
              <w:ind w:firstLine="0" w:firstLineChars="0"/>
              <w:jc w:val="center"/>
              <w:rPr>
                <w:rFonts w:ascii="楷体_GB2312" w:eastAsia="楷体_GB2312"/>
                <w:szCs w:val="21"/>
              </w:rPr>
            </w:pPr>
          </w:p>
        </w:tc>
        <w:tc>
          <w:tcPr>
            <w:tcW w:w="1561" w:type="dxa"/>
            <w:gridSpan w:val="2"/>
            <w:vMerge w:val="continue"/>
            <w:vAlign w:val="center"/>
          </w:tcPr>
          <w:p w14:paraId="5E643296">
            <w:pPr>
              <w:pStyle w:val="12"/>
              <w:spacing w:line="240" w:lineRule="auto"/>
              <w:ind w:firstLine="0" w:firstLineChars="0"/>
              <w:jc w:val="center"/>
              <w:rPr>
                <w:rFonts w:ascii="楷体_GB2312" w:eastAsia="楷体_GB2312"/>
                <w:szCs w:val="21"/>
              </w:rPr>
            </w:pPr>
          </w:p>
        </w:tc>
        <w:tc>
          <w:tcPr>
            <w:tcW w:w="1362" w:type="dxa"/>
            <w:gridSpan w:val="2"/>
            <w:vMerge w:val="continue"/>
            <w:vAlign w:val="center"/>
          </w:tcPr>
          <w:p w14:paraId="4B4CE03E">
            <w:pPr>
              <w:pStyle w:val="12"/>
              <w:spacing w:line="240" w:lineRule="auto"/>
              <w:ind w:firstLine="0" w:firstLineChars="0"/>
              <w:jc w:val="center"/>
              <w:rPr>
                <w:rFonts w:ascii="楷体_GB2312" w:eastAsia="楷体_GB2312"/>
                <w:szCs w:val="21"/>
              </w:rPr>
            </w:pPr>
          </w:p>
        </w:tc>
        <w:tc>
          <w:tcPr>
            <w:tcW w:w="711" w:type="dxa"/>
            <w:vMerge w:val="continue"/>
            <w:vAlign w:val="center"/>
          </w:tcPr>
          <w:p w14:paraId="2ABDC27B">
            <w:pPr>
              <w:pStyle w:val="12"/>
              <w:spacing w:line="240" w:lineRule="auto"/>
              <w:ind w:firstLine="0" w:firstLineChars="0"/>
              <w:jc w:val="center"/>
              <w:rPr>
                <w:rFonts w:ascii="楷体_GB2312" w:eastAsia="楷体_GB2312"/>
                <w:szCs w:val="21"/>
              </w:rPr>
            </w:pPr>
          </w:p>
        </w:tc>
        <w:tc>
          <w:tcPr>
            <w:tcW w:w="651" w:type="dxa"/>
            <w:vMerge w:val="continue"/>
            <w:vAlign w:val="center"/>
          </w:tcPr>
          <w:p w14:paraId="728C5B6D">
            <w:pPr>
              <w:pStyle w:val="12"/>
              <w:spacing w:line="240" w:lineRule="auto"/>
              <w:ind w:firstLine="0" w:firstLineChars="0"/>
              <w:jc w:val="center"/>
              <w:rPr>
                <w:rFonts w:ascii="楷体_GB2312" w:eastAsia="楷体_GB2312"/>
                <w:szCs w:val="21"/>
              </w:rPr>
            </w:pPr>
          </w:p>
        </w:tc>
        <w:tc>
          <w:tcPr>
            <w:tcW w:w="1362" w:type="dxa"/>
            <w:gridSpan w:val="2"/>
            <w:vMerge w:val="continue"/>
            <w:vAlign w:val="center"/>
          </w:tcPr>
          <w:p w14:paraId="56BC858B">
            <w:pPr>
              <w:pStyle w:val="12"/>
              <w:spacing w:line="240" w:lineRule="auto"/>
              <w:ind w:firstLine="0" w:firstLineChars="0"/>
              <w:jc w:val="center"/>
              <w:rPr>
                <w:rFonts w:ascii="楷体_GB2312" w:eastAsia="楷体_GB2312"/>
                <w:szCs w:val="21"/>
              </w:rPr>
            </w:pPr>
          </w:p>
        </w:tc>
        <w:tc>
          <w:tcPr>
            <w:tcW w:w="1362" w:type="dxa"/>
            <w:gridSpan w:val="2"/>
            <w:vMerge w:val="continue"/>
            <w:vAlign w:val="center"/>
          </w:tcPr>
          <w:p w14:paraId="73BBF124">
            <w:pPr>
              <w:pStyle w:val="12"/>
              <w:spacing w:line="240" w:lineRule="auto"/>
              <w:ind w:firstLine="0" w:firstLineChars="0"/>
              <w:jc w:val="center"/>
              <w:rPr>
                <w:rFonts w:ascii="楷体_GB2312" w:eastAsia="楷体_GB2312"/>
                <w:szCs w:val="21"/>
              </w:rPr>
            </w:pPr>
          </w:p>
        </w:tc>
        <w:tc>
          <w:tcPr>
            <w:tcW w:w="908" w:type="dxa"/>
            <w:vMerge w:val="continue"/>
            <w:vAlign w:val="center"/>
          </w:tcPr>
          <w:p w14:paraId="02ED202A">
            <w:pPr>
              <w:pStyle w:val="12"/>
              <w:spacing w:line="240" w:lineRule="auto"/>
              <w:ind w:firstLine="0" w:firstLineChars="0"/>
              <w:jc w:val="center"/>
              <w:rPr>
                <w:rFonts w:ascii="楷体_GB2312" w:eastAsia="楷体_GB2312"/>
                <w:szCs w:val="21"/>
              </w:rPr>
            </w:pPr>
          </w:p>
        </w:tc>
      </w:tr>
      <w:tr w14:paraId="7D33A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6" w:type="dxa"/>
            <w:vMerge w:val="continue"/>
            <w:tcBorders>
              <w:bottom w:val="single" w:color="auto" w:sz="4" w:space="0"/>
              <w:right w:val="single" w:color="auto" w:sz="4" w:space="0"/>
            </w:tcBorders>
            <w:vAlign w:val="center"/>
          </w:tcPr>
          <w:p w14:paraId="44DDA601">
            <w:pPr>
              <w:pStyle w:val="12"/>
              <w:spacing w:line="240" w:lineRule="auto"/>
              <w:ind w:firstLine="0" w:firstLineChars="0"/>
              <w:jc w:val="center"/>
              <w:rPr>
                <w:rFonts w:ascii="楷体_GB2312" w:eastAsia="楷体_GB2312"/>
                <w:szCs w:val="21"/>
              </w:rPr>
            </w:pPr>
          </w:p>
        </w:tc>
        <w:tc>
          <w:tcPr>
            <w:tcW w:w="669" w:type="dxa"/>
            <w:tcBorders>
              <w:left w:val="single" w:color="auto" w:sz="4" w:space="0"/>
              <w:bottom w:val="single" w:color="auto" w:sz="4" w:space="0"/>
              <w:right w:val="single" w:color="auto" w:sz="4" w:space="0"/>
            </w:tcBorders>
            <w:vAlign w:val="center"/>
          </w:tcPr>
          <w:p w14:paraId="564F81B7">
            <w:pPr>
              <w:pStyle w:val="12"/>
              <w:spacing w:line="240" w:lineRule="auto"/>
              <w:ind w:firstLine="0" w:firstLineChars="0"/>
              <w:jc w:val="center"/>
              <w:rPr>
                <w:rFonts w:ascii="楷体_GB2312" w:eastAsia="楷体_GB2312"/>
                <w:szCs w:val="21"/>
              </w:rPr>
            </w:pPr>
            <w:r>
              <w:rPr>
                <w:rFonts w:ascii="楷体_GB2312" w:eastAsia="楷体_GB2312"/>
                <w:szCs w:val="21"/>
              </w:rPr>
              <w:t>标称值</w:t>
            </w:r>
          </w:p>
        </w:tc>
        <w:tc>
          <w:tcPr>
            <w:tcW w:w="892" w:type="dxa"/>
            <w:tcBorders>
              <w:left w:val="single" w:color="auto" w:sz="4" w:space="0"/>
              <w:bottom w:val="single" w:color="auto" w:sz="4" w:space="0"/>
              <w:right w:val="single" w:color="auto" w:sz="4" w:space="0"/>
            </w:tcBorders>
            <w:vAlign w:val="center"/>
          </w:tcPr>
          <w:p w14:paraId="23FE54C2">
            <w:pPr>
              <w:pStyle w:val="12"/>
              <w:spacing w:line="240" w:lineRule="auto"/>
              <w:ind w:firstLine="0" w:firstLineChars="0"/>
              <w:jc w:val="center"/>
              <w:rPr>
                <w:rFonts w:ascii="楷体_GB2312" w:eastAsia="楷体_GB2312"/>
                <w:szCs w:val="21"/>
              </w:rPr>
            </w:pPr>
            <w:r>
              <w:rPr>
                <w:rFonts w:ascii="楷体_GB2312" w:eastAsia="楷体_GB2312"/>
                <w:szCs w:val="21"/>
              </w:rPr>
              <w:t>容差</w:t>
            </w:r>
          </w:p>
        </w:tc>
        <w:tc>
          <w:tcPr>
            <w:tcW w:w="678" w:type="dxa"/>
            <w:tcBorders>
              <w:left w:val="single" w:color="auto" w:sz="4" w:space="0"/>
              <w:bottom w:val="single" w:color="auto" w:sz="4" w:space="0"/>
              <w:right w:val="single" w:color="auto" w:sz="4" w:space="0"/>
            </w:tcBorders>
            <w:vAlign w:val="center"/>
          </w:tcPr>
          <w:p w14:paraId="6071EE09">
            <w:pPr>
              <w:pStyle w:val="12"/>
              <w:spacing w:line="240" w:lineRule="auto"/>
              <w:ind w:firstLine="0" w:firstLineChars="0"/>
              <w:jc w:val="center"/>
              <w:rPr>
                <w:rFonts w:ascii="楷体_GB2312" w:eastAsia="楷体_GB2312"/>
                <w:szCs w:val="21"/>
              </w:rPr>
            </w:pPr>
            <w:r>
              <w:rPr>
                <w:rFonts w:ascii="楷体_GB2312" w:eastAsia="楷体_GB2312"/>
                <w:szCs w:val="21"/>
              </w:rPr>
              <w:t>标称值</w:t>
            </w:r>
          </w:p>
        </w:tc>
        <w:tc>
          <w:tcPr>
            <w:tcW w:w="684" w:type="dxa"/>
            <w:tcBorders>
              <w:top w:val="single" w:color="auto" w:sz="4" w:space="0"/>
              <w:left w:val="single" w:color="auto" w:sz="4" w:space="0"/>
              <w:bottom w:val="single" w:color="auto" w:sz="4" w:space="0"/>
              <w:right w:val="single" w:color="auto" w:sz="4" w:space="0"/>
            </w:tcBorders>
            <w:vAlign w:val="center"/>
          </w:tcPr>
          <w:p w14:paraId="4BC0781D">
            <w:pPr>
              <w:pStyle w:val="12"/>
              <w:spacing w:line="240" w:lineRule="auto"/>
              <w:ind w:firstLine="0" w:firstLineChars="0"/>
              <w:jc w:val="center"/>
              <w:rPr>
                <w:rFonts w:ascii="楷体_GB2312" w:eastAsia="楷体_GB2312"/>
                <w:szCs w:val="21"/>
              </w:rPr>
            </w:pPr>
            <w:r>
              <w:rPr>
                <w:rFonts w:ascii="楷体_GB2312" w:eastAsia="楷体_GB2312"/>
                <w:szCs w:val="21"/>
              </w:rPr>
              <w:t>容差</w:t>
            </w:r>
          </w:p>
        </w:tc>
        <w:tc>
          <w:tcPr>
            <w:tcW w:w="711" w:type="dxa"/>
            <w:vMerge w:val="continue"/>
            <w:tcBorders>
              <w:left w:val="single" w:color="auto" w:sz="4" w:space="0"/>
              <w:bottom w:val="single" w:color="auto" w:sz="4" w:space="0"/>
              <w:right w:val="single" w:color="auto" w:sz="4" w:space="0"/>
            </w:tcBorders>
            <w:vAlign w:val="center"/>
          </w:tcPr>
          <w:p w14:paraId="1CDC8BCD">
            <w:pPr>
              <w:pStyle w:val="12"/>
              <w:spacing w:line="240" w:lineRule="auto"/>
              <w:ind w:firstLine="0" w:firstLineChars="0"/>
              <w:jc w:val="center"/>
              <w:rPr>
                <w:rFonts w:ascii="楷体_GB2312" w:eastAsia="楷体_GB2312"/>
                <w:szCs w:val="21"/>
              </w:rPr>
            </w:pPr>
          </w:p>
        </w:tc>
        <w:tc>
          <w:tcPr>
            <w:tcW w:w="651" w:type="dxa"/>
            <w:vMerge w:val="continue"/>
            <w:tcBorders>
              <w:left w:val="single" w:color="auto" w:sz="4" w:space="0"/>
              <w:bottom w:val="single" w:color="auto" w:sz="4" w:space="0"/>
              <w:right w:val="single" w:color="auto" w:sz="4" w:space="0"/>
            </w:tcBorders>
            <w:vAlign w:val="center"/>
          </w:tcPr>
          <w:p w14:paraId="7AE1321F">
            <w:pPr>
              <w:pStyle w:val="12"/>
              <w:spacing w:line="240" w:lineRule="auto"/>
              <w:ind w:firstLine="0" w:firstLineChars="0"/>
              <w:jc w:val="center"/>
              <w:rPr>
                <w:rFonts w:ascii="楷体_GB2312" w:eastAsia="楷体_GB2312"/>
                <w:szCs w:val="21"/>
              </w:rPr>
            </w:pPr>
          </w:p>
        </w:tc>
        <w:tc>
          <w:tcPr>
            <w:tcW w:w="757" w:type="dxa"/>
            <w:tcBorders>
              <w:left w:val="single" w:color="auto" w:sz="4" w:space="0"/>
              <w:bottom w:val="single" w:color="auto" w:sz="4" w:space="0"/>
              <w:right w:val="single" w:color="auto" w:sz="4" w:space="0"/>
            </w:tcBorders>
            <w:vAlign w:val="center"/>
          </w:tcPr>
          <w:p w14:paraId="0C74CF39">
            <w:pPr>
              <w:pStyle w:val="12"/>
              <w:spacing w:line="240" w:lineRule="auto"/>
              <w:ind w:firstLine="0" w:firstLineChars="0"/>
              <w:jc w:val="center"/>
              <w:rPr>
                <w:rFonts w:ascii="楷体_GB2312" w:eastAsia="楷体_GB2312"/>
                <w:szCs w:val="21"/>
              </w:rPr>
            </w:pPr>
            <w:r>
              <w:rPr>
                <w:rFonts w:ascii="楷体_GB2312" w:eastAsia="楷体_GB2312"/>
                <w:szCs w:val="21"/>
              </w:rPr>
              <w:t>标称值</w:t>
            </w:r>
          </w:p>
        </w:tc>
        <w:tc>
          <w:tcPr>
            <w:tcW w:w="605" w:type="dxa"/>
            <w:tcBorders>
              <w:left w:val="single" w:color="auto" w:sz="4" w:space="0"/>
              <w:bottom w:val="single" w:color="auto" w:sz="4" w:space="0"/>
              <w:right w:val="single" w:color="auto" w:sz="4" w:space="0"/>
            </w:tcBorders>
            <w:vAlign w:val="center"/>
          </w:tcPr>
          <w:p w14:paraId="6F20199D">
            <w:pPr>
              <w:pStyle w:val="12"/>
              <w:spacing w:line="240" w:lineRule="auto"/>
              <w:ind w:firstLine="0" w:firstLineChars="0"/>
              <w:jc w:val="center"/>
              <w:rPr>
                <w:rFonts w:ascii="楷体_GB2312" w:eastAsia="楷体_GB2312"/>
                <w:szCs w:val="21"/>
              </w:rPr>
            </w:pPr>
            <w:r>
              <w:rPr>
                <w:rFonts w:ascii="楷体_GB2312" w:eastAsia="楷体_GB2312"/>
                <w:szCs w:val="21"/>
              </w:rPr>
              <w:t>容差</w:t>
            </w:r>
          </w:p>
        </w:tc>
        <w:tc>
          <w:tcPr>
            <w:tcW w:w="757" w:type="dxa"/>
            <w:tcBorders>
              <w:left w:val="single" w:color="auto" w:sz="4" w:space="0"/>
              <w:bottom w:val="single" w:color="auto" w:sz="4" w:space="0"/>
              <w:right w:val="single" w:color="auto" w:sz="4" w:space="0"/>
            </w:tcBorders>
            <w:vAlign w:val="center"/>
          </w:tcPr>
          <w:p w14:paraId="664F03B8">
            <w:pPr>
              <w:pStyle w:val="12"/>
              <w:spacing w:line="240" w:lineRule="auto"/>
              <w:ind w:firstLine="0" w:firstLineChars="0"/>
              <w:jc w:val="center"/>
              <w:rPr>
                <w:rFonts w:ascii="楷体_GB2312" w:eastAsia="楷体_GB2312"/>
                <w:szCs w:val="21"/>
              </w:rPr>
            </w:pPr>
            <w:r>
              <w:rPr>
                <w:rFonts w:ascii="楷体_GB2312" w:eastAsia="楷体_GB2312"/>
                <w:szCs w:val="21"/>
              </w:rPr>
              <w:t>标称值</w:t>
            </w:r>
          </w:p>
        </w:tc>
        <w:tc>
          <w:tcPr>
            <w:tcW w:w="605" w:type="dxa"/>
            <w:tcBorders>
              <w:left w:val="single" w:color="auto" w:sz="4" w:space="0"/>
              <w:bottom w:val="single" w:color="auto" w:sz="4" w:space="0"/>
              <w:right w:val="single" w:color="auto" w:sz="4" w:space="0"/>
            </w:tcBorders>
            <w:vAlign w:val="center"/>
          </w:tcPr>
          <w:p w14:paraId="059FC35A">
            <w:pPr>
              <w:pStyle w:val="12"/>
              <w:spacing w:line="240" w:lineRule="auto"/>
              <w:ind w:firstLine="0" w:firstLineChars="0"/>
              <w:jc w:val="center"/>
              <w:rPr>
                <w:rFonts w:ascii="楷体_GB2312" w:eastAsia="楷体_GB2312"/>
                <w:szCs w:val="21"/>
              </w:rPr>
            </w:pPr>
            <w:r>
              <w:rPr>
                <w:rFonts w:ascii="楷体_GB2312" w:eastAsia="楷体_GB2312"/>
                <w:szCs w:val="21"/>
              </w:rPr>
              <w:t>容差</w:t>
            </w:r>
          </w:p>
        </w:tc>
        <w:tc>
          <w:tcPr>
            <w:tcW w:w="908" w:type="dxa"/>
            <w:vMerge w:val="continue"/>
            <w:tcBorders>
              <w:left w:val="single" w:color="auto" w:sz="4" w:space="0"/>
              <w:bottom w:val="single" w:color="auto" w:sz="4" w:space="0"/>
            </w:tcBorders>
            <w:vAlign w:val="center"/>
          </w:tcPr>
          <w:p w14:paraId="46BAEA9D">
            <w:pPr>
              <w:pStyle w:val="12"/>
              <w:spacing w:line="240" w:lineRule="auto"/>
              <w:ind w:firstLine="0" w:firstLineChars="0"/>
              <w:jc w:val="center"/>
              <w:rPr>
                <w:rFonts w:ascii="楷体_GB2312" w:eastAsia="楷体_GB2312"/>
                <w:szCs w:val="21"/>
              </w:rPr>
            </w:pPr>
          </w:p>
        </w:tc>
      </w:tr>
      <w:tr w14:paraId="4CEB0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6" w:type="dxa"/>
            <w:tcBorders>
              <w:top w:val="single" w:color="auto" w:sz="4" w:space="0"/>
              <w:right w:val="single" w:color="auto" w:sz="4" w:space="0"/>
            </w:tcBorders>
            <w:vAlign w:val="center"/>
          </w:tcPr>
          <w:p w14:paraId="284258F4">
            <w:pPr>
              <w:pStyle w:val="12"/>
              <w:spacing w:line="240" w:lineRule="auto"/>
              <w:ind w:firstLine="0" w:firstLineChars="0"/>
              <w:jc w:val="center"/>
              <w:rPr>
                <w:rFonts w:ascii="楷体_GB2312" w:eastAsia="楷体_GB2312"/>
                <w:szCs w:val="21"/>
              </w:rPr>
            </w:pPr>
            <w:r>
              <w:rPr>
                <w:rFonts w:ascii="楷体_GB2312" w:eastAsia="楷体_GB2312"/>
                <w:szCs w:val="21"/>
              </w:rPr>
              <w:t>B1.1</w:t>
            </w:r>
          </w:p>
        </w:tc>
        <w:tc>
          <w:tcPr>
            <w:tcW w:w="669" w:type="dxa"/>
            <w:vMerge w:val="restart"/>
            <w:tcBorders>
              <w:top w:val="single" w:color="auto" w:sz="4" w:space="0"/>
              <w:left w:val="single" w:color="auto" w:sz="4" w:space="0"/>
              <w:right w:val="single" w:color="auto" w:sz="4" w:space="0"/>
            </w:tcBorders>
            <w:vAlign w:val="center"/>
          </w:tcPr>
          <w:p w14:paraId="25F83B3D">
            <w:pPr>
              <w:pStyle w:val="12"/>
              <w:spacing w:line="240" w:lineRule="auto"/>
              <w:ind w:firstLine="0" w:firstLineChars="0"/>
              <w:jc w:val="center"/>
              <w:rPr>
                <w:rFonts w:ascii="楷体_GB2312" w:eastAsia="楷体_GB2312"/>
                <w:szCs w:val="21"/>
              </w:rPr>
            </w:pPr>
            <w:r>
              <w:rPr>
                <w:rFonts w:ascii="楷体_GB2312" w:eastAsia="楷体_GB2312"/>
                <w:szCs w:val="21"/>
              </w:rPr>
              <w:t>8.6~9.5</w:t>
            </w:r>
          </w:p>
        </w:tc>
        <w:tc>
          <w:tcPr>
            <w:tcW w:w="892" w:type="dxa"/>
            <w:vMerge w:val="restart"/>
            <w:tcBorders>
              <w:top w:val="single" w:color="auto" w:sz="4" w:space="0"/>
              <w:left w:val="single" w:color="auto" w:sz="4" w:space="0"/>
              <w:right w:val="single" w:color="auto" w:sz="4" w:space="0"/>
            </w:tcBorders>
            <w:vAlign w:val="center"/>
          </w:tcPr>
          <w:p w14:paraId="50A700F2">
            <w:pPr>
              <w:pStyle w:val="12"/>
              <w:spacing w:line="240" w:lineRule="auto"/>
              <w:ind w:firstLine="0" w:firstLineChars="0"/>
              <w:jc w:val="center"/>
              <w:rPr>
                <w:rFonts w:ascii="楷体_GB2312" w:eastAsia="楷体_GB2312"/>
                <w:szCs w:val="21"/>
              </w:rPr>
            </w:pPr>
            <w:r>
              <w:rPr>
                <w:rFonts w:ascii="楷体_GB2312" w:eastAsia="楷体_GB2312"/>
                <w:szCs w:val="21"/>
              </w:rPr>
              <w:t>±0.6</w:t>
            </w:r>
          </w:p>
        </w:tc>
        <w:tc>
          <w:tcPr>
            <w:tcW w:w="678" w:type="dxa"/>
            <w:vMerge w:val="restart"/>
            <w:tcBorders>
              <w:top w:val="single" w:color="auto" w:sz="4" w:space="0"/>
              <w:left w:val="single" w:color="auto" w:sz="4" w:space="0"/>
              <w:right w:val="single" w:color="auto" w:sz="4" w:space="0"/>
            </w:tcBorders>
            <w:vAlign w:val="center"/>
          </w:tcPr>
          <w:p w14:paraId="24D23906">
            <w:pPr>
              <w:pStyle w:val="12"/>
              <w:spacing w:line="240" w:lineRule="auto"/>
              <w:ind w:firstLine="0" w:firstLineChars="0"/>
              <w:jc w:val="center"/>
              <w:rPr>
                <w:rFonts w:ascii="楷体_GB2312" w:eastAsia="楷体_GB2312"/>
                <w:szCs w:val="21"/>
              </w:rPr>
            </w:pPr>
            <w:r>
              <w:rPr>
                <w:rFonts w:ascii="楷体_GB2312" w:eastAsia="楷体_GB2312"/>
                <w:szCs w:val="21"/>
              </w:rPr>
              <w:t>125</w:t>
            </w:r>
          </w:p>
        </w:tc>
        <w:tc>
          <w:tcPr>
            <w:tcW w:w="684" w:type="dxa"/>
            <w:vMerge w:val="restart"/>
            <w:tcBorders>
              <w:top w:val="single" w:color="auto" w:sz="4" w:space="0"/>
              <w:left w:val="single" w:color="auto" w:sz="4" w:space="0"/>
              <w:right w:val="single" w:color="auto" w:sz="4" w:space="0"/>
            </w:tcBorders>
            <w:vAlign w:val="center"/>
          </w:tcPr>
          <w:p w14:paraId="6AB927E4">
            <w:pPr>
              <w:pStyle w:val="12"/>
              <w:spacing w:line="240" w:lineRule="auto"/>
              <w:ind w:firstLine="0" w:firstLineChars="0"/>
              <w:jc w:val="center"/>
              <w:rPr>
                <w:rFonts w:ascii="楷体_GB2312" w:eastAsia="楷体_GB2312"/>
                <w:szCs w:val="21"/>
              </w:rPr>
            </w:pPr>
            <w:r>
              <w:rPr>
                <w:rFonts w:ascii="楷体_GB2312" w:eastAsia="楷体_GB2312"/>
                <w:szCs w:val="21"/>
              </w:rPr>
              <w:t>±1.0</w:t>
            </w:r>
          </w:p>
        </w:tc>
        <w:tc>
          <w:tcPr>
            <w:tcW w:w="711" w:type="dxa"/>
            <w:vMerge w:val="restart"/>
            <w:tcBorders>
              <w:top w:val="single" w:color="auto" w:sz="4" w:space="0"/>
              <w:left w:val="single" w:color="auto" w:sz="4" w:space="0"/>
              <w:right w:val="single" w:color="auto" w:sz="4" w:space="0"/>
            </w:tcBorders>
            <w:vAlign w:val="center"/>
          </w:tcPr>
          <w:p w14:paraId="244374C6">
            <w:pPr>
              <w:pStyle w:val="12"/>
              <w:spacing w:line="240" w:lineRule="auto"/>
              <w:ind w:firstLine="0" w:firstLineChars="0"/>
              <w:jc w:val="center"/>
              <w:rPr>
                <w:rFonts w:ascii="楷体_GB2312" w:eastAsia="楷体_GB2312"/>
                <w:szCs w:val="21"/>
              </w:rPr>
            </w:pPr>
            <w:r>
              <w:rPr>
                <w:rFonts w:ascii="楷体_GB2312" w:eastAsia="楷体_GB2312"/>
                <w:szCs w:val="21"/>
              </w:rPr>
              <w:t>≤1.0</w:t>
            </w:r>
          </w:p>
        </w:tc>
        <w:tc>
          <w:tcPr>
            <w:tcW w:w="651" w:type="dxa"/>
            <w:vMerge w:val="restart"/>
            <w:tcBorders>
              <w:top w:val="single" w:color="auto" w:sz="4" w:space="0"/>
              <w:left w:val="single" w:color="auto" w:sz="4" w:space="0"/>
              <w:right w:val="single" w:color="auto" w:sz="4" w:space="0"/>
            </w:tcBorders>
            <w:vAlign w:val="center"/>
          </w:tcPr>
          <w:p w14:paraId="71C575F7">
            <w:pPr>
              <w:pStyle w:val="12"/>
              <w:spacing w:line="240" w:lineRule="auto"/>
              <w:ind w:firstLine="0" w:firstLineChars="0"/>
              <w:jc w:val="center"/>
              <w:rPr>
                <w:rFonts w:ascii="楷体_GB2312" w:eastAsia="楷体_GB2312"/>
                <w:szCs w:val="21"/>
              </w:rPr>
            </w:pPr>
            <w:r>
              <w:rPr>
                <w:rFonts w:ascii="楷体_GB2312" w:eastAsia="楷体_GB2312"/>
                <w:szCs w:val="21"/>
              </w:rPr>
              <w:t>≤0.8</w:t>
            </w:r>
          </w:p>
        </w:tc>
        <w:tc>
          <w:tcPr>
            <w:tcW w:w="757" w:type="dxa"/>
            <w:vMerge w:val="restart"/>
            <w:tcBorders>
              <w:top w:val="single" w:color="auto" w:sz="4" w:space="0"/>
              <w:left w:val="single" w:color="auto" w:sz="4" w:space="0"/>
              <w:right w:val="single" w:color="auto" w:sz="4" w:space="0"/>
            </w:tcBorders>
            <w:vAlign w:val="center"/>
          </w:tcPr>
          <w:p w14:paraId="18A1D7D8">
            <w:pPr>
              <w:pStyle w:val="12"/>
              <w:spacing w:line="240" w:lineRule="auto"/>
              <w:ind w:firstLine="0" w:firstLineChars="0"/>
              <w:jc w:val="center"/>
              <w:rPr>
                <w:rFonts w:ascii="楷体_GB2312" w:eastAsia="楷体_GB2312"/>
                <w:szCs w:val="21"/>
              </w:rPr>
            </w:pPr>
            <w:r>
              <w:rPr>
                <w:rFonts w:ascii="楷体_GB2312" w:eastAsia="楷体_GB2312"/>
                <w:szCs w:val="21"/>
              </w:rPr>
              <w:t>245</w:t>
            </w:r>
          </w:p>
        </w:tc>
        <w:tc>
          <w:tcPr>
            <w:tcW w:w="605" w:type="dxa"/>
            <w:vMerge w:val="restart"/>
            <w:tcBorders>
              <w:top w:val="single" w:color="auto" w:sz="4" w:space="0"/>
              <w:left w:val="single" w:color="auto" w:sz="4" w:space="0"/>
              <w:right w:val="single" w:color="auto" w:sz="4" w:space="0"/>
            </w:tcBorders>
            <w:vAlign w:val="center"/>
          </w:tcPr>
          <w:p w14:paraId="4B27C75C">
            <w:pPr>
              <w:pStyle w:val="12"/>
              <w:spacing w:line="240" w:lineRule="auto"/>
              <w:ind w:firstLine="0" w:firstLineChars="0"/>
              <w:jc w:val="center"/>
              <w:rPr>
                <w:rFonts w:ascii="楷体_GB2312" w:eastAsia="楷体_GB2312"/>
                <w:szCs w:val="21"/>
              </w:rPr>
            </w:pPr>
            <w:r>
              <w:rPr>
                <w:rFonts w:ascii="楷体_GB2312" w:eastAsia="楷体_GB2312"/>
                <w:szCs w:val="21"/>
              </w:rPr>
              <w:t>±10</w:t>
            </w:r>
          </w:p>
        </w:tc>
        <w:tc>
          <w:tcPr>
            <w:tcW w:w="757" w:type="dxa"/>
            <w:vMerge w:val="restart"/>
            <w:tcBorders>
              <w:top w:val="single" w:color="auto" w:sz="4" w:space="0"/>
              <w:left w:val="single" w:color="auto" w:sz="4" w:space="0"/>
              <w:right w:val="single" w:color="auto" w:sz="4" w:space="0"/>
            </w:tcBorders>
            <w:vAlign w:val="center"/>
          </w:tcPr>
          <w:p w14:paraId="4EE81F96">
            <w:pPr>
              <w:pStyle w:val="12"/>
              <w:spacing w:line="240" w:lineRule="auto"/>
              <w:ind w:firstLine="0" w:firstLineChars="0"/>
              <w:jc w:val="center"/>
              <w:rPr>
                <w:rFonts w:ascii="楷体_GB2312" w:eastAsia="楷体_GB2312"/>
                <w:szCs w:val="21"/>
              </w:rPr>
            </w:pPr>
            <w:r>
              <w:rPr>
                <w:rFonts w:ascii="楷体_GB2312" w:eastAsia="楷体_GB2312"/>
                <w:szCs w:val="21"/>
              </w:rPr>
              <w:t>250</w:t>
            </w:r>
          </w:p>
        </w:tc>
        <w:tc>
          <w:tcPr>
            <w:tcW w:w="605" w:type="dxa"/>
            <w:vMerge w:val="restart"/>
            <w:tcBorders>
              <w:top w:val="single" w:color="auto" w:sz="4" w:space="0"/>
              <w:left w:val="single" w:color="auto" w:sz="4" w:space="0"/>
              <w:right w:val="single" w:color="auto" w:sz="4" w:space="0"/>
            </w:tcBorders>
            <w:vAlign w:val="center"/>
          </w:tcPr>
          <w:p w14:paraId="1F01886B">
            <w:pPr>
              <w:pStyle w:val="12"/>
              <w:spacing w:line="240" w:lineRule="auto"/>
              <w:ind w:firstLine="0" w:firstLineChars="0"/>
              <w:jc w:val="center"/>
              <w:rPr>
                <w:rFonts w:ascii="楷体_GB2312" w:eastAsia="楷体_GB2312"/>
                <w:szCs w:val="21"/>
              </w:rPr>
            </w:pPr>
            <w:r>
              <w:rPr>
                <w:rFonts w:ascii="楷体_GB2312" w:eastAsia="楷体_GB2312"/>
                <w:szCs w:val="21"/>
              </w:rPr>
              <w:t>±15</w:t>
            </w:r>
          </w:p>
        </w:tc>
        <w:tc>
          <w:tcPr>
            <w:tcW w:w="908" w:type="dxa"/>
            <w:vMerge w:val="restart"/>
            <w:tcBorders>
              <w:top w:val="single" w:color="auto" w:sz="4" w:space="0"/>
              <w:left w:val="single" w:color="auto" w:sz="4" w:space="0"/>
            </w:tcBorders>
            <w:vAlign w:val="center"/>
          </w:tcPr>
          <w:p w14:paraId="167EF198">
            <w:pPr>
              <w:pStyle w:val="12"/>
              <w:spacing w:line="240" w:lineRule="auto"/>
              <w:ind w:firstLine="0" w:firstLineChars="0"/>
              <w:jc w:val="center"/>
              <w:rPr>
                <w:rFonts w:ascii="楷体_GB2312" w:eastAsia="楷体_GB2312"/>
                <w:szCs w:val="21"/>
              </w:rPr>
            </w:pPr>
            <w:r>
              <w:rPr>
                <w:rFonts w:ascii="楷体_GB2312" w:eastAsia="楷体_GB2312"/>
                <w:szCs w:val="21"/>
              </w:rPr>
              <w:t>≤12.5</w:t>
            </w:r>
          </w:p>
        </w:tc>
      </w:tr>
      <w:tr w14:paraId="6873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836" w:type="dxa"/>
            <w:tcBorders>
              <w:right w:val="single" w:color="auto" w:sz="4" w:space="0"/>
            </w:tcBorders>
            <w:vAlign w:val="center"/>
          </w:tcPr>
          <w:p w14:paraId="20C11D95">
            <w:pPr>
              <w:pStyle w:val="12"/>
              <w:spacing w:line="240" w:lineRule="auto"/>
              <w:ind w:firstLine="0" w:firstLineChars="0"/>
              <w:jc w:val="center"/>
              <w:rPr>
                <w:rFonts w:ascii="楷体_GB2312" w:eastAsia="楷体_GB2312"/>
                <w:szCs w:val="21"/>
              </w:rPr>
            </w:pPr>
            <w:r>
              <w:rPr>
                <w:rFonts w:ascii="楷体_GB2312" w:eastAsia="楷体_GB2312"/>
                <w:szCs w:val="21"/>
              </w:rPr>
              <w:t>B1.3</w:t>
            </w:r>
          </w:p>
        </w:tc>
        <w:tc>
          <w:tcPr>
            <w:tcW w:w="669" w:type="dxa"/>
            <w:vMerge w:val="continue"/>
            <w:tcBorders>
              <w:left w:val="single" w:color="auto" w:sz="4" w:space="0"/>
              <w:right w:val="single" w:color="auto" w:sz="4" w:space="0"/>
            </w:tcBorders>
            <w:vAlign w:val="center"/>
          </w:tcPr>
          <w:p w14:paraId="516ECF00">
            <w:pPr>
              <w:pStyle w:val="12"/>
              <w:spacing w:line="240" w:lineRule="auto"/>
              <w:ind w:firstLine="0" w:firstLineChars="0"/>
              <w:jc w:val="center"/>
              <w:rPr>
                <w:rFonts w:ascii="楷体_GB2312" w:eastAsia="楷体_GB2312"/>
                <w:szCs w:val="21"/>
              </w:rPr>
            </w:pPr>
          </w:p>
        </w:tc>
        <w:tc>
          <w:tcPr>
            <w:tcW w:w="892" w:type="dxa"/>
            <w:vMerge w:val="continue"/>
            <w:tcBorders>
              <w:left w:val="single" w:color="auto" w:sz="4" w:space="0"/>
              <w:right w:val="single" w:color="auto" w:sz="4" w:space="0"/>
            </w:tcBorders>
            <w:vAlign w:val="center"/>
          </w:tcPr>
          <w:p w14:paraId="21F8EF72">
            <w:pPr>
              <w:pStyle w:val="12"/>
              <w:spacing w:line="240" w:lineRule="auto"/>
              <w:ind w:firstLine="0" w:firstLineChars="0"/>
              <w:jc w:val="center"/>
              <w:rPr>
                <w:rFonts w:ascii="楷体_GB2312" w:eastAsia="楷体_GB2312"/>
                <w:szCs w:val="21"/>
              </w:rPr>
            </w:pPr>
          </w:p>
        </w:tc>
        <w:tc>
          <w:tcPr>
            <w:tcW w:w="678" w:type="dxa"/>
            <w:vMerge w:val="continue"/>
            <w:tcBorders>
              <w:left w:val="single" w:color="auto" w:sz="4" w:space="0"/>
              <w:right w:val="single" w:color="auto" w:sz="4" w:space="0"/>
            </w:tcBorders>
            <w:vAlign w:val="center"/>
          </w:tcPr>
          <w:p w14:paraId="06748E55">
            <w:pPr>
              <w:pStyle w:val="12"/>
              <w:spacing w:line="240" w:lineRule="auto"/>
              <w:ind w:firstLine="0" w:firstLineChars="0"/>
              <w:jc w:val="center"/>
              <w:rPr>
                <w:rFonts w:ascii="楷体_GB2312" w:eastAsia="楷体_GB2312"/>
                <w:szCs w:val="21"/>
              </w:rPr>
            </w:pPr>
          </w:p>
        </w:tc>
        <w:tc>
          <w:tcPr>
            <w:tcW w:w="684" w:type="dxa"/>
            <w:vMerge w:val="continue"/>
            <w:tcBorders>
              <w:left w:val="single" w:color="auto" w:sz="4" w:space="0"/>
              <w:right w:val="single" w:color="auto" w:sz="4" w:space="0"/>
            </w:tcBorders>
            <w:vAlign w:val="center"/>
          </w:tcPr>
          <w:p w14:paraId="6CE4EFE0">
            <w:pPr>
              <w:pStyle w:val="12"/>
              <w:spacing w:line="240" w:lineRule="auto"/>
              <w:ind w:firstLine="0" w:firstLineChars="0"/>
              <w:jc w:val="center"/>
              <w:rPr>
                <w:rFonts w:ascii="楷体_GB2312" w:eastAsia="楷体_GB2312"/>
                <w:szCs w:val="21"/>
              </w:rPr>
            </w:pPr>
          </w:p>
        </w:tc>
        <w:tc>
          <w:tcPr>
            <w:tcW w:w="711" w:type="dxa"/>
            <w:vMerge w:val="continue"/>
            <w:tcBorders>
              <w:left w:val="single" w:color="auto" w:sz="4" w:space="0"/>
              <w:right w:val="single" w:color="auto" w:sz="4" w:space="0"/>
            </w:tcBorders>
            <w:vAlign w:val="center"/>
          </w:tcPr>
          <w:p w14:paraId="02AC813E">
            <w:pPr>
              <w:pStyle w:val="12"/>
              <w:spacing w:line="240" w:lineRule="auto"/>
              <w:ind w:firstLine="0" w:firstLineChars="0"/>
              <w:jc w:val="center"/>
              <w:rPr>
                <w:rFonts w:ascii="楷体_GB2312" w:eastAsia="楷体_GB2312"/>
                <w:szCs w:val="21"/>
              </w:rPr>
            </w:pPr>
          </w:p>
        </w:tc>
        <w:tc>
          <w:tcPr>
            <w:tcW w:w="651" w:type="dxa"/>
            <w:vMerge w:val="continue"/>
            <w:tcBorders>
              <w:left w:val="single" w:color="auto" w:sz="4" w:space="0"/>
              <w:right w:val="single" w:color="auto" w:sz="4" w:space="0"/>
            </w:tcBorders>
            <w:vAlign w:val="center"/>
          </w:tcPr>
          <w:p w14:paraId="29420936">
            <w:pPr>
              <w:pStyle w:val="12"/>
              <w:spacing w:line="240" w:lineRule="auto"/>
              <w:ind w:firstLine="0" w:firstLineChars="0"/>
              <w:jc w:val="center"/>
              <w:rPr>
                <w:rFonts w:ascii="楷体_GB2312" w:eastAsia="楷体_GB2312"/>
                <w:szCs w:val="21"/>
              </w:rPr>
            </w:pPr>
          </w:p>
        </w:tc>
        <w:tc>
          <w:tcPr>
            <w:tcW w:w="757" w:type="dxa"/>
            <w:vMerge w:val="continue"/>
            <w:tcBorders>
              <w:left w:val="single" w:color="auto" w:sz="4" w:space="0"/>
              <w:right w:val="single" w:color="auto" w:sz="4" w:space="0"/>
            </w:tcBorders>
            <w:vAlign w:val="center"/>
          </w:tcPr>
          <w:p w14:paraId="6B6E9821">
            <w:pPr>
              <w:pStyle w:val="12"/>
              <w:spacing w:line="240" w:lineRule="auto"/>
              <w:ind w:firstLine="0" w:firstLineChars="0"/>
              <w:jc w:val="center"/>
              <w:rPr>
                <w:rFonts w:ascii="楷体_GB2312" w:eastAsia="楷体_GB2312"/>
                <w:szCs w:val="21"/>
              </w:rPr>
            </w:pPr>
          </w:p>
        </w:tc>
        <w:tc>
          <w:tcPr>
            <w:tcW w:w="605" w:type="dxa"/>
            <w:vMerge w:val="continue"/>
            <w:tcBorders>
              <w:left w:val="single" w:color="auto" w:sz="4" w:space="0"/>
              <w:right w:val="single" w:color="auto" w:sz="4" w:space="0"/>
            </w:tcBorders>
            <w:vAlign w:val="center"/>
          </w:tcPr>
          <w:p w14:paraId="1F460601">
            <w:pPr>
              <w:pStyle w:val="12"/>
              <w:spacing w:line="240" w:lineRule="auto"/>
              <w:ind w:firstLine="0" w:firstLineChars="0"/>
              <w:jc w:val="center"/>
              <w:rPr>
                <w:rFonts w:ascii="楷体_GB2312" w:eastAsia="楷体_GB2312"/>
                <w:szCs w:val="21"/>
              </w:rPr>
            </w:pPr>
          </w:p>
        </w:tc>
        <w:tc>
          <w:tcPr>
            <w:tcW w:w="757" w:type="dxa"/>
            <w:vMerge w:val="continue"/>
            <w:tcBorders>
              <w:left w:val="single" w:color="auto" w:sz="4" w:space="0"/>
              <w:right w:val="single" w:color="auto" w:sz="4" w:space="0"/>
            </w:tcBorders>
            <w:vAlign w:val="center"/>
          </w:tcPr>
          <w:p w14:paraId="5B798DFF">
            <w:pPr>
              <w:pStyle w:val="12"/>
              <w:spacing w:line="240" w:lineRule="auto"/>
              <w:ind w:firstLine="0" w:firstLineChars="0"/>
              <w:jc w:val="center"/>
              <w:rPr>
                <w:rFonts w:ascii="楷体_GB2312" w:eastAsia="楷体_GB2312"/>
                <w:szCs w:val="21"/>
              </w:rPr>
            </w:pPr>
          </w:p>
        </w:tc>
        <w:tc>
          <w:tcPr>
            <w:tcW w:w="605" w:type="dxa"/>
            <w:vMerge w:val="continue"/>
            <w:tcBorders>
              <w:left w:val="single" w:color="auto" w:sz="4" w:space="0"/>
              <w:right w:val="single" w:color="auto" w:sz="4" w:space="0"/>
            </w:tcBorders>
            <w:vAlign w:val="center"/>
          </w:tcPr>
          <w:p w14:paraId="5ADD5000">
            <w:pPr>
              <w:pStyle w:val="12"/>
              <w:spacing w:line="240" w:lineRule="auto"/>
              <w:ind w:firstLine="0" w:firstLineChars="0"/>
              <w:jc w:val="center"/>
              <w:rPr>
                <w:rFonts w:ascii="楷体_GB2312" w:eastAsia="楷体_GB2312"/>
                <w:szCs w:val="21"/>
              </w:rPr>
            </w:pPr>
          </w:p>
        </w:tc>
        <w:tc>
          <w:tcPr>
            <w:tcW w:w="908" w:type="dxa"/>
            <w:vMerge w:val="continue"/>
            <w:tcBorders>
              <w:left w:val="single" w:color="auto" w:sz="4" w:space="0"/>
            </w:tcBorders>
            <w:vAlign w:val="center"/>
          </w:tcPr>
          <w:p w14:paraId="7C53F3AE">
            <w:pPr>
              <w:pStyle w:val="12"/>
              <w:spacing w:line="240" w:lineRule="auto"/>
              <w:ind w:firstLine="0" w:firstLineChars="0"/>
              <w:jc w:val="center"/>
              <w:rPr>
                <w:rFonts w:ascii="楷体_GB2312" w:eastAsia="楷体_GB2312"/>
                <w:szCs w:val="21"/>
              </w:rPr>
            </w:pPr>
          </w:p>
        </w:tc>
      </w:tr>
      <w:tr w14:paraId="61482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6" w:type="dxa"/>
            <w:tcBorders>
              <w:right w:val="single" w:color="auto" w:sz="4" w:space="0"/>
            </w:tcBorders>
            <w:vAlign w:val="center"/>
          </w:tcPr>
          <w:p w14:paraId="1884E5A5">
            <w:pPr>
              <w:pStyle w:val="12"/>
              <w:spacing w:line="240" w:lineRule="auto"/>
              <w:ind w:firstLine="0" w:firstLineChars="0"/>
              <w:jc w:val="center"/>
              <w:rPr>
                <w:rFonts w:ascii="楷体_GB2312" w:eastAsia="楷体_GB2312"/>
                <w:szCs w:val="21"/>
              </w:rPr>
            </w:pPr>
            <w:r>
              <w:rPr>
                <w:rFonts w:ascii="楷体_GB2312" w:eastAsia="楷体_GB2312"/>
                <w:szCs w:val="21"/>
              </w:rPr>
              <w:t>B4</w:t>
            </w:r>
          </w:p>
        </w:tc>
        <w:tc>
          <w:tcPr>
            <w:tcW w:w="669" w:type="dxa"/>
            <w:tcBorders>
              <w:left w:val="single" w:color="auto" w:sz="4" w:space="0"/>
              <w:right w:val="single" w:color="auto" w:sz="4" w:space="0"/>
            </w:tcBorders>
            <w:vAlign w:val="center"/>
          </w:tcPr>
          <w:p w14:paraId="6B58FE78">
            <w:pPr>
              <w:pStyle w:val="12"/>
              <w:spacing w:line="240" w:lineRule="auto"/>
              <w:ind w:firstLine="0" w:firstLineChars="0"/>
              <w:jc w:val="center"/>
              <w:rPr>
                <w:rFonts w:ascii="楷体_GB2312" w:eastAsia="楷体_GB2312"/>
                <w:szCs w:val="21"/>
              </w:rPr>
            </w:pPr>
            <w:r>
              <w:rPr>
                <w:rFonts w:ascii="楷体_GB2312" w:eastAsia="楷体_GB2312"/>
                <w:szCs w:val="21"/>
              </w:rPr>
              <w:t>8.0~11.0</w:t>
            </w:r>
          </w:p>
        </w:tc>
        <w:tc>
          <w:tcPr>
            <w:tcW w:w="892" w:type="dxa"/>
            <w:vMerge w:val="continue"/>
            <w:tcBorders>
              <w:left w:val="single" w:color="auto" w:sz="4" w:space="0"/>
              <w:right w:val="single" w:color="auto" w:sz="4" w:space="0"/>
            </w:tcBorders>
            <w:vAlign w:val="center"/>
          </w:tcPr>
          <w:p w14:paraId="1D704B4D">
            <w:pPr>
              <w:pStyle w:val="12"/>
              <w:spacing w:line="240" w:lineRule="auto"/>
              <w:ind w:firstLine="0" w:firstLineChars="0"/>
              <w:jc w:val="center"/>
              <w:rPr>
                <w:rFonts w:ascii="楷体_GB2312" w:eastAsia="楷体_GB2312"/>
                <w:szCs w:val="21"/>
              </w:rPr>
            </w:pPr>
          </w:p>
        </w:tc>
        <w:tc>
          <w:tcPr>
            <w:tcW w:w="678" w:type="dxa"/>
            <w:vMerge w:val="continue"/>
            <w:tcBorders>
              <w:left w:val="single" w:color="auto" w:sz="4" w:space="0"/>
              <w:right w:val="single" w:color="auto" w:sz="4" w:space="0"/>
            </w:tcBorders>
            <w:vAlign w:val="center"/>
          </w:tcPr>
          <w:p w14:paraId="6053237E">
            <w:pPr>
              <w:pStyle w:val="12"/>
              <w:spacing w:line="240" w:lineRule="auto"/>
              <w:ind w:firstLine="0" w:firstLineChars="0"/>
              <w:jc w:val="center"/>
              <w:rPr>
                <w:rFonts w:ascii="楷体_GB2312" w:eastAsia="楷体_GB2312"/>
                <w:szCs w:val="21"/>
              </w:rPr>
            </w:pPr>
          </w:p>
        </w:tc>
        <w:tc>
          <w:tcPr>
            <w:tcW w:w="684" w:type="dxa"/>
            <w:vMerge w:val="continue"/>
            <w:tcBorders>
              <w:left w:val="single" w:color="auto" w:sz="4" w:space="0"/>
              <w:right w:val="single" w:color="auto" w:sz="4" w:space="0"/>
            </w:tcBorders>
            <w:vAlign w:val="center"/>
          </w:tcPr>
          <w:p w14:paraId="21E945EF">
            <w:pPr>
              <w:pStyle w:val="12"/>
              <w:spacing w:line="240" w:lineRule="auto"/>
              <w:ind w:firstLine="0" w:firstLineChars="0"/>
              <w:jc w:val="center"/>
              <w:rPr>
                <w:rFonts w:ascii="楷体_GB2312" w:eastAsia="楷体_GB2312"/>
                <w:szCs w:val="21"/>
              </w:rPr>
            </w:pPr>
          </w:p>
        </w:tc>
        <w:tc>
          <w:tcPr>
            <w:tcW w:w="711" w:type="dxa"/>
            <w:vMerge w:val="continue"/>
            <w:tcBorders>
              <w:left w:val="single" w:color="auto" w:sz="4" w:space="0"/>
              <w:right w:val="single" w:color="auto" w:sz="4" w:space="0"/>
            </w:tcBorders>
            <w:vAlign w:val="center"/>
          </w:tcPr>
          <w:p w14:paraId="13DEDF8D">
            <w:pPr>
              <w:pStyle w:val="12"/>
              <w:spacing w:line="240" w:lineRule="auto"/>
              <w:ind w:firstLine="0" w:firstLineChars="0"/>
              <w:jc w:val="center"/>
              <w:rPr>
                <w:rFonts w:ascii="楷体_GB2312" w:eastAsia="楷体_GB2312"/>
                <w:szCs w:val="21"/>
              </w:rPr>
            </w:pPr>
          </w:p>
        </w:tc>
        <w:tc>
          <w:tcPr>
            <w:tcW w:w="651" w:type="dxa"/>
            <w:vMerge w:val="continue"/>
            <w:tcBorders>
              <w:left w:val="single" w:color="auto" w:sz="4" w:space="0"/>
              <w:right w:val="single" w:color="auto" w:sz="4" w:space="0"/>
            </w:tcBorders>
            <w:vAlign w:val="center"/>
          </w:tcPr>
          <w:p w14:paraId="07058DB8">
            <w:pPr>
              <w:pStyle w:val="12"/>
              <w:spacing w:line="240" w:lineRule="auto"/>
              <w:ind w:firstLine="0" w:firstLineChars="0"/>
              <w:jc w:val="center"/>
              <w:rPr>
                <w:rFonts w:ascii="楷体_GB2312" w:eastAsia="楷体_GB2312"/>
                <w:szCs w:val="21"/>
              </w:rPr>
            </w:pPr>
          </w:p>
        </w:tc>
        <w:tc>
          <w:tcPr>
            <w:tcW w:w="757" w:type="dxa"/>
            <w:vMerge w:val="continue"/>
            <w:tcBorders>
              <w:left w:val="single" w:color="auto" w:sz="4" w:space="0"/>
              <w:right w:val="single" w:color="auto" w:sz="4" w:space="0"/>
            </w:tcBorders>
            <w:vAlign w:val="center"/>
          </w:tcPr>
          <w:p w14:paraId="74F71267">
            <w:pPr>
              <w:pStyle w:val="12"/>
              <w:spacing w:line="240" w:lineRule="auto"/>
              <w:ind w:firstLine="0" w:firstLineChars="0"/>
              <w:jc w:val="center"/>
              <w:rPr>
                <w:rFonts w:ascii="楷体_GB2312" w:eastAsia="楷体_GB2312"/>
                <w:szCs w:val="21"/>
              </w:rPr>
            </w:pPr>
          </w:p>
        </w:tc>
        <w:tc>
          <w:tcPr>
            <w:tcW w:w="605" w:type="dxa"/>
            <w:vMerge w:val="continue"/>
            <w:tcBorders>
              <w:left w:val="single" w:color="auto" w:sz="4" w:space="0"/>
              <w:right w:val="single" w:color="auto" w:sz="4" w:space="0"/>
            </w:tcBorders>
            <w:vAlign w:val="center"/>
          </w:tcPr>
          <w:p w14:paraId="513195A4">
            <w:pPr>
              <w:pStyle w:val="12"/>
              <w:spacing w:line="240" w:lineRule="auto"/>
              <w:ind w:firstLine="0" w:firstLineChars="0"/>
              <w:jc w:val="center"/>
              <w:rPr>
                <w:rFonts w:ascii="楷体_GB2312" w:eastAsia="楷体_GB2312"/>
                <w:szCs w:val="21"/>
              </w:rPr>
            </w:pPr>
          </w:p>
        </w:tc>
        <w:tc>
          <w:tcPr>
            <w:tcW w:w="757" w:type="dxa"/>
            <w:vMerge w:val="continue"/>
            <w:tcBorders>
              <w:left w:val="single" w:color="auto" w:sz="4" w:space="0"/>
              <w:right w:val="single" w:color="auto" w:sz="4" w:space="0"/>
            </w:tcBorders>
            <w:vAlign w:val="center"/>
          </w:tcPr>
          <w:p w14:paraId="393ED012">
            <w:pPr>
              <w:pStyle w:val="12"/>
              <w:spacing w:line="240" w:lineRule="auto"/>
              <w:ind w:firstLine="0" w:firstLineChars="0"/>
              <w:jc w:val="center"/>
              <w:rPr>
                <w:rFonts w:ascii="楷体_GB2312" w:eastAsia="楷体_GB2312"/>
                <w:szCs w:val="21"/>
              </w:rPr>
            </w:pPr>
          </w:p>
        </w:tc>
        <w:tc>
          <w:tcPr>
            <w:tcW w:w="605" w:type="dxa"/>
            <w:vMerge w:val="continue"/>
            <w:tcBorders>
              <w:left w:val="single" w:color="auto" w:sz="4" w:space="0"/>
              <w:right w:val="single" w:color="auto" w:sz="4" w:space="0"/>
            </w:tcBorders>
            <w:vAlign w:val="center"/>
          </w:tcPr>
          <w:p w14:paraId="7B36869A">
            <w:pPr>
              <w:pStyle w:val="12"/>
              <w:spacing w:line="240" w:lineRule="auto"/>
              <w:ind w:firstLine="0" w:firstLineChars="0"/>
              <w:jc w:val="center"/>
              <w:rPr>
                <w:rFonts w:ascii="楷体_GB2312" w:eastAsia="楷体_GB2312"/>
                <w:szCs w:val="21"/>
              </w:rPr>
            </w:pPr>
          </w:p>
        </w:tc>
        <w:tc>
          <w:tcPr>
            <w:tcW w:w="908" w:type="dxa"/>
            <w:vMerge w:val="continue"/>
            <w:tcBorders>
              <w:left w:val="single" w:color="auto" w:sz="4" w:space="0"/>
            </w:tcBorders>
            <w:vAlign w:val="center"/>
          </w:tcPr>
          <w:p w14:paraId="544A73A2">
            <w:pPr>
              <w:pStyle w:val="12"/>
              <w:spacing w:line="240" w:lineRule="auto"/>
              <w:ind w:firstLine="0" w:firstLineChars="0"/>
              <w:jc w:val="center"/>
              <w:rPr>
                <w:rFonts w:ascii="楷体_GB2312" w:eastAsia="楷体_GB2312"/>
                <w:szCs w:val="21"/>
              </w:rPr>
            </w:pPr>
          </w:p>
        </w:tc>
      </w:tr>
      <w:tr w14:paraId="61869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53" w:type="dxa"/>
            <w:gridSpan w:val="12"/>
            <w:vAlign w:val="center"/>
          </w:tcPr>
          <w:p w14:paraId="5A116AF9">
            <w:pPr>
              <w:pStyle w:val="12"/>
              <w:spacing w:line="240" w:lineRule="auto"/>
              <w:ind w:firstLine="0" w:firstLineChars="0"/>
              <w:rPr>
                <w:rFonts w:ascii="楷体_GB2312" w:eastAsia="楷体_GB2312"/>
                <w:szCs w:val="21"/>
              </w:rPr>
            </w:pPr>
            <w:r>
              <w:rPr>
                <w:rFonts w:ascii="楷体_GB2312" w:eastAsia="楷体_GB2312"/>
                <w:szCs w:val="21"/>
              </w:rPr>
              <w:t>注：B1.1和B1.3光纤模场直径为1310nm波长下的值，B4类光纤模场直径为1550nm波长下的值。</w:t>
            </w:r>
          </w:p>
        </w:tc>
      </w:tr>
    </w:tbl>
    <w:p w14:paraId="07508C13">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31" w:name="_Toc357451828"/>
      <w:r>
        <w:rPr>
          <w:rFonts w:hint="eastAsia" w:ascii="楷体_GB2312" w:eastAsia="楷体_GB2312"/>
          <w:spacing w:val="5"/>
          <w:sz w:val="21"/>
          <w:szCs w:val="24"/>
          <w:lang w:val="en-US" w:eastAsia="zh-CN"/>
        </w:rPr>
        <w:t>5.9  截止波长</w:t>
      </w:r>
      <w:bookmarkEnd w:id="31"/>
    </w:p>
    <w:p w14:paraId="38E34F95">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光缆截止波长λcc应符合表3规定。</w:t>
      </w:r>
    </w:p>
    <w:p w14:paraId="3B30B937">
      <w:pPr>
        <w:pStyle w:val="12"/>
        <w:ind w:firstLine="0" w:firstLineChars="0"/>
        <w:jc w:val="center"/>
        <w:rPr>
          <w:rFonts w:ascii="楷体_GB2312" w:eastAsia="楷体_GB2312"/>
          <w:szCs w:val="21"/>
        </w:rPr>
      </w:pPr>
      <w:r>
        <w:rPr>
          <w:rFonts w:ascii="楷体_GB2312" w:eastAsia="楷体_GB2312"/>
          <w:szCs w:val="21"/>
        </w:rPr>
        <w:t>表</w:t>
      </w:r>
      <w:r>
        <w:rPr>
          <w:rFonts w:hint="eastAsia" w:ascii="楷体_GB2312" w:eastAsia="楷体_GB2312"/>
          <w:szCs w:val="21"/>
        </w:rPr>
        <w:t>3</w:t>
      </w:r>
      <w:r>
        <w:rPr>
          <w:rFonts w:ascii="楷体_GB2312" w:eastAsia="楷体_GB2312"/>
          <w:szCs w:val="21"/>
        </w:rPr>
        <w:t xml:space="preserve">  光缆截止拨长（纳米）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37B9A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14:paraId="7B1BE55E">
            <w:pPr>
              <w:pStyle w:val="12"/>
              <w:ind w:firstLine="0" w:firstLineChars="0"/>
              <w:jc w:val="center"/>
              <w:rPr>
                <w:rFonts w:ascii="楷体_GB2312" w:eastAsia="楷体_GB2312"/>
                <w:szCs w:val="21"/>
              </w:rPr>
            </w:pPr>
            <w:r>
              <w:rPr>
                <w:rFonts w:ascii="楷体_GB2312" w:eastAsia="楷体_GB2312"/>
                <w:szCs w:val="21"/>
              </w:rPr>
              <w:t>光纤类型</w:t>
            </w:r>
          </w:p>
        </w:tc>
        <w:tc>
          <w:tcPr>
            <w:tcW w:w="2130" w:type="dxa"/>
          </w:tcPr>
          <w:p w14:paraId="15610BEC">
            <w:pPr>
              <w:pStyle w:val="12"/>
              <w:ind w:firstLine="0" w:firstLineChars="0"/>
              <w:jc w:val="center"/>
              <w:rPr>
                <w:rFonts w:ascii="楷体_GB2312" w:eastAsia="楷体_GB2312"/>
                <w:szCs w:val="21"/>
              </w:rPr>
            </w:pPr>
            <w:r>
              <w:rPr>
                <w:rFonts w:ascii="楷体_GB2312" w:eastAsia="楷体_GB2312"/>
                <w:szCs w:val="21"/>
              </w:rPr>
              <w:t>B1.1</w:t>
            </w:r>
          </w:p>
        </w:tc>
        <w:tc>
          <w:tcPr>
            <w:tcW w:w="2131" w:type="dxa"/>
          </w:tcPr>
          <w:p w14:paraId="50A6C639">
            <w:pPr>
              <w:pStyle w:val="12"/>
              <w:ind w:firstLine="0" w:firstLineChars="0"/>
              <w:jc w:val="center"/>
              <w:rPr>
                <w:rFonts w:ascii="楷体_GB2312" w:eastAsia="楷体_GB2312"/>
                <w:szCs w:val="21"/>
              </w:rPr>
            </w:pPr>
            <w:r>
              <w:rPr>
                <w:rFonts w:ascii="楷体_GB2312" w:eastAsia="楷体_GB2312"/>
                <w:szCs w:val="21"/>
              </w:rPr>
              <w:t>B1.3</w:t>
            </w:r>
          </w:p>
        </w:tc>
        <w:tc>
          <w:tcPr>
            <w:tcW w:w="2131" w:type="dxa"/>
          </w:tcPr>
          <w:p w14:paraId="053D07F3">
            <w:pPr>
              <w:pStyle w:val="12"/>
              <w:ind w:firstLine="0" w:firstLineChars="0"/>
              <w:jc w:val="center"/>
              <w:rPr>
                <w:rFonts w:ascii="楷体_GB2312" w:eastAsia="楷体_GB2312"/>
                <w:szCs w:val="21"/>
              </w:rPr>
            </w:pPr>
            <w:r>
              <w:rPr>
                <w:rFonts w:ascii="楷体_GB2312" w:eastAsia="楷体_GB2312"/>
                <w:szCs w:val="21"/>
              </w:rPr>
              <w:t>B4</w:t>
            </w:r>
          </w:p>
        </w:tc>
      </w:tr>
      <w:tr w14:paraId="1DF9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14:paraId="5982C319">
            <w:pPr>
              <w:pStyle w:val="12"/>
              <w:ind w:firstLine="0" w:firstLineChars="0"/>
              <w:jc w:val="center"/>
              <w:rPr>
                <w:rFonts w:ascii="楷体_GB2312" w:eastAsia="楷体_GB2312"/>
                <w:szCs w:val="21"/>
              </w:rPr>
            </w:pPr>
            <w:r>
              <w:rPr>
                <w:rFonts w:ascii="楷体_GB2312" w:eastAsia="楷体_GB2312"/>
                <w:szCs w:val="21"/>
              </w:rPr>
              <w:t>λcc</w:t>
            </w:r>
          </w:p>
        </w:tc>
        <w:tc>
          <w:tcPr>
            <w:tcW w:w="2130" w:type="dxa"/>
          </w:tcPr>
          <w:p w14:paraId="0CA66CDB">
            <w:pPr>
              <w:pStyle w:val="12"/>
              <w:ind w:firstLine="0" w:firstLineChars="0"/>
              <w:jc w:val="center"/>
              <w:rPr>
                <w:rFonts w:ascii="楷体_GB2312" w:eastAsia="楷体_GB2312"/>
                <w:szCs w:val="21"/>
              </w:rPr>
            </w:pPr>
            <w:r>
              <w:rPr>
                <w:rFonts w:ascii="楷体_GB2312" w:eastAsia="楷体_GB2312"/>
                <w:szCs w:val="21"/>
              </w:rPr>
              <w:t>≤1260</w:t>
            </w:r>
          </w:p>
        </w:tc>
        <w:tc>
          <w:tcPr>
            <w:tcW w:w="2131" w:type="dxa"/>
          </w:tcPr>
          <w:p w14:paraId="311D13C3">
            <w:pPr>
              <w:pStyle w:val="12"/>
              <w:ind w:firstLine="0" w:firstLineChars="0"/>
              <w:jc w:val="center"/>
              <w:rPr>
                <w:rFonts w:ascii="楷体_GB2312" w:eastAsia="楷体_GB2312"/>
                <w:szCs w:val="21"/>
              </w:rPr>
            </w:pPr>
            <w:r>
              <w:rPr>
                <w:rFonts w:ascii="楷体_GB2312" w:eastAsia="楷体_GB2312"/>
                <w:szCs w:val="21"/>
              </w:rPr>
              <w:t>≤1260</w:t>
            </w:r>
          </w:p>
        </w:tc>
        <w:tc>
          <w:tcPr>
            <w:tcW w:w="2131" w:type="dxa"/>
          </w:tcPr>
          <w:p w14:paraId="2C86BA6A">
            <w:pPr>
              <w:pStyle w:val="12"/>
              <w:ind w:firstLine="0" w:firstLineChars="0"/>
              <w:jc w:val="center"/>
              <w:rPr>
                <w:rFonts w:ascii="楷体_GB2312" w:eastAsia="楷体_GB2312"/>
                <w:szCs w:val="21"/>
              </w:rPr>
            </w:pPr>
            <w:r>
              <w:rPr>
                <w:rFonts w:ascii="楷体_GB2312" w:eastAsia="楷体_GB2312"/>
                <w:szCs w:val="21"/>
              </w:rPr>
              <w:t>≤1480</w:t>
            </w:r>
          </w:p>
        </w:tc>
      </w:tr>
    </w:tbl>
    <w:p w14:paraId="1BFFBA89">
      <w:pPr>
        <w:pStyle w:val="12"/>
        <w:ind w:firstLine="0" w:firstLineChars="0"/>
        <w:rPr>
          <w:rFonts w:ascii="楷体_GB2312" w:eastAsia="楷体_GB2312"/>
          <w:szCs w:val="21"/>
        </w:rPr>
      </w:pPr>
      <w:bookmarkStart w:id="32" w:name="_Toc357451829"/>
      <w:r>
        <w:rPr>
          <w:rFonts w:hint="eastAsia" w:ascii="楷体_GB2312" w:eastAsia="楷体_GB2312"/>
          <w:szCs w:val="21"/>
        </w:rPr>
        <w:t>5</w:t>
      </w:r>
      <w:r>
        <w:rPr>
          <w:rFonts w:ascii="楷体_GB2312" w:eastAsia="楷体_GB2312"/>
          <w:szCs w:val="21"/>
        </w:rPr>
        <w:t>.10  衰减系数</w:t>
      </w:r>
      <w:bookmarkEnd w:id="32"/>
    </w:p>
    <w:p w14:paraId="0216C455">
      <w:pPr>
        <w:pStyle w:val="12"/>
        <w:ind w:firstLine="0" w:firstLineChars="0"/>
        <w:rPr>
          <w:rFonts w:ascii="楷体_GB2312" w:eastAsia="楷体_GB2312"/>
          <w:szCs w:val="21"/>
        </w:rPr>
      </w:pPr>
      <w:r>
        <w:rPr>
          <w:rFonts w:ascii="楷体_GB2312" w:eastAsia="楷体_GB2312"/>
          <w:szCs w:val="21"/>
        </w:rPr>
        <w:t>光纤的衰减系数和分级应符合表</w:t>
      </w:r>
      <w:r>
        <w:rPr>
          <w:rFonts w:hint="eastAsia" w:ascii="楷体_GB2312" w:eastAsia="楷体_GB2312"/>
          <w:szCs w:val="21"/>
        </w:rPr>
        <w:t>4</w:t>
      </w:r>
      <w:r>
        <w:rPr>
          <w:rFonts w:ascii="楷体_GB2312" w:eastAsia="楷体_GB2312"/>
          <w:szCs w:val="21"/>
        </w:rPr>
        <w:t>规定。</w:t>
      </w:r>
    </w:p>
    <w:p w14:paraId="7F9F4541">
      <w:pPr>
        <w:pStyle w:val="12"/>
        <w:ind w:firstLine="0" w:firstLineChars="0"/>
        <w:jc w:val="center"/>
        <w:rPr>
          <w:rFonts w:ascii="楷体_GB2312" w:eastAsia="楷体_GB2312"/>
          <w:szCs w:val="21"/>
        </w:rPr>
      </w:pPr>
      <w:r>
        <w:rPr>
          <w:rFonts w:ascii="楷体_GB2312" w:eastAsia="楷体_GB2312"/>
          <w:szCs w:val="21"/>
        </w:rPr>
        <w:t>表</w:t>
      </w:r>
      <w:r>
        <w:rPr>
          <w:rFonts w:hint="eastAsia" w:ascii="楷体_GB2312" w:eastAsia="楷体_GB2312"/>
          <w:szCs w:val="21"/>
        </w:rPr>
        <w:t>4</w:t>
      </w:r>
      <w:r>
        <w:rPr>
          <w:rFonts w:ascii="楷体_GB2312" w:eastAsia="楷体_GB2312"/>
          <w:szCs w:val="21"/>
        </w:rPr>
        <w:t xml:space="preserve">  分立光纤衰减系数</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6"/>
        <w:gridCol w:w="717"/>
        <w:gridCol w:w="717"/>
        <w:gridCol w:w="717"/>
        <w:gridCol w:w="636"/>
        <w:gridCol w:w="658"/>
        <w:gridCol w:w="673"/>
        <w:gridCol w:w="718"/>
        <w:gridCol w:w="774"/>
        <w:gridCol w:w="774"/>
        <w:gridCol w:w="772"/>
      </w:tblGrid>
      <w:tr w14:paraId="00D6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3" w:type="dxa"/>
            <w:gridSpan w:val="2"/>
            <w:vAlign w:val="center"/>
          </w:tcPr>
          <w:p w14:paraId="26F4AE9E">
            <w:pPr>
              <w:pStyle w:val="12"/>
              <w:ind w:firstLine="0" w:firstLineChars="0"/>
              <w:jc w:val="center"/>
              <w:rPr>
                <w:rFonts w:ascii="楷体_GB2312" w:eastAsia="楷体_GB2312"/>
                <w:szCs w:val="21"/>
              </w:rPr>
            </w:pPr>
            <w:r>
              <w:rPr>
                <w:rFonts w:ascii="楷体_GB2312" w:eastAsia="楷体_GB2312"/>
                <w:szCs w:val="21"/>
              </w:rPr>
              <w:t>光纤类型</w:t>
            </w:r>
          </w:p>
        </w:tc>
        <w:tc>
          <w:tcPr>
            <w:tcW w:w="2070" w:type="dxa"/>
            <w:gridSpan w:val="3"/>
            <w:vAlign w:val="center"/>
          </w:tcPr>
          <w:p w14:paraId="345E9C45">
            <w:pPr>
              <w:pStyle w:val="12"/>
              <w:ind w:firstLine="0" w:firstLineChars="0"/>
              <w:jc w:val="center"/>
              <w:rPr>
                <w:rFonts w:ascii="楷体_GB2312" w:eastAsia="楷体_GB2312"/>
                <w:szCs w:val="21"/>
              </w:rPr>
            </w:pPr>
            <w:r>
              <w:rPr>
                <w:rFonts w:ascii="楷体_GB2312" w:eastAsia="楷体_GB2312"/>
                <w:szCs w:val="21"/>
              </w:rPr>
              <w:t>B1.1</w:t>
            </w:r>
          </w:p>
        </w:tc>
        <w:tc>
          <w:tcPr>
            <w:tcW w:w="2823" w:type="dxa"/>
            <w:gridSpan w:val="4"/>
            <w:vAlign w:val="center"/>
          </w:tcPr>
          <w:p w14:paraId="40D54D60">
            <w:pPr>
              <w:pStyle w:val="12"/>
              <w:ind w:firstLine="0" w:firstLineChars="0"/>
              <w:jc w:val="center"/>
              <w:rPr>
                <w:rFonts w:ascii="楷体_GB2312" w:eastAsia="楷体_GB2312"/>
                <w:szCs w:val="21"/>
              </w:rPr>
            </w:pPr>
            <w:r>
              <w:rPr>
                <w:rFonts w:ascii="楷体_GB2312" w:eastAsia="楷体_GB2312"/>
                <w:szCs w:val="21"/>
              </w:rPr>
              <w:t>B1.3</w:t>
            </w:r>
          </w:p>
        </w:tc>
        <w:tc>
          <w:tcPr>
            <w:tcW w:w="1546" w:type="dxa"/>
            <w:gridSpan w:val="2"/>
            <w:vAlign w:val="center"/>
          </w:tcPr>
          <w:p w14:paraId="15F85982">
            <w:pPr>
              <w:pStyle w:val="12"/>
              <w:ind w:firstLine="0" w:firstLineChars="0"/>
              <w:jc w:val="center"/>
              <w:rPr>
                <w:rFonts w:ascii="楷体_GB2312" w:eastAsia="楷体_GB2312"/>
                <w:szCs w:val="21"/>
              </w:rPr>
            </w:pPr>
            <w:r>
              <w:rPr>
                <w:rFonts w:ascii="楷体_GB2312" w:eastAsia="楷体_GB2312"/>
                <w:szCs w:val="21"/>
              </w:rPr>
              <w:t>B4</w:t>
            </w:r>
          </w:p>
        </w:tc>
      </w:tr>
      <w:tr w14:paraId="309BD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3" w:type="dxa"/>
            <w:gridSpan w:val="2"/>
            <w:vAlign w:val="center"/>
          </w:tcPr>
          <w:p w14:paraId="1FF21D44">
            <w:pPr>
              <w:pStyle w:val="12"/>
              <w:ind w:firstLine="0" w:firstLineChars="0"/>
              <w:jc w:val="center"/>
              <w:rPr>
                <w:rFonts w:ascii="楷体_GB2312" w:eastAsia="楷体_GB2312"/>
                <w:szCs w:val="21"/>
              </w:rPr>
            </w:pPr>
            <w:r>
              <w:rPr>
                <w:rFonts w:ascii="楷体_GB2312" w:eastAsia="楷体_GB2312"/>
                <w:szCs w:val="21"/>
              </w:rPr>
              <w:t>使用波长/nm</w:t>
            </w:r>
          </w:p>
        </w:tc>
        <w:tc>
          <w:tcPr>
            <w:tcW w:w="717" w:type="dxa"/>
            <w:vAlign w:val="center"/>
          </w:tcPr>
          <w:p w14:paraId="466FFE6D">
            <w:pPr>
              <w:pStyle w:val="12"/>
              <w:ind w:firstLine="0" w:firstLineChars="0"/>
              <w:jc w:val="center"/>
              <w:rPr>
                <w:rFonts w:ascii="楷体_GB2312" w:eastAsia="楷体_GB2312"/>
                <w:szCs w:val="21"/>
              </w:rPr>
            </w:pPr>
            <w:r>
              <w:rPr>
                <w:rFonts w:ascii="楷体_GB2312" w:eastAsia="楷体_GB2312"/>
                <w:szCs w:val="21"/>
              </w:rPr>
              <w:t>1310</w:t>
            </w:r>
          </w:p>
        </w:tc>
        <w:tc>
          <w:tcPr>
            <w:tcW w:w="717" w:type="dxa"/>
            <w:vAlign w:val="center"/>
          </w:tcPr>
          <w:p w14:paraId="59939172">
            <w:pPr>
              <w:pStyle w:val="12"/>
              <w:ind w:firstLine="0" w:firstLineChars="0"/>
              <w:jc w:val="center"/>
              <w:rPr>
                <w:rFonts w:ascii="楷体_GB2312" w:eastAsia="楷体_GB2312"/>
                <w:szCs w:val="21"/>
              </w:rPr>
            </w:pPr>
            <w:r>
              <w:rPr>
                <w:rFonts w:ascii="楷体_GB2312" w:eastAsia="楷体_GB2312"/>
                <w:szCs w:val="21"/>
              </w:rPr>
              <w:t>1550</w:t>
            </w:r>
          </w:p>
        </w:tc>
        <w:tc>
          <w:tcPr>
            <w:tcW w:w="636" w:type="dxa"/>
            <w:vAlign w:val="center"/>
          </w:tcPr>
          <w:p w14:paraId="7304152B">
            <w:pPr>
              <w:pStyle w:val="12"/>
              <w:ind w:firstLine="0" w:firstLineChars="0"/>
              <w:jc w:val="center"/>
              <w:rPr>
                <w:rFonts w:ascii="楷体_GB2312" w:eastAsia="楷体_GB2312"/>
                <w:szCs w:val="21"/>
              </w:rPr>
            </w:pPr>
            <w:r>
              <w:rPr>
                <w:rFonts w:ascii="楷体_GB2312" w:eastAsia="楷体_GB2312"/>
                <w:szCs w:val="21"/>
              </w:rPr>
              <w:t>1625</w:t>
            </w:r>
          </w:p>
        </w:tc>
        <w:tc>
          <w:tcPr>
            <w:tcW w:w="658" w:type="dxa"/>
            <w:tcBorders>
              <w:right w:val="single" w:color="auto" w:sz="2" w:space="0"/>
            </w:tcBorders>
            <w:vAlign w:val="center"/>
          </w:tcPr>
          <w:p w14:paraId="7FEFC283">
            <w:pPr>
              <w:pStyle w:val="12"/>
              <w:ind w:firstLine="0" w:firstLineChars="0"/>
              <w:jc w:val="center"/>
              <w:rPr>
                <w:rFonts w:ascii="楷体_GB2312" w:eastAsia="楷体_GB2312"/>
                <w:szCs w:val="21"/>
              </w:rPr>
            </w:pPr>
            <w:r>
              <w:rPr>
                <w:rFonts w:ascii="楷体_GB2312" w:eastAsia="楷体_GB2312"/>
                <w:szCs w:val="21"/>
              </w:rPr>
              <w:t>1310</w:t>
            </w:r>
          </w:p>
        </w:tc>
        <w:tc>
          <w:tcPr>
            <w:tcW w:w="673" w:type="dxa"/>
            <w:tcBorders>
              <w:left w:val="single" w:color="auto" w:sz="2" w:space="0"/>
              <w:right w:val="single" w:color="auto" w:sz="2" w:space="0"/>
            </w:tcBorders>
            <w:vAlign w:val="center"/>
          </w:tcPr>
          <w:p w14:paraId="50A91123">
            <w:pPr>
              <w:pStyle w:val="12"/>
              <w:ind w:firstLine="0" w:firstLineChars="0"/>
              <w:jc w:val="center"/>
              <w:rPr>
                <w:rFonts w:ascii="楷体_GB2312" w:eastAsia="楷体_GB2312"/>
                <w:szCs w:val="21"/>
              </w:rPr>
            </w:pPr>
            <w:r>
              <w:rPr>
                <w:rFonts w:ascii="楷体_GB2312" w:eastAsia="楷体_GB2312"/>
                <w:szCs w:val="21"/>
              </w:rPr>
              <w:t>λy</w:t>
            </w:r>
          </w:p>
        </w:tc>
        <w:tc>
          <w:tcPr>
            <w:tcW w:w="718" w:type="dxa"/>
            <w:tcBorders>
              <w:left w:val="single" w:color="auto" w:sz="2" w:space="0"/>
            </w:tcBorders>
            <w:vAlign w:val="center"/>
          </w:tcPr>
          <w:p w14:paraId="7184421A">
            <w:pPr>
              <w:pStyle w:val="12"/>
              <w:ind w:firstLine="0" w:firstLineChars="0"/>
              <w:jc w:val="center"/>
              <w:rPr>
                <w:rFonts w:ascii="楷体_GB2312" w:eastAsia="楷体_GB2312"/>
                <w:szCs w:val="21"/>
              </w:rPr>
            </w:pPr>
            <w:r>
              <w:rPr>
                <w:rFonts w:ascii="楷体_GB2312" w:eastAsia="楷体_GB2312"/>
                <w:szCs w:val="21"/>
              </w:rPr>
              <w:t>1550</w:t>
            </w:r>
          </w:p>
        </w:tc>
        <w:tc>
          <w:tcPr>
            <w:tcW w:w="774" w:type="dxa"/>
            <w:vAlign w:val="center"/>
          </w:tcPr>
          <w:p w14:paraId="4CBB78EC">
            <w:pPr>
              <w:pStyle w:val="12"/>
              <w:ind w:firstLine="0" w:firstLineChars="0"/>
              <w:jc w:val="center"/>
              <w:rPr>
                <w:rFonts w:ascii="楷体_GB2312" w:eastAsia="楷体_GB2312"/>
                <w:szCs w:val="21"/>
              </w:rPr>
            </w:pPr>
            <w:r>
              <w:rPr>
                <w:rFonts w:ascii="楷体_GB2312" w:eastAsia="楷体_GB2312"/>
                <w:szCs w:val="21"/>
              </w:rPr>
              <w:t>1625</w:t>
            </w:r>
          </w:p>
        </w:tc>
        <w:tc>
          <w:tcPr>
            <w:tcW w:w="774" w:type="dxa"/>
            <w:vAlign w:val="center"/>
          </w:tcPr>
          <w:p w14:paraId="78A69876">
            <w:pPr>
              <w:pStyle w:val="12"/>
              <w:ind w:firstLine="0" w:firstLineChars="0"/>
              <w:jc w:val="center"/>
              <w:rPr>
                <w:rFonts w:ascii="楷体_GB2312" w:eastAsia="楷体_GB2312"/>
                <w:szCs w:val="21"/>
              </w:rPr>
            </w:pPr>
            <w:r>
              <w:rPr>
                <w:rFonts w:ascii="楷体_GB2312" w:eastAsia="楷体_GB2312"/>
                <w:szCs w:val="21"/>
              </w:rPr>
              <w:t>1550</w:t>
            </w:r>
          </w:p>
        </w:tc>
        <w:tc>
          <w:tcPr>
            <w:tcW w:w="772" w:type="dxa"/>
            <w:vAlign w:val="center"/>
          </w:tcPr>
          <w:p w14:paraId="6499BB76">
            <w:pPr>
              <w:pStyle w:val="12"/>
              <w:ind w:firstLine="0" w:firstLineChars="0"/>
              <w:jc w:val="center"/>
              <w:rPr>
                <w:rFonts w:ascii="楷体_GB2312" w:eastAsia="楷体_GB2312"/>
                <w:szCs w:val="21"/>
              </w:rPr>
            </w:pPr>
            <w:r>
              <w:rPr>
                <w:rFonts w:ascii="楷体_GB2312" w:eastAsia="楷体_GB2312"/>
                <w:szCs w:val="21"/>
              </w:rPr>
              <w:t>1625</w:t>
            </w:r>
          </w:p>
        </w:tc>
      </w:tr>
      <w:tr w14:paraId="57AB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jc w:val="center"/>
        </w:trPr>
        <w:tc>
          <w:tcPr>
            <w:tcW w:w="1366" w:type="dxa"/>
            <w:vMerge w:val="restart"/>
            <w:vAlign w:val="center"/>
          </w:tcPr>
          <w:p w14:paraId="56AF0FDA">
            <w:pPr>
              <w:pStyle w:val="12"/>
              <w:ind w:firstLine="0" w:firstLineChars="0"/>
              <w:jc w:val="center"/>
              <w:rPr>
                <w:rFonts w:ascii="楷体_GB2312" w:eastAsia="楷体_GB2312"/>
                <w:szCs w:val="21"/>
              </w:rPr>
            </w:pPr>
            <w:r>
              <w:rPr>
                <w:rFonts w:ascii="楷体_GB2312" w:eastAsia="楷体_GB2312"/>
                <w:szCs w:val="21"/>
              </w:rPr>
              <w:t>衰减系数最大值/(dB/km)</w:t>
            </w:r>
          </w:p>
        </w:tc>
        <w:tc>
          <w:tcPr>
            <w:tcW w:w="717" w:type="dxa"/>
            <w:vAlign w:val="center"/>
          </w:tcPr>
          <w:p w14:paraId="1AF85BC5">
            <w:pPr>
              <w:pStyle w:val="12"/>
              <w:ind w:firstLine="0" w:firstLineChars="0"/>
              <w:jc w:val="center"/>
              <w:rPr>
                <w:rFonts w:ascii="楷体_GB2312" w:eastAsia="楷体_GB2312"/>
                <w:szCs w:val="21"/>
              </w:rPr>
            </w:pPr>
            <w:r>
              <w:rPr>
                <w:rFonts w:ascii="楷体_GB2312" w:eastAsia="楷体_GB2312"/>
                <w:szCs w:val="21"/>
              </w:rPr>
              <w:t>1级</w:t>
            </w:r>
          </w:p>
        </w:tc>
        <w:tc>
          <w:tcPr>
            <w:tcW w:w="717" w:type="dxa"/>
            <w:vAlign w:val="center"/>
          </w:tcPr>
          <w:p w14:paraId="69C71207">
            <w:pPr>
              <w:pStyle w:val="12"/>
              <w:ind w:firstLine="0" w:firstLineChars="0"/>
              <w:jc w:val="center"/>
              <w:rPr>
                <w:rFonts w:ascii="楷体_GB2312" w:eastAsia="楷体_GB2312"/>
                <w:szCs w:val="21"/>
              </w:rPr>
            </w:pPr>
            <w:r>
              <w:rPr>
                <w:rFonts w:ascii="楷体_GB2312" w:eastAsia="楷体_GB2312"/>
                <w:szCs w:val="21"/>
              </w:rPr>
              <w:t>0.36</w:t>
            </w:r>
          </w:p>
        </w:tc>
        <w:tc>
          <w:tcPr>
            <w:tcW w:w="717" w:type="dxa"/>
            <w:vAlign w:val="center"/>
          </w:tcPr>
          <w:p w14:paraId="71FF7E1C">
            <w:pPr>
              <w:pStyle w:val="12"/>
              <w:ind w:firstLine="0" w:firstLineChars="0"/>
              <w:jc w:val="center"/>
              <w:rPr>
                <w:rFonts w:ascii="楷体_GB2312" w:eastAsia="楷体_GB2312"/>
                <w:szCs w:val="21"/>
              </w:rPr>
            </w:pPr>
            <w:r>
              <w:rPr>
                <w:rFonts w:ascii="楷体_GB2312" w:eastAsia="楷体_GB2312"/>
                <w:szCs w:val="21"/>
              </w:rPr>
              <w:t>0.22</w:t>
            </w:r>
          </w:p>
        </w:tc>
        <w:tc>
          <w:tcPr>
            <w:tcW w:w="636" w:type="dxa"/>
            <w:vAlign w:val="center"/>
          </w:tcPr>
          <w:p w14:paraId="6CE3F26E">
            <w:pPr>
              <w:pStyle w:val="12"/>
              <w:ind w:firstLine="0" w:firstLineChars="0"/>
              <w:jc w:val="center"/>
              <w:rPr>
                <w:rFonts w:ascii="楷体_GB2312" w:eastAsia="楷体_GB2312"/>
                <w:szCs w:val="21"/>
              </w:rPr>
            </w:pPr>
            <w:r>
              <w:rPr>
                <w:rFonts w:ascii="楷体_GB2312" w:eastAsia="楷体_GB2312"/>
                <w:szCs w:val="21"/>
              </w:rPr>
              <w:t>0.36</w:t>
            </w:r>
          </w:p>
        </w:tc>
        <w:tc>
          <w:tcPr>
            <w:tcW w:w="658" w:type="dxa"/>
            <w:tcBorders>
              <w:right w:val="single" w:color="auto" w:sz="2" w:space="0"/>
            </w:tcBorders>
            <w:vAlign w:val="center"/>
          </w:tcPr>
          <w:p w14:paraId="6FCE4F10">
            <w:pPr>
              <w:pStyle w:val="12"/>
              <w:ind w:firstLine="0" w:firstLineChars="0"/>
              <w:jc w:val="center"/>
              <w:rPr>
                <w:rFonts w:ascii="楷体_GB2312" w:eastAsia="楷体_GB2312"/>
                <w:szCs w:val="21"/>
              </w:rPr>
            </w:pPr>
            <w:r>
              <w:rPr>
                <w:rFonts w:ascii="楷体_GB2312" w:eastAsia="楷体_GB2312"/>
                <w:szCs w:val="21"/>
              </w:rPr>
              <w:t>0.36</w:t>
            </w:r>
          </w:p>
        </w:tc>
        <w:tc>
          <w:tcPr>
            <w:tcW w:w="673" w:type="dxa"/>
            <w:tcBorders>
              <w:left w:val="single" w:color="auto" w:sz="2" w:space="0"/>
            </w:tcBorders>
            <w:vAlign w:val="center"/>
          </w:tcPr>
          <w:p w14:paraId="3CA488FC">
            <w:pPr>
              <w:pStyle w:val="12"/>
              <w:ind w:firstLine="0" w:firstLineChars="0"/>
              <w:jc w:val="center"/>
              <w:rPr>
                <w:rFonts w:ascii="楷体_GB2312" w:eastAsia="楷体_GB2312"/>
                <w:szCs w:val="21"/>
              </w:rPr>
            </w:pPr>
            <w:r>
              <w:rPr>
                <w:rFonts w:ascii="楷体_GB2312" w:eastAsia="楷体_GB2312"/>
                <w:szCs w:val="21"/>
              </w:rPr>
              <w:t>0.36</w:t>
            </w:r>
          </w:p>
        </w:tc>
        <w:tc>
          <w:tcPr>
            <w:tcW w:w="718" w:type="dxa"/>
            <w:vAlign w:val="center"/>
          </w:tcPr>
          <w:p w14:paraId="4A9791EA">
            <w:pPr>
              <w:pStyle w:val="12"/>
              <w:ind w:firstLine="0" w:firstLineChars="0"/>
              <w:jc w:val="center"/>
              <w:rPr>
                <w:rFonts w:ascii="楷体_GB2312" w:eastAsia="楷体_GB2312"/>
                <w:szCs w:val="21"/>
              </w:rPr>
            </w:pPr>
            <w:r>
              <w:rPr>
                <w:rFonts w:ascii="楷体_GB2312" w:eastAsia="楷体_GB2312"/>
                <w:szCs w:val="21"/>
              </w:rPr>
              <w:t>0.22</w:t>
            </w:r>
          </w:p>
        </w:tc>
        <w:tc>
          <w:tcPr>
            <w:tcW w:w="774" w:type="dxa"/>
            <w:vAlign w:val="center"/>
          </w:tcPr>
          <w:p w14:paraId="21A2B868">
            <w:pPr>
              <w:pStyle w:val="12"/>
              <w:ind w:firstLine="0" w:firstLineChars="0"/>
              <w:jc w:val="center"/>
              <w:rPr>
                <w:rFonts w:ascii="楷体_GB2312" w:eastAsia="楷体_GB2312"/>
                <w:szCs w:val="21"/>
              </w:rPr>
            </w:pPr>
            <w:r>
              <w:rPr>
                <w:rFonts w:ascii="楷体_GB2312" w:eastAsia="楷体_GB2312"/>
                <w:szCs w:val="21"/>
              </w:rPr>
              <w:t>0.36</w:t>
            </w:r>
          </w:p>
        </w:tc>
        <w:tc>
          <w:tcPr>
            <w:tcW w:w="774" w:type="dxa"/>
            <w:vAlign w:val="center"/>
          </w:tcPr>
          <w:p w14:paraId="5A5886F5">
            <w:pPr>
              <w:pStyle w:val="12"/>
              <w:ind w:firstLine="0" w:firstLineChars="0"/>
              <w:jc w:val="center"/>
              <w:rPr>
                <w:rFonts w:ascii="楷体_GB2312" w:eastAsia="楷体_GB2312"/>
                <w:szCs w:val="21"/>
              </w:rPr>
            </w:pPr>
            <w:r>
              <w:rPr>
                <w:rFonts w:ascii="楷体_GB2312" w:eastAsia="楷体_GB2312"/>
                <w:szCs w:val="21"/>
              </w:rPr>
              <w:t>0.22</w:t>
            </w:r>
          </w:p>
        </w:tc>
        <w:tc>
          <w:tcPr>
            <w:tcW w:w="772" w:type="dxa"/>
            <w:vAlign w:val="center"/>
          </w:tcPr>
          <w:p w14:paraId="1DD7D302">
            <w:pPr>
              <w:pStyle w:val="12"/>
              <w:ind w:firstLine="0" w:firstLineChars="0"/>
              <w:jc w:val="center"/>
              <w:rPr>
                <w:rFonts w:ascii="楷体_GB2312" w:eastAsia="楷体_GB2312"/>
                <w:szCs w:val="21"/>
              </w:rPr>
            </w:pPr>
            <w:r>
              <w:rPr>
                <w:rFonts w:ascii="楷体_GB2312" w:eastAsia="楷体_GB2312"/>
                <w:szCs w:val="21"/>
              </w:rPr>
              <w:t>0.36</w:t>
            </w:r>
          </w:p>
        </w:tc>
      </w:tr>
      <w:tr w14:paraId="5C3EF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1366" w:type="dxa"/>
            <w:vMerge w:val="continue"/>
            <w:vAlign w:val="center"/>
          </w:tcPr>
          <w:p w14:paraId="77264AB8">
            <w:pPr>
              <w:pStyle w:val="12"/>
              <w:ind w:firstLine="0" w:firstLineChars="0"/>
              <w:jc w:val="center"/>
              <w:rPr>
                <w:rFonts w:ascii="楷体_GB2312" w:eastAsia="楷体_GB2312"/>
                <w:szCs w:val="21"/>
              </w:rPr>
            </w:pPr>
          </w:p>
        </w:tc>
        <w:tc>
          <w:tcPr>
            <w:tcW w:w="717" w:type="dxa"/>
            <w:vAlign w:val="center"/>
          </w:tcPr>
          <w:p w14:paraId="1DD57EF5">
            <w:pPr>
              <w:pStyle w:val="12"/>
              <w:ind w:firstLine="0" w:firstLineChars="0"/>
              <w:jc w:val="center"/>
              <w:rPr>
                <w:rFonts w:ascii="楷体_GB2312" w:eastAsia="楷体_GB2312"/>
                <w:szCs w:val="21"/>
              </w:rPr>
            </w:pPr>
            <w:r>
              <w:rPr>
                <w:rFonts w:ascii="楷体_GB2312" w:eastAsia="楷体_GB2312"/>
                <w:szCs w:val="21"/>
              </w:rPr>
              <w:t>2级</w:t>
            </w:r>
          </w:p>
        </w:tc>
        <w:tc>
          <w:tcPr>
            <w:tcW w:w="717" w:type="dxa"/>
            <w:vAlign w:val="center"/>
          </w:tcPr>
          <w:p w14:paraId="2463AE7B">
            <w:pPr>
              <w:pStyle w:val="12"/>
              <w:ind w:firstLine="0" w:firstLineChars="0"/>
              <w:jc w:val="center"/>
              <w:rPr>
                <w:rFonts w:ascii="楷体_GB2312" w:eastAsia="楷体_GB2312"/>
                <w:szCs w:val="21"/>
              </w:rPr>
            </w:pPr>
            <w:r>
              <w:rPr>
                <w:rFonts w:ascii="楷体_GB2312" w:eastAsia="楷体_GB2312"/>
                <w:szCs w:val="21"/>
              </w:rPr>
              <w:t>0.40</w:t>
            </w:r>
          </w:p>
        </w:tc>
        <w:tc>
          <w:tcPr>
            <w:tcW w:w="717" w:type="dxa"/>
            <w:vAlign w:val="center"/>
          </w:tcPr>
          <w:p w14:paraId="132FACBB">
            <w:pPr>
              <w:pStyle w:val="12"/>
              <w:ind w:firstLine="0" w:firstLineChars="0"/>
              <w:jc w:val="center"/>
              <w:rPr>
                <w:rFonts w:ascii="楷体_GB2312" w:eastAsia="楷体_GB2312"/>
                <w:szCs w:val="21"/>
              </w:rPr>
            </w:pPr>
            <w:r>
              <w:rPr>
                <w:rFonts w:ascii="楷体_GB2312" w:eastAsia="楷体_GB2312"/>
                <w:szCs w:val="21"/>
              </w:rPr>
              <w:t>0.25</w:t>
            </w:r>
          </w:p>
        </w:tc>
        <w:tc>
          <w:tcPr>
            <w:tcW w:w="636" w:type="dxa"/>
            <w:vAlign w:val="center"/>
          </w:tcPr>
          <w:p w14:paraId="443E4A59">
            <w:pPr>
              <w:pStyle w:val="12"/>
              <w:ind w:firstLine="0" w:firstLineChars="0"/>
              <w:jc w:val="center"/>
              <w:rPr>
                <w:rFonts w:ascii="楷体_GB2312" w:eastAsia="楷体_GB2312"/>
                <w:szCs w:val="21"/>
              </w:rPr>
            </w:pPr>
            <w:r>
              <w:rPr>
                <w:rFonts w:ascii="楷体_GB2312" w:eastAsia="楷体_GB2312"/>
                <w:szCs w:val="21"/>
              </w:rPr>
              <w:t>0.40</w:t>
            </w:r>
          </w:p>
        </w:tc>
        <w:tc>
          <w:tcPr>
            <w:tcW w:w="658" w:type="dxa"/>
            <w:tcBorders>
              <w:right w:val="single" w:color="auto" w:sz="2" w:space="0"/>
            </w:tcBorders>
            <w:vAlign w:val="center"/>
          </w:tcPr>
          <w:p w14:paraId="5F62B0EC">
            <w:pPr>
              <w:pStyle w:val="12"/>
              <w:ind w:firstLine="0" w:firstLineChars="0"/>
              <w:jc w:val="center"/>
              <w:rPr>
                <w:rFonts w:ascii="楷体_GB2312" w:eastAsia="楷体_GB2312"/>
                <w:szCs w:val="21"/>
              </w:rPr>
            </w:pPr>
            <w:r>
              <w:rPr>
                <w:rFonts w:ascii="楷体_GB2312" w:eastAsia="楷体_GB2312"/>
                <w:szCs w:val="21"/>
              </w:rPr>
              <w:t>0.40</w:t>
            </w:r>
          </w:p>
        </w:tc>
        <w:tc>
          <w:tcPr>
            <w:tcW w:w="673" w:type="dxa"/>
            <w:tcBorders>
              <w:left w:val="single" w:color="auto" w:sz="2" w:space="0"/>
            </w:tcBorders>
            <w:vAlign w:val="center"/>
          </w:tcPr>
          <w:p w14:paraId="45CB0272">
            <w:pPr>
              <w:pStyle w:val="12"/>
              <w:ind w:firstLine="0" w:firstLineChars="0"/>
              <w:jc w:val="center"/>
              <w:rPr>
                <w:rFonts w:ascii="楷体_GB2312" w:eastAsia="楷体_GB2312"/>
                <w:szCs w:val="21"/>
              </w:rPr>
            </w:pPr>
            <w:r>
              <w:rPr>
                <w:rFonts w:ascii="楷体_GB2312" w:eastAsia="楷体_GB2312"/>
                <w:szCs w:val="21"/>
              </w:rPr>
              <w:t>0.40</w:t>
            </w:r>
          </w:p>
        </w:tc>
        <w:tc>
          <w:tcPr>
            <w:tcW w:w="718" w:type="dxa"/>
            <w:vAlign w:val="center"/>
          </w:tcPr>
          <w:p w14:paraId="5E2B4130">
            <w:pPr>
              <w:pStyle w:val="12"/>
              <w:ind w:firstLine="0" w:firstLineChars="0"/>
              <w:jc w:val="center"/>
              <w:rPr>
                <w:rFonts w:ascii="楷体_GB2312" w:eastAsia="楷体_GB2312"/>
                <w:szCs w:val="21"/>
              </w:rPr>
            </w:pPr>
            <w:r>
              <w:rPr>
                <w:rFonts w:ascii="楷体_GB2312" w:eastAsia="楷体_GB2312"/>
                <w:szCs w:val="21"/>
              </w:rPr>
              <w:t>0.25</w:t>
            </w:r>
          </w:p>
        </w:tc>
        <w:tc>
          <w:tcPr>
            <w:tcW w:w="774" w:type="dxa"/>
            <w:vAlign w:val="center"/>
          </w:tcPr>
          <w:p w14:paraId="6B14A554">
            <w:pPr>
              <w:pStyle w:val="12"/>
              <w:ind w:firstLine="0" w:firstLineChars="0"/>
              <w:jc w:val="center"/>
              <w:rPr>
                <w:rFonts w:ascii="楷体_GB2312" w:eastAsia="楷体_GB2312"/>
                <w:szCs w:val="21"/>
              </w:rPr>
            </w:pPr>
            <w:r>
              <w:rPr>
                <w:rFonts w:ascii="楷体_GB2312" w:eastAsia="楷体_GB2312"/>
                <w:szCs w:val="21"/>
              </w:rPr>
              <w:t>0.40</w:t>
            </w:r>
          </w:p>
        </w:tc>
        <w:tc>
          <w:tcPr>
            <w:tcW w:w="774" w:type="dxa"/>
            <w:vAlign w:val="center"/>
          </w:tcPr>
          <w:p w14:paraId="1DAB51A9">
            <w:pPr>
              <w:pStyle w:val="12"/>
              <w:ind w:firstLine="0" w:firstLineChars="0"/>
              <w:jc w:val="center"/>
              <w:rPr>
                <w:rFonts w:ascii="楷体_GB2312" w:eastAsia="楷体_GB2312"/>
                <w:szCs w:val="21"/>
              </w:rPr>
            </w:pPr>
            <w:r>
              <w:rPr>
                <w:rFonts w:ascii="楷体_GB2312" w:eastAsia="楷体_GB2312"/>
                <w:szCs w:val="21"/>
              </w:rPr>
              <w:t>0.25</w:t>
            </w:r>
          </w:p>
        </w:tc>
        <w:tc>
          <w:tcPr>
            <w:tcW w:w="772" w:type="dxa"/>
            <w:vAlign w:val="center"/>
          </w:tcPr>
          <w:p w14:paraId="37604E01">
            <w:pPr>
              <w:pStyle w:val="12"/>
              <w:ind w:firstLine="0" w:firstLineChars="0"/>
              <w:jc w:val="center"/>
              <w:rPr>
                <w:rFonts w:ascii="楷体_GB2312" w:eastAsia="楷体_GB2312"/>
                <w:szCs w:val="21"/>
              </w:rPr>
            </w:pPr>
            <w:r>
              <w:rPr>
                <w:rFonts w:ascii="楷体_GB2312" w:eastAsia="楷体_GB2312"/>
                <w:szCs w:val="21"/>
              </w:rPr>
              <w:t>0.40</w:t>
            </w:r>
          </w:p>
        </w:tc>
      </w:tr>
      <w:tr w14:paraId="1350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22" w:type="dxa"/>
            <w:gridSpan w:val="11"/>
            <w:vAlign w:val="center"/>
          </w:tcPr>
          <w:p w14:paraId="66BEB698">
            <w:pPr>
              <w:pStyle w:val="12"/>
              <w:ind w:firstLine="0" w:firstLineChars="0"/>
              <w:rPr>
                <w:rFonts w:ascii="楷体_GB2312" w:eastAsia="楷体_GB2312"/>
                <w:szCs w:val="21"/>
              </w:rPr>
            </w:pPr>
            <w:r>
              <w:rPr>
                <w:rFonts w:ascii="楷体_GB2312" w:eastAsia="楷体_GB2312"/>
                <w:szCs w:val="21"/>
              </w:rPr>
              <w:t>注1：1625nm波长下的规定值为暂定值。</w:t>
            </w:r>
          </w:p>
          <w:p w14:paraId="63FB618B">
            <w:pPr>
              <w:pStyle w:val="12"/>
              <w:ind w:firstLine="0" w:firstLineChars="0"/>
              <w:rPr>
                <w:rFonts w:ascii="楷体_GB2312" w:eastAsia="楷体_GB2312"/>
                <w:szCs w:val="21"/>
              </w:rPr>
            </w:pPr>
            <w:r>
              <w:rPr>
                <w:rFonts w:ascii="楷体_GB2312" w:eastAsia="楷体_GB2312"/>
                <w:szCs w:val="21"/>
              </w:rPr>
              <w:t>注2：1383nm≤λy≤1480nm.当λy=1383nm时，在整个波长扩展区都可使用；当λy&gt;1383nm时，波长扩展区内大于λy的波长可以使用。</w:t>
            </w:r>
          </w:p>
        </w:tc>
      </w:tr>
    </w:tbl>
    <w:p w14:paraId="0232B8BE">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33" w:name="_Toc357451830"/>
      <w:r>
        <w:rPr>
          <w:rFonts w:hint="eastAsia" w:ascii="楷体_GB2312" w:eastAsia="楷体_GB2312"/>
          <w:spacing w:val="5"/>
          <w:sz w:val="21"/>
          <w:szCs w:val="24"/>
          <w:lang w:val="en-US" w:eastAsia="zh-CN"/>
        </w:rPr>
        <w:t>5.11  宏弯损耗</w:t>
      </w:r>
      <w:bookmarkEnd w:id="33"/>
    </w:p>
    <w:p w14:paraId="2A75885C">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单模光纤的宏弯损耗，即光纤以37.5mm半径松绕100圈时，依最高使用的波长而定，在1550nm或1625nm波长上测得的宏弯附加衰减，应不大于0.5Db。</w:t>
      </w:r>
    </w:p>
    <w:p w14:paraId="703DBF8C">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34" w:name="_Toc357451831"/>
      <w:r>
        <w:rPr>
          <w:rFonts w:hint="eastAsia" w:ascii="楷体_GB2312" w:eastAsia="楷体_GB2312"/>
          <w:spacing w:val="5"/>
          <w:sz w:val="21"/>
          <w:szCs w:val="24"/>
          <w:lang w:val="en-US" w:eastAsia="zh-CN"/>
        </w:rPr>
        <w:t>5.12  色散特性</w:t>
      </w:r>
      <w:bookmarkEnd w:id="34"/>
    </w:p>
    <w:p w14:paraId="069EF529">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5.12.1  B1.1和B1.3A类单模光纤的色散特性符合：</w:t>
      </w:r>
    </w:p>
    <w:p w14:paraId="556B5AAB">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1）零色散波长λ0在1300nm~1324nm之间；</w:t>
      </w:r>
    </w:p>
    <w:p w14:paraId="06B2AEE3">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2）零色散斜率S0的最大值S0 max为0.093ps/（nm2·km）；</w:t>
      </w:r>
    </w:p>
    <w:p w14:paraId="12E6D326">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3）当零色散斜率λ0(单位为nm)上的色散斜率为S0(单位为ps/（nm·km）)，在1310nm区范围的波长λ(单位为nm)上的色散系数D(λ)(单位为ps/（nm·km）)计算式为：</w:t>
      </w:r>
    </w:p>
    <w:p w14:paraId="213D6274">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D(λ)=S0/4(λ-λ04/λ3)</w:t>
      </w:r>
    </w:p>
    <w:p w14:paraId="25496108">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4）在1550nm波长上的色散系数应不大于18.0ps/（nm·km）。</w:t>
      </w:r>
    </w:p>
    <w:p w14:paraId="78D95FDC">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5.2.12.2  B4类单模光纤单模光纤的色散特性符合：</w:t>
      </w:r>
    </w:p>
    <w:p w14:paraId="7E94D91D">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1）非零色散波长λ在1530nm≤λmin.≤λ≤λmax≤1565nm范围内，色散D(λ)为：0.1ps/(nm·km)≤Dmin≤|D(λ)|≤Dmax.≤10.0ps/(nm·km)，并且Dmax.≤Dmin.+5.0ps/(nm·km)；</w:t>
      </w:r>
    </w:p>
    <w:p w14:paraId="22A96352">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2）光纤任意局部长度上的色散系数不为零；</w:t>
      </w:r>
    </w:p>
    <w:p w14:paraId="1DAF0327">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3）当1550nm波长上的色散系数为D1550（单位为ps/(nm·km)）和色散斜率为S1550（单位为ps/(nm2·km)）时，在波长λ(单位为nm)上的色散系数D（λ）（单位为ps/(nm·km)）计算式为：</w:t>
      </w:r>
    </w:p>
    <w:p w14:paraId="22AEE9C7">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D（λ）= D1550+S1550（λ-1550）</w:t>
      </w:r>
    </w:p>
    <w:p w14:paraId="5499D401">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35" w:name="_Toc357451832"/>
      <w:r>
        <w:rPr>
          <w:rFonts w:hint="eastAsia" w:ascii="楷体_GB2312" w:eastAsia="楷体_GB2312"/>
          <w:spacing w:val="5"/>
          <w:sz w:val="21"/>
          <w:szCs w:val="24"/>
          <w:lang w:val="en-US" w:eastAsia="zh-CN"/>
        </w:rPr>
        <w:t>5.13  光缆敷设要求</w:t>
      </w:r>
      <w:bookmarkEnd w:id="35"/>
    </w:p>
    <w:p w14:paraId="59C46029">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36" w:name="_Toc357451833"/>
      <w:r>
        <w:rPr>
          <w:rFonts w:hint="eastAsia" w:ascii="楷体_GB2312" w:eastAsia="楷体_GB2312"/>
          <w:spacing w:val="5"/>
          <w:sz w:val="21"/>
          <w:szCs w:val="24"/>
          <w:lang w:val="en-US" w:eastAsia="zh-CN"/>
        </w:rPr>
        <w:t>5.13.1  导电线芯</w:t>
      </w:r>
      <w:bookmarkEnd w:id="36"/>
    </w:p>
    <w:p w14:paraId="1A9A5271">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光缆中不含金属导电线芯。</w:t>
      </w:r>
    </w:p>
    <w:p w14:paraId="6EFA2B6E">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37" w:name="_Toc357451834"/>
      <w:r>
        <w:rPr>
          <w:rFonts w:hint="eastAsia" w:ascii="楷体_GB2312" w:eastAsia="楷体_GB2312"/>
          <w:spacing w:val="5"/>
          <w:sz w:val="21"/>
          <w:szCs w:val="24"/>
          <w:lang w:val="en-US" w:eastAsia="zh-CN"/>
        </w:rPr>
        <w:t>5.13.2  交货长度</w:t>
      </w:r>
      <w:bookmarkEnd w:id="37"/>
    </w:p>
    <w:p w14:paraId="247EB2EF">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光缆根据订货长度交货。</w:t>
      </w:r>
    </w:p>
    <w:p w14:paraId="286ECCE9">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供货方应在光缆安装现场实地考察的基础上确定交货盘数及每盘长度。</w:t>
      </w:r>
    </w:p>
    <w:p w14:paraId="2FDF14C6">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38" w:name="_Toc357451835"/>
      <w:r>
        <w:rPr>
          <w:rFonts w:hint="eastAsia" w:ascii="楷体_GB2312" w:eastAsia="楷体_GB2312"/>
          <w:spacing w:val="5"/>
          <w:sz w:val="21"/>
          <w:szCs w:val="24"/>
          <w:lang w:val="en-US" w:eastAsia="zh-CN"/>
        </w:rPr>
        <w:t>5.13.3  机械性能</w:t>
      </w:r>
      <w:bookmarkEnd w:id="38"/>
    </w:p>
    <w:p w14:paraId="5296BE92">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5.13.4  压扁性能</w:t>
      </w:r>
    </w:p>
    <w:p w14:paraId="6CBA328A">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光缆的允许压扁力应符合表5规定。压扁试验过程中单模光纤在1550nm处的附加衰减值不得大于0.1dB。</w:t>
      </w:r>
    </w:p>
    <w:p w14:paraId="3BE925EE">
      <w:pPr>
        <w:pStyle w:val="12"/>
        <w:ind w:firstLine="0" w:firstLineChars="0"/>
        <w:jc w:val="center"/>
        <w:rPr>
          <w:rFonts w:ascii="楷体_GB2312" w:eastAsia="楷体_GB2312"/>
          <w:szCs w:val="21"/>
        </w:rPr>
      </w:pPr>
      <w:r>
        <w:rPr>
          <w:rFonts w:ascii="楷体_GB2312" w:eastAsia="楷体_GB2312"/>
          <w:szCs w:val="21"/>
        </w:rPr>
        <w:t>表</w:t>
      </w:r>
      <w:r>
        <w:rPr>
          <w:rFonts w:hint="eastAsia" w:ascii="楷体_GB2312" w:eastAsia="楷体_GB2312"/>
          <w:szCs w:val="21"/>
        </w:rPr>
        <w:t>5</w:t>
      </w:r>
      <w:r>
        <w:rPr>
          <w:rFonts w:ascii="楷体_GB2312" w:eastAsia="楷体_GB2312"/>
          <w:szCs w:val="21"/>
        </w:rPr>
        <w:t xml:space="preserve"> 光缆允许承受的压扁力</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3"/>
        <w:gridCol w:w="2850"/>
        <w:gridCol w:w="2129"/>
      </w:tblGrid>
      <w:tr w14:paraId="7B954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Merge w:val="restart"/>
            <w:vAlign w:val="center"/>
          </w:tcPr>
          <w:p w14:paraId="7E90293C">
            <w:pPr>
              <w:pStyle w:val="12"/>
              <w:ind w:firstLine="0" w:firstLineChars="0"/>
              <w:jc w:val="center"/>
              <w:rPr>
                <w:rFonts w:ascii="楷体_GB2312" w:eastAsia="楷体_GB2312"/>
                <w:szCs w:val="21"/>
              </w:rPr>
            </w:pPr>
            <w:r>
              <w:rPr>
                <w:rFonts w:ascii="楷体_GB2312" w:eastAsia="楷体_GB2312"/>
                <w:szCs w:val="21"/>
              </w:rPr>
              <w:t>结构</w:t>
            </w:r>
          </w:p>
        </w:tc>
        <w:tc>
          <w:tcPr>
            <w:tcW w:w="4979" w:type="dxa"/>
            <w:gridSpan w:val="2"/>
            <w:vAlign w:val="center"/>
          </w:tcPr>
          <w:p w14:paraId="092926DF">
            <w:pPr>
              <w:pStyle w:val="12"/>
              <w:ind w:firstLine="0" w:firstLineChars="0"/>
              <w:jc w:val="center"/>
              <w:rPr>
                <w:rFonts w:ascii="楷体_GB2312" w:eastAsia="楷体_GB2312"/>
                <w:szCs w:val="21"/>
              </w:rPr>
            </w:pPr>
            <w:r>
              <w:rPr>
                <w:rFonts w:ascii="楷体_GB2312" w:eastAsia="楷体_GB2312"/>
                <w:szCs w:val="21"/>
              </w:rPr>
              <w:t>技术要求</w:t>
            </w:r>
          </w:p>
        </w:tc>
      </w:tr>
      <w:tr w14:paraId="6EAE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Merge w:val="continue"/>
            <w:vAlign w:val="center"/>
          </w:tcPr>
          <w:p w14:paraId="28C7AC9F">
            <w:pPr>
              <w:pStyle w:val="12"/>
              <w:ind w:firstLine="0" w:firstLineChars="0"/>
              <w:jc w:val="center"/>
              <w:rPr>
                <w:rFonts w:ascii="楷体_GB2312" w:eastAsia="楷体_GB2312"/>
                <w:szCs w:val="21"/>
              </w:rPr>
            </w:pPr>
          </w:p>
        </w:tc>
        <w:tc>
          <w:tcPr>
            <w:tcW w:w="2850" w:type="dxa"/>
            <w:vAlign w:val="center"/>
          </w:tcPr>
          <w:p w14:paraId="068F8002">
            <w:pPr>
              <w:pStyle w:val="12"/>
              <w:ind w:firstLine="0" w:firstLineChars="0"/>
              <w:jc w:val="center"/>
              <w:rPr>
                <w:rFonts w:ascii="楷体_GB2312" w:eastAsia="楷体_GB2312"/>
                <w:szCs w:val="21"/>
              </w:rPr>
            </w:pPr>
            <w:r>
              <w:rPr>
                <w:rFonts w:ascii="楷体_GB2312" w:eastAsia="楷体_GB2312"/>
                <w:szCs w:val="21"/>
              </w:rPr>
              <w:t>允许压扁力（N/100mm）</w:t>
            </w:r>
          </w:p>
        </w:tc>
        <w:tc>
          <w:tcPr>
            <w:tcW w:w="2129" w:type="dxa"/>
            <w:vAlign w:val="center"/>
          </w:tcPr>
          <w:p w14:paraId="33572770">
            <w:pPr>
              <w:pStyle w:val="12"/>
              <w:ind w:firstLine="0" w:firstLineChars="0"/>
              <w:jc w:val="center"/>
              <w:rPr>
                <w:rFonts w:ascii="楷体_GB2312" w:eastAsia="楷体_GB2312"/>
                <w:szCs w:val="21"/>
              </w:rPr>
            </w:pPr>
            <w:r>
              <w:rPr>
                <w:rFonts w:ascii="楷体_GB2312" w:eastAsia="楷体_GB2312"/>
                <w:szCs w:val="21"/>
              </w:rPr>
              <w:t>单模光纤附加衰减</w:t>
            </w:r>
          </w:p>
        </w:tc>
      </w:tr>
      <w:tr w14:paraId="4164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05619F55">
            <w:pPr>
              <w:pStyle w:val="12"/>
              <w:ind w:firstLine="0" w:firstLineChars="0"/>
              <w:jc w:val="center"/>
              <w:rPr>
                <w:rFonts w:ascii="楷体_GB2312" w:eastAsia="楷体_GB2312"/>
                <w:szCs w:val="21"/>
              </w:rPr>
            </w:pPr>
            <w:r>
              <w:rPr>
                <w:rFonts w:ascii="楷体_GB2312" w:eastAsia="楷体_GB2312"/>
                <w:szCs w:val="21"/>
              </w:rPr>
              <w:t>中心束管式和含内垫层的层绞式</w:t>
            </w:r>
          </w:p>
        </w:tc>
        <w:tc>
          <w:tcPr>
            <w:tcW w:w="2850" w:type="dxa"/>
            <w:vAlign w:val="center"/>
          </w:tcPr>
          <w:p w14:paraId="1B33E2C9">
            <w:pPr>
              <w:pStyle w:val="12"/>
              <w:ind w:firstLine="0" w:firstLineChars="0"/>
              <w:jc w:val="center"/>
              <w:rPr>
                <w:rFonts w:ascii="楷体_GB2312" w:eastAsia="楷体_GB2312"/>
                <w:szCs w:val="21"/>
              </w:rPr>
            </w:pPr>
            <w:r>
              <w:rPr>
                <w:rFonts w:ascii="楷体_GB2312" w:eastAsia="楷体_GB2312"/>
                <w:szCs w:val="21"/>
              </w:rPr>
              <w:t>2200</w:t>
            </w:r>
          </w:p>
        </w:tc>
        <w:tc>
          <w:tcPr>
            <w:tcW w:w="2129" w:type="dxa"/>
            <w:vAlign w:val="center"/>
          </w:tcPr>
          <w:p w14:paraId="58F984D4">
            <w:pPr>
              <w:pStyle w:val="12"/>
              <w:ind w:firstLine="0" w:firstLineChars="0"/>
              <w:jc w:val="center"/>
              <w:rPr>
                <w:rFonts w:ascii="楷体_GB2312" w:eastAsia="楷体_GB2312"/>
                <w:szCs w:val="21"/>
              </w:rPr>
            </w:pPr>
            <w:r>
              <w:rPr>
                <w:rFonts w:ascii="楷体_GB2312" w:eastAsia="楷体_GB2312"/>
                <w:szCs w:val="21"/>
              </w:rPr>
              <w:t>≤0.1dB</w:t>
            </w:r>
          </w:p>
        </w:tc>
      </w:tr>
      <w:tr w14:paraId="021AD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30AF4290">
            <w:pPr>
              <w:pStyle w:val="12"/>
              <w:ind w:firstLine="0" w:firstLineChars="0"/>
              <w:jc w:val="center"/>
              <w:rPr>
                <w:rFonts w:ascii="楷体_GB2312" w:eastAsia="楷体_GB2312"/>
                <w:szCs w:val="21"/>
              </w:rPr>
            </w:pPr>
            <w:r>
              <w:rPr>
                <w:rFonts w:ascii="楷体_GB2312" w:eastAsia="楷体_GB2312"/>
                <w:szCs w:val="21"/>
              </w:rPr>
              <w:t>层绞式不含内垫层</w:t>
            </w:r>
          </w:p>
        </w:tc>
        <w:tc>
          <w:tcPr>
            <w:tcW w:w="2850" w:type="dxa"/>
            <w:vAlign w:val="center"/>
          </w:tcPr>
          <w:p w14:paraId="5BB8D1BA">
            <w:pPr>
              <w:pStyle w:val="12"/>
              <w:ind w:firstLine="0" w:firstLineChars="0"/>
              <w:jc w:val="center"/>
              <w:rPr>
                <w:rFonts w:ascii="楷体_GB2312" w:eastAsia="楷体_GB2312"/>
                <w:szCs w:val="21"/>
              </w:rPr>
            </w:pPr>
            <w:r>
              <w:rPr>
                <w:rFonts w:ascii="楷体_GB2312" w:eastAsia="楷体_GB2312"/>
                <w:szCs w:val="21"/>
              </w:rPr>
              <w:t>1000</w:t>
            </w:r>
          </w:p>
        </w:tc>
        <w:tc>
          <w:tcPr>
            <w:tcW w:w="2129" w:type="dxa"/>
            <w:vAlign w:val="center"/>
          </w:tcPr>
          <w:p w14:paraId="7C7B0F43">
            <w:pPr>
              <w:pStyle w:val="12"/>
              <w:ind w:firstLine="0" w:firstLineChars="0"/>
              <w:jc w:val="center"/>
              <w:rPr>
                <w:rFonts w:ascii="楷体_GB2312" w:eastAsia="楷体_GB2312"/>
                <w:szCs w:val="21"/>
              </w:rPr>
            </w:pPr>
            <w:r>
              <w:rPr>
                <w:rFonts w:ascii="楷体_GB2312" w:eastAsia="楷体_GB2312"/>
                <w:szCs w:val="21"/>
              </w:rPr>
              <w:t>≤0.1dB</w:t>
            </w:r>
          </w:p>
        </w:tc>
      </w:tr>
    </w:tbl>
    <w:p w14:paraId="6C40693A">
      <w:pPr>
        <w:pStyle w:val="12"/>
        <w:ind w:firstLine="0" w:firstLineChars="0"/>
        <w:rPr>
          <w:rFonts w:ascii="楷体_GB2312" w:eastAsia="楷体_GB2312"/>
          <w:szCs w:val="21"/>
        </w:rPr>
      </w:pPr>
    </w:p>
    <w:p w14:paraId="1F734551">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光缆在允许的短暂压扁力下光纤应不断裂，护套应不开裂，短暂压扁力去除后光纤应无明显残余附加衰减；光缆在允许的长期压扁力下光纤应无明显附加衰减。</w:t>
      </w:r>
    </w:p>
    <w:p w14:paraId="1ED6FCCC">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5.13.5  允许弯曲半径</w:t>
      </w:r>
    </w:p>
    <w:p w14:paraId="0E67F514">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光缆的允许最小弯曲半径应不大于25倍光缆外径。</w:t>
      </w:r>
    </w:p>
    <w:p w14:paraId="2E38E664">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光缆在受到动态弯曲时光纤应不断裂，护套应不开裂，动态弯曲消除后光纤应无残余附加衰减，光缆在受到静态弯曲时光纤应无附加衰减，护套应不开裂。</w:t>
      </w:r>
    </w:p>
    <w:p w14:paraId="0A9B35F0">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5.13.6  环境性能系列</w:t>
      </w:r>
    </w:p>
    <w:p w14:paraId="26C246B5">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光纤衰减温度特性</w:t>
      </w:r>
    </w:p>
    <w:p w14:paraId="2CF79BC5">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光缆的适用温度范围及其单模光纤相对于20℃时的允许温度附加衰减的分级应符合表6规定。</w:t>
      </w:r>
    </w:p>
    <w:p w14:paraId="5FBF9E8C">
      <w:pPr>
        <w:tabs>
          <w:tab w:val="left" w:pos="26001"/>
          <w:tab w:val="left" w:pos="30932"/>
          <w:tab w:val="left" w:pos="31600"/>
          <w:tab w:val="left" w:pos="31620"/>
          <w:tab w:val="left" w:pos="31640"/>
          <w:tab w:val="left" w:pos="31660"/>
          <w:tab w:val="left" w:pos="31680"/>
        </w:tabs>
        <w:overflowPunct w:val="0"/>
        <w:spacing w:line="440" w:lineRule="exact"/>
        <w:jc w:val="center"/>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表6  光缆的适用温度和允许温度附加温度附加衰减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1420"/>
        <w:gridCol w:w="1589"/>
        <w:gridCol w:w="1253"/>
        <w:gridCol w:w="1421"/>
        <w:gridCol w:w="1420"/>
      </w:tblGrid>
      <w:tr w14:paraId="1297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9" w:type="dxa"/>
            <w:vMerge w:val="restart"/>
            <w:vAlign w:val="center"/>
          </w:tcPr>
          <w:p w14:paraId="39C571C2">
            <w:pPr>
              <w:pStyle w:val="12"/>
              <w:ind w:firstLine="0" w:firstLineChars="0"/>
              <w:jc w:val="center"/>
              <w:rPr>
                <w:rFonts w:ascii="楷体_GB2312" w:eastAsia="楷体_GB2312"/>
                <w:szCs w:val="21"/>
              </w:rPr>
            </w:pPr>
            <w:r>
              <w:rPr>
                <w:rFonts w:ascii="楷体_GB2312" w:eastAsia="楷体_GB2312"/>
                <w:szCs w:val="21"/>
              </w:rPr>
              <w:t>分级代号</w:t>
            </w:r>
          </w:p>
        </w:tc>
        <w:tc>
          <w:tcPr>
            <w:tcW w:w="1420" w:type="dxa"/>
            <w:vMerge w:val="restart"/>
            <w:vAlign w:val="center"/>
          </w:tcPr>
          <w:p w14:paraId="23D2CA75">
            <w:pPr>
              <w:pStyle w:val="12"/>
              <w:ind w:firstLine="0" w:firstLineChars="0"/>
              <w:jc w:val="center"/>
              <w:rPr>
                <w:rFonts w:ascii="楷体_GB2312" w:eastAsia="楷体_GB2312"/>
                <w:szCs w:val="21"/>
              </w:rPr>
            </w:pPr>
            <w:r>
              <w:rPr>
                <w:rFonts w:ascii="楷体_GB2312" w:eastAsia="楷体_GB2312"/>
                <w:szCs w:val="21"/>
              </w:rPr>
              <w:t>适用温度℃</w:t>
            </w:r>
          </w:p>
        </w:tc>
        <w:tc>
          <w:tcPr>
            <w:tcW w:w="5683" w:type="dxa"/>
            <w:gridSpan w:val="4"/>
            <w:vAlign w:val="center"/>
          </w:tcPr>
          <w:p w14:paraId="3585106C">
            <w:pPr>
              <w:pStyle w:val="12"/>
              <w:ind w:firstLine="0" w:firstLineChars="0"/>
              <w:jc w:val="center"/>
              <w:rPr>
                <w:rFonts w:ascii="楷体_GB2312" w:eastAsia="楷体_GB2312"/>
                <w:szCs w:val="21"/>
              </w:rPr>
            </w:pPr>
            <w:r>
              <w:rPr>
                <w:rFonts w:ascii="楷体_GB2312" w:eastAsia="楷体_GB2312"/>
                <w:szCs w:val="21"/>
              </w:rPr>
              <w:t>光纤允许附加衰减dB/km</w:t>
            </w:r>
          </w:p>
        </w:tc>
      </w:tr>
      <w:tr w14:paraId="6A05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9" w:type="dxa"/>
            <w:vMerge w:val="continue"/>
            <w:vAlign w:val="center"/>
          </w:tcPr>
          <w:p w14:paraId="0A34730C">
            <w:pPr>
              <w:pStyle w:val="12"/>
              <w:ind w:firstLine="0" w:firstLineChars="0"/>
              <w:jc w:val="center"/>
              <w:rPr>
                <w:rFonts w:ascii="楷体_GB2312" w:eastAsia="楷体_GB2312"/>
                <w:szCs w:val="21"/>
              </w:rPr>
            </w:pPr>
          </w:p>
        </w:tc>
        <w:tc>
          <w:tcPr>
            <w:tcW w:w="1420" w:type="dxa"/>
            <w:vMerge w:val="continue"/>
            <w:vAlign w:val="center"/>
          </w:tcPr>
          <w:p w14:paraId="506877F6">
            <w:pPr>
              <w:pStyle w:val="12"/>
              <w:ind w:firstLine="0" w:firstLineChars="0"/>
              <w:jc w:val="center"/>
              <w:rPr>
                <w:rFonts w:ascii="楷体_GB2312" w:eastAsia="楷体_GB2312"/>
                <w:szCs w:val="21"/>
              </w:rPr>
            </w:pPr>
          </w:p>
        </w:tc>
        <w:tc>
          <w:tcPr>
            <w:tcW w:w="1589" w:type="dxa"/>
            <w:vAlign w:val="center"/>
          </w:tcPr>
          <w:p w14:paraId="4E77BBDE">
            <w:pPr>
              <w:pStyle w:val="12"/>
              <w:ind w:firstLine="0" w:firstLineChars="0"/>
              <w:jc w:val="center"/>
              <w:rPr>
                <w:rFonts w:ascii="楷体_GB2312" w:eastAsia="楷体_GB2312"/>
                <w:szCs w:val="21"/>
              </w:rPr>
            </w:pPr>
            <w:r>
              <w:rPr>
                <w:rFonts w:ascii="楷体_GB2312" w:eastAsia="楷体_GB2312"/>
                <w:szCs w:val="21"/>
              </w:rPr>
              <w:t>0级（特级）</w:t>
            </w:r>
          </w:p>
        </w:tc>
        <w:tc>
          <w:tcPr>
            <w:tcW w:w="1253" w:type="dxa"/>
            <w:vAlign w:val="center"/>
          </w:tcPr>
          <w:p w14:paraId="70C11297">
            <w:pPr>
              <w:pStyle w:val="12"/>
              <w:ind w:firstLine="0" w:firstLineChars="0"/>
              <w:jc w:val="center"/>
              <w:rPr>
                <w:rFonts w:ascii="楷体_GB2312" w:eastAsia="楷体_GB2312"/>
                <w:szCs w:val="21"/>
              </w:rPr>
            </w:pPr>
            <w:r>
              <w:rPr>
                <w:rFonts w:ascii="楷体_GB2312" w:eastAsia="楷体_GB2312"/>
                <w:szCs w:val="21"/>
              </w:rPr>
              <w:t>1级</w:t>
            </w:r>
          </w:p>
        </w:tc>
        <w:tc>
          <w:tcPr>
            <w:tcW w:w="1421" w:type="dxa"/>
            <w:vAlign w:val="center"/>
          </w:tcPr>
          <w:p w14:paraId="5289E9CB">
            <w:pPr>
              <w:pStyle w:val="12"/>
              <w:ind w:firstLine="0" w:firstLineChars="0"/>
              <w:jc w:val="center"/>
              <w:rPr>
                <w:rFonts w:ascii="楷体_GB2312" w:eastAsia="楷体_GB2312"/>
                <w:szCs w:val="21"/>
              </w:rPr>
            </w:pPr>
            <w:r>
              <w:rPr>
                <w:rFonts w:ascii="楷体_GB2312" w:eastAsia="楷体_GB2312"/>
                <w:szCs w:val="21"/>
              </w:rPr>
              <w:t>2级</w:t>
            </w:r>
          </w:p>
        </w:tc>
        <w:tc>
          <w:tcPr>
            <w:tcW w:w="1420" w:type="dxa"/>
            <w:vAlign w:val="center"/>
          </w:tcPr>
          <w:p w14:paraId="57AFC4BF">
            <w:pPr>
              <w:pStyle w:val="12"/>
              <w:ind w:firstLine="0" w:firstLineChars="0"/>
              <w:jc w:val="center"/>
              <w:rPr>
                <w:rFonts w:ascii="楷体_GB2312" w:eastAsia="楷体_GB2312"/>
                <w:szCs w:val="21"/>
              </w:rPr>
            </w:pPr>
            <w:r>
              <w:rPr>
                <w:rFonts w:ascii="楷体_GB2312" w:eastAsia="楷体_GB2312"/>
                <w:szCs w:val="21"/>
              </w:rPr>
              <w:t>3级</w:t>
            </w:r>
          </w:p>
        </w:tc>
      </w:tr>
      <w:tr w14:paraId="76084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9" w:type="dxa"/>
            <w:vAlign w:val="center"/>
          </w:tcPr>
          <w:p w14:paraId="2B9E3893">
            <w:pPr>
              <w:pStyle w:val="12"/>
              <w:ind w:firstLine="0" w:firstLineChars="0"/>
              <w:jc w:val="center"/>
              <w:rPr>
                <w:rFonts w:ascii="楷体_GB2312" w:eastAsia="楷体_GB2312"/>
                <w:szCs w:val="21"/>
              </w:rPr>
            </w:pPr>
            <w:r>
              <w:rPr>
                <w:rFonts w:ascii="楷体_GB2312" w:eastAsia="楷体_GB2312"/>
                <w:szCs w:val="21"/>
              </w:rPr>
              <w:t>A</w:t>
            </w:r>
          </w:p>
        </w:tc>
        <w:tc>
          <w:tcPr>
            <w:tcW w:w="1420" w:type="dxa"/>
            <w:vAlign w:val="center"/>
          </w:tcPr>
          <w:p w14:paraId="48CABB02">
            <w:pPr>
              <w:pStyle w:val="12"/>
              <w:ind w:firstLine="0" w:firstLineChars="0"/>
              <w:jc w:val="center"/>
              <w:rPr>
                <w:rFonts w:ascii="楷体_GB2312" w:eastAsia="楷体_GB2312"/>
                <w:szCs w:val="21"/>
              </w:rPr>
            </w:pPr>
            <w:r>
              <w:rPr>
                <w:rFonts w:ascii="楷体_GB2312" w:eastAsia="楷体_GB2312"/>
                <w:szCs w:val="21"/>
              </w:rPr>
              <w:t>-40~+60</w:t>
            </w:r>
          </w:p>
        </w:tc>
        <w:tc>
          <w:tcPr>
            <w:tcW w:w="1589" w:type="dxa"/>
            <w:vMerge w:val="restart"/>
            <w:vAlign w:val="center"/>
          </w:tcPr>
          <w:p w14:paraId="122EB2F6">
            <w:pPr>
              <w:pStyle w:val="12"/>
              <w:ind w:firstLine="0" w:firstLineChars="0"/>
              <w:jc w:val="center"/>
              <w:rPr>
                <w:rFonts w:ascii="楷体_GB2312" w:eastAsia="楷体_GB2312"/>
                <w:szCs w:val="21"/>
              </w:rPr>
            </w:pPr>
            <w:r>
              <w:rPr>
                <w:rFonts w:ascii="楷体_GB2312" w:eastAsia="楷体_GB2312"/>
                <w:szCs w:val="21"/>
              </w:rPr>
              <w:t>无明显附加衰减</w:t>
            </w:r>
          </w:p>
        </w:tc>
        <w:tc>
          <w:tcPr>
            <w:tcW w:w="1253" w:type="dxa"/>
            <w:vMerge w:val="restart"/>
            <w:vAlign w:val="center"/>
          </w:tcPr>
          <w:p w14:paraId="4DC4F9E3">
            <w:pPr>
              <w:pStyle w:val="12"/>
              <w:ind w:firstLine="0" w:firstLineChars="0"/>
              <w:jc w:val="center"/>
              <w:rPr>
                <w:rFonts w:ascii="楷体_GB2312" w:eastAsia="楷体_GB2312"/>
                <w:szCs w:val="21"/>
              </w:rPr>
            </w:pPr>
            <w:r>
              <w:rPr>
                <w:rFonts w:ascii="楷体_GB2312" w:eastAsia="楷体_GB2312"/>
                <w:szCs w:val="21"/>
              </w:rPr>
              <w:t>≤0.05</w:t>
            </w:r>
          </w:p>
        </w:tc>
        <w:tc>
          <w:tcPr>
            <w:tcW w:w="1421" w:type="dxa"/>
            <w:vMerge w:val="restart"/>
            <w:vAlign w:val="center"/>
          </w:tcPr>
          <w:p w14:paraId="7E180B6F">
            <w:pPr>
              <w:pStyle w:val="12"/>
              <w:ind w:firstLine="0" w:firstLineChars="0"/>
              <w:jc w:val="center"/>
              <w:rPr>
                <w:rFonts w:ascii="楷体_GB2312" w:eastAsia="楷体_GB2312"/>
                <w:szCs w:val="21"/>
              </w:rPr>
            </w:pPr>
            <w:r>
              <w:rPr>
                <w:rFonts w:ascii="楷体_GB2312" w:eastAsia="楷体_GB2312"/>
                <w:szCs w:val="21"/>
              </w:rPr>
              <w:t>≤0.10</w:t>
            </w:r>
          </w:p>
        </w:tc>
        <w:tc>
          <w:tcPr>
            <w:tcW w:w="1420" w:type="dxa"/>
            <w:vMerge w:val="restart"/>
            <w:vAlign w:val="center"/>
          </w:tcPr>
          <w:p w14:paraId="7D78905A">
            <w:pPr>
              <w:pStyle w:val="12"/>
              <w:ind w:firstLine="0" w:firstLineChars="0"/>
              <w:jc w:val="center"/>
              <w:rPr>
                <w:rFonts w:ascii="楷体_GB2312" w:eastAsia="楷体_GB2312"/>
                <w:szCs w:val="21"/>
              </w:rPr>
            </w:pPr>
            <w:r>
              <w:rPr>
                <w:rFonts w:ascii="楷体_GB2312" w:eastAsia="楷体_GB2312"/>
                <w:szCs w:val="21"/>
              </w:rPr>
              <w:t>≤0.15</w:t>
            </w:r>
          </w:p>
        </w:tc>
      </w:tr>
      <w:tr w14:paraId="6F689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9" w:type="dxa"/>
            <w:vAlign w:val="center"/>
          </w:tcPr>
          <w:p w14:paraId="200C35F2">
            <w:pPr>
              <w:pStyle w:val="12"/>
              <w:ind w:firstLine="0" w:firstLineChars="0"/>
              <w:jc w:val="center"/>
              <w:rPr>
                <w:rFonts w:ascii="楷体_GB2312" w:eastAsia="楷体_GB2312"/>
                <w:szCs w:val="21"/>
              </w:rPr>
            </w:pPr>
            <w:r>
              <w:rPr>
                <w:rFonts w:ascii="楷体_GB2312" w:eastAsia="楷体_GB2312"/>
                <w:szCs w:val="21"/>
              </w:rPr>
              <w:t>B</w:t>
            </w:r>
          </w:p>
        </w:tc>
        <w:tc>
          <w:tcPr>
            <w:tcW w:w="1420" w:type="dxa"/>
            <w:vAlign w:val="center"/>
          </w:tcPr>
          <w:p w14:paraId="12D9239E">
            <w:pPr>
              <w:pStyle w:val="12"/>
              <w:ind w:firstLine="0" w:firstLineChars="0"/>
              <w:jc w:val="center"/>
              <w:rPr>
                <w:rFonts w:ascii="楷体_GB2312" w:eastAsia="楷体_GB2312"/>
                <w:szCs w:val="21"/>
              </w:rPr>
            </w:pPr>
            <w:r>
              <w:rPr>
                <w:rFonts w:ascii="楷体_GB2312" w:eastAsia="楷体_GB2312"/>
                <w:szCs w:val="21"/>
              </w:rPr>
              <w:t>-30~+60</w:t>
            </w:r>
          </w:p>
        </w:tc>
        <w:tc>
          <w:tcPr>
            <w:tcW w:w="1589" w:type="dxa"/>
            <w:vMerge w:val="continue"/>
            <w:vAlign w:val="center"/>
          </w:tcPr>
          <w:p w14:paraId="1F15E069">
            <w:pPr>
              <w:pStyle w:val="12"/>
              <w:ind w:firstLine="0" w:firstLineChars="0"/>
              <w:rPr>
                <w:rFonts w:ascii="楷体_GB2312" w:eastAsia="楷体_GB2312"/>
                <w:szCs w:val="21"/>
              </w:rPr>
            </w:pPr>
          </w:p>
        </w:tc>
        <w:tc>
          <w:tcPr>
            <w:tcW w:w="1253" w:type="dxa"/>
            <w:vMerge w:val="continue"/>
            <w:vAlign w:val="center"/>
          </w:tcPr>
          <w:p w14:paraId="13F4686C">
            <w:pPr>
              <w:pStyle w:val="12"/>
              <w:ind w:firstLine="0" w:firstLineChars="0"/>
              <w:rPr>
                <w:rFonts w:ascii="楷体_GB2312" w:eastAsia="楷体_GB2312"/>
                <w:szCs w:val="21"/>
              </w:rPr>
            </w:pPr>
          </w:p>
        </w:tc>
        <w:tc>
          <w:tcPr>
            <w:tcW w:w="1421" w:type="dxa"/>
            <w:vMerge w:val="continue"/>
            <w:vAlign w:val="center"/>
          </w:tcPr>
          <w:p w14:paraId="16E0B607">
            <w:pPr>
              <w:pStyle w:val="12"/>
              <w:ind w:firstLine="0" w:firstLineChars="0"/>
              <w:rPr>
                <w:rFonts w:ascii="楷体_GB2312" w:eastAsia="楷体_GB2312"/>
                <w:szCs w:val="21"/>
              </w:rPr>
            </w:pPr>
          </w:p>
        </w:tc>
        <w:tc>
          <w:tcPr>
            <w:tcW w:w="1420" w:type="dxa"/>
            <w:vMerge w:val="continue"/>
            <w:vAlign w:val="center"/>
          </w:tcPr>
          <w:p w14:paraId="5E541953">
            <w:pPr>
              <w:pStyle w:val="12"/>
              <w:ind w:firstLine="0" w:firstLineChars="0"/>
              <w:rPr>
                <w:rFonts w:ascii="楷体_GB2312" w:eastAsia="楷体_GB2312"/>
                <w:szCs w:val="21"/>
              </w:rPr>
            </w:pPr>
          </w:p>
        </w:tc>
      </w:tr>
      <w:tr w14:paraId="400A0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9" w:type="dxa"/>
            <w:vAlign w:val="center"/>
          </w:tcPr>
          <w:p w14:paraId="34411D56">
            <w:pPr>
              <w:pStyle w:val="12"/>
              <w:ind w:firstLine="0" w:firstLineChars="0"/>
              <w:jc w:val="center"/>
              <w:rPr>
                <w:rFonts w:ascii="楷体_GB2312" w:eastAsia="楷体_GB2312"/>
                <w:szCs w:val="21"/>
              </w:rPr>
            </w:pPr>
            <w:r>
              <w:rPr>
                <w:rFonts w:ascii="楷体_GB2312" w:eastAsia="楷体_GB2312"/>
                <w:szCs w:val="21"/>
              </w:rPr>
              <w:t>C</w:t>
            </w:r>
          </w:p>
        </w:tc>
        <w:tc>
          <w:tcPr>
            <w:tcW w:w="1420" w:type="dxa"/>
            <w:vAlign w:val="center"/>
          </w:tcPr>
          <w:p w14:paraId="596FA835">
            <w:pPr>
              <w:pStyle w:val="12"/>
              <w:ind w:firstLine="0" w:firstLineChars="0"/>
              <w:jc w:val="center"/>
              <w:rPr>
                <w:rFonts w:ascii="楷体_GB2312" w:eastAsia="楷体_GB2312"/>
                <w:szCs w:val="21"/>
              </w:rPr>
            </w:pPr>
            <w:r>
              <w:rPr>
                <w:rFonts w:ascii="楷体_GB2312" w:eastAsia="楷体_GB2312"/>
                <w:szCs w:val="21"/>
              </w:rPr>
              <w:t>-20~+60</w:t>
            </w:r>
          </w:p>
        </w:tc>
        <w:tc>
          <w:tcPr>
            <w:tcW w:w="1589" w:type="dxa"/>
            <w:vMerge w:val="continue"/>
            <w:vAlign w:val="center"/>
          </w:tcPr>
          <w:p w14:paraId="7E3D231C">
            <w:pPr>
              <w:pStyle w:val="12"/>
              <w:ind w:firstLine="0" w:firstLineChars="0"/>
              <w:rPr>
                <w:rFonts w:ascii="楷体_GB2312" w:eastAsia="楷体_GB2312"/>
                <w:szCs w:val="21"/>
              </w:rPr>
            </w:pPr>
          </w:p>
        </w:tc>
        <w:tc>
          <w:tcPr>
            <w:tcW w:w="1253" w:type="dxa"/>
            <w:vMerge w:val="continue"/>
            <w:vAlign w:val="center"/>
          </w:tcPr>
          <w:p w14:paraId="1F412116">
            <w:pPr>
              <w:pStyle w:val="12"/>
              <w:ind w:firstLine="0" w:firstLineChars="0"/>
              <w:rPr>
                <w:rFonts w:ascii="楷体_GB2312" w:eastAsia="楷体_GB2312"/>
                <w:szCs w:val="21"/>
              </w:rPr>
            </w:pPr>
          </w:p>
        </w:tc>
        <w:tc>
          <w:tcPr>
            <w:tcW w:w="1421" w:type="dxa"/>
            <w:vMerge w:val="continue"/>
            <w:vAlign w:val="center"/>
          </w:tcPr>
          <w:p w14:paraId="06555298">
            <w:pPr>
              <w:pStyle w:val="12"/>
              <w:ind w:firstLine="0" w:firstLineChars="0"/>
              <w:rPr>
                <w:rFonts w:ascii="楷体_GB2312" w:eastAsia="楷体_GB2312"/>
                <w:szCs w:val="21"/>
              </w:rPr>
            </w:pPr>
          </w:p>
        </w:tc>
        <w:tc>
          <w:tcPr>
            <w:tcW w:w="1420" w:type="dxa"/>
            <w:vMerge w:val="continue"/>
            <w:vAlign w:val="center"/>
          </w:tcPr>
          <w:p w14:paraId="5289667B">
            <w:pPr>
              <w:pStyle w:val="12"/>
              <w:ind w:firstLine="0" w:firstLineChars="0"/>
              <w:rPr>
                <w:rFonts w:ascii="楷体_GB2312" w:eastAsia="楷体_GB2312"/>
                <w:szCs w:val="21"/>
              </w:rPr>
            </w:pPr>
          </w:p>
        </w:tc>
      </w:tr>
      <w:tr w14:paraId="16F8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22" w:type="dxa"/>
            <w:gridSpan w:val="6"/>
            <w:vAlign w:val="center"/>
          </w:tcPr>
          <w:p w14:paraId="60F6B245">
            <w:pPr>
              <w:pStyle w:val="12"/>
              <w:ind w:firstLine="0" w:firstLineChars="0"/>
              <w:rPr>
                <w:rFonts w:ascii="楷体_GB2312" w:eastAsia="楷体_GB2312"/>
                <w:szCs w:val="21"/>
              </w:rPr>
            </w:pPr>
            <w:r>
              <w:rPr>
                <w:rFonts w:ascii="楷体_GB2312" w:eastAsia="楷体_GB2312"/>
                <w:szCs w:val="21"/>
              </w:rPr>
              <w:t>注：衰减变化用后向散射监测，其测量值的绝对值不超过0.02dB/km时，判为无明显附加衰减，允许光纤衰减有变化时，其允许附加衰减值已包括0.02dB/km在内。</w:t>
            </w:r>
          </w:p>
        </w:tc>
      </w:tr>
    </w:tbl>
    <w:p w14:paraId="333AD68D">
      <w:pPr>
        <w:pStyle w:val="2"/>
        <w:numPr>
          <w:ilvl w:val="0"/>
          <w:numId w:val="0"/>
        </w:numPr>
        <w:tabs>
          <w:tab w:val="left" w:pos="432"/>
        </w:tabs>
        <w:rPr>
          <w:rFonts w:ascii="楷体_GB2312" w:eastAsia="楷体_GB2312" w:cs="Arial"/>
          <w:bCs/>
          <w:sz w:val="21"/>
          <w:szCs w:val="21"/>
        </w:rPr>
      </w:pPr>
      <w:bookmarkStart w:id="39" w:name="_Toc13809"/>
      <w:bookmarkStart w:id="40" w:name="_Toc493858827"/>
      <w:bookmarkStart w:id="41" w:name="_Toc247620587"/>
      <w:bookmarkStart w:id="42" w:name="_Toc12699"/>
      <w:bookmarkStart w:id="43" w:name="_Toc28513"/>
      <w:bookmarkStart w:id="44" w:name="_Toc11325"/>
      <w:r>
        <w:rPr>
          <w:rFonts w:hint="eastAsia" w:ascii="楷体_GB2312" w:eastAsia="楷体_GB2312" w:cs="Arial"/>
          <w:bCs/>
          <w:sz w:val="21"/>
          <w:szCs w:val="21"/>
          <w:lang w:val="en-US"/>
        </w:rPr>
        <w:t>6</w:t>
      </w:r>
      <w:r>
        <w:rPr>
          <w:rFonts w:hint="eastAsia" w:ascii="楷体_GB2312" w:eastAsia="楷体_GB2312" w:cs="Arial"/>
          <w:bCs/>
          <w:sz w:val="21"/>
          <w:szCs w:val="21"/>
        </w:rPr>
        <w:t>　试验</w:t>
      </w:r>
      <w:bookmarkEnd w:id="39"/>
      <w:bookmarkEnd w:id="40"/>
      <w:bookmarkEnd w:id="41"/>
      <w:bookmarkEnd w:id="42"/>
      <w:bookmarkEnd w:id="43"/>
      <w:bookmarkEnd w:id="44"/>
    </w:p>
    <w:p w14:paraId="77D96D61">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对于电缆的试验及检验要按照相关标准及协议进行试验。试验应在制造厂或买方指定的检验部门完成。所有试验费用应由卖方承担。</w:t>
      </w:r>
    </w:p>
    <w:p w14:paraId="12531A9F">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45" w:name="_Toc247620588"/>
      <w:bookmarkStart w:id="46" w:name="_Toc119902302"/>
      <w:bookmarkStart w:id="47" w:name="_Toc236300725"/>
      <w:r>
        <w:rPr>
          <w:rFonts w:hint="eastAsia" w:ascii="楷体_GB2312" w:eastAsia="楷体_GB2312"/>
          <w:spacing w:val="5"/>
          <w:sz w:val="21"/>
          <w:szCs w:val="24"/>
          <w:lang w:val="en-US" w:eastAsia="zh-CN"/>
        </w:rPr>
        <w:t>6.1　试验条件</w:t>
      </w:r>
      <w:bookmarkEnd w:id="45"/>
      <w:bookmarkEnd w:id="46"/>
      <w:bookmarkEnd w:id="47"/>
    </w:p>
    <w:p w14:paraId="0C58B113">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6.1.1　环境温度</w:t>
      </w:r>
    </w:p>
    <w:p w14:paraId="7AB79504">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除个别试验另有具体规定外，其余试验应在环境温度为（20±15）℃时进行。</w:t>
      </w:r>
    </w:p>
    <w:p w14:paraId="2DB0B9EA">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6.1.2　工频试验电压的频率和波形</w:t>
      </w:r>
    </w:p>
    <w:p w14:paraId="79D8D173">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工频试验电压的频率应在49Hz～61Hz范围之内，波形应基本上是正弦波，电压值均为有效值。</w:t>
      </w:r>
    </w:p>
    <w:p w14:paraId="59B00253">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6.1.3　雷电冲击试验电压的波形</w:t>
      </w:r>
    </w:p>
    <w:p w14:paraId="008ECC48">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按IEC 60230的规定，雷电冲击试验电压的波形的波前时间为1μs～5μs，半波峰值时间为40μs～60μs。</w:t>
      </w:r>
    </w:p>
    <w:p w14:paraId="0DDBD927">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48" w:name="_Toc247620589"/>
      <w:r>
        <w:rPr>
          <w:rFonts w:hint="eastAsia" w:ascii="楷体_GB2312" w:eastAsia="楷体_GB2312"/>
          <w:spacing w:val="5"/>
          <w:sz w:val="21"/>
          <w:szCs w:val="24"/>
          <w:lang w:val="en-US" w:eastAsia="zh-CN"/>
        </w:rPr>
        <w:t>6.2　例行试验</w:t>
      </w:r>
      <w:bookmarkEnd w:id="48"/>
    </w:p>
    <w:p w14:paraId="03899840">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hint="eastAsia" w:ascii="楷体_GB2312" w:eastAsia="楷体_GB2312"/>
          <w:spacing w:val="5"/>
          <w:sz w:val="21"/>
          <w:szCs w:val="24"/>
          <w:lang w:val="en-US" w:eastAsia="zh-CN"/>
        </w:rPr>
        <w:t>每批电缆出厂前，制造厂必须对每盘电缆按GB/T 12706要求进行例行试验。</w:t>
      </w:r>
    </w:p>
    <w:p w14:paraId="3082EF6A">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bookmarkStart w:id="49" w:name="_Toc247620590"/>
      <w:r>
        <w:rPr>
          <w:rFonts w:hint="eastAsia" w:ascii="楷体_GB2312" w:eastAsia="楷体_GB2312"/>
          <w:spacing w:val="5"/>
          <w:sz w:val="21"/>
          <w:szCs w:val="24"/>
          <w:lang w:val="en-US" w:eastAsia="zh-CN"/>
        </w:rPr>
        <w:t>6.3　抽样试验</w:t>
      </w:r>
      <w:bookmarkEnd w:id="49"/>
    </w:p>
    <w:p w14:paraId="2BEA2192">
      <w:pPr>
        <w:tabs>
          <w:tab w:val="left" w:pos="26001"/>
          <w:tab w:val="left" w:pos="30932"/>
          <w:tab w:val="left" w:pos="31600"/>
          <w:tab w:val="left" w:pos="31620"/>
          <w:tab w:val="left" w:pos="31640"/>
          <w:tab w:val="left" w:pos="31660"/>
          <w:tab w:val="left" w:pos="31680"/>
        </w:tabs>
        <w:overflowPunct w:val="0"/>
        <w:spacing w:line="440" w:lineRule="exact"/>
        <w:rPr>
          <w:rFonts w:ascii="楷体_GB2312" w:eastAsia="楷体_GB2312"/>
          <w:spacing w:val="5"/>
          <w:sz w:val="21"/>
          <w:szCs w:val="24"/>
          <w:lang w:val="en-US" w:eastAsia="zh-CN"/>
        </w:rPr>
      </w:pPr>
      <w:r>
        <w:rPr>
          <w:rFonts w:ascii="楷体_GB2312" w:eastAsia="楷体_GB2312"/>
          <w:spacing w:val="5"/>
          <w:sz w:val="21"/>
          <w:szCs w:val="24"/>
          <w:lang w:val="en-US"/>
        </w:rPr>
        <w:t>抽样试验应按GB/T 12706或买方要求进行。主要项目见</w:t>
      </w:r>
      <w:r>
        <w:rPr>
          <w:rFonts w:hint="eastAsia" w:ascii="楷体_GB2312" w:eastAsia="楷体_GB2312"/>
          <w:spacing w:val="5"/>
          <w:sz w:val="21"/>
          <w:szCs w:val="24"/>
          <w:lang w:val="en-US" w:eastAsia="zh-CN"/>
        </w:rPr>
        <w:t>下表</w:t>
      </w:r>
      <w:r>
        <w:rPr>
          <w:rFonts w:ascii="楷体_GB2312" w:eastAsia="楷体_GB2312"/>
          <w:spacing w:val="5"/>
          <w:sz w:val="21"/>
          <w:szCs w:val="24"/>
          <w:lang w:val="en-US"/>
        </w:rPr>
        <w:t>，若买方有特殊需要，可另行补充。</w:t>
      </w:r>
    </w:p>
    <w:p w14:paraId="2D39C58A">
      <w:pPr>
        <w:tabs>
          <w:tab w:val="left" w:pos="6840"/>
        </w:tabs>
        <w:overflowPunct w:val="0"/>
        <w:topLinePunct/>
        <w:spacing w:line="440" w:lineRule="exact"/>
        <w:jc w:val="center"/>
        <w:rPr>
          <w:rFonts w:ascii="楷体_GB2312" w:eastAsia="楷体_GB2312"/>
          <w:spacing w:val="5"/>
          <w:sz w:val="21"/>
          <w:szCs w:val="24"/>
          <w:lang w:val="en-US"/>
        </w:rPr>
      </w:pPr>
      <w:r>
        <w:rPr>
          <w:rFonts w:ascii="楷体_GB2312" w:eastAsia="楷体_GB2312"/>
          <w:spacing w:val="5"/>
          <w:sz w:val="21"/>
          <w:szCs w:val="24"/>
          <w:lang w:val="en-US"/>
        </w:rPr>
        <w:t>抽样试验</w:t>
      </w:r>
      <w:r>
        <w:rPr>
          <w:rFonts w:hint="eastAsia" w:ascii="楷体_GB2312" w:eastAsia="楷体_GB2312"/>
          <w:spacing w:val="5"/>
          <w:sz w:val="21"/>
          <w:szCs w:val="24"/>
          <w:lang w:val="en-US"/>
        </w:rPr>
        <w:t>主要</w:t>
      </w:r>
      <w:r>
        <w:rPr>
          <w:rFonts w:ascii="楷体_GB2312" w:eastAsia="楷体_GB2312"/>
          <w:spacing w:val="5"/>
          <w:sz w:val="21"/>
          <w:szCs w:val="24"/>
          <w:lang w:val="en-US"/>
        </w:rPr>
        <w:t>项目</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2"/>
        <w:gridCol w:w="4458"/>
        <w:gridCol w:w="4458"/>
      </w:tblGrid>
      <w:tr w14:paraId="60437D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Mar>
              <w:left w:w="0" w:type="dxa"/>
              <w:right w:w="0" w:type="dxa"/>
            </w:tcMar>
            <w:vAlign w:val="center"/>
          </w:tcPr>
          <w:p w14:paraId="3851501B">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序号</w:t>
            </w:r>
          </w:p>
        </w:tc>
        <w:tc>
          <w:tcPr>
            <w:tcW w:w="4458" w:type="dxa"/>
            <w:tcMar>
              <w:left w:w="0" w:type="dxa"/>
              <w:right w:w="0" w:type="dxa"/>
            </w:tcMar>
            <w:vAlign w:val="center"/>
          </w:tcPr>
          <w:p w14:paraId="4382FA39">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试  验  项  目</w:t>
            </w:r>
          </w:p>
        </w:tc>
        <w:tc>
          <w:tcPr>
            <w:tcW w:w="4458" w:type="dxa"/>
            <w:tcMar>
              <w:left w:w="0" w:type="dxa"/>
              <w:right w:w="0" w:type="dxa"/>
            </w:tcMar>
            <w:vAlign w:val="center"/>
          </w:tcPr>
          <w:p w14:paraId="433B4A69">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试验方法标准</w:t>
            </w:r>
          </w:p>
        </w:tc>
      </w:tr>
      <w:tr w14:paraId="13900E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Mar>
              <w:left w:w="0" w:type="dxa"/>
              <w:right w:w="0" w:type="dxa"/>
            </w:tcMar>
            <w:vAlign w:val="center"/>
          </w:tcPr>
          <w:p w14:paraId="6D875FE5">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1</w:t>
            </w:r>
          </w:p>
        </w:tc>
        <w:tc>
          <w:tcPr>
            <w:tcW w:w="4458" w:type="dxa"/>
            <w:tcMar>
              <w:left w:w="0" w:type="dxa"/>
              <w:right w:w="0" w:type="dxa"/>
            </w:tcMar>
            <w:vAlign w:val="center"/>
          </w:tcPr>
          <w:p w14:paraId="0DE62DD1">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结构和尺寸检查</w:t>
            </w:r>
          </w:p>
        </w:tc>
        <w:tc>
          <w:tcPr>
            <w:tcW w:w="4458" w:type="dxa"/>
            <w:tcMar>
              <w:left w:w="0" w:type="dxa"/>
              <w:right w:w="0" w:type="dxa"/>
            </w:tcMar>
            <w:vAlign w:val="center"/>
          </w:tcPr>
          <w:p w14:paraId="5C50B96D">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GB/T 12706.2</w:t>
            </w:r>
          </w:p>
        </w:tc>
      </w:tr>
      <w:tr w14:paraId="7EC3C4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Mar>
              <w:left w:w="0" w:type="dxa"/>
              <w:right w:w="0" w:type="dxa"/>
            </w:tcMar>
            <w:vAlign w:val="center"/>
          </w:tcPr>
          <w:p w14:paraId="2C4004CF">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2</w:t>
            </w:r>
          </w:p>
        </w:tc>
        <w:tc>
          <w:tcPr>
            <w:tcW w:w="4458" w:type="dxa"/>
            <w:tcMar>
              <w:left w:w="0" w:type="dxa"/>
              <w:right w:w="0" w:type="dxa"/>
            </w:tcMar>
            <w:vAlign w:val="center"/>
          </w:tcPr>
          <w:p w14:paraId="7A4D711F">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局部放电试验</w:t>
            </w:r>
          </w:p>
        </w:tc>
        <w:tc>
          <w:tcPr>
            <w:tcW w:w="4458" w:type="dxa"/>
            <w:tcMar>
              <w:left w:w="0" w:type="dxa"/>
              <w:right w:w="0" w:type="dxa"/>
            </w:tcMar>
            <w:vAlign w:val="center"/>
          </w:tcPr>
          <w:p w14:paraId="36A90759">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GB/T 3048.12</w:t>
            </w:r>
          </w:p>
        </w:tc>
      </w:tr>
      <w:tr w14:paraId="6AC37B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Mar>
              <w:left w:w="0" w:type="dxa"/>
              <w:right w:w="0" w:type="dxa"/>
            </w:tcMar>
            <w:vAlign w:val="center"/>
          </w:tcPr>
          <w:p w14:paraId="4B3CD190">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3</w:t>
            </w:r>
          </w:p>
        </w:tc>
        <w:tc>
          <w:tcPr>
            <w:tcW w:w="4458" w:type="dxa"/>
            <w:tcMar>
              <w:left w:w="0" w:type="dxa"/>
              <w:right w:w="0" w:type="dxa"/>
            </w:tcMar>
            <w:vAlign w:val="center"/>
          </w:tcPr>
          <w:p w14:paraId="6FF56A9B">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4h交流电压试验</w:t>
            </w:r>
          </w:p>
        </w:tc>
        <w:tc>
          <w:tcPr>
            <w:tcW w:w="4458" w:type="dxa"/>
            <w:tcMar>
              <w:left w:w="0" w:type="dxa"/>
              <w:right w:w="0" w:type="dxa"/>
            </w:tcMar>
            <w:vAlign w:val="center"/>
          </w:tcPr>
          <w:p w14:paraId="1F913152">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GB/T 3048.8</w:t>
            </w:r>
          </w:p>
        </w:tc>
      </w:tr>
      <w:tr w14:paraId="0311C8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Mar>
              <w:left w:w="0" w:type="dxa"/>
              <w:right w:w="0" w:type="dxa"/>
            </w:tcMar>
            <w:vAlign w:val="center"/>
          </w:tcPr>
          <w:p w14:paraId="0A6A2704">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4</w:t>
            </w:r>
          </w:p>
        </w:tc>
        <w:tc>
          <w:tcPr>
            <w:tcW w:w="4458" w:type="dxa"/>
            <w:tcMar>
              <w:left w:w="0" w:type="dxa"/>
              <w:right w:w="0" w:type="dxa"/>
            </w:tcMar>
            <w:vAlign w:val="center"/>
          </w:tcPr>
          <w:p w14:paraId="466A910C">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热延伸试验</w:t>
            </w:r>
          </w:p>
        </w:tc>
        <w:tc>
          <w:tcPr>
            <w:tcW w:w="4458" w:type="dxa"/>
            <w:tcMar>
              <w:left w:w="0" w:type="dxa"/>
              <w:right w:w="0" w:type="dxa"/>
            </w:tcMar>
            <w:vAlign w:val="center"/>
          </w:tcPr>
          <w:p w14:paraId="52173368">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GB/T 2951.18</w:t>
            </w:r>
          </w:p>
        </w:tc>
      </w:tr>
      <w:tr w14:paraId="08E98D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Mar>
              <w:left w:w="0" w:type="dxa"/>
              <w:right w:w="0" w:type="dxa"/>
            </w:tcMar>
            <w:vAlign w:val="center"/>
          </w:tcPr>
          <w:p w14:paraId="2966224F">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5</w:t>
            </w:r>
          </w:p>
        </w:tc>
        <w:tc>
          <w:tcPr>
            <w:tcW w:w="4458" w:type="dxa"/>
            <w:tcMar>
              <w:left w:w="0" w:type="dxa"/>
              <w:right w:w="0" w:type="dxa"/>
            </w:tcMar>
            <w:vAlign w:val="center"/>
          </w:tcPr>
          <w:p w14:paraId="24832A05">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外半导电层剥离试验</w:t>
            </w:r>
          </w:p>
        </w:tc>
        <w:tc>
          <w:tcPr>
            <w:tcW w:w="4458" w:type="dxa"/>
            <w:tcMar>
              <w:left w:w="0" w:type="dxa"/>
              <w:right w:w="0" w:type="dxa"/>
            </w:tcMar>
            <w:vAlign w:val="center"/>
          </w:tcPr>
          <w:p w14:paraId="46EC9369">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GB/T 12706.1</w:t>
            </w:r>
          </w:p>
        </w:tc>
      </w:tr>
      <w:tr w14:paraId="3BC26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Mar>
              <w:left w:w="0" w:type="dxa"/>
              <w:right w:w="0" w:type="dxa"/>
            </w:tcMar>
            <w:vAlign w:val="center"/>
          </w:tcPr>
          <w:p w14:paraId="5E291C3C">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6</w:t>
            </w:r>
          </w:p>
        </w:tc>
        <w:tc>
          <w:tcPr>
            <w:tcW w:w="4458" w:type="dxa"/>
            <w:tcMar>
              <w:left w:w="0" w:type="dxa"/>
              <w:right w:w="0" w:type="dxa"/>
            </w:tcMar>
            <w:vAlign w:val="center"/>
          </w:tcPr>
          <w:p w14:paraId="2C15E662">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隔离套工频耐压15kV/1min</w:t>
            </w:r>
          </w:p>
        </w:tc>
        <w:tc>
          <w:tcPr>
            <w:tcW w:w="4458" w:type="dxa"/>
            <w:tcMar>
              <w:left w:w="0" w:type="dxa"/>
              <w:right w:w="0" w:type="dxa"/>
            </w:tcMar>
            <w:vAlign w:val="center"/>
          </w:tcPr>
          <w:p w14:paraId="1A04D117">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GB 2952.1</w:t>
            </w:r>
          </w:p>
        </w:tc>
      </w:tr>
      <w:tr w14:paraId="75E0F3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tcMar>
              <w:left w:w="0" w:type="dxa"/>
              <w:right w:w="0" w:type="dxa"/>
            </w:tcMar>
            <w:vAlign w:val="center"/>
          </w:tcPr>
          <w:p w14:paraId="01E667B0">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7</w:t>
            </w:r>
          </w:p>
        </w:tc>
        <w:tc>
          <w:tcPr>
            <w:tcW w:w="4458" w:type="dxa"/>
            <w:tcMar>
              <w:left w:w="0" w:type="dxa"/>
              <w:right w:w="0" w:type="dxa"/>
            </w:tcMar>
            <w:vAlign w:val="center"/>
          </w:tcPr>
          <w:p w14:paraId="372C70FF">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导体直流电阻测量</w:t>
            </w:r>
          </w:p>
        </w:tc>
        <w:tc>
          <w:tcPr>
            <w:tcW w:w="4458" w:type="dxa"/>
            <w:tcMar>
              <w:left w:w="0" w:type="dxa"/>
              <w:right w:w="0" w:type="dxa"/>
            </w:tcMar>
            <w:vAlign w:val="center"/>
          </w:tcPr>
          <w:p w14:paraId="001C9156">
            <w:pPr>
              <w:tabs>
                <w:tab w:val="left" w:pos="6840"/>
              </w:tabs>
              <w:overflowPunct w:val="0"/>
              <w:topLinePunct/>
              <w:snapToGrid w:val="0"/>
              <w:spacing w:after="60" w:line="240" w:lineRule="auto"/>
              <w:jc w:val="center"/>
              <w:rPr>
                <w:rFonts w:ascii="楷体_GB2312" w:eastAsia="楷体_GB2312"/>
                <w:spacing w:val="5"/>
                <w:sz w:val="21"/>
                <w:szCs w:val="24"/>
                <w:lang w:val="en-US"/>
              </w:rPr>
            </w:pPr>
            <w:r>
              <w:rPr>
                <w:rFonts w:ascii="楷体_GB2312" w:eastAsia="楷体_GB2312"/>
                <w:spacing w:val="5"/>
                <w:sz w:val="21"/>
                <w:szCs w:val="24"/>
                <w:lang w:val="en-US"/>
              </w:rPr>
              <w:t>GB/T 12706.2</w:t>
            </w:r>
          </w:p>
        </w:tc>
      </w:tr>
    </w:tbl>
    <w:p w14:paraId="5C62C430">
      <w:pPr>
        <w:topLinePunct/>
        <w:spacing w:beforeLines="50" w:line="440" w:lineRule="exact"/>
        <w:rPr>
          <w:rFonts w:ascii="楷体_GB2312" w:eastAsia="楷体_GB2312"/>
          <w:spacing w:val="5"/>
          <w:sz w:val="21"/>
          <w:szCs w:val="24"/>
          <w:lang w:val="en-US"/>
        </w:rPr>
      </w:pPr>
      <w:bookmarkStart w:id="50" w:name="_Toc247620591"/>
      <w:r>
        <w:rPr>
          <w:rFonts w:hint="eastAsia" w:ascii="楷体_GB2312" w:eastAsia="楷体_GB2312"/>
          <w:spacing w:val="5"/>
          <w:sz w:val="21"/>
          <w:szCs w:val="24"/>
          <w:lang w:val="en-US" w:eastAsia="zh-CN"/>
        </w:rPr>
        <w:t>6</w:t>
      </w:r>
      <w:r>
        <w:rPr>
          <w:rFonts w:ascii="楷体_GB2312" w:eastAsia="楷体_GB2312"/>
          <w:spacing w:val="5"/>
          <w:sz w:val="21"/>
          <w:szCs w:val="24"/>
          <w:lang w:val="en-US"/>
        </w:rPr>
        <w:t>.4　型式试验</w:t>
      </w:r>
      <w:bookmarkEnd w:id="50"/>
    </w:p>
    <w:p w14:paraId="558D20AD">
      <w:pPr>
        <w:tabs>
          <w:tab w:val="left" w:pos="6840"/>
        </w:tabs>
        <w:overflowPunct w:val="0"/>
        <w:topLinePunct/>
        <w:spacing w:line="440" w:lineRule="exact"/>
        <w:rPr>
          <w:rFonts w:ascii="楷体_GB2312" w:eastAsia="楷体_GB2312"/>
          <w:spacing w:val="5"/>
          <w:sz w:val="21"/>
          <w:szCs w:val="24"/>
          <w:lang w:val="en-US" w:eastAsia="zh-CN"/>
        </w:rPr>
      </w:pPr>
      <w:r>
        <w:rPr>
          <w:rFonts w:ascii="楷体_GB2312" w:eastAsia="楷体_GB2312"/>
          <w:spacing w:val="5"/>
          <w:sz w:val="21"/>
          <w:szCs w:val="24"/>
          <w:lang w:val="en-US"/>
        </w:rPr>
        <w:t>如卖方已对相同型号的电缆按同一标准进行过型式试验，并且符合1.2.4条</w:t>
      </w:r>
      <w:r>
        <w:rPr>
          <w:rFonts w:hint="eastAsia" w:ascii="楷体_GB2312" w:eastAsia="楷体_GB2312"/>
          <w:spacing w:val="5"/>
          <w:sz w:val="21"/>
          <w:szCs w:val="24"/>
          <w:lang w:val="en-US"/>
        </w:rPr>
        <w:t>的</w:t>
      </w:r>
      <w:r>
        <w:rPr>
          <w:rFonts w:ascii="楷体_GB2312" w:eastAsia="楷体_GB2312"/>
          <w:spacing w:val="5"/>
          <w:sz w:val="21"/>
          <w:szCs w:val="24"/>
          <w:lang w:val="en-US"/>
        </w:rPr>
        <w:t>规定，则可用检测报告代替。如不符合，买方有权要求卖方到国家电网公司认可</w:t>
      </w:r>
      <w:r>
        <w:rPr>
          <w:rFonts w:hint="eastAsia" w:ascii="楷体_GB2312" w:eastAsia="楷体_GB2312"/>
          <w:spacing w:val="5"/>
          <w:sz w:val="21"/>
          <w:szCs w:val="24"/>
          <w:lang w:val="en-US"/>
        </w:rPr>
        <w:t>的</w:t>
      </w:r>
      <w:r>
        <w:rPr>
          <w:rFonts w:ascii="楷体_GB2312" w:eastAsia="楷体_GB2312"/>
          <w:spacing w:val="5"/>
          <w:sz w:val="21"/>
          <w:szCs w:val="24"/>
          <w:lang w:val="en-US"/>
        </w:rPr>
        <w:t>具有资质的第三方权威检测机构重做型式试验，费用由卖方负责。重做的型式试验应按GB/T 12706及本要求进行。</w:t>
      </w:r>
    </w:p>
    <w:p w14:paraId="2F3178BE">
      <w:pPr>
        <w:topLinePunct/>
        <w:spacing w:line="440" w:lineRule="exact"/>
        <w:rPr>
          <w:rFonts w:ascii="楷体_GB2312" w:eastAsia="楷体_GB2312"/>
          <w:spacing w:val="5"/>
          <w:sz w:val="21"/>
          <w:szCs w:val="24"/>
          <w:lang w:val="en-US"/>
        </w:rPr>
      </w:pPr>
      <w:bookmarkStart w:id="51" w:name="_Toc247620592"/>
      <w:r>
        <w:rPr>
          <w:rFonts w:hint="eastAsia" w:ascii="楷体_GB2312" w:eastAsia="楷体_GB2312"/>
          <w:spacing w:val="5"/>
          <w:sz w:val="21"/>
          <w:szCs w:val="24"/>
          <w:lang w:val="en-US" w:eastAsia="zh-CN"/>
        </w:rPr>
        <w:t>6</w:t>
      </w:r>
      <w:r>
        <w:rPr>
          <w:rFonts w:ascii="楷体_GB2312" w:eastAsia="楷体_GB2312"/>
          <w:spacing w:val="5"/>
          <w:sz w:val="21"/>
          <w:szCs w:val="24"/>
          <w:lang w:val="en-US"/>
        </w:rPr>
        <w:t>.5　安装后的电气试验</w:t>
      </w:r>
      <w:bookmarkEnd w:id="51"/>
    </w:p>
    <w:p w14:paraId="15707B44">
      <w:pPr>
        <w:tabs>
          <w:tab w:val="left" w:pos="6840"/>
        </w:tabs>
        <w:overflowPunct w:val="0"/>
        <w:topLinePunct/>
        <w:spacing w:line="440" w:lineRule="exact"/>
        <w:rPr>
          <w:rFonts w:ascii="楷体_GB2312" w:eastAsia="楷体_GB2312"/>
          <w:spacing w:val="5"/>
          <w:sz w:val="21"/>
          <w:szCs w:val="24"/>
          <w:lang w:val="en-US" w:eastAsia="zh-CN"/>
        </w:rPr>
      </w:pPr>
      <w:r>
        <w:rPr>
          <w:rFonts w:ascii="楷体_GB2312" w:eastAsia="楷体_GB2312"/>
          <w:spacing w:val="5"/>
          <w:sz w:val="21"/>
          <w:szCs w:val="24"/>
          <w:lang w:val="en-US"/>
        </w:rPr>
        <w:t>主绝缘交流电压试验：在导体和金属屏蔽间施加20Hz～300Hz交流电压</w:t>
      </w:r>
      <w:r>
        <w:rPr>
          <w:rFonts w:hint="eastAsia" w:ascii="楷体_GB2312" w:eastAsia="楷体_GB2312"/>
          <w:spacing w:val="5"/>
          <w:sz w:val="21"/>
          <w:szCs w:val="24"/>
          <w:lang w:val="en-US"/>
        </w:rPr>
        <w:t>，</w:t>
      </w:r>
      <w:r>
        <w:rPr>
          <w:rFonts w:ascii="楷体_GB2312" w:eastAsia="楷体_GB2312"/>
          <w:spacing w:val="5"/>
          <w:sz w:val="21"/>
          <w:szCs w:val="24"/>
          <w:lang w:val="en-US"/>
        </w:rPr>
        <w:t>2.5U</w:t>
      </w:r>
      <w:r>
        <w:rPr>
          <w:rFonts w:hint="eastAsia" w:ascii="楷体_GB2312" w:eastAsia="楷体_GB2312"/>
          <w:spacing w:val="5"/>
          <w:sz w:val="21"/>
          <w:szCs w:val="24"/>
          <w:lang w:val="en-US"/>
        </w:rPr>
        <w:t>0、</w:t>
      </w:r>
      <w:r>
        <w:rPr>
          <w:rFonts w:ascii="楷体_GB2312" w:eastAsia="楷体_GB2312"/>
          <w:spacing w:val="5"/>
          <w:sz w:val="21"/>
          <w:szCs w:val="24"/>
          <w:lang w:val="en-US"/>
        </w:rPr>
        <w:t>5min或2.0U</w:t>
      </w:r>
      <w:r>
        <w:rPr>
          <w:rFonts w:hint="eastAsia" w:ascii="楷体_GB2312" w:eastAsia="楷体_GB2312"/>
          <w:spacing w:val="5"/>
          <w:sz w:val="21"/>
          <w:szCs w:val="24"/>
          <w:lang w:val="en-US"/>
        </w:rPr>
        <w:t>0、</w:t>
      </w:r>
      <w:r>
        <w:rPr>
          <w:rFonts w:ascii="楷体_GB2312" w:eastAsia="楷体_GB2312"/>
          <w:spacing w:val="5"/>
          <w:sz w:val="21"/>
          <w:szCs w:val="24"/>
          <w:lang w:val="en-US"/>
        </w:rPr>
        <w:t>1h</w:t>
      </w:r>
      <w:r>
        <w:rPr>
          <w:rFonts w:hint="eastAsia" w:ascii="楷体_GB2312" w:eastAsia="楷体_GB2312"/>
          <w:spacing w:val="5"/>
          <w:sz w:val="21"/>
          <w:szCs w:val="24"/>
          <w:lang w:val="en-US"/>
        </w:rPr>
        <w:t>，</w:t>
      </w:r>
      <w:r>
        <w:rPr>
          <w:rFonts w:ascii="楷体_GB2312" w:eastAsia="楷体_GB2312"/>
          <w:spacing w:val="5"/>
          <w:sz w:val="21"/>
          <w:szCs w:val="24"/>
          <w:lang w:val="en-US"/>
        </w:rPr>
        <w:t>绝缘不击穿。</w:t>
      </w:r>
    </w:p>
    <w:bookmarkEnd w:id="12"/>
    <w:p w14:paraId="2AE28666">
      <w:pPr>
        <w:rPr>
          <w:lang w:val="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1004"/>
        </w:tabs>
        <w:ind w:left="1004"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I0MzAxOTExYzllNWViYjA1MTgzZTA1ZGIwZDZiYWMifQ=="/>
  </w:docVars>
  <w:rsids>
    <w:rsidRoot w:val="0064689F"/>
    <w:rsid w:val="00000F70"/>
    <w:rsid w:val="000015C3"/>
    <w:rsid w:val="000035FA"/>
    <w:rsid w:val="00004598"/>
    <w:rsid w:val="00004F96"/>
    <w:rsid w:val="00007405"/>
    <w:rsid w:val="00007689"/>
    <w:rsid w:val="0001227C"/>
    <w:rsid w:val="00012AD3"/>
    <w:rsid w:val="000136C2"/>
    <w:rsid w:val="00014A45"/>
    <w:rsid w:val="00014F4B"/>
    <w:rsid w:val="0001556A"/>
    <w:rsid w:val="000164BC"/>
    <w:rsid w:val="000223E3"/>
    <w:rsid w:val="00022C00"/>
    <w:rsid w:val="00023225"/>
    <w:rsid w:val="000246F9"/>
    <w:rsid w:val="00025ACC"/>
    <w:rsid w:val="0003049D"/>
    <w:rsid w:val="000317EC"/>
    <w:rsid w:val="00032B6B"/>
    <w:rsid w:val="000343F7"/>
    <w:rsid w:val="000368E5"/>
    <w:rsid w:val="00036DB4"/>
    <w:rsid w:val="00040278"/>
    <w:rsid w:val="00042AA0"/>
    <w:rsid w:val="00042CBB"/>
    <w:rsid w:val="000432EF"/>
    <w:rsid w:val="000438AE"/>
    <w:rsid w:val="00043E8E"/>
    <w:rsid w:val="00043FA9"/>
    <w:rsid w:val="00045134"/>
    <w:rsid w:val="000457F4"/>
    <w:rsid w:val="00046BF1"/>
    <w:rsid w:val="000502B0"/>
    <w:rsid w:val="000504CD"/>
    <w:rsid w:val="0005054B"/>
    <w:rsid w:val="000511D9"/>
    <w:rsid w:val="0005365A"/>
    <w:rsid w:val="00053ECF"/>
    <w:rsid w:val="0005432F"/>
    <w:rsid w:val="00056A50"/>
    <w:rsid w:val="00057A3D"/>
    <w:rsid w:val="00061E58"/>
    <w:rsid w:val="000632F7"/>
    <w:rsid w:val="00066909"/>
    <w:rsid w:val="00066F35"/>
    <w:rsid w:val="00067E22"/>
    <w:rsid w:val="0007336D"/>
    <w:rsid w:val="000736F5"/>
    <w:rsid w:val="00074D7B"/>
    <w:rsid w:val="00074F29"/>
    <w:rsid w:val="000752D3"/>
    <w:rsid w:val="00075305"/>
    <w:rsid w:val="0007695F"/>
    <w:rsid w:val="000815DC"/>
    <w:rsid w:val="00082FC7"/>
    <w:rsid w:val="00083376"/>
    <w:rsid w:val="00090338"/>
    <w:rsid w:val="00091287"/>
    <w:rsid w:val="000912AD"/>
    <w:rsid w:val="000913CC"/>
    <w:rsid w:val="00091A04"/>
    <w:rsid w:val="00091FBB"/>
    <w:rsid w:val="000931BA"/>
    <w:rsid w:val="00093541"/>
    <w:rsid w:val="00095558"/>
    <w:rsid w:val="00095AB4"/>
    <w:rsid w:val="0009624B"/>
    <w:rsid w:val="00097235"/>
    <w:rsid w:val="00097FA6"/>
    <w:rsid w:val="000A2DE5"/>
    <w:rsid w:val="000A40F0"/>
    <w:rsid w:val="000A64EE"/>
    <w:rsid w:val="000B00ED"/>
    <w:rsid w:val="000B12C4"/>
    <w:rsid w:val="000B1369"/>
    <w:rsid w:val="000B20E0"/>
    <w:rsid w:val="000B37F9"/>
    <w:rsid w:val="000C0335"/>
    <w:rsid w:val="000C1355"/>
    <w:rsid w:val="000C1525"/>
    <w:rsid w:val="000C16F5"/>
    <w:rsid w:val="000C1E10"/>
    <w:rsid w:val="000C1F1A"/>
    <w:rsid w:val="000C22FE"/>
    <w:rsid w:val="000C3074"/>
    <w:rsid w:val="000C4F6F"/>
    <w:rsid w:val="000C5187"/>
    <w:rsid w:val="000C551A"/>
    <w:rsid w:val="000C6451"/>
    <w:rsid w:val="000C725A"/>
    <w:rsid w:val="000C75A8"/>
    <w:rsid w:val="000C76D9"/>
    <w:rsid w:val="000D02EA"/>
    <w:rsid w:val="000D0444"/>
    <w:rsid w:val="000D17DC"/>
    <w:rsid w:val="000D20BB"/>
    <w:rsid w:val="000D2D0C"/>
    <w:rsid w:val="000D4859"/>
    <w:rsid w:val="000E0106"/>
    <w:rsid w:val="000E2B7A"/>
    <w:rsid w:val="000E3F50"/>
    <w:rsid w:val="000E6FD0"/>
    <w:rsid w:val="000F0D6A"/>
    <w:rsid w:val="000F0FA7"/>
    <w:rsid w:val="000F3909"/>
    <w:rsid w:val="000F39E2"/>
    <w:rsid w:val="000F41B8"/>
    <w:rsid w:val="000F428F"/>
    <w:rsid w:val="000F5C78"/>
    <w:rsid w:val="000F5C9C"/>
    <w:rsid w:val="000F694C"/>
    <w:rsid w:val="000F7BBA"/>
    <w:rsid w:val="00100530"/>
    <w:rsid w:val="00101C9D"/>
    <w:rsid w:val="00103478"/>
    <w:rsid w:val="0010533C"/>
    <w:rsid w:val="001054D3"/>
    <w:rsid w:val="00107669"/>
    <w:rsid w:val="0011416A"/>
    <w:rsid w:val="0011532A"/>
    <w:rsid w:val="001156AB"/>
    <w:rsid w:val="00115DD3"/>
    <w:rsid w:val="00116D39"/>
    <w:rsid w:val="00117605"/>
    <w:rsid w:val="00120FA6"/>
    <w:rsid w:val="00121DA6"/>
    <w:rsid w:val="001227C0"/>
    <w:rsid w:val="001249D2"/>
    <w:rsid w:val="00126B22"/>
    <w:rsid w:val="00127C58"/>
    <w:rsid w:val="00127F9B"/>
    <w:rsid w:val="001306F9"/>
    <w:rsid w:val="00131190"/>
    <w:rsid w:val="00132074"/>
    <w:rsid w:val="001330FC"/>
    <w:rsid w:val="00134747"/>
    <w:rsid w:val="00134832"/>
    <w:rsid w:val="00135660"/>
    <w:rsid w:val="00136C7D"/>
    <w:rsid w:val="00137BF8"/>
    <w:rsid w:val="00140A90"/>
    <w:rsid w:val="00142B0E"/>
    <w:rsid w:val="00143FC1"/>
    <w:rsid w:val="00144FD7"/>
    <w:rsid w:val="00150856"/>
    <w:rsid w:val="0015149D"/>
    <w:rsid w:val="00153E4D"/>
    <w:rsid w:val="00154FFA"/>
    <w:rsid w:val="00155709"/>
    <w:rsid w:val="0015698C"/>
    <w:rsid w:val="001571FA"/>
    <w:rsid w:val="00157823"/>
    <w:rsid w:val="00160E0B"/>
    <w:rsid w:val="00161DC7"/>
    <w:rsid w:val="0016224F"/>
    <w:rsid w:val="00163BF7"/>
    <w:rsid w:val="00165BF6"/>
    <w:rsid w:val="0016701D"/>
    <w:rsid w:val="001672D6"/>
    <w:rsid w:val="0016761A"/>
    <w:rsid w:val="00170EA8"/>
    <w:rsid w:val="001715F6"/>
    <w:rsid w:val="001727E3"/>
    <w:rsid w:val="00174B1D"/>
    <w:rsid w:val="00176068"/>
    <w:rsid w:val="001762DC"/>
    <w:rsid w:val="0018301D"/>
    <w:rsid w:val="00183E20"/>
    <w:rsid w:val="00183FBB"/>
    <w:rsid w:val="00184253"/>
    <w:rsid w:val="00185A41"/>
    <w:rsid w:val="001919D0"/>
    <w:rsid w:val="00193E28"/>
    <w:rsid w:val="00196B8E"/>
    <w:rsid w:val="001A13F6"/>
    <w:rsid w:val="001A1441"/>
    <w:rsid w:val="001A3927"/>
    <w:rsid w:val="001A4128"/>
    <w:rsid w:val="001A43E1"/>
    <w:rsid w:val="001A5E5F"/>
    <w:rsid w:val="001A5F3E"/>
    <w:rsid w:val="001A604D"/>
    <w:rsid w:val="001A6342"/>
    <w:rsid w:val="001A66E6"/>
    <w:rsid w:val="001A7F65"/>
    <w:rsid w:val="001B103A"/>
    <w:rsid w:val="001B3675"/>
    <w:rsid w:val="001B4237"/>
    <w:rsid w:val="001B4E5A"/>
    <w:rsid w:val="001B5588"/>
    <w:rsid w:val="001B766E"/>
    <w:rsid w:val="001C14B0"/>
    <w:rsid w:val="001C2052"/>
    <w:rsid w:val="001C225B"/>
    <w:rsid w:val="001C3142"/>
    <w:rsid w:val="001C366C"/>
    <w:rsid w:val="001C462C"/>
    <w:rsid w:val="001C59A6"/>
    <w:rsid w:val="001C6CD7"/>
    <w:rsid w:val="001C6DAF"/>
    <w:rsid w:val="001C77EB"/>
    <w:rsid w:val="001D10EA"/>
    <w:rsid w:val="001D20F9"/>
    <w:rsid w:val="001D2C54"/>
    <w:rsid w:val="001D301F"/>
    <w:rsid w:val="001D45E2"/>
    <w:rsid w:val="001D643D"/>
    <w:rsid w:val="001D663F"/>
    <w:rsid w:val="001D7B12"/>
    <w:rsid w:val="001E00E3"/>
    <w:rsid w:val="001E1142"/>
    <w:rsid w:val="001E1F24"/>
    <w:rsid w:val="001E2157"/>
    <w:rsid w:val="001E21E4"/>
    <w:rsid w:val="001E333C"/>
    <w:rsid w:val="001E4D5C"/>
    <w:rsid w:val="001E55D5"/>
    <w:rsid w:val="001E62EC"/>
    <w:rsid w:val="001E791D"/>
    <w:rsid w:val="001E7D4A"/>
    <w:rsid w:val="001F0B92"/>
    <w:rsid w:val="001F1784"/>
    <w:rsid w:val="001F4734"/>
    <w:rsid w:val="001F4B28"/>
    <w:rsid w:val="001F5F52"/>
    <w:rsid w:val="001F6457"/>
    <w:rsid w:val="002005E1"/>
    <w:rsid w:val="00200C64"/>
    <w:rsid w:val="00200E10"/>
    <w:rsid w:val="00200F4D"/>
    <w:rsid w:val="00201389"/>
    <w:rsid w:val="00201725"/>
    <w:rsid w:val="002018F9"/>
    <w:rsid w:val="00202B98"/>
    <w:rsid w:val="002030CF"/>
    <w:rsid w:val="00203855"/>
    <w:rsid w:val="00203B14"/>
    <w:rsid w:val="00205FE1"/>
    <w:rsid w:val="002066DF"/>
    <w:rsid w:val="002072FE"/>
    <w:rsid w:val="00207B18"/>
    <w:rsid w:val="0021051F"/>
    <w:rsid w:val="002107A9"/>
    <w:rsid w:val="00211870"/>
    <w:rsid w:val="00212C20"/>
    <w:rsid w:val="00212D28"/>
    <w:rsid w:val="002145FE"/>
    <w:rsid w:val="00214613"/>
    <w:rsid w:val="002162DD"/>
    <w:rsid w:val="0021635A"/>
    <w:rsid w:val="00216E28"/>
    <w:rsid w:val="00217CFC"/>
    <w:rsid w:val="00222622"/>
    <w:rsid w:val="002233DB"/>
    <w:rsid w:val="002241DE"/>
    <w:rsid w:val="00225272"/>
    <w:rsid w:val="002262AD"/>
    <w:rsid w:val="00231969"/>
    <w:rsid w:val="00232F83"/>
    <w:rsid w:val="002331C8"/>
    <w:rsid w:val="002342E9"/>
    <w:rsid w:val="00235B11"/>
    <w:rsid w:val="00235C1C"/>
    <w:rsid w:val="00236475"/>
    <w:rsid w:val="002370C6"/>
    <w:rsid w:val="002379FF"/>
    <w:rsid w:val="00240653"/>
    <w:rsid w:val="00241672"/>
    <w:rsid w:val="00242ACA"/>
    <w:rsid w:val="0024489A"/>
    <w:rsid w:val="00244B73"/>
    <w:rsid w:val="00246890"/>
    <w:rsid w:val="002513D2"/>
    <w:rsid w:val="002521DC"/>
    <w:rsid w:val="002527B1"/>
    <w:rsid w:val="00252AAC"/>
    <w:rsid w:val="00252D62"/>
    <w:rsid w:val="00252EFE"/>
    <w:rsid w:val="00255114"/>
    <w:rsid w:val="00256B6B"/>
    <w:rsid w:val="00257001"/>
    <w:rsid w:val="00257430"/>
    <w:rsid w:val="002611B0"/>
    <w:rsid w:val="00261788"/>
    <w:rsid w:val="00263505"/>
    <w:rsid w:val="002671F4"/>
    <w:rsid w:val="002676BB"/>
    <w:rsid w:val="00277011"/>
    <w:rsid w:val="00277072"/>
    <w:rsid w:val="002774B0"/>
    <w:rsid w:val="00277860"/>
    <w:rsid w:val="0027791B"/>
    <w:rsid w:val="00277F2E"/>
    <w:rsid w:val="00280E93"/>
    <w:rsid w:val="002812D2"/>
    <w:rsid w:val="00281795"/>
    <w:rsid w:val="00282ADD"/>
    <w:rsid w:val="00283398"/>
    <w:rsid w:val="00284B87"/>
    <w:rsid w:val="00285971"/>
    <w:rsid w:val="00285FD4"/>
    <w:rsid w:val="002903BD"/>
    <w:rsid w:val="0029044F"/>
    <w:rsid w:val="00291165"/>
    <w:rsid w:val="00292118"/>
    <w:rsid w:val="0029244C"/>
    <w:rsid w:val="002927DC"/>
    <w:rsid w:val="002929FA"/>
    <w:rsid w:val="00292CA6"/>
    <w:rsid w:val="00293925"/>
    <w:rsid w:val="00293CBD"/>
    <w:rsid w:val="00294FE9"/>
    <w:rsid w:val="0029559A"/>
    <w:rsid w:val="00296387"/>
    <w:rsid w:val="00297025"/>
    <w:rsid w:val="002A1EAC"/>
    <w:rsid w:val="002A2352"/>
    <w:rsid w:val="002A28AE"/>
    <w:rsid w:val="002A3B94"/>
    <w:rsid w:val="002A3C9B"/>
    <w:rsid w:val="002A49CC"/>
    <w:rsid w:val="002A622A"/>
    <w:rsid w:val="002A6A44"/>
    <w:rsid w:val="002B0BDD"/>
    <w:rsid w:val="002B1E35"/>
    <w:rsid w:val="002B539C"/>
    <w:rsid w:val="002B6572"/>
    <w:rsid w:val="002C02B1"/>
    <w:rsid w:val="002C25A2"/>
    <w:rsid w:val="002C295F"/>
    <w:rsid w:val="002C3027"/>
    <w:rsid w:val="002C3EEA"/>
    <w:rsid w:val="002C4D22"/>
    <w:rsid w:val="002C5419"/>
    <w:rsid w:val="002C7BC3"/>
    <w:rsid w:val="002D0518"/>
    <w:rsid w:val="002D0F64"/>
    <w:rsid w:val="002D27E6"/>
    <w:rsid w:val="002D3A1B"/>
    <w:rsid w:val="002D60D0"/>
    <w:rsid w:val="002D7966"/>
    <w:rsid w:val="002E0BDA"/>
    <w:rsid w:val="002E223B"/>
    <w:rsid w:val="002E22C2"/>
    <w:rsid w:val="002E2482"/>
    <w:rsid w:val="002E2F02"/>
    <w:rsid w:val="002F01D0"/>
    <w:rsid w:val="002F05B6"/>
    <w:rsid w:val="002F4A27"/>
    <w:rsid w:val="002F4E33"/>
    <w:rsid w:val="002F7247"/>
    <w:rsid w:val="002F7A4F"/>
    <w:rsid w:val="002F7B28"/>
    <w:rsid w:val="003006E9"/>
    <w:rsid w:val="0030070D"/>
    <w:rsid w:val="00302D63"/>
    <w:rsid w:val="00303A76"/>
    <w:rsid w:val="0030470B"/>
    <w:rsid w:val="0030490A"/>
    <w:rsid w:val="003050C4"/>
    <w:rsid w:val="00305CA6"/>
    <w:rsid w:val="00305EF8"/>
    <w:rsid w:val="00307685"/>
    <w:rsid w:val="00310519"/>
    <w:rsid w:val="00310576"/>
    <w:rsid w:val="00310B08"/>
    <w:rsid w:val="00310DBA"/>
    <w:rsid w:val="00312023"/>
    <w:rsid w:val="00312E66"/>
    <w:rsid w:val="003156BC"/>
    <w:rsid w:val="00317F75"/>
    <w:rsid w:val="00320882"/>
    <w:rsid w:val="00321360"/>
    <w:rsid w:val="00321591"/>
    <w:rsid w:val="0032195C"/>
    <w:rsid w:val="0032277E"/>
    <w:rsid w:val="00323A3A"/>
    <w:rsid w:val="00327144"/>
    <w:rsid w:val="0032736C"/>
    <w:rsid w:val="00327CC5"/>
    <w:rsid w:val="00330DC4"/>
    <w:rsid w:val="0033113B"/>
    <w:rsid w:val="00331A57"/>
    <w:rsid w:val="00334068"/>
    <w:rsid w:val="00335213"/>
    <w:rsid w:val="00335C22"/>
    <w:rsid w:val="00335F8D"/>
    <w:rsid w:val="0033606F"/>
    <w:rsid w:val="00337553"/>
    <w:rsid w:val="00337F93"/>
    <w:rsid w:val="00341997"/>
    <w:rsid w:val="003423EE"/>
    <w:rsid w:val="00347CD9"/>
    <w:rsid w:val="00350278"/>
    <w:rsid w:val="00350842"/>
    <w:rsid w:val="003518E4"/>
    <w:rsid w:val="0035310C"/>
    <w:rsid w:val="003535AA"/>
    <w:rsid w:val="00353FB4"/>
    <w:rsid w:val="003540C3"/>
    <w:rsid w:val="0036523F"/>
    <w:rsid w:val="0036545F"/>
    <w:rsid w:val="00365EC4"/>
    <w:rsid w:val="00366E20"/>
    <w:rsid w:val="0036741D"/>
    <w:rsid w:val="00371356"/>
    <w:rsid w:val="00371460"/>
    <w:rsid w:val="00371535"/>
    <w:rsid w:val="00372168"/>
    <w:rsid w:val="00372AB9"/>
    <w:rsid w:val="0037330F"/>
    <w:rsid w:val="00373B0C"/>
    <w:rsid w:val="003744DF"/>
    <w:rsid w:val="00374675"/>
    <w:rsid w:val="003764E5"/>
    <w:rsid w:val="00376B6F"/>
    <w:rsid w:val="003774EE"/>
    <w:rsid w:val="003801CB"/>
    <w:rsid w:val="003813FD"/>
    <w:rsid w:val="003815FB"/>
    <w:rsid w:val="0038168A"/>
    <w:rsid w:val="003822D1"/>
    <w:rsid w:val="00386E86"/>
    <w:rsid w:val="00390427"/>
    <w:rsid w:val="00390EFD"/>
    <w:rsid w:val="00391BA9"/>
    <w:rsid w:val="0039203D"/>
    <w:rsid w:val="00394E0E"/>
    <w:rsid w:val="0039658F"/>
    <w:rsid w:val="003A0B15"/>
    <w:rsid w:val="003A14BA"/>
    <w:rsid w:val="003A2A2D"/>
    <w:rsid w:val="003A2DE2"/>
    <w:rsid w:val="003B17F6"/>
    <w:rsid w:val="003B1E94"/>
    <w:rsid w:val="003B20FE"/>
    <w:rsid w:val="003B40F3"/>
    <w:rsid w:val="003B44BD"/>
    <w:rsid w:val="003B4701"/>
    <w:rsid w:val="003B6BEA"/>
    <w:rsid w:val="003B7922"/>
    <w:rsid w:val="003B7EB5"/>
    <w:rsid w:val="003C135E"/>
    <w:rsid w:val="003C18AC"/>
    <w:rsid w:val="003C1A83"/>
    <w:rsid w:val="003C1E06"/>
    <w:rsid w:val="003C54E3"/>
    <w:rsid w:val="003C66C9"/>
    <w:rsid w:val="003D138F"/>
    <w:rsid w:val="003D1477"/>
    <w:rsid w:val="003D4BE8"/>
    <w:rsid w:val="003D5016"/>
    <w:rsid w:val="003D5D18"/>
    <w:rsid w:val="003D735F"/>
    <w:rsid w:val="003E0D70"/>
    <w:rsid w:val="003E261C"/>
    <w:rsid w:val="003E6F4A"/>
    <w:rsid w:val="003F17B0"/>
    <w:rsid w:val="003F1FD5"/>
    <w:rsid w:val="003F3369"/>
    <w:rsid w:val="003F5A0E"/>
    <w:rsid w:val="003F66B0"/>
    <w:rsid w:val="003F7D3D"/>
    <w:rsid w:val="003F7EE8"/>
    <w:rsid w:val="0040062A"/>
    <w:rsid w:val="00400C5D"/>
    <w:rsid w:val="004012B5"/>
    <w:rsid w:val="00401599"/>
    <w:rsid w:val="00401C1B"/>
    <w:rsid w:val="00401D9E"/>
    <w:rsid w:val="004028E1"/>
    <w:rsid w:val="00405756"/>
    <w:rsid w:val="00405E90"/>
    <w:rsid w:val="004125FC"/>
    <w:rsid w:val="004160CB"/>
    <w:rsid w:val="00416448"/>
    <w:rsid w:val="00416961"/>
    <w:rsid w:val="00416F58"/>
    <w:rsid w:val="004178EA"/>
    <w:rsid w:val="00420371"/>
    <w:rsid w:val="00420555"/>
    <w:rsid w:val="004206C0"/>
    <w:rsid w:val="00421F8A"/>
    <w:rsid w:val="0042243F"/>
    <w:rsid w:val="00423BF1"/>
    <w:rsid w:val="00423C80"/>
    <w:rsid w:val="004257DC"/>
    <w:rsid w:val="00427884"/>
    <w:rsid w:val="00430599"/>
    <w:rsid w:val="004307E6"/>
    <w:rsid w:val="00430F0B"/>
    <w:rsid w:val="0043567A"/>
    <w:rsid w:val="00435927"/>
    <w:rsid w:val="004359EF"/>
    <w:rsid w:val="0043797E"/>
    <w:rsid w:val="00440B5B"/>
    <w:rsid w:val="00442A08"/>
    <w:rsid w:val="004433B7"/>
    <w:rsid w:val="00444213"/>
    <w:rsid w:val="00444AEE"/>
    <w:rsid w:val="004454F3"/>
    <w:rsid w:val="00446E27"/>
    <w:rsid w:val="004519AC"/>
    <w:rsid w:val="00451B68"/>
    <w:rsid w:val="00451D5A"/>
    <w:rsid w:val="004528DD"/>
    <w:rsid w:val="0045305B"/>
    <w:rsid w:val="00453AC3"/>
    <w:rsid w:val="0045471D"/>
    <w:rsid w:val="00454744"/>
    <w:rsid w:val="00454E8B"/>
    <w:rsid w:val="0045545E"/>
    <w:rsid w:val="00456086"/>
    <w:rsid w:val="00457F5D"/>
    <w:rsid w:val="004606B5"/>
    <w:rsid w:val="004610C6"/>
    <w:rsid w:val="00461A23"/>
    <w:rsid w:val="00461FAE"/>
    <w:rsid w:val="0046289A"/>
    <w:rsid w:val="0046480A"/>
    <w:rsid w:val="00466615"/>
    <w:rsid w:val="004679A8"/>
    <w:rsid w:val="00472749"/>
    <w:rsid w:val="00474366"/>
    <w:rsid w:val="004744BD"/>
    <w:rsid w:val="0047475A"/>
    <w:rsid w:val="00474A0B"/>
    <w:rsid w:val="00475193"/>
    <w:rsid w:val="0047756F"/>
    <w:rsid w:val="00480649"/>
    <w:rsid w:val="00482960"/>
    <w:rsid w:val="00482F8B"/>
    <w:rsid w:val="00483266"/>
    <w:rsid w:val="00483F5D"/>
    <w:rsid w:val="004841D9"/>
    <w:rsid w:val="00485393"/>
    <w:rsid w:val="004925EF"/>
    <w:rsid w:val="00493B05"/>
    <w:rsid w:val="00493FFF"/>
    <w:rsid w:val="004953DA"/>
    <w:rsid w:val="00495749"/>
    <w:rsid w:val="00496263"/>
    <w:rsid w:val="004970E9"/>
    <w:rsid w:val="004972D0"/>
    <w:rsid w:val="004A0186"/>
    <w:rsid w:val="004A06DD"/>
    <w:rsid w:val="004A1240"/>
    <w:rsid w:val="004A2D02"/>
    <w:rsid w:val="004A643D"/>
    <w:rsid w:val="004A6675"/>
    <w:rsid w:val="004B3126"/>
    <w:rsid w:val="004B3CA7"/>
    <w:rsid w:val="004B3CFA"/>
    <w:rsid w:val="004B433F"/>
    <w:rsid w:val="004B4DFB"/>
    <w:rsid w:val="004B6296"/>
    <w:rsid w:val="004C005E"/>
    <w:rsid w:val="004C0704"/>
    <w:rsid w:val="004C1C62"/>
    <w:rsid w:val="004C2170"/>
    <w:rsid w:val="004C2B37"/>
    <w:rsid w:val="004C3A2D"/>
    <w:rsid w:val="004C3EFA"/>
    <w:rsid w:val="004C4867"/>
    <w:rsid w:val="004C6C17"/>
    <w:rsid w:val="004C7736"/>
    <w:rsid w:val="004D1C1F"/>
    <w:rsid w:val="004D31FA"/>
    <w:rsid w:val="004D32ED"/>
    <w:rsid w:val="004D4E3E"/>
    <w:rsid w:val="004D51DF"/>
    <w:rsid w:val="004D737F"/>
    <w:rsid w:val="004D7B5D"/>
    <w:rsid w:val="004D7DFA"/>
    <w:rsid w:val="004E1821"/>
    <w:rsid w:val="004E23B9"/>
    <w:rsid w:val="004E38F7"/>
    <w:rsid w:val="004E4DFB"/>
    <w:rsid w:val="004E5F1D"/>
    <w:rsid w:val="004F1E36"/>
    <w:rsid w:val="004F2A38"/>
    <w:rsid w:val="004F2CD1"/>
    <w:rsid w:val="004F2D3C"/>
    <w:rsid w:val="004F2FC8"/>
    <w:rsid w:val="004F3BA9"/>
    <w:rsid w:val="004F47CD"/>
    <w:rsid w:val="004F4FEC"/>
    <w:rsid w:val="004F539D"/>
    <w:rsid w:val="004F5EBC"/>
    <w:rsid w:val="004F73F5"/>
    <w:rsid w:val="00500291"/>
    <w:rsid w:val="00500661"/>
    <w:rsid w:val="00503B0B"/>
    <w:rsid w:val="0050428B"/>
    <w:rsid w:val="005045B0"/>
    <w:rsid w:val="0050465F"/>
    <w:rsid w:val="00504FE9"/>
    <w:rsid w:val="005056D0"/>
    <w:rsid w:val="00505A1B"/>
    <w:rsid w:val="00505F9F"/>
    <w:rsid w:val="005071F4"/>
    <w:rsid w:val="00510FE2"/>
    <w:rsid w:val="005126F1"/>
    <w:rsid w:val="00512BCF"/>
    <w:rsid w:val="005143E8"/>
    <w:rsid w:val="005151F1"/>
    <w:rsid w:val="00515534"/>
    <w:rsid w:val="00516D19"/>
    <w:rsid w:val="0052023C"/>
    <w:rsid w:val="005205AC"/>
    <w:rsid w:val="005208B1"/>
    <w:rsid w:val="00520FF8"/>
    <w:rsid w:val="0052153D"/>
    <w:rsid w:val="00521944"/>
    <w:rsid w:val="00522196"/>
    <w:rsid w:val="005239BC"/>
    <w:rsid w:val="005256F8"/>
    <w:rsid w:val="00525AB8"/>
    <w:rsid w:val="00526A70"/>
    <w:rsid w:val="0052748E"/>
    <w:rsid w:val="0053037E"/>
    <w:rsid w:val="00530399"/>
    <w:rsid w:val="00530BC4"/>
    <w:rsid w:val="005325F7"/>
    <w:rsid w:val="00535556"/>
    <w:rsid w:val="00535A36"/>
    <w:rsid w:val="00540DA0"/>
    <w:rsid w:val="005412B2"/>
    <w:rsid w:val="00541324"/>
    <w:rsid w:val="005418D3"/>
    <w:rsid w:val="0054253F"/>
    <w:rsid w:val="005435F0"/>
    <w:rsid w:val="00543B38"/>
    <w:rsid w:val="00543DED"/>
    <w:rsid w:val="005457BE"/>
    <w:rsid w:val="00545F2E"/>
    <w:rsid w:val="00546E69"/>
    <w:rsid w:val="00546E8D"/>
    <w:rsid w:val="00547219"/>
    <w:rsid w:val="00547BA8"/>
    <w:rsid w:val="00551C1C"/>
    <w:rsid w:val="00551EDE"/>
    <w:rsid w:val="00552A1F"/>
    <w:rsid w:val="005530A5"/>
    <w:rsid w:val="005559CC"/>
    <w:rsid w:val="00555B2F"/>
    <w:rsid w:val="00556458"/>
    <w:rsid w:val="00556E11"/>
    <w:rsid w:val="00557017"/>
    <w:rsid w:val="00557018"/>
    <w:rsid w:val="00560642"/>
    <w:rsid w:val="0056074D"/>
    <w:rsid w:val="00560F98"/>
    <w:rsid w:val="00561158"/>
    <w:rsid w:val="0056134C"/>
    <w:rsid w:val="005618F7"/>
    <w:rsid w:val="00562F6A"/>
    <w:rsid w:val="00564F39"/>
    <w:rsid w:val="005658AD"/>
    <w:rsid w:val="00566BFB"/>
    <w:rsid w:val="005701B5"/>
    <w:rsid w:val="00570C71"/>
    <w:rsid w:val="005722B2"/>
    <w:rsid w:val="00574FAA"/>
    <w:rsid w:val="005750A5"/>
    <w:rsid w:val="0057598E"/>
    <w:rsid w:val="00581DF8"/>
    <w:rsid w:val="00581FF4"/>
    <w:rsid w:val="00582499"/>
    <w:rsid w:val="00583888"/>
    <w:rsid w:val="00583C0C"/>
    <w:rsid w:val="00585250"/>
    <w:rsid w:val="0059032D"/>
    <w:rsid w:val="00590460"/>
    <w:rsid w:val="00590C11"/>
    <w:rsid w:val="00591CA0"/>
    <w:rsid w:val="00591DFE"/>
    <w:rsid w:val="005920ED"/>
    <w:rsid w:val="005923F7"/>
    <w:rsid w:val="00592E94"/>
    <w:rsid w:val="00593E71"/>
    <w:rsid w:val="005940D8"/>
    <w:rsid w:val="0059415B"/>
    <w:rsid w:val="005942C0"/>
    <w:rsid w:val="00597221"/>
    <w:rsid w:val="00597B2C"/>
    <w:rsid w:val="005A045E"/>
    <w:rsid w:val="005A0731"/>
    <w:rsid w:val="005A1C3E"/>
    <w:rsid w:val="005A1F2D"/>
    <w:rsid w:val="005A3348"/>
    <w:rsid w:val="005A3F58"/>
    <w:rsid w:val="005A50F6"/>
    <w:rsid w:val="005A51B6"/>
    <w:rsid w:val="005A666A"/>
    <w:rsid w:val="005B0382"/>
    <w:rsid w:val="005B0DC1"/>
    <w:rsid w:val="005B1910"/>
    <w:rsid w:val="005B1CED"/>
    <w:rsid w:val="005B37B8"/>
    <w:rsid w:val="005B436B"/>
    <w:rsid w:val="005B4826"/>
    <w:rsid w:val="005B4EB3"/>
    <w:rsid w:val="005B5010"/>
    <w:rsid w:val="005B5967"/>
    <w:rsid w:val="005C0222"/>
    <w:rsid w:val="005C0947"/>
    <w:rsid w:val="005C0A93"/>
    <w:rsid w:val="005C114C"/>
    <w:rsid w:val="005C2F87"/>
    <w:rsid w:val="005C3508"/>
    <w:rsid w:val="005C4549"/>
    <w:rsid w:val="005C5BE9"/>
    <w:rsid w:val="005C650C"/>
    <w:rsid w:val="005D1F82"/>
    <w:rsid w:val="005D2931"/>
    <w:rsid w:val="005D3864"/>
    <w:rsid w:val="005D5399"/>
    <w:rsid w:val="005D5490"/>
    <w:rsid w:val="005D5A14"/>
    <w:rsid w:val="005D655E"/>
    <w:rsid w:val="005E113A"/>
    <w:rsid w:val="005E11A0"/>
    <w:rsid w:val="005E259D"/>
    <w:rsid w:val="005E31A6"/>
    <w:rsid w:val="005E4CD3"/>
    <w:rsid w:val="005E5228"/>
    <w:rsid w:val="005E70BA"/>
    <w:rsid w:val="005F1268"/>
    <w:rsid w:val="005F1642"/>
    <w:rsid w:val="005F1981"/>
    <w:rsid w:val="005F4EBA"/>
    <w:rsid w:val="005F5C8F"/>
    <w:rsid w:val="005F70E5"/>
    <w:rsid w:val="005F732D"/>
    <w:rsid w:val="005F7AED"/>
    <w:rsid w:val="00600B4D"/>
    <w:rsid w:val="00602928"/>
    <w:rsid w:val="0060328E"/>
    <w:rsid w:val="006034CD"/>
    <w:rsid w:val="00603835"/>
    <w:rsid w:val="006048B7"/>
    <w:rsid w:val="00604B5E"/>
    <w:rsid w:val="00605647"/>
    <w:rsid w:val="0060571D"/>
    <w:rsid w:val="006057D5"/>
    <w:rsid w:val="006063E5"/>
    <w:rsid w:val="00606DCE"/>
    <w:rsid w:val="00610757"/>
    <w:rsid w:val="006108E8"/>
    <w:rsid w:val="00610F7B"/>
    <w:rsid w:val="0061288B"/>
    <w:rsid w:val="00612F6D"/>
    <w:rsid w:val="006136E0"/>
    <w:rsid w:val="0061447E"/>
    <w:rsid w:val="006144AA"/>
    <w:rsid w:val="006164C6"/>
    <w:rsid w:val="00616A6B"/>
    <w:rsid w:val="00617398"/>
    <w:rsid w:val="00617D57"/>
    <w:rsid w:val="006206F4"/>
    <w:rsid w:val="006208C3"/>
    <w:rsid w:val="00621037"/>
    <w:rsid w:val="00621EE5"/>
    <w:rsid w:val="00625213"/>
    <w:rsid w:val="00625915"/>
    <w:rsid w:val="00625A62"/>
    <w:rsid w:val="006265C1"/>
    <w:rsid w:val="00626FBA"/>
    <w:rsid w:val="00627534"/>
    <w:rsid w:val="00630CF9"/>
    <w:rsid w:val="00635EFC"/>
    <w:rsid w:val="00637F85"/>
    <w:rsid w:val="00640A9E"/>
    <w:rsid w:val="00641D87"/>
    <w:rsid w:val="00642B81"/>
    <w:rsid w:val="00643ABA"/>
    <w:rsid w:val="0064662B"/>
    <w:rsid w:val="0064689F"/>
    <w:rsid w:val="00647AA0"/>
    <w:rsid w:val="00647B6A"/>
    <w:rsid w:val="00651A53"/>
    <w:rsid w:val="00651F2C"/>
    <w:rsid w:val="0065355C"/>
    <w:rsid w:val="0065443B"/>
    <w:rsid w:val="0065750F"/>
    <w:rsid w:val="00657B89"/>
    <w:rsid w:val="00657ED0"/>
    <w:rsid w:val="00660441"/>
    <w:rsid w:val="00660546"/>
    <w:rsid w:val="006608C4"/>
    <w:rsid w:val="00661729"/>
    <w:rsid w:val="00661F52"/>
    <w:rsid w:val="00662E02"/>
    <w:rsid w:val="006636A3"/>
    <w:rsid w:val="0066401E"/>
    <w:rsid w:val="0066412F"/>
    <w:rsid w:val="006643A6"/>
    <w:rsid w:val="00665074"/>
    <w:rsid w:val="00665173"/>
    <w:rsid w:val="00672702"/>
    <w:rsid w:val="00672EF5"/>
    <w:rsid w:val="00675A79"/>
    <w:rsid w:val="006778A9"/>
    <w:rsid w:val="00681F53"/>
    <w:rsid w:val="00682B4C"/>
    <w:rsid w:val="00682DB8"/>
    <w:rsid w:val="00682DFD"/>
    <w:rsid w:val="00683094"/>
    <w:rsid w:val="00686114"/>
    <w:rsid w:val="00686E3F"/>
    <w:rsid w:val="00687BB6"/>
    <w:rsid w:val="00691C5B"/>
    <w:rsid w:val="006939DD"/>
    <w:rsid w:val="00693F7B"/>
    <w:rsid w:val="00695F10"/>
    <w:rsid w:val="00696CC9"/>
    <w:rsid w:val="00697360"/>
    <w:rsid w:val="006A0591"/>
    <w:rsid w:val="006A0E95"/>
    <w:rsid w:val="006A12D1"/>
    <w:rsid w:val="006A1CC5"/>
    <w:rsid w:val="006A1D10"/>
    <w:rsid w:val="006A22FD"/>
    <w:rsid w:val="006A2855"/>
    <w:rsid w:val="006A3764"/>
    <w:rsid w:val="006A3E22"/>
    <w:rsid w:val="006A4902"/>
    <w:rsid w:val="006A5FBE"/>
    <w:rsid w:val="006B0108"/>
    <w:rsid w:val="006B106A"/>
    <w:rsid w:val="006B142C"/>
    <w:rsid w:val="006B1C70"/>
    <w:rsid w:val="006B24C6"/>
    <w:rsid w:val="006B3B2D"/>
    <w:rsid w:val="006B488A"/>
    <w:rsid w:val="006B4D68"/>
    <w:rsid w:val="006B663A"/>
    <w:rsid w:val="006B6754"/>
    <w:rsid w:val="006B7B26"/>
    <w:rsid w:val="006C3134"/>
    <w:rsid w:val="006C4E60"/>
    <w:rsid w:val="006C67D0"/>
    <w:rsid w:val="006C73AA"/>
    <w:rsid w:val="006D2E16"/>
    <w:rsid w:val="006D4F84"/>
    <w:rsid w:val="006E0A56"/>
    <w:rsid w:val="006E26C9"/>
    <w:rsid w:val="006E326D"/>
    <w:rsid w:val="006E4D7E"/>
    <w:rsid w:val="006E6DFC"/>
    <w:rsid w:val="006F1253"/>
    <w:rsid w:val="006F1F23"/>
    <w:rsid w:val="006F32AB"/>
    <w:rsid w:val="006F3790"/>
    <w:rsid w:val="006F3B73"/>
    <w:rsid w:val="006F5382"/>
    <w:rsid w:val="006F54E0"/>
    <w:rsid w:val="006F78A3"/>
    <w:rsid w:val="006F7B34"/>
    <w:rsid w:val="006F7F55"/>
    <w:rsid w:val="00700B14"/>
    <w:rsid w:val="007046DA"/>
    <w:rsid w:val="00705402"/>
    <w:rsid w:val="00705506"/>
    <w:rsid w:val="00705593"/>
    <w:rsid w:val="0071263C"/>
    <w:rsid w:val="0071329E"/>
    <w:rsid w:val="00714EE3"/>
    <w:rsid w:val="00716215"/>
    <w:rsid w:val="00716F12"/>
    <w:rsid w:val="007170CA"/>
    <w:rsid w:val="0071758E"/>
    <w:rsid w:val="0072180F"/>
    <w:rsid w:val="007232A8"/>
    <w:rsid w:val="00726755"/>
    <w:rsid w:val="00726BF2"/>
    <w:rsid w:val="0073290E"/>
    <w:rsid w:val="00733C50"/>
    <w:rsid w:val="007348E2"/>
    <w:rsid w:val="0073540D"/>
    <w:rsid w:val="007364B7"/>
    <w:rsid w:val="00736A0E"/>
    <w:rsid w:val="0074054A"/>
    <w:rsid w:val="00741634"/>
    <w:rsid w:val="0074345E"/>
    <w:rsid w:val="00744A9F"/>
    <w:rsid w:val="00745CC4"/>
    <w:rsid w:val="007479F8"/>
    <w:rsid w:val="00750972"/>
    <w:rsid w:val="00750CAB"/>
    <w:rsid w:val="00751345"/>
    <w:rsid w:val="00753C9B"/>
    <w:rsid w:val="00753D5B"/>
    <w:rsid w:val="0075404B"/>
    <w:rsid w:val="0075759C"/>
    <w:rsid w:val="00764C6E"/>
    <w:rsid w:val="007656AC"/>
    <w:rsid w:val="0076605A"/>
    <w:rsid w:val="007662BC"/>
    <w:rsid w:val="00770E35"/>
    <w:rsid w:val="00770ECD"/>
    <w:rsid w:val="00771187"/>
    <w:rsid w:val="00773E5B"/>
    <w:rsid w:val="007743B1"/>
    <w:rsid w:val="007753A7"/>
    <w:rsid w:val="00775848"/>
    <w:rsid w:val="00776134"/>
    <w:rsid w:val="0077617C"/>
    <w:rsid w:val="00777740"/>
    <w:rsid w:val="00777DC9"/>
    <w:rsid w:val="00780540"/>
    <w:rsid w:val="00781410"/>
    <w:rsid w:val="007825EC"/>
    <w:rsid w:val="007827FA"/>
    <w:rsid w:val="00783BE4"/>
    <w:rsid w:val="00785087"/>
    <w:rsid w:val="00785D67"/>
    <w:rsid w:val="00786C5C"/>
    <w:rsid w:val="007873C5"/>
    <w:rsid w:val="0079085F"/>
    <w:rsid w:val="00791708"/>
    <w:rsid w:val="00791D0B"/>
    <w:rsid w:val="007930F4"/>
    <w:rsid w:val="007937FD"/>
    <w:rsid w:val="007940F7"/>
    <w:rsid w:val="0079415F"/>
    <w:rsid w:val="00794CCB"/>
    <w:rsid w:val="007960C8"/>
    <w:rsid w:val="007970D8"/>
    <w:rsid w:val="00797B93"/>
    <w:rsid w:val="007A1673"/>
    <w:rsid w:val="007A23BF"/>
    <w:rsid w:val="007A322C"/>
    <w:rsid w:val="007A4529"/>
    <w:rsid w:val="007A4835"/>
    <w:rsid w:val="007A53C8"/>
    <w:rsid w:val="007A7BDD"/>
    <w:rsid w:val="007B06F2"/>
    <w:rsid w:val="007B0D03"/>
    <w:rsid w:val="007B159B"/>
    <w:rsid w:val="007B175C"/>
    <w:rsid w:val="007B2C5D"/>
    <w:rsid w:val="007B3F5A"/>
    <w:rsid w:val="007B4AE5"/>
    <w:rsid w:val="007B588B"/>
    <w:rsid w:val="007B662E"/>
    <w:rsid w:val="007B6B64"/>
    <w:rsid w:val="007B7993"/>
    <w:rsid w:val="007C06EC"/>
    <w:rsid w:val="007C1989"/>
    <w:rsid w:val="007C1B3B"/>
    <w:rsid w:val="007C22D0"/>
    <w:rsid w:val="007C267E"/>
    <w:rsid w:val="007C2B7E"/>
    <w:rsid w:val="007C3D69"/>
    <w:rsid w:val="007C46DF"/>
    <w:rsid w:val="007C4C16"/>
    <w:rsid w:val="007C504A"/>
    <w:rsid w:val="007C6C5A"/>
    <w:rsid w:val="007D0A2B"/>
    <w:rsid w:val="007D0D96"/>
    <w:rsid w:val="007D258D"/>
    <w:rsid w:val="007D287F"/>
    <w:rsid w:val="007E0F51"/>
    <w:rsid w:val="007E27A5"/>
    <w:rsid w:val="007E2BC0"/>
    <w:rsid w:val="007E428C"/>
    <w:rsid w:val="007E51C3"/>
    <w:rsid w:val="007F0B37"/>
    <w:rsid w:val="007F2D98"/>
    <w:rsid w:val="007F328C"/>
    <w:rsid w:val="007F36C7"/>
    <w:rsid w:val="007F3F87"/>
    <w:rsid w:val="007F6D7E"/>
    <w:rsid w:val="007F7480"/>
    <w:rsid w:val="008001AB"/>
    <w:rsid w:val="00800FE5"/>
    <w:rsid w:val="00802B66"/>
    <w:rsid w:val="0080371D"/>
    <w:rsid w:val="008041BD"/>
    <w:rsid w:val="0080448A"/>
    <w:rsid w:val="00804C06"/>
    <w:rsid w:val="0080581C"/>
    <w:rsid w:val="00806092"/>
    <w:rsid w:val="00807951"/>
    <w:rsid w:val="0081202B"/>
    <w:rsid w:val="00813CAA"/>
    <w:rsid w:val="00814F2D"/>
    <w:rsid w:val="00815029"/>
    <w:rsid w:val="008154D4"/>
    <w:rsid w:val="00816BD2"/>
    <w:rsid w:val="00816FC4"/>
    <w:rsid w:val="00817185"/>
    <w:rsid w:val="00820034"/>
    <w:rsid w:val="0082063F"/>
    <w:rsid w:val="00820D6C"/>
    <w:rsid w:val="00820E51"/>
    <w:rsid w:val="00821BAF"/>
    <w:rsid w:val="00822C5D"/>
    <w:rsid w:val="00823A14"/>
    <w:rsid w:val="008242CE"/>
    <w:rsid w:val="0082465B"/>
    <w:rsid w:val="00825644"/>
    <w:rsid w:val="00827CA0"/>
    <w:rsid w:val="008309DB"/>
    <w:rsid w:val="008332BE"/>
    <w:rsid w:val="008334DD"/>
    <w:rsid w:val="00834BFD"/>
    <w:rsid w:val="008360C9"/>
    <w:rsid w:val="00836102"/>
    <w:rsid w:val="00836C74"/>
    <w:rsid w:val="00840533"/>
    <w:rsid w:val="008417F2"/>
    <w:rsid w:val="008423F6"/>
    <w:rsid w:val="008427B0"/>
    <w:rsid w:val="00843C53"/>
    <w:rsid w:val="00845224"/>
    <w:rsid w:val="008472EF"/>
    <w:rsid w:val="00850416"/>
    <w:rsid w:val="00852019"/>
    <w:rsid w:val="0085220B"/>
    <w:rsid w:val="00852B41"/>
    <w:rsid w:val="00853CA0"/>
    <w:rsid w:val="00854609"/>
    <w:rsid w:val="00855C51"/>
    <w:rsid w:val="00856E66"/>
    <w:rsid w:val="008639D4"/>
    <w:rsid w:val="00863BB4"/>
    <w:rsid w:val="00864630"/>
    <w:rsid w:val="00864ACA"/>
    <w:rsid w:val="00866BB8"/>
    <w:rsid w:val="00866F6C"/>
    <w:rsid w:val="008679AF"/>
    <w:rsid w:val="008700B6"/>
    <w:rsid w:val="00871920"/>
    <w:rsid w:val="00871A09"/>
    <w:rsid w:val="00871C86"/>
    <w:rsid w:val="00872AA1"/>
    <w:rsid w:val="00873470"/>
    <w:rsid w:val="0087352A"/>
    <w:rsid w:val="008755B9"/>
    <w:rsid w:val="00875B60"/>
    <w:rsid w:val="0087687C"/>
    <w:rsid w:val="008806B7"/>
    <w:rsid w:val="00881F8A"/>
    <w:rsid w:val="00883F82"/>
    <w:rsid w:val="00885496"/>
    <w:rsid w:val="00885AC3"/>
    <w:rsid w:val="0088764B"/>
    <w:rsid w:val="00890B80"/>
    <w:rsid w:val="00890DF6"/>
    <w:rsid w:val="008946AC"/>
    <w:rsid w:val="00896191"/>
    <w:rsid w:val="00897E17"/>
    <w:rsid w:val="008A0169"/>
    <w:rsid w:val="008A061B"/>
    <w:rsid w:val="008A0BF6"/>
    <w:rsid w:val="008A0CCE"/>
    <w:rsid w:val="008A215D"/>
    <w:rsid w:val="008A288C"/>
    <w:rsid w:val="008A4175"/>
    <w:rsid w:val="008A4AF8"/>
    <w:rsid w:val="008A4C9D"/>
    <w:rsid w:val="008A6744"/>
    <w:rsid w:val="008B1F81"/>
    <w:rsid w:val="008B3481"/>
    <w:rsid w:val="008B375C"/>
    <w:rsid w:val="008C095D"/>
    <w:rsid w:val="008C257C"/>
    <w:rsid w:val="008C380D"/>
    <w:rsid w:val="008C3B90"/>
    <w:rsid w:val="008C68B4"/>
    <w:rsid w:val="008C7619"/>
    <w:rsid w:val="008D05D8"/>
    <w:rsid w:val="008D2ED2"/>
    <w:rsid w:val="008D3484"/>
    <w:rsid w:val="008D3A69"/>
    <w:rsid w:val="008D446A"/>
    <w:rsid w:val="008D6EBB"/>
    <w:rsid w:val="008D7367"/>
    <w:rsid w:val="008D7BF3"/>
    <w:rsid w:val="008E1A1C"/>
    <w:rsid w:val="008E4563"/>
    <w:rsid w:val="008E52BC"/>
    <w:rsid w:val="008E573D"/>
    <w:rsid w:val="008E5AAF"/>
    <w:rsid w:val="008F0000"/>
    <w:rsid w:val="008F016F"/>
    <w:rsid w:val="008F07FB"/>
    <w:rsid w:val="008F50F5"/>
    <w:rsid w:val="008F74EE"/>
    <w:rsid w:val="008F7C6E"/>
    <w:rsid w:val="009039C6"/>
    <w:rsid w:val="009052E9"/>
    <w:rsid w:val="00906726"/>
    <w:rsid w:val="00906B5D"/>
    <w:rsid w:val="0091086F"/>
    <w:rsid w:val="00910F24"/>
    <w:rsid w:val="009111F6"/>
    <w:rsid w:val="0091217E"/>
    <w:rsid w:val="00914113"/>
    <w:rsid w:val="009227F9"/>
    <w:rsid w:val="00923882"/>
    <w:rsid w:val="009238B8"/>
    <w:rsid w:val="00923B34"/>
    <w:rsid w:val="00923C29"/>
    <w:rsid w:val="00925BBA"/>
    <w:rsid w:val="00925EBE"/>
    <w:rsid w:val="009268D0"/>
    <w:rsid w:val="0092702C"/>
    <w:rsid w:val="00930ED1"/>
    <w:rsid w:val="009310DF"/>
    <w:rsid w:val="0093128F"/>
    <w:rsid w:val="009314A9"/>
    <w:rsid w:val="00932079"/>
    <w:rsid w:val="00933AD0"/>
    <w:rsid w:val="00933E8C"/>
    <w:rsid w:val="00934702"/>
    <w:rsid w:val="00934905"/>
    <w:rsid w:val="009349E0"/>
    <w:rsid w:val="00934F9B"/>
    <w:rsid w:val="00935B9E"/>
    <w:rsid w:val="00940AEF"/>
    <w:rsid w:val="00941A2D"/>
    <w:rsid w:val="00941BB0"/>
    <w:rsid w:val="00943092"/>
    <w:rsid w:val="00943A4C"/>
    <w:rsid w:val="009513FC"/>
    <w:rsid w:val="00952970"/>
    <w:rsid w:val="00952B8A"/>
    <w:rsid w:val="00953077"/>
    <w:rsid w:val="00953191"/>
    <w:rsid w:val="00953DC8"/>
    <w:rsid w:val="00956386"/>
    <w:rsid w:val="00960069"/>
    <w:rsid w:val="00960F22"/>
    <w:rsid w:val="0096192C"/>
    <w:rsid w:val="00961D75"/>
    <w:rsid w:val="00961F04"/>
    <w:rsid w:val="009627E0"/>
    <w:rsid w:val="0096557A"/>
    <w:rsid w:val="009667C5"/>
    <w:rsid w:val="00966B9B"/>
    <w:rsid w:val="009702BE"/>
    <w:rsid w:val="0097057B"/>
    <w:rsid w:val="009712A6"/>
    <w:rsid w:val="00971E84"/>
    <w:rsid w:val="00972863"/>
    <w:rsid w:val="009749BF"/>
    <w:rsid w:val="00975534"/>
    <w:rsid w:val="00975EF8"/>
    <w:rsid w:val="00976793"/>
    <w:rsid w:val="00976858"/>
    <w:rsid w:val="00977ED9"/>
    <w:rsid w:val="00980226"/>
    <w:rsid w:val="00981010"/>
    <w:rsid w:val="00981385"/>
    <w:rsid w:val="00981AFB"/>
    <w:rsid w:val="0098361C"/>
    <w:rsid w:val="009837DB"/>
    <w:rsid w:val="009846AF"/>
    <w:rsid w:val="00984E99"/>
    <w:rsid w:val="00985E39"/>
    <w:rsid w:val="00986017"/>
    <w:rsid w:val="0098655C"/>
    <w:rsid w:val="00986DA9"/>
    <w:rsid w:val="00987BD6"/>
    <w:rsid w:val="00990231"/>
    <w:rsid w:val="00990F35"/>
    <w:rsid w:val="00994064"/>
    <w:rsid w:val="009959B3"/>
    <w:rsid w:val="009973D4"/>
    <w:rsid w:val="009A192B"/>
    <w:rsid w:val="009A2BB4"/>
    <w:rsid w:val="009A2F9A"/>
    <w:rsid w:val="009A4570"/>
    <w:rsid w:val="009A775F"/>
    <w:rsid w:val="009A77B9"/>
    <w:rsid w:val="009B1171"/>
    <w:rsid w:val="009B119D"/>
    <w:rsid w:val="009B1C82"/>
    <w:rsid w:val="009B284F"/>
    <w:rsid w:val="009B3CBC"/>
    <w:rsid w:val="009B43EC"/>
    <w:rsid w:val="009B509D"/>
    <w:rsid w:val="009B5A27"/>
    <w:rsid w:val="009B6072"/>
    <w:rsid w:val="009B733B"/>
    <w:rsid w:val="009B7F31"/>
    <w:rsid w:val="009C0A34"/>
    <w:rsid w:val="009C1673"/>
    <w:rsid w:val="009C3D05"/>
    <w:rsid w:val="009C3E0F"/>
    <w:rsid w:val="009C3FA3"/>
    <w:rsid w:val="009C6A27"/>
    <w:rsid w:val="009C75B3"/>
    <w:rsid w:val="009D0D36"/>
    <w:rsid w:val="009D28DB"/>
    <w:rsid w:val="009D2ED2"/>
    <w:rsid w:val="009D3AA3"/>
    <w:rsid w:val="009D4CF5"/>
    <w:rsid w:val="009D5837"/>
    <w:rsid w:val="009D64BD"/>
    <w:rsid w:val="009D6EDD"/>
    <w:rsid w:val="009D6FA6"/>
    <w:rsid w:val="009E4A27"/>
    <w:rsid w:val="009E6BC9"/>
    <w:rsid w:val="009F049D"/>
    <w:rsid w:val="009F0C84"/>
    <w:rsid w:val="009F1286"/>
    <w:rsid w:val="009F2E61"/>
    <w:rsid w:val="009F3356"/>
    <w:rsid w:val="009F35C2"/>
    <w:rsid w:val="009F3B51"/>
    <w:rsid w:val="009F486B"/>
    <w:rsid w:val="009F4FA4"/>
    <w:rsid w:val="009F6042"/>
    <w:rsid w:val="009F7343"/>
    <w:rsid w:val="009F7D69"/>
    <w:rsid w:val="00A02198"/>
    <w:rsid w:val="00A02C25"/>
    <w:rsid w:val="00A02E12"/>
    <w:rsid w:val="00A03186"/>
    <w:rsid w:val="00A07100"/>
    <w:rsid w:val="00A1017A"/>
    <w:rsid w:val="00A12834"/>
    <w:rsid w:val="00A136AB"/>
    <w:rsid w:val="00A15515"/>
    <w:rsid w:val="00A16B7C"/>
    <w:rsid w:val="00A16BCE"/>
    <w:rsid w:val="00A1775F"/>
    <w:rsid w:val="00A17F70"/>
    <w:rsid w:val="00A20C3E"/>
    <w:rsid w:val="00A20DC4"/>
    <w:rsid w:val="00A215A3"/>
    <w:rsid w:val="00A21D83"/>
    <w:rsid w:val="00A2398B"/>
    <w:rsid w:val="00A25A74"/>
    <w:rsid w:val="00A26C55"/>
    <w:rsid w:val="00A27404"/>
    <w:rsid w:val="00A3009E"/>
    <w:rsid w:val="00A30577"/>
    <w:rsid w:val="00A31C17"/>
    <w:rsid w:val="00A33682"/>
    <w:rsid w:val="00A3545A"/>
    <w:rsid w:val="00A35BF2"/>
    <w:rsid w:val="00A378A3"/>
    <w:rsid w:val="00A400C8"/>
    <w:rsid w:val="00A41C0B"/>
    <w:rsid w:val="00A427CF"/>
    <w:rsid w:val="00A43D72"/>
    <w:rsid w:val="00A45B7B"/>
    <w:rsid w:val="00A461ED"/>
    <w:rsid w:val="00A4693D"/>
    <w:rsid w:val="00A47053"/>
    <w:rsid w:val="00A502F8"/>
    <w:rsid w:val="00A50722"/>
    <w:rsid w:val="00A50BFC"/>
    <w:rsid w:val="00A50E7C"/>
    <w:rsid w:val="00A511EB"/>
    <w:rsid w:val="00A51F02"/>
    <w:rsid w:val="00A52FDA"/>
    <w:rsid w:val="00A53FBF"/>
    <w:rsid w:val="00A54337"/>
    <w:rsid w:val="00A55AB8"/>
    <w:rsid w:val="00A56745"/>
    <w:rsid w:val="00A56CB0"/>
    <w:rsid w:val="00A60AA0"/>
    <w:rsid w:val="00A6237A"/>
    <w:rsid w:val="00A63B37"/>
    <w:rsid w:val="00A653CB"/>
    <w:rsid w:val="00A6690B"/>
    <w:rsid w:val="00A71855"/>
    <w:rsid w:val="00A72230"/>
    <w:rsid w:val="00A72EAB"/>
    <w:rsid w:val="00A737D2"/>
    <w:rsid w:val="00A745C2"/>
    <w:rsid w:val="00A7579C"/>
    <w:rsid w:val="00A75E3F"/>
    <w:rsid w:val="00A775EA"/>
    <w:rsid w:val="00A80C20"/>
    <w:rsid w:val="00A81CEB"/>
    <w:rsid w:val="00A83DC9"/>
    <w:rsid w:val="00A8450D"/>
    <w:rsid w:val="00A84E29"/>
    <w:rsid w:val="00A84F48"/>
    <w:rsid w:val="00A8504C"/>
    <w:rsid w:val="00A8510B"/>
    <w:rsid w:val="00A8587E"/>
    <w:rsid w:val="00A87083"/>
    <w:rsid w:val="00A873E6"/>
    <w:rsid w:val="00A9073C"/>
    <w:rsid w:val="00A91D8A"/>
    <w:rsid w:val="00A92B33"/>
    <w:rsid w:val="00A931B9"/>
    <w:rsid w:val="00A93739"/>
    <w:rsid w:val="00A945E2"/>
    <w:rsid w:val="00A94FEB"/>
    <w:rsid w:val="00A95749"/>
    <w:rsid w:val="00A95D90"/>
    <w:rsid w:val="00A9769F"/>
    <w:rsid w:val="00A978F0"/>
    <w:rsid w:val="00AA0D52"/>
    <w:rsid w:val="00AA1B31"/>
    <w:rsid w:val="00AA1EF7"/>
    <w:rsid w:val="00AA53AE"/>
    <w:rsid w:val="00AA588D"/>
    <w:rsid w:val="00AA7A9C"/>
    <w:rsid w:val="00AB03CF"/>
    <w:rsid w:val="00AB0CBE"/>
    <w:rsid w:val="00AB10DF"/>
    <w:rsid w:val="00AB3409"/>
    <w:rsid w:val="00AB3613"/>
    <w:rsid w:val="00AB440A"/>
    <w:rsid w:val="00AB590B"/>
    <w:rsid w:val="00AB5B62"/>
    <w:rsid w:val="00AB5CF3"/>
    <w:rsid w:val="00AB6F57"/>
    <w:rsid w:val="00AB7716"/>
    <w:rsid w:val="00AC09BD"/>
    <w:rsid w:val="00AC0CF8"/>
    <w:rsid w:val="00AC1A80"/>
    <w:rsid w:val="00AC25D6"/>
    <w:rsid w:val="00AC34AF"/>
    <w:rsid w:val="00AC564C"/>
    <w:rsid w:val="00AC78D5"/>
    <w:rsid w:val="00AD030D"/>
    <w:rsid w:val="00AD153B"/>
    <w:rsid w:val="00AD1BED"/>
    <w:rsid w:val="00AD30EE"/>
    <w:rsid w:val="00AD436C"/>
    <w:rsid w:val="00AD4902"/>
    <w:rsid w:val="00AD58F2"/>
    <w:rsid w:val="00AD5BD3"/>
    <w:rsid w:val="00AD6277"/>
    <w:rsid w:val="00AD6F50"/>
    <w:rsid w:val="00AD7C20"/>
    <w:rsid w:val="00AD7C39"/>
    <w:rsid w:val="00AD7EA7"/>
    <w:rsid w:val="00AE1D3D"/>
    <w:rsid w:val="00AE1FCF"/>
    <w:rsid w:val="00AE2E81"/>
    <w:rsid w:val="00AE3850"/>
    <w:rsid w:val="00AE5D89"/>
    <w:rsid w:val="00AF1EDE"/>
    <w:rsid w:val="00AF4A03"/>
    <w:rsid w:val="00AF5D68"/>
    <w:rsid w:val="00AF6A29"/>
    <w:rsid w:val="00AF7FA0"/>
    <w:rsid w:val="00B01198"/>
    <w:rsid w:val="00B02E55"/>
    <w:rsid w:val="00B0395D"/>
    <w:rsid w:val="00B0484C"/>
    <w:rsid w:val="00B05999"/>
    <w:rsid w:val="00B05EA1"/>
    <w:rsid w:val="00B065EC"/>
    <w:rsid w:val="00B06802"/>
    <w:rsid w:val="00B0726B"/>
    <w:rsid w:val="00B1083E"/>
    <w:rsid w:val="00B10FE3"/>
    <w:rsid w:val="00B112A6"/>
    <w:rsid w:val="00B119C9"/>
    <w:rsid w:val="00B11E3E"/>
    <w:rsid w:val="00B12BE5"/>
    <w:rsid w:val="00B1305D"/>
    <w:rsid w:val="00B1353A"/>
    <w:rsid w:val="00B13BED"/>
    <w:rsid w:val="00B13EC5"/>
    <w:rsid w:val="00B14225"/>
    <w:rsid w:val="00B162B5"/>
    <w:rsid w:val="00B20C58"/>
    <w:rsid w:val="00B21237"/>
    <w:rsid w:val="00B229A9"/>
    <w:rsid w:val="00B238E0"/>
    <w:rsid w:val="00B24A0D"/>
    <w:rsid w:val="00B24E7A"/>
    <w:rsid w:val="00B26569"/>
    <w:rsid w:val="00B269CD"/>
    <w:rsid w:val="00B26EE3"/>
    <w:rsid w:val="00B27129"/>
    <w:rsid w:val="00B27552"/>
    <w:rsid w:val="00B300E5"/>
    <w:rsid w:val="00B30731"/>
    <w:rsid w:val="00B30A91"/>
    <w:rsid w:val="00B32569"/>
    <w:rsid w:val="00B328D7"/>
    <w:rsid w:val="00B3326E"/>
    <w:rsid w:val="00B344BD"/>
    <w:rsid w:val="00B34A13"/>
    <w:rsid w:val="00B3532D"/>
    <w:rsid w:val="00B369D6"/>
    <w:rsid w:val="00B40E22"/>
    <w:rsid w:val="00B42064"/>
    <w:rsid w:val="00B43031"/>
    <w:rsid w:val="00B436EE"/>
    <w:rsid w:val="00B43D5C"/>
    <w:rsid w:val="00B4629A"/>
    <w:rsid w:val="00B47710"/>
    <w:rsid w:val="00B5291E"/>
    <w:rsid w:val="00B53D78"/>
    <w:rsid w:val="00B55896"/>
    <w:rsid w:val="00B55999"/>
    <w:rsid w:val="00B55D61"/>
    <w:rsid w:val="00B57665"/>
    <w:rsid w:val="00B576D1"/>
    <w:rsid w:val="00B6240B"/>
    <w:rsid w:val="00B632C9"/>
    <w:rsid w:val="00B65846"/>
    <w:rsid w:val="00B66360"/>
    <w:rsid w:val="00B671B7"/>
    <w:rsid w:val="00B678FF"/>
    <w:rsid w:val="00B72374"/>
    <w:rsid w:val="00B737B8"/>
    <w:rsid w:val="00B7409A"/>
    <w:rsid w:val="00B75A7B"/>
    <w:rsid w:val="00B76E90"/>
    <w:rsid w:val="00B802F4"/>
    <w:rsid w:val="00B81F9B"/>
    <w:rsid w:val="00B83C59"/>
    <w:rsid w:val="00B83E4C"/>
    <w:rsid w:val="00B84C03"/>
    <w:rsid w:val="00B84FB7"/>
    <w:rsid w:val="00B8533D"/>
    <w:rsid w:val="00B85FBE"/>
    <w:rsid w:val="00B87D72"/>
    <w:rsid w:val="00B90466"/>
    <w:rsid w:val="00B909EA"/>
    <w:rsid w:val="00B90FF4"/>
    <w:rsid w:val="00B919AB"/>
    <w:rsid w:val="00B93704"/>
    <w:rsid w:val="00B93B16"/>
    <w:rsid w:val="00B943AB"/>
    <w:rsid w:val="00B94861"/>
    <w:rsid w:val="00B94D81"/>
    <w:rsid w:val="00B954EF"/>
    <w:rsid w:val="00B958D1"/>
    <w:rsid w:val="00B95B6F"/>
    <w:rsid w:val="00B971C5"/>
    <w:rsid w:val="00B978B1"/>
    <w:rsid w:val="00BA2ECD"/>
    <w:rsid w:val="00BA31BE"/>
    <w:rsid w:val="00BA4C45"/>
    <w:rsid w:val="00BA63C0"/>
    <w:rsid w:val="00BA732B"/>
    <w:rsid w:val="00BA7B85"/>
    <w:rsid w:val="00BB0CB9"/>
    <w:rsid w:val="00BB3120"/>
    <w:rsid w:val="00BB451C"/>
    <w:rsid w:val="00BB46D1"/>
    <w:rsid w:val="00BB544F"/>
    <w:rsid w:val="00BB6BEE"/>
    <w:rsid w:val="00BB7B0E"/>
    <w:rsid w:val="00BB7B18"/>
    <w:rsid w:val="00BB7CB8"/>
    <w:rsid w:val="00BB7D80"/>
    <w:rsid w:val="00BC18F5"/>
    <w:rsid w:val="00BC1E19"/>
    <w:rsid w:val="00BC1FD3"/>
    <w:rsid w:val="00BC2E72"/>
    <w:rsid w:val="00BC3795"/>
    <w:rsid w:val="00BC4C75"/>
    <w:rsid w:val="00BC5497"/>
    <w:rsid w:val="00BD0BD6"/>
    <w:rsid w:val="00BD123F"/>
    <w:rsid w:val="00BD1581"/>
    <w:rsid w:val="00BD3AE4"/>
    <w:rsid w:val="00BD4247"/>
    <w:rsid w:val="00BD4D8D"/>
    <w:rsid w:val="00BD7512"/>
    <w:rsid w:val="00BE19BE"/>
    <w:rsid w:val="00BE2011"/>
    <w:rsid w:val="00BE49D7"/>
    <w:rsid w:val="00BE52E2"/>
    <w:rsid w:val="00BE711C"/>
    <w:rsid w:val="00BE7362"/>
    <w:rsid w:val="00BE7E3C"/>
    <w:rsid w:val="00BF0B0D"/>
    <w:rsid w:val="00BF0DA1"/>
    <w:rsid w:val="00BF1E78"/>
    <w:rsid w:val="00BF209A"/>
    <w:rsid w:val="00BF4215"/>
    <w:rsid w:val="00BF4CDF"/>
    <w:rsid w:val="00BF597C"/>
    <w:rsid w:val="00BF5E82"/>
    <w:rsid w:val="00BF61D0"/>
    <w:rsid w:val="00BF6E3A"/>
    <w:rsid w:val="00BF75A0"/>
    <w:rsid w:val="00C005CB"/>
    <w:rsid w:val="00C0185D"/>
    <w:rsid w:val="00C01D31"/>
    <w:rsid w:val="00C02748"/>
    <w:rsid w:val="00C1044A"/>
    <w:rsid w:val="00C1082F"/>
    <w:rsid w:val="00C11B60"/>
    <w:rsid w:val="00C12CF8"/>
    <w:rsid w:val="00C12FD5"/>
    <w:rsid w:val="00C136D0"/>
    <w:rsid w:val="00C13AFB"/>
    <w:rsid w:val="00C14681"/>
    <w:rsid w:val="00C16111"/>
    <w:rsid w:val="00C16785"/>
    <w:rsid w:val="00C16CD7"/>
    <w:rsid w:val="00C202E0"/>
    <w:rsid w:val="00C207D9"/>
    <w:rsid w:val="00C231D0"/>
    <w:rsid w:val="00C23AED"/>
    <w:rsid w:val="00C24995"/>
    <w:rsid w:val="00C24AF9"/>
    <w:rsid w:val="00C252C6"/>
    <w:rsid w:val="00C33925"/>
    <w:rsid w:val="00C34CDE"/>
    <w:rsid w:val="00C35C52"/>
    <w:rsid w:val="00C40A43"/>
    <w:rsid w:val="00C42E33"/>
    <w:rsid w:val="00C43417"/>
    <w:rsid w:val="00C43607"/>
    <w:rsid w:val="00C4483C"/>
    <w:rsid w:val="00C47C7E"/>
    <w:rsid w:val="00C52D29"/>
    <w:rsid w:val="00C52EE8"/>
    <w:rsid w:val="00C530F5"/>
    <w:rsid w:val="00C53100"/>
    <w:rsid w:val="00C54589"/>
    <w:rsid w:val="00C5489B"/>
    <w:rsid w:val="00C563B6"/>
    <w:rsid w:val="00C566C6"/>
    <w:rsid w:val="00C57182"/>
    <w:rsid w:val="00C57957"/>
    <w:rsid w:val="00C60341"/>
    <w:rsid w:val="00C605B7"/>
    <w:rsid w:val="00C60EEB"/>
    <w:rsid w:val="00C6214F"/>
    <w:rsid w:val="00C63C2C"/>
    <w:rsid w:val="00C64C4B"/>
    <w:rsid w:val="00C654E5"/>
    <w:rsid w:val="00C65B01"/>
    <w:rsid w:val="00C66992"/>
    <w:rsid w:val="00C66FD4"/>
    <w:rsid w:val="00C72181"/>
    <w:rsid w:val="00C72189"/>
    <w:rsid w:val="00C73057"/>
    <w:rsid w:val="00C74FED"/>
    <w:rsid w:val="00C75EE9"/>
    <w:rsid w:val="00C76EDC"/>
    <w:rsid w:val="00C7700E"/>
    <w:rsid w:val="00C77CE0"/>
    <w:rsid w:val="00C800E3"/>
    <w:rsid w:val="00C83DAA"/>
    <w:rsid w:val="00C84025"/>
    <w:rsid w:val="00C86C59"/>
    <w:rsid w:val="00C8722F"/>
    <w:rsid w:val="00C87731"/>
    <w:rsid w:val="00C9174D"/>
    <w:rsid w:val="00C9277F"/>
    <w:rsid w:val="00C94774"/>
    <w:rsid w:val="00C96DA0"/>
    <w:rsid w:val="00C97A62"/>
    <w:rsid w:val="00C97DD8"/>
    <w:rsid w:val="00C97F30"/>
    <w:rsid w:val="00CA0535"/>
    <w:rsid w:val="00CA05BF"/>
    <w:rsid w:val="00CA0F0D"/>
    <w:rsid w:val="00CA11AF"/>
    <w:rsid w:val="00CA1359"/>
    <w:rsid w:val="00CA1568"/>
    <w:rsid w:val="00CA3354"/>
    <w:rsid w:val="00CA3B61"/>
    <w:rsid w:val="00CA3D55"/>
    <w:rsid w:val="00CA4CE0"/>
    <w:rsid w:val="00CA7823"/>
    <w:rsid w:val="00CB0D50"/>
    <w:rsid w:val="00CB223D"/>
    <w:rsid w:val="00CB2CDB"/>
    <w:rsid w:val="00CB3442"/>
    <w:rsid w:val="00CB3FAD"/>
    <w:rsid w:val="00CB58AA"/>
    <w:rsid w:val="00CC02E6"/>
    <w:rsid w:val="00CC0E52"/>
    <w:rsid w:val="00CC2170"/>
    <w:rsid w:val="00CC60EA"/>
    <w:rsid w:val="00CC720B"/>
    <w:rsid w:val="00CC7302"/>
    <w:rsid w:val="00CD0BFE"/>
    <w:rsid w:val="00CD1374"/>
    <w:rsid w:val="00CD3A1F"/>
    <w:rsid w:val="00CD3A68"/>
    <w:rsid w:val="00CD50C9"/>
    <w:rsid w:val="00CD5FE7"/>
    <w:rsid w:val="00CD69B6"/>
    <w:rsid w:val="00CD6DA1"/>
    <w:rsid w:val="00CE0411"/>
    <w:rsid w:val="00CE10C9"/>
    <w:rsid w:val="00CE1CAA"/>
    <w:rsid w:val="00CE1F0F"/>
    <w:rsid w:val="00CE274C"/>
    <w:rsid w:val="00CE3744"/>
    <w:rsid w:val="00CE5BD2"/>
    <w:rsid w:val="00CF0B83"/>
    <w:rsid w:val="00CF1BA6"/>
    <w:rsid w:val="00CF3D50"/>
    <w:rsid w:val="00CF48E9"/>
    <w:rsid w:val="00D03A18"/>
    <w:rsid w:val="00D04CFB"/>
    <w:rsid w:val="00D050B1"/>
    <w:rsid w:val="00D052E1"/>
    <w:rsid w:val="00D060D0"/>
    <w:rsid w:val="00D0657E"/>
    <w:rsid w:val="00D0755A"/>
    <w:rsid w:val="00D079EC"/>
    <w:rsid w:val="00D10FB4"/>
    <w:rsid w:val="00D118BD"/>
    <w:rsid w:val="00D128F0"/>
    <w:rsid w:val="00D133D2"/>
    <w:rsid w:val="00D14EA8"/>
    <w:rsid w:val="00D15313"/>
    <w:rsid w:val="00D15968"/>
    <w:rsid w:val="00D16C01"/>
    <w:rsid w:val="00D22920"/>
    <w:rsid w:val="00D239CF"/>
    <w:rsid w:val="00D24D86"/>
    <w:rsid w:val="00D2544B"/>
    <w:rsid w:val="00D2627F"/>
    <w:rsid w:val="00D262FD"/>
    <w:rsid w:val="00D3217B"/>
    <w:rsid w:val="00D33121"/>
    <w:rsid w:val="00D3330B"/>
    <w:rsid w:val="00D34EAC"/>
    <w:rsid w:val="00D35003"/>
    <w:rsid w:val="00D365A5"/>
    <w:rsid w:val="00D37ECE"/>
    <w:rsid w:val="00D40D3E"/>
    <w:rsid w:val="00D423FA"/>
    <w:rsid w:val="00D43214"/>
    <w:rsid w:val="00D44937"/>
    <w:rsid w:val="00D451BB"/>
    <w:rsid w:val="00D46823"/>
    <w:rsid w:val="00D475E6"/>
    <w:rsid w:val="00D52BF5"/>
    <w:rsid w:val="00D5617C"/>
    <w:rsid w:val="00D56ABE"/>
    <w:rsid w:val="00D60AAE"/>
    <w:rsid w:val="00D633A1"/>
    <w:rsid w:val="00D66CB6"/>
    <w:rsid w:val="00D70B4F"/>
    <w:rsid w:val="00D7138F"/>
    <w:rsid w:val="00D7178C"/>
    <w:rsid w:val="00D71BC7"/>
    <w:rsid w:val="00D74869"/>
    <w:rsid w:val="00D76C50"/>
    <w:rsid w:val="00D7736E"/>
    <w:rsid w:val="00D8090B"/>
    <w:rsid w:val="00D8375E"/>
    <w:rsid w:val="00D9001A"/>
    <w:rsid w:val="00D90AD7"/>
    <w:rsid w:val="00D95E47"/>
    <w:rsid w:val="00D96AD4"/>
    <w:rsid w:val="00DA0BD3"/>
    <w:rsid w:val="00DA19B4"/>
    <w:rsid w:val="00DA1C42"/>
    <w:rsid w:val="00DA1D3D"/>
    <w:rsid w:val="00DA4186"/>
    <w:rsid w:val="00DA466E"/>
    <w:rsid w:val="00DA48AC"/>
    <w:rsid w:val="00DA5529"/>
    <w:rsid w:val="00DA64A3"/>
    <w:rsid w:val="00DA6602"/>
    <w:rsid w:val="00DA76BF"/>
    <w:rsid w:val="00DB19ED"/>
    <w:rsid w:val="00DB2B97"/>
    <w:rsid w:val="00DB398B"/>
    <w:rsid w:val="00DB51B7"/>
    <w:rsid w:val="00DB57F9"/>
    <w:rsid w:val="00DB5DC4"/>
    <w:rsid w:val="00DB7979"/>
    <w:rsid w:val="00DC170B"/>
    <w:rsid w:val="00DC1BB6"/>
    <w:rsid w:val="00DC2238"/>
    <w:rsid w:val="00DC52B1"/>
    <w:rsid w:val="00DC6803"/>
    <w:rsid w:val="00DC6C65"/>
    <w:rsid w:val="00DC707D"/>
    <w:rsid w:val="00DD2127"/>
    <w:rsid w:val="00DD3468"/>
    <w:rsid w:val="00DD4E29"/>
    <w:rsid w:val="00DD7F05"/>
    <w:rsid w:val="00DE0F4B"/>
    <w:rsid w:val="00DE155A"/>
    <w:rsid w:val="00DE2B42"/>
    <w:rsid w:val="00DE3AE9"/>
    <w:rsid w:val="00DE49A3"/>
    <w:rsid w:val="00DE4F4B"/>
    <w:rsid w:val="00DE5066"/>
    <w:rsid w:val="00DE7C9A"/>
    <w:rsid w:val="00DE7E21"/>
    <w:rsid w:val="00DE7E67"/>
    <w:rsid w:val="00DF03B4"/>
    <w:rsid w:val="00DF2197"/>
    <w:rsid w:val="00DF310C"/>
    <w:rsid w:val="00DF31EE"/>
    <w:rsid w:val="00DF6B99"/>
    <w:rsid w:val="00E01807"/>
    <w:rsid w:val="00E02A23"/>
    <w:rsid w:val="00E04B63"/>
    <w:rsid w:val="00E057CA"/>
    <w:rsid w:val="00E05EF6"/>
    <w:rsid w:val="00E121FC"/>
    <w:rsid w:val="00E1251E"/>
    <w:rsid w:val="00E12834"/>
    <w:rsid w:val="00E15036"/>
    <w:rsid w:val="00E158A6"/>
    <w:rsid w:val="00E15E52"/>
    <w:rsid w:val="00E16F9A"/>
    <w:rsid w:val="00E17133"/>
    <w:rsid w:val="00E1752E"/>
    <w:rsid w:val="00E179AB"/>
    <w:rsid w:val="00E20A78"/>
    <w:rsid w:val="00E22A97"/>
    <w:rsid w:val="00E22D3A"/>
    <w:rsid w:val="00E23DF8"/>
    <w:rsid w:val="00E23F02"/>
    <w:rsid w:val="00E2577E"/>
    <w:rsid w:val="00E26084"/>
    <w:rsid w:val="00E269C6"/>
    <w:rsid w:val="00E27D3B"/>
    <w:rsid w:val="00E30602"/>
    <w:rsid w:val="00E306E0"/>
    <w:rsid w:val="00E30A3B"/>
    <w:rsid w:val="00E32E14"/>
    <w:rsid w:val="00E339C0"/>
    <w:rsid w:val="00E34269"/>
    <w:rsid w:val="00E35089"/>
    <w:rsid w:val="00E35E71"/>
    <w:rsid w:val="00E3754D"/>
    <w:rsid w:val="00E37AAE"/>
    <w:rsid w:val="00E4240B"/>
    <w:rsid w:val="00E42CFD"/>
    <w:rsid w:val="00E433FF"/>
    <w:rsid w:val="00E455D5"/>
    <w:rsid w:val="00E45F82"/>
    <w:rsid w:val="00E46548"/>
    <w:rsid w:val="00E51382"/>
    <w:rsid w:val="00E51F25"/>
    <w:rsid w:val="00E521A7"/>
    <w:rsid w:val="00E53794"/>
    <w:rsid w:val="00E5381B"/>
    <w:rsid w:val="00E5399D"/>
    <w:rsid w:val="00E541C7"/>
    <w:rsid w:val="00E5461B"/>
    <w:rsid w:val="00E56C52"/>
    <w:rsid w:val="00E56C7C"/>
    <w:rsid w:val="00E570DB"/>
    <w:rsid w:val="00E57522"/>
    <w:rsid w:val="00E57944"/>
    <w:rsid w:val="00E60103"/>
    <w:rsid w:val="00E6077B"/>
    <w:rsid w:val="00E6151B"/>
    <w:rsid w:val="00E61DDD"/>
    <w:rsid w:val="00E61F5E"/>
    <w:rsid w:val="00E64CB0"/>
    <w:rsid w:val="00E6572A"/>
    <w:rsid w:val="00E66F6E"/>
    <w:rsid w:val="00E701F3"/>
    <w:rsid w:val="00E71D0A"/>
    <w:rsid w:val="00E741E4"/>
    <w:rsid w:val="00E76B06"/>
    <w:rsid w:val="00E7706F"/>
    <w:rsid w:val="00E77C9A"/>
    <w:rsid w:val="00E81833"/>
    <w:rsid w:val="00E843CB"/>
    <w:rsid w:val="00E84948"/>
    <w:rsid w:val="00E86697"/>
    <w:rsid w:val="00E867E8"/>
    <w:rsid w:val="00E86E4F"/>
    <w:rsid w:val="00E872FD"/>
    <w:rsid w:val="00E90061"/>
    <w:rsid w:val="00E91637"/>
    <w:rsid w:val="00E91B74"/>
    <w:rsid w:val="00E92B97"/>
    <w:rsid w:val="00E93A64"/>
    <w:rsid w:val="00E95148"/>
    <w:rsid w:val="00E973E2"/>
    <w:rsid w:val="00E97A52"/>
    <w:rsid w:val="00EA1115"/>
    <w:rsid w:val="00EA688D"/>
    <w:rsid w:val="00EA7BEA"/>
    <w:rsid w:val="00EB105F"/>
    <w:rsid w:val="00EB16C3"/>
    <w:rsid w:val="00EB181D"/>
    <w:rsid w:val="00EB1F07"/>
    <w:rsid w:val="00EB2252"/>
    <w:rsid w:val="00EB2FE5"/>
    <w:rsid w:val="00EB49D8"/>
    <w:rsid w:val="00EB59D2"/>
    <w:rsid w:val="00EB5C24"/>
    <w:rsid w:val="00EB6D96"/>
    <w:rsid w:val="00EC0586"/>
    <w:rsid w:val="00EC0616"/>
    <w:rsid w:val="00EC0D33"/>
    <w:rsid w:val="00EC0DA3"/>
    <w:rsid w:val="00EC0EBF"/>
    <w:rsid w:val="00EC29C0"/>
    <w:rsid w:val="00EC6CE7"/>
    <w:rsid w:val="00ED1B2D"/>
    <w:rsid w:val="00ED4654"/>
    <w:rsid w:val="00ED4D98"/>
    <w:rsid w:val="00ED5F8F"/>
    <w:rsid w:val="00ED664A"/>
    <w:rsid w:val="00ED6663"/>
    <w:rsid w:val="00ED6AC9"/>
    <w:rsid w:val="00ED7292"/>
    <w:rsid w:val="00ED7ECE"/>
    <w:rsid w:val="00EE3D8F"/>
    <w:rsid w:val="00EE5006"/>
    <w:rsid w:val="00EE54B6"/>
    <w:rsid w:val="00EE6AEC"/>
    <w:rsid w:val="00EF0658"/>
    <w:rsid w:val="00EF0B29"/>
    <w:rsid w:val="00EF0BEE"/>
    <w:rsid w:val="00EF1F31"/>
    <w:rsid w:val="00EF50EF"/>
    <w:rsid w:val="00EF545A"/>
    <w:rsid w:val="00EF6962"/>
    <w:rsid w:val="00EF70B2"/>
    <w:rsid w:val="00EF74CE"/>
    <w:rsid w:val="00EF7CC3"/>
    <w:rsid w:val="00F00834"/>
    <w:rsid w:val="00F015D5"/>
    <w:rsid w:val="00F01FAB"/>
    <w:rsid w:val="00F02130"/>
    <w:rsid w:val="00F02448"/>
    <w:rsid w:val="00F02EF7"/>
    <w:rsid w:val="00F033BE"/>
    <w:rsid w:val="00F03556"/>
    <w:rsid w:val="00F0414E"/>
    <w:rsid w:val="00F04517"/>
    <w:rsid w:val="00F045CC"/>
    <w:rsid w:val="00F04957"/>
    <w:rsid w:val="00F06586"/>
    <w:rsid w:val="00F06E49"/>
    <w:rsid w:val="00F07786"/>
    <w:rsid w:val="00F11D8D"/>
    <w:rsid w:val="00F12E2A"/>
    <w:rsid w:val="00F151A2"/>
    <w:rsid w:val="00F161C5"/>
    <w:rsid w:val="00F17444"/>
    <w:rsid w:val="00F2107E"/>
    <w:rsid w:val="00F21C73"/>
    <w:rsid w:val="00F22CD4"/>
    <w:rsid w:val="00F25908"/>
    <w:rsid w:val="00F25D58"/>
    <w:rsid w:val="00F262B8"/>
    <w:rsid w:val="00F272FE"/>
    <w:rsid w:val="00F34437"/>
    <w:rsid w:val="00F34931"/>
    <w:rsid w:val="00F3712A"/>
    <w:rsid w:val="00F37469"/>
    <w:rsid w:val="00F3778F"/>
    <w:rsid w:val="00F4047E"/>
    <w:rsid w:val="00F416D2"/>
    <w:rsid w:val="00F45B92"/>
    <w:rsid w:val="00F45DFA"/>
    <w:rsid w:val="00F467F2"/>
    <w:rsid w:val="00F47C9C"/>
    <w:rsid w:val="00F47DB9"/>
    <w:rsid w:val="00F507DE"/>
    <w:rsid w:val="00F50D79"/>
    <w:rsid w:val="00F5155D"/>
    <w:rsid w:val="00F51B03"/>
    <w:rsid w:val="00F53F16"/>
    <w:rsid w:val="00F61388"/>
    <w:rsid w:val="00F6421D"/>
    <w:rsid w:val="00F64D66"/>
    <w:rsid w:val="00F64EB7"/>
    <w:rsid w:val="00F65AC4"/>
    <w:rsid w:val="00F65AF1"/>
    <w:rsid w:val="00F65B9F"/>
    <w:rsid w:val="00F67D78"/>
    <w:rsid w:val="00F7044E"/>
    <w:rsid w:val="00F70C19"/>
    <w:rsid w:val="00F71FF2"/>
    <w:rsid w:val="00F7389D"/>
    <w:rsid w:val="00F744A8"/>
    <w:rsid w:val="00F7467C"/>
    <w:rsid w:val="00F75763"/>
    <w:rsid w:val="00F757BD"/>
    <w:rsid w:val="00F76E4C"/>
    <w:rsid w:val="00F774A8"/>
    <w:rsid w:val="00F77B9B"/>
    <w:rsid w:val="00F804A0"/>
    <w:rsid w:val="00F823DC"/>
    <w:rsid w:val="00F82570"/>
    <w:rsid w:val="00F827FF"/>
    <w:rsid w:val="00F8294C"/>
    <w:rsid w:val="00F829F8"/>
    <w:rsid w:val="00F8361A"/>
    <w:rsid w:val="00F83763"/>
    <w:rsid w:val="00F8381E"/>
    <w:rsid w:val="00F84120"/>
    <w:rsid w:val="00F84150"/>
    <w:rsid w:val="00F845C1"/>
    <w:rsid w:val="00F86C70"/>
    <w:rsid w:val="00F87B4F"/>
    <w:rsid w:val="00F90B3F"/>
    <w:rsid w:val="00F914A5"/>
    <w:rsid w:val="00F91842"/>
    <w:rsid w:val="00F92639"/>
    <w:rsid w:val="00F928F6"/>
    <w:rsid w:val="00F93226"/>
    <w:rsid w:val="00F932BC"/>
    <w:rsid w:val="00F936F9"/>
    <w:rsid w:val="00F93A21"/>
    <w:rsid w:val="00F973EF"/>
    <w:rsid w:val="00F97EB6"/>
    <w:rsid w:val="00FA0194"/>
    <w:rsid w:val="00FA1856"/>
    <w:rsid w:val="00FA2A21"/>
    <w:rsid w:val="00FA5DB4"/>
    <w:rsid w:val="00FB033B"/>
    <w:rsid w:val="00FB179B"/>
    <w:rsid w:val="00FB37A2"/>
    <w:rsid w:val="00FB3F8A"/>
    <w:rsid w:val="00FB4ABD"/>
    <w:rsid w:val="00FB5239"/>
    <w:rsid w:val="00FB569A"/>
    <w:rsid w:val="00FB6229"/>
    <w:rsid w:val="00FB7BC5"/>
    <w:rsid w:val="00FB7D89"/>
    <w:rsid w:val="00FC155D"/>
    <w:rsid w:val="00FC1AE4"/>
    <w:rsid w:val="00FC1F61"/>
    <w:rsid w:val="00FC23D5"/>
    <w:rsid w:val="00FC2609"/>
    <w:rsid w:val="00FC2B6B"/>
    <w:rsid w:val="00FC64AA"/>
    <w:rsid w:val="00FC6AF1"/>
    <w:rsid w:val="00FD1BDC"/>
    <w:rsid w:val="00FD3346"/>
    <w:rsid w:val="00FD3CD2"/>
    <w:rsid w:val="00FD41BF"/>
    <w:rsid w:val="00FD79AE"/>
    <w:rsid w:val="00FE0164"/>
    <w:rsid w:val="00FE02E0"/>
    <w:rsid w:val="00FE1DE8"/>
    <w:rsid w:val="00FE1E6E"/>
    <w:rsid w:val="00FE2487"/>
    <w:rsid w:val="00FE405C"/>
    <w:rsid w:val="00FE617B"/>
    <w:rsid w:val="00FE6914"/>
    <w:rsid w:val="00FE6CE7"/>
    <w:rsid w:val="00FF0C38"/>
    <w:rsid w:val="00FF1F63"/>
    <w:rsid w:val="00FF5346"/>
    <w:rsid w:val="188204DF"/>
    <w:rsid w:val="33BF4C9B"/>
    <w:rsid w:val="43840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line="360" w:lineRule="auto"/>
    </w:pPr>
    <w:rPr>
      <w:rFonts w:ascii="Arial" w:hAnsi="Arial" w:eastAsia="宋体" w:cs="Times New Roman"/>
      <w:kern w:val="0"/>
      <w:sz w:val="22"/>
      <w:szCs w:val="20"/>
      <w:lang w:val="de-DE" w:eastAsia="de-AT" w:bidi="ar-SA"/>
    </w:rPr>
  </w:style>
  <w:style w:type="paragraph" w:styleId="2">
    <w:name w:val="heading 1"/>
    <w:basedOn w:val="1"/>
    <w:next w:val="1"/>
    <w:link w:val="11"/>
    <w:qFormat/>
    <w:uiPriority w:val="0"/>
    <w:pPr>
      <w:keepNext/>
      <w:numPr>
        <w:ilvl w:val="0"/>
        <w:numId w:val="1"/>
      </w:numPr>
      <w:tabs>
        <w:tab w:val="left" w:pos="567"/>
        <w:tab w:val="clear" w:pos="432"/>
      </w:tabs>
      <w:spacing w:before="240" w:after="60"/>
      <w:outlineLvl w:val="0"/>
    </w:pPr>
    <w:rPr>
      <w:b/>
      <w:caps/>
      <w:snapToGrid w:val="0"/>
      <w:color w:val="000000"/>
      <w:sz w:val="24"/>
      <w:lang w:val="de-AT" w:eastAsia="zh-CN"/>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pPr>
      <w:spacing w:before="0" w:line="240" w:lineRule="auto"/>
    </w:pPr>
    <w:rPr>
      <w:sz w:val="18"/>
      <w:szCs w:val="18"/>
    </w:rPr>
  </w:style>
  <w:style w:type="paragraph" w:styleId="4">
    <w:name w:val="footer"/>
    <w:basedOn w:val="1"/>
    <w:link w:val="10"/>
    <w:semiHidden/>
    <w:unhideWhenUsed/>
    <w:qFormat/>
    <w:uiPriority w:val="99"/>
    <w:pPr>
      <w:tabs>
        <w:tab w:val="center" w:pos="4153"/>
        <w:tab w:val="right" w:pos="8306"/>
      </w:tabs>
      <w:snapToGrid w:val="0"/>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qFormat/>
    <w:uiPriority w:val="99"/>
    <w:rPr>
      <w:color w:val="0000FF"/>
      <w:u w:val="single"/>
    </w:rPr>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semiHidden/>
    <w:qFormat/>
    <w:uiPriority w:val="99"/>
    <w:rPr>
      <w:sz w:val="18"/>
      <w:szCs w:val="18"/>
    </w:rPr>
  </w:style>
  <w:style w:type="character" w:customStyle="1" w:styleId="11">
    <w:name w:val="标题 1 Char"/>
    <w:basedOn w:val="7"/>
    <w:link w:val="2"/>
    <w:qFormat/>
    <w:uiPriority w:val="0"/>
    <w:rPr>
      <w:rFonts w:ascii="Arial" w:hAnsi="Arial" w:eastAsia="宋体" w:cs="Times New Roman"/>
      <w:b/>
      <w:caps/>
      <w:snapToGrid w:val="0"/>
      <w:color w:val="000000"/>
      <w:kern w:val="0"/>
      <w:sz w:val="24"/>
      <w:szCs w:val="20"/>
      <w:lang w:val="de-AT"/>
    </w:rPr>
  </w:style>
  <w:style w:type="paragraph" w:customStyle="1" w:styleId="12">
    <w:name w:val="样式2"/>
    <w:basedOn w:val="1"/>
    <w:qFormat/>
    <w:uiPriority w:val="0"/>
    <w:pPr>
      <w:widowControl w:val="0"/>
      <w:adjustRightInd w:val="0"/>
      <w:spacing w:before="0"/>
      <w:ind w:firstLine="200" w:firstLineChars="200"/>
      <w:textAlignment w:val="baseline"/>
    </w:pPr>
    <w:rPr>
      <w:rFonts w:ascii="Times New Roman" w:hAnsi="Times New Roman"/>
      <w:sz w:val="21"/>
      <w:lang w:val="en-US" w:eastAsia="zh-CN"/>
    </w:rPr>
  </w:style>
  <w:style w:type="character" w:customStyle="1" w:styleId="13">
    <w:name w:val="批注框文本 Char"/>
    <w:basedOn w:val="7"/>
    <w:link w:val="3"/>
    <w:semiHidden/>
    <w:qFormat/>
    <w:uiPriority w:val="99"/>
    <w:rPr>
      <w:rFonts w:ascii="Arial" w:hAnsi="Arial" w:eastAsia="宋体" w:cs="Times New Roman"/>
      <w:kern w:val="0"/>
      <w:sz w:val="18"/>
      <w:szCs w:val="18"/>
      <w:lang w:val="de-DE" w:eastAsia="de-AT"/>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5325</Words>
  <Characters>6763</Characters>
  <Lines>53</Lines>
  <Paragraphs>15</Paragraphs>
  <TotalTime>20</TotalTime>
  <ScaleCrop>false</ScaleCrop>
  <LinksUpToDate>false</LinksUpToDate>
  <CharactersWithSpaces>6967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2018-03-15T07:45:00Z</dcterms:created>
  <dc:creator>胡彪</dc:creator>
  <cp:lastModifiedBy>启航2016</cp:lastModifiedBy>
  <cp:lastPrinted>2018-03-15T08:10:00Z</cp:lastPrinted>
  <dcterms:modified xsi:type="dcterms:W3CDTF">2025-12-08T03:17:29Z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BAB555E82508478192176F018524D847_12</vt:lpwstr>
  </property>
  <property fmtid="{D5CDD505-2E9C-101B-9397-08002B2CF9AE}" pid="4" name="KSOTemplateDocerSaveRecord">
    <vt:lpwstr>eyJoZGlkIjoiMTExNzYzOTExMmFmM2UwMGEyMTA2ZmI2NTBjMjViZDciLCJ1c2VySWQiOiI1Mzc0Mjc1MTYifQ==</vt:lpwstr>
  </property>
</Properties>
</file>