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20251127港口液磺1-5#槽出库总管改造项目金属软管采购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2025年12月9日下午14:00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2025年12月9日下午14:00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72E747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01AB2AB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0885F151">
      <w:pPr>
        <w:spacing w:line="360" w:lineRule="auto"/>
        <w:ind w:firstLine="420" w:firstLineChars="200"/>
        <w:jc w:val="left"/>
        <w:rPr>
          <w:rFonts w:ascii="方正仿宋简体" w:hAnsi="方正仿宋简体" w:eastAsia="方正仿宋简体" w:cs="方正仿宋简体"/>
          <w:kern w:val="1"/>
          <w:sz w:val="32"/>
          <w:szCs w:val="32"/>
          <w:highlight w:val="yellow"/>
        </w:rPr>
      </w:pPr>
      <w:r>
        <w:rPr>
          <w:rFonts w:hint="eastAsia"/>
        </w:rPr>
        <w:t xml:space="preserve"> </w:t>
      </w:r>
      <w:r>
        <w:rPr>
          <w:rFonts w:hint="eastAsia" w:ascii="方正仿宋简体" w:hAnsi="方正仿宋简体" w:eastAsia="方正仿宋简体" w:cs="方正仿宋简体"/>
          <w:kern w:val="1"/>
          <w:sz w:val="32"/>
          <w:szCs w:val="32"/>
          <w:highlight w:val="yellow"/>
        </w:rPr>
        <w:t>3.金属软管本体上要有产品规格型号</w:t>
      </w:r>
      <w:r>
        <w:rPr>
          <w:rFonts w:hint="eastAsia" w:ascii="方正仿宋简体" w:hAnsi="方正仿宋简体" w:eastAsia="方正仿宋简体" w:cs="方正仿宋简体"/>
          <w:b/>
          <w:color w:val="FF0000"/>
          <w:kern w:val="1"/>
          <w:sz w:val="32"/>
          <w:szCs w:val="32"/>
          <w:highlight w:val="yellow"/>
        </w:rPr>
        <w:t>钢印标识</w:t>
      </w:r>
      <w:r>
        <w:rPr>
          <w:rFonts w:hint="eastAsia" w:ascii="方正仿宋简体" w:hAnsi="方正仿宋简体" w:eastAsia="方正仿宋简体" w:cs="方正仿宋简体"/>
          <w:bCs/>
          <w:color w:val="FF0000"/>
          <w:kern w:val="1"/>
          <w:sz w:val="32"/>
          <w:szCs w:val="32"/>
          <w:highlight w:val="yellow"/>
        </w:rPr>
        <w:t>（或</w:t>
      </w:r>
      <w:r>
        <w:rPr>
          <w:rFonts w:hint="eastAsia" w:ascii="方正仿宋简体" w:hAnsi="方正仿宋简体" w:eastAsia="方正仿宋简体" w:cs="方正仿宋简体"/>
          <w:b/>
          <w:color w:val="FF0000"/>
          <w:kern w:val="1"/>
          <w:sz w:val="32"/>
          <w:szCs w:val="32"/>
          <w:highlight w:val="yellow"/>
        </w:rPr>
        <w:t>不锈钢标牌</w:t>
      </w:r>
      <w:r>
        <w:rPr>
          <w:rFonts w:hint="eastAsia" w:ascii="方正仿宋简体" w:hAnsi="方正仿宋简体" w:eastAsia="方正仿宋简体" w:cs="方正仿宋简体"/>
          <w:bCs/>
          <w:color w:val="FF0000"/>
          <w:kern w:val="1"/>
          <w:sz w:val="32"/>
          <w:szCs w:val="32"/>
          <w:highlight w:val="yellow"/>
        </w:rPr>
        <w:t>）</w:t>
      </w:r>
      <w:r>
        <w:rPr>
          <w:rFonts w:hint="eastAsia" w:ascii="方正仿宋简体" w:hAnsi="方正仿宋简体" w:eastAsia="方正仿宋简体" w:cs="方正仿宋简体"/>
          <w:kern w:val="1"/>
          <w:sz w:val="32"/>
          <w:szCs w:val="32"/>
          <w:highlight w:val="yellow"/>
        </w:rPr>
        <w:t>，并随货提供</w:t>
      </w:r>
      <w:r>
        <w:rPr>
          <w:rFonts w:hint="eastAsia" w:ascii="方正仿宋简体" w:hAnsi="方正仿宋简体" w:eastAsia="方正仿宋简体" w:cs="方正仿宋简体"/>
          <w:b/>
          <w:kern w:val="1"/>
          <w:sz w:val="32"/>
          <w:szCs w:val="32"/>
          <w:highlight w:val="yellow"/>
        </w:rPr>
        <w:t>质量检测报告</w:t>
      </w:r>
      <w:r>
        <w:rPr>
          <w:rFonts w:hint="eastAsia" w:ascii="方正仿宋简体" w:hAnsi="方正仿宋简体" w:eastAsia="方正仿宋简体" w:cs="方正仿宋简体"/>
          <w:kern w:val="1"/>
          <w:sz w:val="32"/>
          <w:szCs w:val="32"/>
          <w:highlight w:val="yellow"/>
        </w:rPr>
        <w:t>等相关证明材料。</w:t>
      </w:r>
    </w:p>
    <w:p w14:paraId="5CADB26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highlight w:val="yellow"/>
        </w:rPr>
        <w:t>4.产品出厂前由采购方决定是否需要进行工厂验收（密封试验、耐压试验等），成交方须配合采购方验收</w:t>
      </w:r>
      <w:r>
        <w:rPr>
          <w:rFonts w:hint="eastAsia" w:ascii="方正仿宋简体" w:hAnsi="方正仿宋简体" w:eastAsia="方正仿宋简体" w:cs="方正仿宋简体"/>
          <w:kern w:val="1"/>
          <w:sz w:val="32"/>
          <w:szCs w:val="32"/>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5C90D78B">
      <w:pPr>
        <w:adjustRightInd w:val="0"/>
        <w:snapToGrid w:val="0"/>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sz w:val="32"/>
          <w:szCs w:val="32"/>
        </w:rPr>
        <w:t>江苏五星波纹管有限公司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sz w:val="32"/>
          <w:szCs w:val="32"/>
        </w:rPr>
        <w:t>江苏普洛斯普机械有限公司</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江苏博格东进管道设备有限公司</w:t>
      </w:r>
      <w:r>
        <w:rPr>
          <w:rFonts w:hint="eastAsia" w:ascii="方正仿宋简体" w:hAnsi="方正仿宋简体" w:eastAsia="方正仿宋简体" w:cs="方正仿宋简体"/>
          <w:bCs/>
          <w:sz w:val="32"/>
          <w:szCs w:val="32"/>
        </w:rPr>
        <w:t>和</w:t>
      </w:r>
      <w:r>
        <w:rPr>
          <w:rFonts w:hint="eastAsia" w:ascii="方正仿宋简体" w:hAnsi="方正仿宋简体" w:eastAsia="方正仿宋简体" w:cs="方正仿宋简体"/>
          <w:b/>
          <w:sz w:val="32"/>
          <w:szCs w:val="32"/>
          <w:lang w:val="en-US" w:eastAsia="zh-CN"/>
        </w:rPr>
        <w:t>江苏恒泰管道设备有限公司</w:t>
      </w:r>
      <w:r>
        <w:rPr>
          <w:rFonts w:hint="eastAsia" w:ascii="方正仿宋简体" w:hAnsi="方正仿宋简体" w:eastAsia="方正仿宋简体" w:cs="方正仿宋简体"/>
          <w:bCs/>
          <w:sz w:val="32"/>
          <w:szCs w:val="32"/>
        </w:rPr>
        <w:t>。报价人必须注明所供产品的生产厂家（品牌），</w:t>
      </w:r>
      <w:r>
        <w:rPr>
          <w:rFonts w:hint="eastAsia" w:ascii="方正仿宋简体" w:hAnsi="方正仿宋简体" w:eastAsia="方正仿宋简体" w:cs="方正仿宋简体"/>
          <w:bCs/>
          <w:color w:val="FF0000"/>
          <w:sz w:val="32"/>
          <w:szCs w:val="32"/>
        </w:rPr>
        <w:t>未注明</w:t>
      </w:r>
      <w:r>
        <w:rPr>
          <w:rFonts w:hint="eastAsia" w:ascii="方正仿宋简体" w:hAnsi="方正仿宋简体" w:eastAsia="方正仿宋简体" w:cs="方正仿宋简体"/>
          <w:bCs/>
          <w:sz w:val="32"/>
          <w:szCs w:val="32"/>
        </w:rPr>
        <w:t>生</w:t>
      </w:r>
      <w:r>
        <w:rPr>
          <w:rFonts w:hint="eastAsia" w:ascii="方正仿宋简体" w:hAnsi="方正仿宋简体" w:eastAsia="方正仿宋简体" w:cs="方正仿宋简体"/>
          <w:sz w:val="32"/>
          <w:szCs w:val="32"/>
        </w:rPr>
        <w:t>产厂家（品牌）比选采购小组可以按</w:t>
      </w:r>
      <w:r>
        <w:rPr>
          <w:rFonts w:hint="eastAsia" w:ascii="方正仿宋简体" w:hAnsi="方正仿宋简体" w:eastAsia="方正仿宋简体" w:cs="方正仿宋简体"/>
          <w:b/>
          <w:bCs/>
          <w:color w:val="FF0000"/>
          <w:sz w:val="32"/>
          <w:szCs w:val="32"/>
        </w:rPr>
        <w:t>无效</w:t>
      </w:r>
      <w:r>
        <w:rPr>
          <w:rFonts w:hint="eastAsia" w:ascii="方正仿宋简体" w:hAnsi="方正仿宋简体" w:eastAsia="方正仿宋简体" w:cs="方正仿宋简体"/>
          <w:b/>
          <w:bCs/>
          <w:sz w:val="32"/>
          <w:szCs w:val="32"/>
        </w:rPr>
        <w:t>报价</w:t>
      </w:r>
      <w:r>
        <w:rPr>
          <w:rFonts w:hint="eastAsia" w:ascii="方正仿宋简体" w:hAnsi="方正仿宋简体" w:eastAsia="方正仿宋简体" w:cs="方正仿宋简体"/>
          <w:sz w:val="32"/>
          <w:szCs w:val="32"/>
        </w:rPr>
        <w:t>处理。</w:t>
      </w:r>
    </w:p>
    <w:p w14:paraId="11E1A0F9">
      <w:pPr>
        <w:ind w:firstLine="640" w:firstLineChars="200"/>
        <w:jc w:val="left"/>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sz w:val="32"/>
          <w:szCs w:val="32"/>
        </w:rPr>
        <w:t>报价</w:t>
      </w:r>
      <w:r>
        <w:rPr>
          <w:rFonts w:hint="eastAsia" w:ascii="方正仿宋简体" w:hAnsi="方正仿宋简体" w:eastAsia="方正仿宋简体" w:cs="方正仿宋简体"/>
          <w:sz w:val="32"/>
          <w:szCs w:val="32"/>
        </w:rPr>
        <w:t>人为非生产厂家，必须提供比选文书上要求的生产厂家（品牌）的授权委托书（需生产厂家法人签</w:t>
      </w:r>
      <w:r>
        <w:rPr>
          <w:rFonts w:hint="eastAsia" w:ascii="方正仿宋简体" w:hAnsi="方正仿宋简体" w:eastAsia="方正仿宋简体" w:cs="方正仿宋简体"/>
          <w:bCs/>
          <w:sz w:val="32"/>
          <w:szCs w:val="32"/>
        </w:rPr>
        <w:t>字并加盖公章），未提供</w:t>
      </w:r>
      <w:r>
        <w:rPr>
          <w:rFonts w:hint="eastAsia" w:ascii="方正仿宋简体" w:hAnsi="方正仿宋简体" w:eastAsia="方正仿宋简体" w:cs="方正仿宋简体"/>
          <w:sz w:val="32"/>
          <w:szCs w:val="32"/>
        </w:rPr>
        <w:t>比选采购小组可以</w:t>
      </w:r>
      <w:r>
        <w:rPr>
          <w:rFonts w:hint="eastAsia" w:ascii="方正仿宋简体" w:hAnsi="方正仿宋简体" w:eastAsia="方正仿宋简体" w:cs="方正仿宋简体"/>
          <w:b/>
          <w:bCs/>
          <w:color w:val="FF0000"/>
          <w:sz w:val="32"/>
          <w:szCs w:val="32"/>
        </w:rPr>
        <w:t>无效</w:t>
      </w:r>
      <w:r>
        <w:rPr>
          <w:rFonts w:hint="eastAsia" w:ascii="方正仿宋简体" w:hAnsi="方正仿宋简体" w:eastAsia="方正仿宋简体" w:cs="方正仿宋简体"/>
          <w:b/>
          <w:bCs/>
          <w:sz w:val="32"/>
          <w:szCs w:val="32"/>
        </w:rPr>
        <w:t>报价</w:t>
      </w:r>
      <w:r>
        <w:rPr>
          <w:rFonts w:hint="eastAsia" w:ascii="方正仿宋简体" w:hAnsi="方正仿宋简体" w:eastAsia="方正仿宋简体" w:cs="方正仿宋简体"/>
          <w:bCs/>
          <w:sz w:val="32"/>
          <w:szCs w:val="32"/>
        </w:rPr>
        <w:t>处理。</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val="0"/>
          <w:bCs w:val="0"/>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1219" w:tblpY="576"/>
        <w:tblOverlap w:val="never"/>
        <w:tblW w:w="59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67"/>
        <w:gridCol w:w="3150"/>
        <w:gridCol w:w="1125"/>
        <w:gridCol w:w="737"/>
        <w:gridCol w:w="737"/>
        <w:gridCol w:w="1038"/>
        <w:gridCol w:w="975"/>
        <w:gridCol w:w="642"/>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44"/>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43"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80"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65"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559"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66"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66"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9"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3"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580" w:type="pct"/>
            <w:vAlign w:val="center"/>
          </w:tcPr>
          <w:p w14:paraId="254AE557">
            <w:pPr>
              <w:keepNext w:val="0"/>
              <w:keepLines w:val="0"/>
              <w:widowControl/>
              <w:suppressLineNumbers w:val="0"/>
              <w:jc w:val="left"/>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8"/>
                <w:szCs w:val="18"/>
                <w:u w:val="none"/>
                <w:lang w:val="en-US" w:eastAsia="zh-CN" w:bidi="ar"/>
              </w:rPr>
              <w:t>金属软管</w:t>
            </w:r>
          </w:p>
        </w:tc>
        <w:tc>
          <w:tcPr>
            <w:tcW w:w="1565" w:type="pct"/>
            <w:vAlign w:val="center"/>
          </w:tcPr>
          <w:p w14:paraId="16A96D20">
            <w:pPr>
              <w:keepNext w:val="0"/>
              <w:keepLines w:val="0"/>
              <w:widowControl/>
              <w:suppressLineNumbers w:val="0"/>
              <w:jc w:val="left"/>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8"/>
                <w:szCs w:val="18"/>
                <w:u w:val="none"/>
                <w:lang w:val="en-US" w:eastAsia="zh-CN" w:bidi="ar"/>
              </w:rPr>
              <w:t>φ323.9×14；介质：液磺；压力：PN16；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一头固定法兰 一头活套法兰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0.5米一根</w:t>
            </w:r>
          </w:p>
        </w:tc>
        <w:tc>
          <w:tcPr>
            <w:tcW w:w="559" w:type="pct"/>
            <w:vAlign w:val="center"/>
          </w:tcPr>
          <w:p w14:paraId="7255B51C">
            <w:pPr>
              <w:keepNext w:val="0"/>
              <w:keepLines w:val="0"/>
              <w:widowControl/>
              <w:suppressLineNumbers w:val="0"/>
              <w:jc w:val="left"/>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8"/>
                <w:szCs w:val="18"/>
                <w:u w:val="none"/>
                <w:lang w:val="en-US" w:eastAsia="zh-CN" w:bidi="ar"/>
              </w:rPr>
              <w:t>整体304</w:t>
            </w:r>
          </w:p>
        </w:tc>
        <w:tc>
          <w:tcPr>
            <w:tcW w:w="366" w:type="pct"/>
            <w:vAlign w:val="center"/>
          </w:tcPr>
          <w:p w14:paraId="550171AF">
            <w:pPr>
              <w:keepNext w:val="0"/>
              <w:keepLines w:val="0"/>
              <w:widowControl/>
              <w:suppressLineNumbers w:val="0"/>
              <w:jc w:val="center"/>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366" w:type="pct"/>
            <w:vAlign w:val="center"/>
          </w:tcPr>
          <w:p w14:paraId="313DEA10">
            <w:pPr>
              <w:keepNext w:val="0"/>
              <w:keepLines w:val="0"/>
              <w:widowControl/>
              <w:suppressLineNumbers w:val="0"/>
              <w:jc w:val="center"/>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515"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BA9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3" w:type="pct"/>
            <w:vAlign w:val="center"/>
          </w:tcPr>
          <w:p w14:paraId="3E0B88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580" w:type="pct"/>
            <w:vAlign w:val="center"/>
          </w:tcPr>
          <w:p w14:paraId="3B3D7C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565" w:type="pct"/>
            <w:vAlign w:val="center"/>
          </w:tcPr>
          <w:p w14:paraId="2B2D84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φ273.1×12；介质：液磺；压力：PN16；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一头固定法兰 一头活套法兰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0.5米一根</w:t>
            </w:r>
          </w:p>
        </w:tc>
        <w:tc>
          <w:tcPr>
            <w:tcW w:w="559" w:type="pct"/>
            <w:vAlign w:val="center"/>
          </w:tcPr>
          <w:p w14:paraId="3E6BC0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整体304</w:t>
            </w:r>
          </w:p>
        </w:tc>
        <w:tc>
          <w:tcPr>
            <w:tcW w:w="366" w:type="pct"/>
            <w:vAlign w:val="center"/>
          </w:tcPr>
          <w:p w14:paraId="62B9D3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66" w:type="pct"/>
            <w:vAlign w:val="center"/>
          </w:tcPr>
          <w:p w14:paraId="37E53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5" w:type="pct"/>
            <w:vAlign w:val="center"/>
          </w:tcPr>
          <w:p w14:paraId="1EB5F6D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4B93C76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3092CF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872A04">
      <w:pPr>
        <w:spacing w:line="600" w:lineRule="exact"/>
        <w:jc w:val="left"/>
        <w:rPr>
          <w:rFonts w:ascii="方正仿宋简体" w:hAnsi="方正仿宋简体" w:eastAsia="方正仿宋简体" w:cs="方正仿宋简体"/>
          <w:kern w:val="1"/>
          <w:sz w:val="32"/>
          <w:szCs w:val="32"/>
        </w:rPr>
      </w:pPr>
    </w:p>
    <w:p w14:paraId="3894F804">
      <w:pPr>
        <w:spacing w:line="600" w:lineRule="exact"/>
        <w:jc w:val="left"/>
        <w:rPr>
          <w:rFonts w:hint="eastAsia" w:ascii="方正仿宋简体" w:hAnsi="方正仿宋简体" w:eastAsia="方正仿宋简体" w:cs="方正仿宋简体"/>
          <w:kern w:val="1"/>
          <w:sz w:val="32"/>
          <w:szCs w:val="32"/>
        </w:rPr>
      </w:pPr>
    </w:p>
    <w:p w14:paraId="2C14C313">
      <w:pPr>
        <w:pStyle w:val="4"/>
        <w:rPr>
          <w:rFonts w:hint="eastAsia" w:ascii="方正仿宋简体" w:hAnsi="方正仿宋简体" w:eastAsia="方正仿宋简体" w:cs="方正仿宋简体"/>
          <w:kern w:val="1"/>
          <w:sz w:val="32"/>
          <w:szCs w:val="32"/>
        </w:rPr>
      </w:pP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AD34D41">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6F9D2D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396EB40">
      <w:pPr>
        <w:spacing w:line="600" w:lineRule="exact"/>
        <w:ind w:firstLine="640" w:firstLineChars="200"/>
        <w:jc w:val="left"/>
        <w:rPr>
          <w:rFonts w:ascii="方正仿宋简体" w:hAnsi="方正仿宋简体" w:eastAsia="方正仿宋简体" w:cs="方正仿宋简体"/>
          <w:sz w:val="32"/>
          <w:szCs w:val="32"/>
        </w:rPr>
      </w:pPr>
    </w:p>
    <w:p w14:paraId="4BC6759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6451DF2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1A7DF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64F409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61"/>
        <w:gridCol w:w="2137"/>
        <w:gridCol w:w="501"/>
        <w:gridCol w:w="1400"/>
        <w:gridCol w:w="875"/>
        <w:gridCol w:w="1076"/>
        <w:gridCol w:w="10"/>
        <w:gridCol w:w="345"/>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405"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652"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198"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609"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458"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91"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610" w:type="pct"/>
            <w:gridSpan w:val="2"/>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73"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jc w:val="center"/>
        </w:trPr>
        <w:tc>
          <w:tcPr>
            <w:tcW w:w="405"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652"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198"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09" w:type="pct"/>
            <w:noWrap w:val="0"/>
            <w:vAlign w:val="center"/>
          </w:tcPr>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侃</w:t>
            </w:r>
          </w:p>
        </w:tc>
        <w:tc>
          <w:tcPr>
            <w:tcW w:w="458"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91"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610" w:type="pct"/>
            <w:gridSpan w:val="2"/>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73"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21800</w:t>
            </w:r>
          </w:p>
        </w:tc>
      </w:tr>
      <w:tr w14:paraId="54B3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56" w:hRule="exact"/>
          <w:jc w:val="center"/>
        </w:trPr>
        <w:tc>
          <w:tcPr>
            <w:tcW w:w="2865" w:type="pct"/>
            <w:gridSpan w:val="4"/>
            <w:noWrap w:val="0"/>
            <w:vAlign w:val="center"/>
          </w:tcPr>
          <w:p w14:paraId="63335E61">
            <w:pPr>
              <w:keepNext w:val="0"/>
              <w:keepLines w:val="0"/>
              <w:pageBreakBefore w:val="0"/>
              <w:widowControl/>
              <w:kinsoku/>
              <w:wordWrap/>
              <w:overflowPunct/>
              <w:topLinePunct w:val="0"/>
              <w:autoSpaceDE/>
              <w:autoSpaceDN/>
              <w:bidi w:val="0"/>
              <w:ind w:right="0"/>
              <w:jc w:val="left"/>
              <w:rPr>
                <w:rFonts w:hint="eastAsia" w:ascii="仿宋" w:hAnsi="仿宋" w:eastAsia="仿宋" w:cs="仿宋"/>
                <w:b w:val="0"/>
                <w:bCs w:val="0"/>
                <w:sz w:val="24"/>
                <w:szCs w:val="24"/>
                <w:u w:val="none"/>
                <w:lang w:val="en-US" w:eastAsia="zh-CN"/>
              </w:rPr>
            </w:pPr>
          </w:p>
          <w:p w14:paraId="50A16C60">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7C53A84">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EE38CD1">
            <w:pPr>
              <w:pStyle w:val="7"/>
              <w:rPr>
                <w:rFonts w:hint="eastAsia"/>
                <w:sz w:val="24"/>
                <w:szCs w:val="24"/>
                <w:lang w:val="en-US" w:eastAsia="zh-CN"/>
              </w:rPr>
            </w:pPr>
          </w:p>
          <w:p w14:paraId="7FE2FBF3">
            <w:pPr>
              <w:pStyle w:val="6"/>
              <w:rPr>
                <w:rFonts w:hint="default"/>
                <w:sz w:val="24"/>
                <w:szCs w:val="24"/>
                <w:lang w:val="en-US" w:eastAsia="zh-CN"/>
              </w:rPr>
            </w:pPr>
          </w:p>
        </w:tc>
        <w:tc>
          <w:tcPr>
            <w:tcW w:w="2134" w:type="pct"/>
            <w:gridSpan w:val="3"/>
            <w:noWrap w:val="0"/>
            <w:vAlign w:val="center"/>
          </w:tcPr>
          <w:p w14:paraId="6B5BCE3E">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02FAB4F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0DDADAB">
            <w:pPr>
              <w:widowControl/>
              <w:spacing w:line="0" w:lineRule="atLeast"/>
              <w:ind w:left="720" w:hanging="720" w:hangingChars="300"/>
              <w:jc w:val="lef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highlight w:val="none"/>
                <w:lang w:val="en-US" w:eastAsia="zh-CN"/>
              </w:rPr>
              <w:t xml:space="preserve">（以发票为准 </w:t>
            </w:r>
          </w:p>
        </w:tc>
      </w:tr>
      <w:tr w14:paraId="72A6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23" w:hRule="exact"/>
          <w:jc w:val="center"/>
        </w:trPr>
        <w:tc>
          <w:tcPr>
            <w:tcW w:w="2865" w:type="pct"/>
            <w:gridSpan w:val="4"/>
            <w:noWrap w:val="0"/>
            <w:vAlign w:val="center"/>
          </w:tcPr>
          <w:p w14:paraId="2BE5223B">
            <w:pPr>
              <w:widowControl/>
              <w:spacing w:line="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2134" w:type="pct"/>
            <w:gridSpan w:val="3"/>
            <w:noWrap w:val="0"/>
            <w:vAlign w:val="center"/>
          </w:tcPr>
          <w:p w14:paraId="18D823A8">
            <w:pPr>
              <w:keepNext w:val="0"/>
              <w:keepLines w:val="0"/>
              <w:pageBreakBefore w:val="0"/>
              <w:widowControl/>
              <w:kinsoku/>
              <w:wordWrap/>
              <w:overflowPunct/>
              <w:topLinePunct w:val="0"/>
              <w:autoSpaceDE/>
              <w:autoSpaceDN/>
              <w:bidi w:val="0"/>
              <w:ind w:right="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D4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D87262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FF64FA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33E7F97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5565CF1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19118E6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71E0AD7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1F584AF">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DA62B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916A78C">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059D47FC">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c>
          <w:tcPr>
            <w:tcW w:w="4961" w:type="dxa"/>
          </w:tcPr>
          <w:p w14:paraId="56624EA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22B3689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E10E7C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865E69A">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2A9110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44C3070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AAA562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8E4E1C0">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16044A2B">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54F888D7">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1ECD6542">
      <w:pPr>
        <w:spacing w:line="600" w:lineRule="exact"/>
        <w:ind w:firstLine="640" w:firstLineChars="200"/>
        <w:rPr>
          <w:rFonts w:ascii="方正仿宋简体" w:hAnsi="方正仿宋简体" w:eastAsia="方正仿宋简体" w:cs="方正仿宋简体"/>
          <w:sz w:val="32"/>
          <w:szCs w:val="32"/>
        </w:rPr>
      </w:pPr>
    </w:p>
    <w:p w14:paraId="58D50D50">
      <w:pPr>
        <w:spacing w:line="600" w:lineRule="exact"/>
        <w:ind w:firstLine="640" w:firstLineChars="200"/>
        <w:rPr>
          <w:rFonts w:ascii="方正仿宋简体" w:hAnsi="方正仿宋简体" w:eastAsia="方正仿宋简体" w:cs="方正仿宋简体"/>
          <w:sz w:val="32"/>
          <w:szCs w:val="32"/>
        </w:rPr>
      </w:pPr>
    </w:p>
    <w:p w14:paraId="61C83EF1">
      <w:pPr>
        <w:spacing w:line="600" w:lineRule="exact"/>
        <w:ind w:firstLine="640" w:firstLineChars="200"/>
        <w:rPr>
          <w:rFonts w:ascii="方正仿宋简体" w:hAnsi="方正仿宋简体" w:eastAsia="方正仿宋简体" w:cs="方正仿宋简体"/>
          <w:sz w:val="32"/>
          <w:szCs w:val="32"/>
        </w:rPr>
      </w:pPr>
    </w:p>
    <w:p w14:paraId="5EBA06EE">
      <w:pPr>
        <w:spacing w:line="600" w:lineRule="exact"/>
        <w:ind w:firstLine="640" w:firstLineChars="200"/>
        <w:rPr>
          <w:rFonts w:ascii="方正仿宋简体" w:hAnsi="方正仿宋简体" w:eastAsia="方正仿宋简体" w:cs="方正仿宋简体"/>
          <w:sz w:val="32"/>
          <w:szCs w:val="32"/>
        </w:rPr>
      </w:pPr>
    </w:p>
    <w:p w14:paraId="50BC1572">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27DF0144">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0261F8"/>
    <w:rsid w:val="05E10B55"/>
    <w:rsid w:val="08826623"/>
    <w:rsid w:val="09A1318D"/>
    <w:rsid w:val="09E67744"/>
    <w:rsid w:val="0BAB5E45"/>
    <w:rsid w:val="0CCD460E"/>
    <w:rsid w:val="0D8C7E40"/>
    <w:rsid w:val="0F2E3D3A"/>
    <w:rsid w:val="11E467E9"/>
    <w:rsid w:val="12B010AA"/>
    <w:rsid w:val="13A43D78"/>
    <w:rsid w:val="1444244B"/>
    <w:rsid w:val="14EA645D"/>
    <w:rsid w:val="15EA1EB0"/>
    <w:rsid w:val="17244882"/>
    <w:rsid w:val="18927BC8"/>
    <w:rsid w:val="19181A3A"/>
    <w:rsid w:val="1B253D73"/>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441A5"/>
    <w:rsid w:val="3F3D735A"/>
    <w:rsid w:val="40D519B8"/>
    <w:rsid w:val="415731CD"/>
    <w:rsid w:val="416D2207"/>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38763B9"/>
    <w:rsid w:val="540463E4"/>
    <w:rsid w:val="55DC546E"/>
    <w:rsid w:val="56C026EC"/>
    <w:rsid w:val="579C3951"/>
    <w:rsid w:val="57F90679"/>
    <w:rsid w:val="58A37CF5"/>
    <w:rsid w:val="596D6B7C"/>
    <w:rsid w:val="5B962F2E"/>
    <w:rsid w:val="5CB112FB"/>
    <w:rsid w:val="5CEC747F"/>
    <w:rsid w:val="5DDA4712"/>
    <w:rsid w:val="5F072ED8"/>
    <w:rsid w:val="6074277F"/>
    <w:rsid w:val="62BB247B"/>
    <w:rsid w:val="64B42810"/>
    <w:rsid w:val="65103043"/>
    <w:rsid w:val="65702E88"/>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3F542D9"/>
    <w:rsid w:val="7406451D"/>
    <w:rsid w:val="756A3232"/>
    <w:rsid w:val="77DF544D"/>
    <w:rsid w:val="782F54C8"/>
    <w:rsid w:val="783458C3"/>
    <w:rsid w:val="792B0055"/>
    <w:rsid w:val="7A1E0C67"/>
    <w:rsid w:val="7B044DE1"/>
    <w:rsid w:val="7B336A8D"/>
    <w:rsid w:val="7B513D20"/>
    <w:rsid w:val="7D7C1B4F"/>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8030</Words>
  <Characters>8380</Characters>
  <Lines>68</Lines>
  <Paragraphs>19</Paragraphs>
  <TotalTime>0</TotalTime>
  <ScaleCrop>false</ScaleCrop>
  <LinksUpToDate>false</LinksUpToDate>
  <CharactersWithSpaces>8931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2025-11-28T03:01:41Z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