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80BFC" w14:textId="77777777" w:rsidR="00537501" w:rsidRDefault="00000000">
      <w:pPr>
        <w:spacing w:line="560" w:lineRule="exact"/>
        <w:ind w:firstLineChars="0" w:firstLine="0"/>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
          <w:sz w:val="44"/>
          <w:szCs w:val="44"/>
        </w:rPr>
        <w:t>索普集团监测点下游水站运营服务采购</w:t>
      </w:r>
    </w:p>
    <w:p w14:paraId="07708C48" w14:textId="77777777" w:rsidR="00537501" w:rsidRDefault="00537501">
      <w:pPr>
        <w:adjustRightInd w:val="0"/>
        <w:snapToGrid w:val="0"/>
        <w:spacing w:line="560" w:lineRule="exact"/>
        <w:ind w:firstLine="600"/>
        <w:jc w:val="left"/>
        <w:rPr>
          <w:rFonts w:ascii="仿宋" w:hAnsi="仿宋" w:cs="仿宋" w:hint="eastAsia"/>
          <w:bCs/>
          <w:kern w:val="1"/>
          <w:sz w:val="30"/>
          <w:szCs w:val="30"/>
        </w:rPr>
      </w:pPr>
    </w:p>
    <w:p w14:paraId="03C24F72"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我公司现需对</w:t>
      </w:r>
      <w:r>
        <w:rPr>
          <w:rFonts w:ascii="仿宋" w:hAnsi="仿宋" w:cs="仿宋" w:hint="eastAsia"/>
          <w:bCs/>
          <w:kern w:val="1"/>
          <w:sz w:val="30"/>
          <w:szCs w:val="30"/>
          <w:u w:val="single"/>
        </w:rPr>
        <w:t>索普集团监测点下游水站运营</w:t>
      </w:r>
      <w:r>
        <w:rPr>
          <w:rFonts w:ascii="仿宋" w:hAnsi="仿宋" w:cs="仿宋" w:hint="eastAsia"/>
          <w:bCs/>
          <w:kern w:val="1"/>
          <w:sz w:val="30"/>
          <w:szCs w:val="30"/>
        </w:rPr>
        <w:t>服务进行采购，</w:t>
      </w:r>
      <w:r>
        <w:rPr>
          <w:rFonts w:ascii="仿宋" w:hAnsi="仿宋" w:cs="仿宋" w:hint="eastAsia"/>
          <w:bCs/>
          <w:kern w:val="1"/>
          <w:sz w:val="30"/>
          <w:szCs w:val="30"/>
          <w:lang w:val="zh-CN"/>
        </w:rPr>
        <w:t>采用自主公开采购的方式选定供应商，</w:t>
      </w:r>
      <w:r>
        <w:rPr>
          <w:rFonts w:ascii="仿宋" w:hAnsi="仿宋" w:cs="仿宋" w:hint="eastAsia"/>
          <w:bCs/>
          <w:kern w:val="1"/>
          <w:sz w:val="30"/>
          <w:szCs w:val="30"/>
        </w:rPr>
        <w:t>特邀请贵单位参与报价。</w:t>
      </w:r>
    </w:p>
    <w:p w14:paraId="506E7F1C" w14:textId="77777777" w:rsidR="00537501" w:rsidRDefault="00000000">
      <w:pPr>
        <w:pStyle w:val="3"/>
        <w:spacing w:beforeLines="0" w:afterLines="30" w:after="72" w:line="560" w:lineRule="exact"/>
        <w:ind w:firstLineChars="0" w:firstLine="561"/>
        <w:rPr>
          <w:rFonts w:ascii="黑体" w:eastAsia="黑体" w:hAnsi="黑体" w:cs="黑体" w:hint="eastAsia"/>
          <w:sz w:val="28"/>
        </w:rPr>
      </w:pPr>
      <w:r>
        <w:rPr>
          <w:rFonts w:ascii="黑体" w:eastAsia="黑体" w:hAnsi="黑体" w:cs="黑体" w:hint="eastAsia"/>
          <w:sz w:val="28"/>
        </w:rPr>
        <w:t>一、采购概况</w:t>
      </w:r>
    </w:p>
    <w:p w14:paraId="3A0F45F1"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（一）项目名称：</w:t>
      </w:r>
      <w:r>
        <w:rPr>
          <w:rFonts w:ascii="仿宋" w:hAnsi="仿宋" w:cs="仿宋" w:hint="eastAsia"/>
          <w:bCs/>
          <w:kern w:val="1"/>
          <w:sz w:val="30"/>
          <w:szCs w:val="30"/>
          <w:u w:val="single"/>
        </w:rPr>
        <w:t>索普集团监测点下游水站运营服务采购，</w:t>
      </w:r>
      <w:r>
        <w:rPr>
          <w:rFonts w:ascii="仿宋" w:hAnsi="仿宋" w:cs="仿宋" w:hint="eastAsia"/>
          <w:bCs/>
          <w:kern w:val="1"/>
          <w:sz w:val="30"/>
          <w:szCs w:val="30"/>
        </w:rPr>
        <w:t>合同期限：一年；双方合作满意，可以续签两年；</w:t>
      </w:r>
    </w:p>
    <w:p w14:paraId="76FAF02F" w14:textId="77777777" w:rsidR="00537501" w:rsidRDefault="00000000">
      <w:pPr>
        <w:adjustRightInd w:val="0"/>
        <w:snapToGrid w:val="0"/>
        <w:spacing w:line="560" w:lineRule="exact"/>
        <w:ind w:firstLine="600"/>
        <w:jc w:val="left"/>
        <w:rPr>
          <w:rFonts w:ascii="仿宋" w:hAnsi="仿宋" w:cs="仿宋" w:hint="eastAsia"/>
          <w:bCs/>
          <w:kern w:val="1"/>
          <w:sz w:val="30"/>
          <w:szCs w:val="30"/>
          <w:u w:val="single"/>
        </w:rPr>
      </w:pPr>
      <w:r>
        <w:rPr>
          <w:rFonts w:ascii="仿宋" w:hAnsi="仿宋" w:cs="仿宋" w:hint="eastAsia"/>
          <w:bCs/>
          <w:kern w:val="1"/>
          <w:sz w:val="30"/>
          <w:szCs w:val="30"/>
        </w:rPr>
        <w:t>（二）运营时间：</w:t>
      </w:r>
      <w:r>
        <w:rPr>
          <w:rFonts w:ascii="仿宋" w:hAnsi="仿宋" w:cs="仿宋" w:hint="eastAsia"/>
          <w:bCs/>
          <w:kern w:val="1"/>
          <w:sz w:val="30"/>
          <w:szCs w:val="30"/>
          <w:u w:val="single"/>
        </w:rPr>
        <w:t xml:space="preserve"> 2026年2月1日至2027年1月31日 ，</w:t>
      </w:r>
    </w:p>
    <w:p w14:paraId="13DD3FC6" w14:textId="77777777" w:rsidR="00537501" w:rsidRDefault="00000000">
      <w:pPr>
        <w:adjustRightInd w:val="0"/>
        <w:snapToGrid w:val="0"/>
        <w:spacing w:line="560" w:lineRule="exact"/>
        <w:ind w:firstLineChars="500" w:firstLine="1500"/>
        <w:jc w:val="left"/>
        <w:rPr>
          <w:rFonts w:ascii="仿宋" w:hAnsi="仿宋" w:cs="仿宋" w:hint="eastAsia"/>
          <w:bCs/>
          <w:kern w:val="1"/>
          <w:sz w:val="30"/>
          <w:szCs w:val="30"/>
        </w:rPr>
      </w:pPr>
      <w:r>
        <w:rPr>
          <w:rFonts w:ascii="仿宋" w:hAnsi="仿宋" w:cs="仿宋" w:hint="eastAsia"/>
          <w:bCs/>
          <w:kern w:val="1"/>
          <w:sz w:val="30"/>
          <w:szCs w:val="30"/>
        </w:rPr>
        <w:t>运营地点</w:t>
      </w:r>
      <w:r>
        <w:rPr>
          <w:rFonts w:ascii="仿宋" w:hAnsi="仿宋" w:cs="仿宋" w:hint="eastAsia"/>
          <w:bCs/>
          <w:kern w:val="1"/>
          <w:sz w:val="30"/>
          <w:szCs w:val="30"/>
          <w:u w:val="single"/>
        </w:rPr>
        <w:t>： 海纳川海事大楼一楼及长江采水转输水区域</w:t>
      </w:r>
      <w:r>
        <w:rPr>
          <w:rFonts w:ascii="仿宋" w:hAnsi="仿宋" w:cs="仿宋" w:hint="eastAsia"/>
          <w:bCs/>
          <w:kern w:val="1"/>
          <w:sz w:val="30"/>
          <w:szCs w:val="30"/>
        </w:rPr>
        <w:t>；</w:t>
      </w:r>
    </w:p>
    <w:p w14:paraId="29E45CC8" w14:textId="2CE55858" w:rsidR="00537501" w:rsidRPr="00EA2970"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（三）报价截止时间及评审时间：</w:t>
      </w:r>
      <w:r w:rsidRPr="00EA2970">
        <w:rPr>
          <w:rFonts w:ascii="仿宋" w:hAnsi="仿宋" w:cs="仿宋" w:hint="eastAsia"/>
          <w:bCs/>
          <w:kern w:val="1"/>
          <w:sz w:val="30"/>
          <w:szCs w:val="30"/>
        </w:rPr>
        <w:t>2025年12月</w:t>
      </w:r>
      <w:r w:rsidR="00087083">
        <w:rPr>
          <w:rFonts w:ascii="仿宋" w:hAnsi="仿宋" w:cs="仿宋" w:hint="eastAsia"/>
          <w:bCs/>
          <w:kern w:val="1"/>
          <w:sz w:val="30"/>
          <w:szCs w:val="30"/>
        </w:rPr>
        <w:t>11</w:t>
      </w:r>
      <w:r w:rsidRPr="00EA2970">
        <w:rPr>
          <w:rFonts w:ascii="仿宋" w:hAnsi="仿宋" w:cs="仿宋" w:hint="eastAsia"/>
          <w:bCs/>
          <w:kern w:val="1"/>
          <w:sz w:val="30"/>
          <w:szCs w:val="30"/>
        </w:rPr>
        <w:t>日 14 时（北京时间）；</w:t>
      </w:r>
    </w:p>
    <w:p w14:paraId="38C833EE"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（四）评审地点：江苏索普(集团)有限公司公共采购平台；</w:t>
      </w:r>
    </w:p>
    <w:p w14:paraId="737D120A"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（五）参加报价的单位需到</w:t>
      </w:r>
      <w:r w:rsidRPr="00EA2970">
        <w:rPr>
          <w:rFonts w:ascii="仿宋" w:hAnsi="仿宋" w:cs="仿宋" w:hint="eastAsia"/>
          <w:bCs/>
          <w:kern w:val="1"/>
          <w:sz w:val="30"/>
          <w:szCs w:val="30"/>
        </w:rPr>
        <w:t>我公司现场勘查交流，时间定于</w:t>
      </w:r>
      <w:r w:rsidRPr="00EA2970">
        <w:rPr>
          <w:rFonts w:ascii="仿宋" w:hAnsi="仿宋" w:cs="仿宋" w:hint="eastAsia"/>
          <w:bCs/>
          <w:kern w:val="1"/>
          <w:sz w:val="30"/>
          <w:szCs w:val="30"/>
          <w:u w:val="single"/>
        </w:rPr>
        <w:t>2025年12月5日14时</w:t>
      </w:r>
      <w:r w:rsidRPr="00EA2970">
        <w:rPr>
          <w:rFonts w:ascii="仿宋" w:hAnsi="仿宋" w:cs="仿宋" w:hint="eastAsia"/>
          <w:bCs/>
          <w:kern w:val="1"/>
          <w:sz w:val="30"/>
          <w:szCs w:val="30"/>
        </w:rPr>
        <w:t>,</w:t>
      </w:r>
      <w:r w:rsidRPr="00EA2970">
        <w:rPr>
          <w:rFonts w:hint="eastAsia"/>
        </w:rPr>
        <w:t xml:space="preserve"> </w:t>
      </w:r>
      <w:r w:rsidRPr="00EA2970">
        <w:rPr>
          <w:rFonts w:ascii="仿宋" w:hAnsi="仿宋" w:cs="仿宋" w:hint="eastAsia"/>
          <w:b/>
          <w:kern w:val="1"/>
          <w:sz w:val="30"/>
          <w:szCs w:val="30"/>
        </w:rPr>
        <w:t>未进行现场勘</w:t>
      </w:r>
      <w:r>
        <w:rPr>
          <w:rFonts w:ascii="仿宋" w:hAnsi="仿宋" w:cs="仿宋" w:hint="eastAsia"/>
          <w:b/>
          <w:kern w:val="1"/>
          <w:sz w:val="30"/>
          <w:szCs w:val="30"/>
        </w:rPr>
        <w:t>查的单位无报价资格</w:t>
      </w:r>
      <w:r>
        <w:rPr>
          <w:rFonts w:ascii="仿宋" w:hAnsi="仿宋" w:cs="仿宋" w:hint="eastAsia"/>
          <w:bCs/>
          <w:kern w:val="1"/>
          <w:sz w:val="30"/>
          <w:szCs w:val="30"/>
        </w:rPr>
        <w:t>。</w:t>
      </w:r>
    </w:p>
    <w:p w14:paraId="202A0F02"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（六）中选公示：中选信息将于评审后在索普集团官网公示，请各报价人登录http://www.sopo.com.cn查询。</w:t>
      </w:r>
    </w:p>
    <w:p w14:paraId="088E7F7F" w14:textId="77777777" w:rsidR="00537501" w:rsidRDefault="00000000">
      <w:pPr>
        <w:pStyle w:val="3"/>
        <w:spacing w:beforeLines="0" w:afterLines="30" w:after="72" w:line="560" w:lineRule="exact"/>
        <w:ind w:firstLineChars="0" w:firstLine="561"/>
        <w:rPr>
          <w:rFonts w:ascii="黑体" w:eastAsia="黑体" w:hAnsi="黑体" w:cs="黑体" w:hint="eastAsia"/>
          <w:sz w:val="28"/>
        </w:rPr>
      </w:pPr>
      <w:r>
        <w:rPr>
          <w:rFonts w:ascii="黑体" w:eastAsia="黑体" w:hAnsi="黑体" w:cs="黑体" w:hint="eastAsia"/>
          <w:sz w:val="28"/>
        </w:rPr>
        <w:t>二、采购内容</w:t>
      </w:r>
    </w:p>
    <w:p w14:paraId="5DBDCE5A"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（一）项目基本情况</w:t>
      </w:r>
    </w:p>
    <w:p w14:paraId="55A23AC5" w14:textId="77777777" w:rsidR="00537501" w:rsidRDefault="00000000">
      <w:pPr>
        <w:adjustRightInd w:val="0"/>
        <w:snapToGrid w:val="0"/>
        <w:spacing w:line="600" w:lineRule="exact"/>
        <w:ind w:firstLine="600"/>
        <w:jc w:val="left"/>
        <w:rPr>
          <w:rFonts w:ascii="仿宋" w:hAnsi="仿宋" w:cs="仿宋" w:hint="eastAsia"/>
          <w:bCs/>
          <w:kern w:val="1"/>
          <w:sz w:val="30"/>
          <w:szCs w:val="30"/>
        </w:rPr>
      </w:pPr>
      <w:r>
        <w:rPr>
          <w:rFonts w:ascii="仿宋" w:hAnsi="仿宋" w:cs="仿宋" w:hint="eastAsia"/>
          <w:bCs/>
          <w:kern w:val="1"/>
          <w:sz w:val="30"/>
          <w:szCs w:val="30"/>
        </w:rPr>
        <w:t>江苏索普（集团）有限公司监测点下游水站监测仪器运营，工作方式为24小时不间断连续自动监测。具体设备清单如下：</w:t>
      </w:r>
    </w:p>
    <w:p w14:paraId="4BB57CDE"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监测仪器</w:t>
      </w:r>
      <w:r>
        <w:rPr>
          <w:rFonts w:ascii="仿宋" w:hAnsi="仿宋" w:cs="仿宋" w:hint="eastAsia"/>
          <w:bCs/>
          <w:kern w:val="1"/>
          <w:sz w:val="30"/>
          <w:szCs w:val="30"/>
        </w:rPr>
        <w:t>：水质五参数、高锰酸盐指数自动分析仪、氨氮水质自动分析仪、总磷水质自动分析仪、总氮水质自动分析仪、挥发酚水质自动分析仪；</w:t>
      </w:r>
    </w:p>
    <w:p w14:paraId="0C8440AB"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lastRenderedPageBreak/>
        <w:t>采样系统：</w:t>
      </w:r>
      <w:r>
        <w:rPr>
          <w:rFonts w:ascii="仿宋" w:hAnsi="仿宋" w:cs="仿宋" w:hint="eastAsia"/>
          <w:bCs/>
          <w:kern w:val="1"/>
          <w:sz w:val="30"/>
          <w:szCs w:val="30"/>
        </w:rPr>
        <w:t>采水单元、管路、配水单元、预处理单元、控制单元、质控单元、留样单元；</w:t>
      </w:r>
    </w:p>
    <w:p w14:paraId="48B1A8CD"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采水单元：</w:t>
      </w:r>
      <w:r>
        <w:rPr>
          <w:rFonts w:ascii="仿宋" w:hAnsi="仿宋" w:cs="仿宋" w:hint="eastAsia"/>
          <w:bCs/>
          <w:kern w:val="1"/>
          <w:sz w:val="30"/>
          <w:szCs w:val="30"/>
        </w:rPr>
        <w:t>由采水构筑物、取水泵、取水管路、浮子流量计、电动球阀及压力变送器、保温配套裝置(根据气候条件配置)等组成（一用一备采样泵）；</w:t>
      </w:r>
    </w:p>
    <w:p w14:paraId="62A5A1A7"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预处理及配水单元：</w:t>
      </w:r>
      <w:r>
        <w:rPr>
          <w:rFonts w:ascii="仿宋" w:hAnsi="仿宋" w:cs="仿宋" w:hint="eastAsia"/>
          <w:bCs/>
          <w:kern w:val="1"/>
          <w:sz w:val="30"/>
          <w:szCs w:val="30"/>
        </w:rPr>
        <w:t>由沉淀池、五参数池、浮球液位开关、过滤器、进样泵、电动球阀、压力变送器、采样杯和采配水控制器等组成；</w:t>
      </w:r>
    </w:p>
    <w:p w14:paraId="07377410" w14:textId="77777777" w:rsidR="00537501" w:rsidRPr="00EA2970"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数据采集控制传输单元：</w:t>
      </w:r>
      <w:r>
        <w:rPr>
          <w:rFonts w:ascii="仿宋" w:hAnsi="仿宋" w:cs="仿宋" w:hint="eastAsia"/>
          <w:bCs/>
          <w:kern w:val="1"/>
          <w:sz w:val="30"/>
          <w:szCs w:val="30"/>
        </w:rPr>
        <w:t>是水质自动监测站的核心部件，由工控机、接口转换器、网络交换机和配套监控软件等构成。</w:t>
      </w:r>
      <w:r w:rsidRPr="00EA2970">
        <w:rPr>
          <w:rFonts w:ascii="仿宋" w:hAnsi="仿宋" w:cs="仿宋" w:hint="eastAsia"/>
          <w:bCs/>
          <w:kern w:val="1"/>
          <w:sz w:val="30"/>
          <w:szCs w:val="30"/>
        </w:rPr>
        <w:t>新增数采仪，系统软件升级，以及数据需上传公司内部和省厅环保在线监测平台；</w:t>
      </w:r>
    </w:p>
    <w:p w14:paraId="756C4EF8"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视频监控系统：</w:t>
      </w:r>
      <w:r>
        <w:rPr>
          <w:rFonts w:ascii="仿宋" w:hAnsi="仿宋" w:cs="仿宋" w:hint="eastAsia"/>
          <w:bCs/>
          <w:kern w:val="1"/>
          <w:sz w:val="30"/>
          <w:szCs w:val="30"/>
        </w:rPr>
        <w:t>摄像头4只，视频录像机1套；</w:t>
      </w:r>
    </w:p>
    <w:p w14:paraId="571E7308"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远程采水系统：</w:t>
      </w:r>
      <w:r>
        <w:rPr>
          <w:rFonts w:ascii="仿宋" w:hAnsi="仿宋" w:cs="仿宋" w:hint="eastAsia"/>
          <w:bCs/>
          <w:kern w:val="1"/>
          <w:sz w:val="30"/>
          <w:szCs w:val="30"/>
        </w:rPr>
        <w:t>水样提升池、江面采样浮筒、采样管线（约850米）；</w:t>
      </w:r>
    </w:p>
    <w:p w14:paraId="462FEC52"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分析仪器：</w:t>
      </w:r>
      <w:r>
        <w:rPr>
          <w:rFonts w:ascii="仿宋" w:hAnsi="仿宋" w:cs="仿宋" w:hint="eastAsia"/>
          <w:bCs/>
          <w:kern w:val="1"/>
          <w:sz w:val="30"/>
          <w:szCs w:val="30"/>
        </w:rPr>
        <w:t>标液配置及分析室相关分析设施；</w:t>
      </w:r>
    </w:p>
    <w:p w14:paraId="3789EDA4" w14:textId="77777777" w:rsidR="00537501" w:rsidRDefault="00000000">
      <w:pPr>
        <w:adjustRightInd w:val="0"/>
        <w:snapToGrid w:val="0"/>
        <w:spacing w:line="600" w:lineRule="exact"/>
        <w:ind w:firstLine="602"/>
        <w:jc w:val="left"/>
        <w:rPr>
          <w:rFonts w:ascii="仿宋" w:hAnsi="仿宋" w:cs="仿宋" w:hint="eastAsia"/>
          <w:bCs/>
          <w:kern w:val="1"/>
          <w:sz w:val="30"/>
          <w:szCs w:val="30"/>
        </w:rPr>
      </w:pPr>
      <w:r>
        <w:rPr>
          <w:rFonts w:ascii="仿宋" w:hAnsi="仿宋" w:cs="仿宋" w:hint="eastAsia"/>
          <w:b/>
          <w:kern w:val="1"/>
          <w:sz w:val="30"/>
          <w:szCs w:val="30"/>
        </w:rPr>
        <w:t>辅助设施：</w:t>
      </w:r>
      <w:r>
        <w:rPr>
          <w:rFonts w:ascii="仿宋" w:hAnsi="仿宋" w:cs="仿宋" w:hint="eastAsia"/>
          <w:bCs/>
          <w:kern w:val="1"/>
          <w:sz w:val="30"/>
          <w:szCs w:val="30"/>
        </w:rPr>
        <w:t>稳压电源、制冷系统、供电系统、通讯系统、防雷系统、站房。</w:t>
      </w:r>
    </w:p>
    <w:p w14:paraId="416E7CFA"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（二）技术要求</w:t>
      </w:r>
    </w:p>
    <w:p w14:paraId="46BD58D7" w14:textId="77777777" w:rsidR="00537501" w:rsidRDefault="00000000">
      <w:pPr>
        <w:adjustRightInd w:val="0"/>
        <w:snapToGrid w:val="0"/>
        <w:spacing w:line="600" w:lineRule="exact"/>
        <w:ind w:firstLine="600"/>
        <w:jc w:val="left"/>
        <w:rPr>
          <w:rFonts w:ascii="仿宋" w:hAnsi="仿宋" w:cs="仿宋" w:hint="eastAsia"/>
          <w:bCs/>
          <w:kern w:val="1"/>
          <w:sz w:val="30"/>
          <w:szCs w:val="30"/>
        </w:rPr>
      </w:pPr>
      <w:r>
        <w:rPr>
          <w:rFonts w:ascii="仿宋" w:hAnsi="仿宋" w:cs="仿宋" w:hint="eastAsia"/>
          <w:bCs/>
          <w:kern w:val="1"/>
          <w:sz w:val="30"/>
          <w:szCs w:val="30"/>
        </w:rPr>
        <w:t>运营服务采用大包形式，在运营期间内，中选方负责对水站所属任何损坏而不能正常使用的设备、部件进行更换。数采仪使用、数据采集系统维护及数据传输费用，维护、维修、易耗品更换等费</w:t>
      </w:r>
      <w:r>
        <w:rPr>
          <w:rFonts w:ascii="仿宋" w:hAnsi="仿宋" w:cs="仿宋" w:hint="eastAsia"/>
          <w:bCs/>
          <w:kern w:val="1"/>
          <w:sz w:val="30"/>
          <w:szCs w:val="30"/>
        </w:rPr>
        <w:lastRenderedPageBreak/>
        <w:t>用全部包含在运营服务费内，采购方不再支付其他任何费用。</w:t>
      </w:r>
      <w:r>
        <w:rPr>
          <w:rFonts w:ascii="仿宋" w:hAnsi="仿宋" w:cs="仿宋" w:hint="eastAsia"/>
          <w:b/>
          <w:kern w:val="1"/>
          <w:sz w:val="30"/>
          <w:szCs w:val="30"/>
        </w:rPr>
        <w:t>运营服务要求详见附件2。</w:t>
      </w:r>
    </w:p>
    <w:p w14:paraId="6905F7A9" w14:textId="77777777" w:rsidR="00537501" w:rsidRDefault="00000000">
      <w:pPr>
        <w:pStyle w:val="3"/>
        <w:spacing w:beforeLines="0" w:afterLines="30" w:after="72" w:line="560" w:lineRule="exact"/>
        <w:ind w:firstLineChars="0" w:firstLine="561"/>
        <w:rPr>
          <w:rFonts w:ascii="仿宋" w:eastAsia="仿宋" w:hAnsi="仿宋" w:cs="仿宋" w:hint="eastAsia"/>
          <w:b/>
          <w:sz w:val="30"/>
          <w:szCs w:val="30"/>
        </w:rPr>
      </w:pPr>
      <w:bookmarkStart w:id="0" w:name="_Hlk74154727"/>
      <w:r>
        <w:rPr>
          <w:rFonts w:ascii="黑体" w:eastAsia="黑体" w:hAnsi="黑体" w:cs="黑体" w:hint="eastAsia"/>
          <w:sz w:val="28"/>
        </w:rPr>
        <w:t>三、</w:t>
      </w:r>
      <w:bookmarkEnd w:id="0"/>
      <w:r>
        <w:rPr>
          <w:rFonts w:ascii="仿宋" w:eastAsia="仿宋" w:hAnsi="仿宋" w:cs="仿宋" w:hint="eastAsia"/>
          <w:b/>
          <w:sz w:val="30"/>
          <w:szCs w:val="30"/>
        </w:rPr>
        <w:t>报价人资质与要求：</w:t>
      </w:r>
    </w:p>
    <w:p w14:paraId="24FAFA25"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报价人为技术服务商，必须具有合法经销资质，报价时需提供如下有效资质文件：</w:t>
      </w:r>
    </w:p>
    <w:p w14:paraId="4B5B188F"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（一）报价人必须具备中华人民共和国境内生产或经营应具备的合法资质，提供《营业执照》副本复印件，具有相关经营范围；</w:t>
      </w:r>
    </w:p>
    <w:p w14:paraId="00CA0BDB"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二）报价人需提供近三年（2022年1月1日至今）财务状况良好的证明材料；在经营活动中没有重大违法违规记录、无违约历史的声明或证明材料（均需加盖公章），报价人还需在“信用中国”（www.creditchina.gov.cn）网站未被列入失信被执行人、重大税收违法案件当事人名单，以评审当时网站查询结果为准；</w:t>
      </w:r>
    </w:p>
    <w:p w14:paraId="6235853B"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（三）报价人具有自动监控设施运营服务服务能力。</w:t>
      </w:r>
      <w:r>
        <w:rPr>
          <w:rFonts w:ascii="仿宋" w:hAnsi="仿宋" w:cs="仿宋" w:hint="eastAsia"/>
          <w:b/>
          <w:kern w:val="1"/>
          <w:sz w:val="30"/>
          <w:szCs w:val="30"/>
        </w:rPr>
        <w:t>专业全职运营服务人员至少2人，</w:t>
      </w:r>
      <w:r>
        <w:rPr>
          <w:rFonts w:ascii="仿宋" w:hAnsi="仿宋" w:cs="仿宋" w:hint="eastAsia"/>
          <w:bCs/>
          <w:kern w:val="1"/>
          <w:sz w:val="30"/>
          <w:szCs w:val="30"/>
        </w:rPr>
        <w:t>持有环境污染治理设施运营（水）培训合格证书（在有效期内）且提供报价企业</w:t>
      </w:r>
      <w:r>
        <w:rPr>
          <w:rFonts w:ascii="仿宋" w:hAnsi="仿宋" w:cs="仿宋" w:hint="eastAsia"/>
          <w:b/>
          <w:kern w:val="1"/>
          <w:sz w:val="30"/>
          <w:szCs w:val="30"/>
        </w:rPr>
        <w:t>近3个月为其缴纳社保的证明</w:t>
      </w:r>
      <w:r>
        <w:rPr>
          <w:rFonts w:ascii="仿宋" w:hAnsi="仿宋" w:cs="仿宋" w:hint="eastAsia"/>
          <w:bCs/>
          <w:kern w:val="1"/>
          <w:sz w:val="30"/>
          <w:szCs w:val="30"/>
        </w:rPr>
        <w:t>，在镇江设置办公场所和运行维护车辆；</w:t>
      </w:r>
    </w:p>
    <w:p w14:paraId="3A451CE0"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（四）报价人</w:t>
      </w:r>
      <w:bookmarkStart w:id="1" w:name="_Hlk214961587"/>
      <w:r>
        <w:rPr>
          <w:rFonts w:ascii="仿宋" w:hAnsi="仿宋" w:cs="仿宋" w:hint="eastAsia"/>
          <w:bCs/>
          <w:kern w:val="1"/>
          <w:sz w:val="30"/>
          <w:szCs w:val="30"/>
        </w:rPr>
        <w:t>在镇江市或周边城市有相应的废水污染自动监控设施运营服务业绩</w:t>
      </w:r>
      <w:r>
        <w:rPr>
          <w:rFonts w:ascii="仿宋" w:hAnsi="仿宋" w:cs="仿宋" w:hint="eastAsia"/>
          <w:b/>
          <w:kern w:val="1"/>
          <w:sz w:val="30"/>
          <w:szCs w:val="30"/>
        </w:rPr>
        <w:t>至少2个</w:t>
      </w:r>
      <w:r>
        <w:rPr>
          <w:rFonts w:ascii="仿宋" w:hAnsi="仿宋" w:cs="仿宋" w:hint="eastAsia"/>
          <w:bCs/>
          <w:kern w:val="1"/>
          <w:sz w:val="30"/>
          <w:szCs w:val="30"/>
        </w:rPr>
        <w:t>，</w:t>
      </w:r>
      <w:r>
        <w:rPr>
          <w:rFonts w:ascii="仿宋" w:hAnsi="仿宋" w:cs="仿宋" w:hint="eastAsia"/>
          <w:b/>
          <w:kern w:val="1"/>
          <w:sz w:val="30"/>
          <w:szCs w:val="30"/>
        </w:rPr>
        <w:t>具有设备厂家技术支持能力证明</w:t>
      </w:r>
      <w:bookmarkEnd w:id="1"/>
      <w:r>
        <w:rPr>
          <w:rFonts w:ascii="仿宋" w:hAnsi="仿宋" w:cs="仿宋" w:hint="eastAsia"/>
          <w:bCs/>
          <w:kern w:val="1"/>
          <w:sz w:val="30"/>
          <w:szCs w:val="30"/>
        </w:rPr>
        <w:t>；</w:t>
      </w:r>
    </w:p>
    <w:p w14:paraId="087186A9"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hint="eastAsia"/>
          <w:sz w:val="30"/>
          <w:szCs w:val="30"/>
        </w:rPr>
        <w:t>（五）报价人证明文件：法定代表人参加报价的必须有法定代表人身份证，法人授权委托人参加报价的必须有法人授权委托书及被授权委托人的身份证；</w:t>
      </w:r>
    </w:p>
    <w:p w14:paraId="0647A73D"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（六）报价人服务质量保证方案；</w:t>
      </w:r>
    </w:p>
    <w:p w14:paraId="05E7783A"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（七）</w:t>
      </w:r>
      <w:r>
        <w:rPr>
          <w:rFonts w:ascii="仿宋_GB2312" w:eastAsia="仿宋_GB2312" w:hAnsi="仿宋_GB2312" w:cs="仿宋_GB2312" w:hint="eastAsia"/>
          <w:b/>
          <w:color w:val="000000"/>
          <w:kern w:val="1"/>
          <w:sz w:val="30"/>
          <w:szCs w:val="30"/>
        </w:rPr>
        <w:t>报价人必须踏勘现场后，方可报价。</w:t>
      </w:r>
      <w:r>
        <w:rPr>
          <w:rFonts w:ascii="仿宋_GB2312" w:eastAsia="仿宋_GB2312" w:hAnsi="仿宋_GB2312" w:cs="仿宋_GB2312" w:hint="eastAsia"/>
          <w:bCs/>
          <w:color w:val="000000"/>
          <w:kern w:val="1"/>
          <w:sz w:val="30"/>
          <w:szCs w:val="30"/>
        </w:rPr>
        <w:t>本项目不接受联合</w:t>
      </w:r>
      <w:r>
        <w:rPr>
          <w:rFonts w:ascii="仿宋_GB2312" w:eastAsia="仿宋_GB2312" w:hAnsi="仿宋_GB2312" w:cs="仿宋_GB2312" w:hint="eastAsia"/>
          <w:bCs/>
          <w:color w:val="000000"/>
          <w:kern w:val="1"/>
          <w:sz w:val="30"/>
          <w:szCs w:val="30"/>
        </w:rPr>
        <w:lastRenderedPageBreak/>
        <w:t>体报价且不得将项目分包或转包。</w:t>
      </w:r>
      <w:r>
        <w:rPr>
          <w:rFonts w:ascii="仿宋" w:hAnsi="仿宋" w:cs="仿宋" w:hint="eastAsia"/>
          <w:bCs/>
          <w:kern w:val="1"/>
          <w:sz w:val="30"/>
          <w:szCs w:val="30"/>
        </w:rPr>
        <w:t>不接受被列入索普集团供应商负面清单中的单位报价。</w:t>
      </w:r>
    </w:p>
    <w:p w14:paraId="1BFBEADE" w14:textId="77777777" w:rsidR="00537501" w:rsidRDefault="00000000">
      <w:pPr>
        <w:pStyle w:val="3"/>
        <w:spacing w:beforeLines="0" w:afterLines="30" w:after="72" w:line="560" w:lineRule="exact"/>
        <w:ind w:firstLineChars="0" w:firstLine="561"/>
        <w:rPr>
          <w:rFonts w:ascii="黑体" w:eastAsia="黑体" w:hAnsi="黑体" w:cs="黑体" w:hint="eastAsia"/>
          <w:sz w:val="28"/>
        </w:rPr>
      </w:pPr>
      <w:r>
        <w:rPr>
          <w:rFonts w:ascii="黑体" w:eastAsia="黑体" w:hAnsi="黑体" w:cs="黑体" w:hint="eastAsia"/>
          <w:sz w:val="28"/>
        </w:rPr>
        <w:t>四、报价文件的组成及要求</w:t>
      </w:r>
    </w:p>
    <w:p w14:paraId="2A6DF70E" w14:textId="3C1834D8" w:rsidR="00537501" w:rsidRDefault="00000000">
      <w:pPr>
        <w:adjustRightInd w:val="0"/>
        <w:snapToGrid w:val="0"/>
        <w:spacing w:line="560" w:lineRule="exact"/>
        <w:ind w:firstLine="560"/>
        <w:jc w:val="left"/>
        <w:rPr>
          <w:rFonts w:ascii="仿宋" w:hAnsi="仿宋" w:cs="仿宋" w:hint="eastAsia"/>
          <w:bCs/>
          <w:kern w:val="1"/>
          <w:sz w:val="30"/>
          <w:szCs w:val="30"/>
        </w:rPr>
      </w:pPr>
      <w:r>
        <w:rPr>
          <w:rFonts w:eastAsia="宋体" w:hint="eastAsia"/>
          <w:sz w:val="28"/>
        </w:rPr>
        <w:t>（一）</w:t>
      </w:r>
      <w:r>
        <w:rPr>
          <w:rFonts w:ascii="仿宋" w:hAnsi="仿宋" w:cs="仿宋" w:hint="eastAsia"/>
          <w:bCs/>
          <w:kern w:val="1"/>
          <w:sz w:val="30"/>
          <w:szCs w:val="30"/>
        </w:rPr>
        <w:t>公司营业执照复印件、报价授权人证明、近三年（2022年1月1日至今）财务状况良好的证明材料。在经营活动中没有重大违法违规记录、无违约历史的声明或证明材料（均需加盖公章），报价人还需在“信用中国”（www.creditchina.gov.cn）网站未被列入失信被执行人、重大税收违法案件当事人名单。运营服务人员环境污染治理设施运营（水）培训合格证书（在有效期内）且提供报价企业近3个月为其缴纳社保的证明、在镇江市或周边城市有相应的废水污染自动监控设施运营服务业绩，运营服务服务单位</w:t>
      </w:r>
      <w:r w:rsidR="00360D5C">
        <w:rPr>
          <w:rFonts w:ascii="仿宋" w:hAnsi="仿宋" w:cs="仿宋" w:hint="eastAsia"/>
          <w:bCs/>
          <w:kern w:val="1"/>
          <w:sz w:val="30"/>
          <w:szCs w:val="30"/>
        </w:rPr>
        <w:t>2</w:t>
      </w:r>
      <w:r>
        <w:rPr>
          <w:rFonts w:ascii="仿宋" w:hAnsi="仿宋" w:cs="仿宋" w:hint="eastAsia"/>
          <w:bCs/>
          <w:kern w:val="1"/>
          <w:sz w:val="30"/>
          <w:szCs w:val="30"/>
        </w:rPr>
        <w:t>家以上且有设备厂家技术支持能力证明、在镇江设置办公场所和运行维护车辆。</w:t>
      </w:r>
    </w:p>
    <w:p w14:paraId="57AB9499"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（二）报价方式：报价为含增值税价。如国家税率调整，按合同含税价格/（1+合同约定税率）*（1+国家规定的新税率）调整合同价格开具发票；</w:t>
      </w:r>
    </w:p>
    <w:p w14:paraId="6C709A7B" w14:textId="3BB406D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付款方式：</w:t>
      </w:r>
      <w:r w:rsidRPr="00FB72D8">
        <w:rPr>
          <w:rFonts w:ascii="仿宋" w:hAnsi="仿宋" w:cs="仿宋" w:hint="eastAsia"/>
          <w:b/>
          <w:kern w:val="1"/>
          <w:sz w:val="30"/>
          <w:szCs w:val="30"/>
        </w:rPr>
        <w:t>根据运营服务考评结果，按季度</w:t>
      </w:r>
      <w:r w:rsidR="00C76481" w:rsidRPr="00FB72D8">
        <w:rPr>
          <w:rFonts w:ascii="仿宋" w:hAnsi="仿宋" w:cs="仿宋" w:hint="eastAsia"/>
          <w:b/>
          <w:kern w:val="1"/>
          <w:sz w:val="30"/>
          <w:szCs w:val="30"/>
        </w:rPr>
        <w:t>支付运营服务费</w:t>
      </w:r>
      <w:r w:rsidRPr="00FB72D8">
        <w:rPr>
          <w:rFonts w:ascii="仿宋" w:hAnsi="仿宋" w:cs="仿宋" w:hint="eastAsia"/>
          <w:b/>
          <w:kern w:val="1"/>
          <w:sz w:val="30"/>
          <w:szCs w:val="30"/>
        </w:rPr>
        <w:t>。</w:t>
      </w:r>
      <w:r w:rsidR="00596AB3" w:rsidRPr="00FB72D8">
        <w:rPr>
          <w:rFonts w:ascii="仿宋" w:hAnsi="仿宋" w:cs="仿宋" w:hint="eastAsia"/>
          <w:b/>
          <w:kern w:val="1"/>
          <w:sz w:val="30"/>
          <w:szCs w:val="30"/>
        </w:rPr>
        <w:t>软件及</w:t>
      </w:r>
      <w:r w:rsidR="00FB72D8" w:rsidRPr="00FB72D8">
        <w:rPr>
          <w:rFonts w:ascii="仿宋" w:hAnsi="仿宋" w:cs="仿宋" w:hint="eastAsia"/>
          <w:b/>
          <w:kern w:val="1"/>
          <w:sz w:val="30"/>
          <w:szCs w:val="30"/>
        </w:rPr>
        <w:t>数采仪升级更新费用待完成并通过验收后一次性支付</w:t>
      </w:r>
      <w:r w:rsidR="00FB72D8">
        <w:rPr>
          <w:rFonts w:ascii="仿宋" w:hAnsi="仿宋" w:cs="仿宋" w:hint="eastAsia"/>
          <w:bCs/>
          <w:kern w:val="1"/>
          <w:sz w:val="30"/>
          <w:szCs w:val="30"/>
        </w:rPr>
        <w:t>。收到</w:t>
      </w:r>
      <w:r>
        <w:rPr>
          <w:rFonts w:ascii="仿宋" w:hAnsi="仿宋" w:cs="仿宋" w:hint="eastAsia"/>
          <w:bCs/>
          <w:kern w:val="1"/>
          <w:sz w:val="30"/>
          <w:szCs w:val="30"/>
        </w:rPr>
        <w:t>增值税专用发票</w:t>
      </w:r>
      <w:r w:rsidR="00FB72D8">
        <w:rPr>
          <w:rFonts w:ascii="仿宋" w:hAnsi="仿宋" w:cs="仿宋" w:hint="eastAsia"/>
          <w:bCs/>
          <w:kern w:val="1"/>
          <w:sz w:val="30"/>
          <w:szCs w:val="30"/>
        </w:rPr>
        <w:t>后</w:t>
      </w:r>
      <w:r>
        <w:rPr>
          <w:rFonts w:ascii="仿宋" w:hAnsi="仿宋" w:cs="仿宋" w:hint="eastAsia"/>
          <w:b/>
          <w:kern w:val="1"/>
          <w:sz w:val="30"/>
          <w:szCs w:val="30"/>
          <w:u w:val="single"/>
        </w:rPr>
        <w:t xml:space="preserve"> 2个月 </w:t>
      </w:r>
      <w:r>
        <w:rPr>
          <w:rFonts w:ascii="仿宋" w:hAnsi="仿宋" w:cs="仿宋" w:hint="eastAsia"/>
          <w:bCs/>
          <w:kern w:val="1"/>
          <w:sz w:val="30"/>
          <w:szCs w:val="30"/>
        </w:rPr>
        <w:t>内付款，付款方式为</w:t>
      </w:r>
      <w:r>
        <w:rPr>
          <w:rFonts w:ascii="仿宋" w:hAnsi="仿宋" w:cs="仿宋" w:hint="eastAsia"/>
          <w:b/>
          <w:kern w:val="1"/>
          <w:sz w:val="30"/>
          <w:szCs w:val="30"/>
          <w:u w:val="single"/>
        </w:rPr>
        <w:t xml:space="preserve"> 现汇 </w:t>
      </w:r>
      <w:r>
        <w:rPr>
          <w:rFonts w:ascii="仿宋" w:hAnsi="仿宋" w:cs="仿宋" w:hint="eastAsia"/>
          <w:bCs/>
          <w:kern w:val="1"/>
          <w:sz w:val="30"/>
          <w:szCs w:val="30"/>
        </w:rPr>
        <w:t>。如报价人不接受采购人提出的付款方式，可在报价书中明确能够接受的付款方式及付款时间，评审时作为参考。报价为含税价，如有不同请注明。</w:t>
      </w:r>
    </w:p>
    <w:p w14:paraId="36E345EA"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（三）本项目报价通过线下方式进行：</w:t>
      </w:r>
    </w:p>
    <w:p w14:paraId="47FDE4C5"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lastRenderedPageBreak/>
        <w:t>应将报价文件及相关资料以文件袋形式送达，报价文件外包装必须用“封条”密封，封条“格式自定”，另需加盖公章、法人章，填写密封日期；在报价文件封面上需注明“报价项目名称，报价方名称、地址、联系人、联系电话”等；报价文件还应包括正副本各 1 份，并要求在报价截止日之前送达，逾期将作废处理；</w:t>
      </w:r>
    </w:p>
    <w:p w14:paraId="723E2D55" w14:textId="67B5990B"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（四）</w:t>
      </w:r>
      <w:r>
        <w:rPr>
          <w:rFonts w:ascii="仿宋" w:hAnsi="仿宋" w:cs="仿宋" w:hint="eastAsia"/>
          <w:kern w:val="1"/>
          <w:sz w:val="30"/>
          <w:szCs w:val="30"/>
        </w:rPr>
        <w:t>报价文件格式见附件</w:t>
      </w:r>
      <w:r w:rsidR="00435205">
        <w:rPr>
          <w:rFonts w:ascii="仿宋" w:hAnsi="仿宋" w:cs="仿宋" w:hint="eastAsia"/>
          <w:kern w:val="1"/>
          <w:sz w:val="30"/>
          <w:szCs w:val="30"/>
        </w:rPr>
        <w:t>1</w:t>
      </w:r>
      <w:r>
        <w:rPr>
          <w:rFonts w:ascii="仿宋" w:hAnsi="仿宋" w:cs="仿宋" w:hint="eastAsia"/>
          <w:bCs/>
          <w:kern w:val="1"/>
          <w:sz w:val="30"/>
          <w:szCs w:val="30"/>
        </w:rPr>
        <w:t>；</w:t>
      </w:r>
    </w:p>
    <w:p w14:paraId="565E18ED"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（五）与本报价有关的一切往来通讯请密封寄：</w:t>
      </w:r>
    </w:p>
    <w:p w14:paraId="72EF3075"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公司：江苏索普（集团）有限公司</w:t>
      </w:r>
    </w:p>
    <w:p w14:paraId="5D22FC14"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地址：江苏省镇江市京口区求索路101号，邮编：212006</w:t>
      </w:r>
    </w:p>
    <w:p w14:paraId="222D639C" w14:textId="77777777" w:rsidR="00537501" w:rsidRDefault="00000000">
      <w:pPr>
        <w:wordWrap w:val="0"/>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联系人：王工</w:t>
      </w:r>
    </w:p>
    <w:p w14:paraId="42531111" w14:textId="77777777" w:rsidR="00537501" w:rsidRDefault="00000000">
      <w:pPr>
        <w:wordWrap w:val="0"/>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联系电话：15805287793（工作日：9:00-17:00）</w:t>
      </w:r>
    </w:p>
    <w:p w14:paraId="07C29843" w14:textId="77777777" w:rsidR="00537501" w:rsidRDefault="00000000">
      <w:pPr>
        <w:wordWrap w:val="0"/>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kern w:val="1"/>
          <w:sz w:val="30"/>
          <w:szCs w:val="30"/>
        </w:rPr>
        <w:t>（六）</w:t>
      </w:r>
      <w:r>
        <w:rPr>
          <w:rFonts w:ascii="仿宋" w:hAnsi="仿宋" w:cs="仿宋" w:hint="eastAsia"/>
          <w:bCs/>
          <w:kern w:val="1"/>
          <w:sz w:val="30"/>
          <w:szCs w:val="30"/>
        </w:rPr>
        <w:t>凡对采购文件条款有疑义的，请在评审前按以下方式联系：</w:t>
      </w:r>
    </w:p>
    <w:p w14:paraId="4F580912"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 xml:space="preserve">  联系单位：江苏索普集团有限公司</w:t>
      </w:r>
    </w:p>
    <w:p w14:paraId="7F60E35B"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 xml:space="preserve">  地址：江苏省镇江市京口区求索路101号，邮编：212006</w:t>
      </w:r>
    </w:p>
    <w:p w14:paraId="42FF28DF" w14:textId="77777777" w:rsidR="00537501" w:rsidRDefault="00000000">
      <w:pPr>
        <w:adjustRightInd w:val="0"/>
        <w:snapToGrid w:val="0"/>
        <w:spacing w:line="560" w:lineRule="exact"/>
        <w:ind w:firstLineChars="300" w:firstLine="900"/>
        <w:jc w:val="left"/>
        <w:rPr>
          <w:rFonts w:ascii="仿宋" w:hAnsi="仿宋" w:cs="仿宋" w:hint="eastAsia"/>
          <w:bCs/>
          <w:kern w:val="1"/>
          <w:sz w:val="30"/>
          <w:szCs w:val="30"/>
        </w:rPr>
      </w:pPr>
      <w:r>
        <w:rPr>
          <w:rFonts w:ascii="仿宋" w:hAnsi="仿宋" w:cs="仿宋" w:hint="eastAsia"/>
          <w:bCs/>
          <w:kern w:val="1"/>
          <w:sz w:val="30"/>
          <w:szCs w:val="30"/>
        </w:rPr>
        <w:t>联系人：王部长</w:t>
      </w:r>
    </w:p>
    <w:p w14:paraId="51CFD4F1" w14:textId="77777777" w:rsidR="00537501" w:rsidRDefault="00000000">
      <w:pPr>
        <w:adjustRightInd w:val="0"/>
        <w:snapToGrid w:val="0"/>
        <w:spacing w:line="560" w:lineRule="exact"/>
        <w:ind w:firstLineChars="300" w:firstLine="900"/>
        <w:jc w:val="left"/>
        <w:rPr>
          <w:rFonts w:eastAsia="宋体"/>
          <w:sz w:val="28"/>
        </w:rPr>
      </w:pPr>
      <w:r>
        <w:rPr>
          <w:rFonts w:ascii="仿宋" w:hAnsi="仿宋" w:cs="仿宋" w:hint="eastAsia"/>
          <w:bCs/>
          <w:kern w:val="1"/>
          <w:sz w:val="30"/>
          <w:szCs w:val="30"/>
        </w:rPr>
        <w:t>负责人：</w:t>
      </w:r>
      <w:r w:rsidRPr="00EA2970">
        <w:rPr>
          <w:rFonts w:ascii="仿宋" w:hAnsi="仿宋" w:cs="仿宋" w:hint="eastAsia"/>
          <w:bCs/>
          <w:kern w:val="1"/>
          <w:sz w:val="30"/>
          <w:szCs w:val="30"/>
        </w:rPr>
        <w:t>13615287365</w:t>
      </w:r>
      <w:bookmarkStart w:id="2" w:name="_Hlk214962171"/>
      <w:r w:rsidRPr="00EA2970">
        <w:rPr>
          <w:rFonts w:ascii="仿宋" w:hAnsi="仿宋" w:cs="仿宋" w:hint="eastAsia"/>
          <w:bCs/>
          <w:kern w:val="1"/>
          <w:sz w:val="30"/>
          <w:szCs w:val="30"/>
        </w:rPr>
        <w:t>（工作日：9:00-17:00）</w:t>
      </w:r>
      <w:bookmarkEnd w:id="2"/>
    </w:p>
    <w:p w14:paraId="2D290AE7" w14:textId="77777777" w:rsidR="00537501" w:rsidRDefault="00000000">
      <w:pPr>
        <w:adjustRightInd w:val="0"/>
        <w:snapToGrid w:val="0"/>
        <w:spacing w:line="560" w:lineRule="exact"/>
        <w:ind w:firstLineChars="300" w:firstLine="840"/>
        <w:jc w:val="left"/>
        <w:rPr>
          <w:rFonts w:ascii="仿宋" w:hAnsi="仿宋" w:cs="仿宋" w:hint="eastAsia"/>
          <w:bCs/>
          <w:kern w:val="1"/>
          <w:sz w:val="30"/>
          <w:szCs w:val="30"/>
        </w:rPr>
      </w:pPr>
      <w:r>
        <w:rPr>
          <w:rFonts w:ascii="黑体" w:eastAsia="黑体" w:hAnsi="黑体" w:cs="黑体" w:hint="eastAsia"/>
          <w:sz w:val="28"/>
        </w:rPr>
        <w:t>五、</w:t>
      </w:r>
      <w:r>
        <w:rPr>
          <w:rFonts w:ascii="黑体" w:eastAsia="黑体" w:hAnsi="黑体" w:cs="黑体" w:hint="eastAsia"/>
          <w:kern w:val="1"/>
          <w:sz w:val="30"/>
          <w:szCs w:val="30"/>
        </w:rPr>
        <w:t>评审流程</w:t>
      </w:r>
    </w:p>
    <w:p w14:paraId="1A94023B"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（一）评审</w:t>
      </w:r>
    </w:p>
    <w:p w14:paraId="3B2661C2"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本项目由采购人组织评审小组负责评审工作，确定最终中选人。</w:t>
      </w:r>
    </w:p>
    <w:p w14:paraId="4A811E87"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（二）评定</w:t>
      </w:r>
    </w:p>
    <w:p w14:paraId="567CECB8"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1、在能够满足采购人资质要求及运营服务要求的报价人中选择总价最低的一家作为中选候选人。</w:t>
      </w:r>
    </w:p>
    <w:p w14:paraId="11923A38"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lastRenderedPageBreak/>
        <w:t>2、请各报价人保持通讯畅通，便于</w:t>
      </w:r>
      <w:r>
        <w:rPr>
          <w:rFonts w:ascii="仿宋_GB2312" w:eastAsia="仿宋_GB2312" w:hAnsi="宋体" w:cs="‹ÎSå" w:hint="eastAsia"/>
          <w:kern w:val="1"/>
          <w:sz w:val="30"/>
          <w:szCs w:val="30"/>
        </w:rPr>
        <w:t>评审小组在评审现场电话联系</w:t>
      </w:r>
      <w:r>
        <w:rPr>
          <w:rFonts w:ascii="仿宋" w:hAnsi="仿宋" w:cs="仿宋" w:hint="eastAsia"/>
          <w:bCs/>
          <w:kern w:val="1"/>
          <w:sz w:val="30"/>
          <w:szCs w:val="30"/>
        </w:rPr>
        <w:t>。</w:t>
      </w:r>
    </w:p>
    <w:p w14:paraId="31D034FC"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 xml:space="preserve">3、评审小组不得泄露各报价人的报价。                                    </w:t>
      </w:r>
    </w:p>
    <w:p w14:paraId="1B8D7BB2"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（三）无效报价</w:t>
      </w:r>
    </w:p>
    <w:p w14:paraId="1DCF0E78"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1.采购人如发现采购过程中如有任何试图通过不正当手段影响比价结果的行为（如报价人之间私下协商报价、与采购方串通等扰乱采购人经营秩序的恶劣情况，经评审小组评定可作无效报价处理，并可将相关报价方列入供应商负面清单，一年内不再接受参与报价。</w:t>
      </w:r>
    </w:p>
    <w:p w14:paraId="2B6ACAEA"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2.凡报价人不具备生产经营资质的，或报价文件填写不完整、报价有空项的，或不符合技术要求条款的，或者存在其他不符合采购人有关要求的问题，经评审小组评定，可作无效报价处理。</w:t>
      </w:r>
    </w:p>
    <w:p w14:paraId="3AF74B20"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3.</w:t>
      </w:r>
      <w:r>
        <w:rPr>
          <w:rFonts w:hint="eastAsia"/>
        </w:rPr>
        <w:t xml:space="preserve"> </w:t>
      </w:r>
      <w:r>
        <w:rPr>
          <w:rFonts w:ascii="仿宋" w:hAnsi="仿宋" w:cs="仿宋" w:hint="eastAsia"/>
          <w:bCs/>
          <w:kern w:val="1"/>
          <w:sz w:val="30"/>
          <w:szCs w:val="30"/>
        </w:rPr>
        <w:t>报价人应如实提供符合市场规律和自身成本的合理报价。如果报价人的报价与市场价格明显偏离并因此影响了采购活动的公正合理性，损害了采购人的正当利益，经采购人评审小组评定，可作无效报价处理。</w:t>
      </w:r>
    </w:p>
    <w:p w14:paraId="3C09D57B" w14:textId="77777777" w:rsidR="00537501" w:rsidRDefault="00000000">
      <w:pPr>
        <w:adjustRightInd w:val="0"/>
        <w:snapToGrid w:val="0"/>
        <w:spacing w:line="560" w:lineRule="exact"/>
        <w:ind w:left="480" w:firstLineChars="0" w:firstLine="0"/>
        <w:jc w:val="left"/>
        <w:rPr>
          <w:sz w:val="30"/>
          <w:szCs w:val="30"/>
        </w:rPr>
      </w:pPr>
      <w:r>
        <w:rPr>
          <w:rFonts w:ascii="黑体" w:eastAsia="黑体" w:hAnsi="黑体" w:cs="黑体" w:hint="eastAsia"/>
          <w:bCs/>
          <w:kern w:val="1"/>
          <w:sz w:val="30"/>
          <w:szCs w:val="30"/>
        </w:rPr>
        <w:t>六、其他注意事项：</w:t>
      </w:r>
      <w:r>
        <w:rPr>
          <w:rFonts w:hint="eastAsia"/>
          <w:sz w:val="30"/>
          <w:szCs w:val="30"/>
        </w:rPr>
        <w:t xml:space="preserve">　　</w:t>
      </w:r>
    </w:p>
    <w:p w14:paraId="604F94C4"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（一）违约责任：如中选人没有按照规定的时间交提供服务，中选人须支付违约金，违约金从服务款中扣除，未提供服务超过20日，采购人有权解除合同。</w:t>
      </w:r>
    </w:p>
    <w:p w14:paraId="680B0F2C"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kern w:val="1"/>
          <w:sz w:val="30"/>
          <w:szCs w:val="30"/>
        </w:rPr>
        <w:t xml:space="preserve">（二）报价人中选以后应严格按照采购文件约定与采购方签定合同，并按合同约定做好在线监测仪器运营服务服务。对中选人所有违背采购文件及合同约定的行为，采购人均可持续保留与中选人中止合作的一切权利。　</w:t>
      </w:r>
    </w:p>
    <w:p w14:paraId="0B520160" w14:textId="77777777" w:rsidR="00537501" w:rsidRDefault="00000000">
      <w:pPr>
        <w:adjustRightInd w:val="0"/>
        <w:snapToGrid w:val="0"/>
        <w:spacing w:line="560" w:lineRule="exact"/>
        <w:ind w:firstLine="600"/>
        <w:rPr>
          <w:rFonts w:ascii="仿宋" w:hAnsi="仿宋" w:cs="仿宋" w:hint="eastAsia"/>
          <w:bCs/>
          <w:kern w:val="1"/>
          <w:sz w:val="30"/>
          <w:szCs w:val="30"/>
        </w:rPr>
      </w:pPr>
      <w:r>
        <w:rPr>
          <w:rFonts w:ascii="仿宋" w:hAnsi="仿宋" w:cs="仿宋" w:hint="eastAsia"/>
          <w:bCs/>
          <w:kern w:val="1"/>
          <w:sz w:val="30"/>
          <w:szCs w:val="30"/>
        </w:rPr>
        <w:lastRenderedPageBreak/>
        <w:t xml:space="preserve"> （三）如报价人不能正常履约，对采购人生产经营活动造成影响的，采购人将依法追究报价人法律责任。报价人在中选后无正当理由不与采购人签订合同的，将承担违约责任，列入江苏索普（集团）有限公司供应商负面清单。</w:t>
      </w:r>
    </w:p>
    <w:p w14:paraId="640B730D" w14:textId="77777777" w:rsidR="00537501" w:rsidRDefault="00000000">
      <w:pPr>
        <w:adjustRightInd w:val="0"/>
        <w:snapToGrid w:val="0"/>
        <w:spacing w:line="560" w:lineRule="exact"/>
        <w:ind w:firstLine="600"/>
        <w:jc w:val="left"/>
        <w:rPr>
          <w:rFonts w:ascii="仿宋" w:hAnsi="仿宋" w:cs="仿宋" w:hint="eastAsia"/>
          <w:bCs/>
          <w:kern w:val="1"/>
          <w:sz w:val="30"/>
          <w:szCs w:val="30"/>
        </w:rPr>
      </w:pPr>
      <w:r>
        <w:rPr>
          <w:rFonts w:ascii="仿宋" w:hAnsi="仿宋" w:cs="仿宋" w:hint="eastAsia"/>
          <w:bCs/>
          <w:sz w:val="30"/>
          <w:szCs w:val="30"/>
        </w:rPr>
        <w:t>（四）报价人对所供产品所引起的知识产权方面的纠纷，由报价人承担一切后果，采购人不承担任何责任。</w:t>
      </w:r>
    </w:p>
    <w:p w14:paraId="264995E3" w14:textId="3DA13E3B" w:rsidR="00537501" w:rsidRDefault="00000000">
      <w:pPr>
        <w:adjustRightInd w:val="0"/>
        <w:snapToGrid w:val="0"/>
        <w:spacing w:line="560" w:lineRule="exact"/>
        <w:ind w:firstLine="600"/>
        <w:rPr>
          <w:rFonts w:ascii="仿宋" w:hAnsi="仿宋" w:cs="仿宋" w:hint="eastAsia"/>
          <w:bCs/>
          <w:kern w:val="1"/>
          <w:sz w:val="30"/>
          <w:szCs w:val="30"/>
        </w:rPr>
      </w:pPr>
      <w:r>
        <w:rPr>
          <w:rFonts w:ascii="仿宋" w:hAnsi="仿宋" w:cs="仿宋" w:hint="eastAsia"/>
          <w:bCs/>
          <w:kern w:val="1"/>
          <w:sz w:val="30"/>
          <w:szCs w:val="30"/>
        </w:rPr>
        <w:t>（五）报价人应详细阅读本采购书，参与报价即视为对本采购文件所列之条款均表示接受。采购人对违反约定的报价人，将按《江苏索普（集团）有限公司供应商负面清单管理规定》（详见附件</w:t>
      </w:r>
      <w:r w:rsidR="00435205">
        <w:rPr>
          <w:rFonts w:ascii="仿宋" w:hAnsi="仿宋" w:cs="仿宋" w:hint="eastAsia"/>
          <w:bCs/>
          <w:kern w:val="1"/>
          <w:sz w:val="30"/>
          <w:szCs w:val="30"/>
        </w:rPr>
        <w:t>3</w:t>
      </w:r>
      <w:r>
        <w:rPr>
          <w:rFonts w:ascii="仿宋" w:hAnsi="仿宋" w:cs="仿宋" w:hint="eastAsia"/>
          <w:bCs/>
          <w:kern w:val="1"/>
          <w:sz w:val="30"/>
          <w:szCs w:val="30"/>
        </w:rPr>
        <w:t>）对报价人进行管理考核。</w:t>
      </w:r>
    </w:p>
    <w:p w14:paraId="7007E8F9" w14:textId="77777777" w:rsidR="00537501" w:rsidRDefault="00000000">
      <w:pPr>
        <w:adjustRightInd w:val="0"/>
        <w:snapToGrid w:val="0"/>
        <w:spacing w:line="560" w:lineRule="exact"/>
        <w:ind w:firstLine="600"/>
        <w:rPr>
          <w:rFonts w:ascii="仿宋" w:hAnsi="仿宋" w:cs="仿宋" w:hint="eastAsia"/>
          <w:bCs/>
          <w:kern w:val="1"/>
          <w:sz w:val="30"/>
          <w:szCs w:val="30"/>
        </w:rPr>
      </w:pPr>
      <w:r>
        <w:rPr>
          <w:rFonts w:ascii="仿宋" w:hAnsi="仿宋" w:cs="仿宋" w:hint="eastAsia"/>
          <w:bCs/>
          <w:kern w:val="1"/>
          <w:sz w:val="30"/>
          <w:szCs w:val="30"/>
        </w:rPr>
        <w:t>（六）本次采购解释权归江苏索普（集团）有限公司环保安全部所有</w:t>
      </w:r>
      <w:r>
        <w:rPr>
          <w:rFonts w:ascii="仿宋" w:hAnsi="仿宋" w:cs="仿宋" w:hint="eastAsia"/>
          <w:bCs/>
          <w:sz w:val="30"/>
          <w:szCs w:val="30"/>
        </w:rPr>
        <w:t>。</w:t>
      </w:r>
    </w:p>
    <w:p w14:paraId="7A818B8B" w14:textId="77777777" w:rsidR="00537501" w:rsidRDefault="00537501">
      <w:pPr>
        <w:tabs>
          <w:tab w:val="left" w:pos="2565"/>
        </w:tabs>
        <w:spacing w:line="560" w:lineRule="exact"/>
        <w:ind w:firstLine="680"/>
        <w:rPr>
          <w:rFonts w:ascii="黑体" w:eastAsia="黑体" w:hAnsi="黑体" w:cs="黑体" w:hint="eastAsia"/>
          <w:bCs/>
          <w:kern w:val="0"/>
          <w:sz w:val="34"/>
          <w:szCs w:val="34"/>
        </w:rPr>
      </w:pPr>
    </w:p>
    <w:p w14:paraId="56D353B3" w14:textId="77777777" w:rsidR="00537501" w:rsidRDefault="00537501">
      <w:pPr>
        <w:tabs>
          <w:tab w:val="left" w:pos="2565"/>
        </w:tabs>
        <w:spacing w:line="560" w:lineRule="exact"/>
        <w:ind w:firstLine="680"/>
        <w:rPr>
          <w:rFonts w:ascii="黑体" w:eastAsia="黑体" w:hAnsi="黑体" w:cs="黑体" w:hint="eastAsia"/>
          <w:bCs/>
          <w:kern w:val="0"/>
          <w:sz w:val="34"/>
          <w:szCs w:val="34"/>
        </w:rPr>
      </w:pPr>
    </w:p>
    <w:p w14:paraId="043ECBC7" w14:textId="77777777" w:rsidR="00537501" w:rsidRDefault="00537501">
      <w:pPr>
        <w:tabs>
          <w:tab w:val="left" w:pos="2565"/>
        </w:tabs>
        <w:spacing w:line="560" w:lineRule="exact"/>
        <w:ind w:firstLine="680"/>
        <w:rPr>
          <w:rFonts w:ascii="黑体" w:eastAsia="黑体" w:hAnsi="黑体" w:cs="黑体" w:hint="eastAsia"/>
          <w:bCs/>
          <w:kern w:val="0"/>
          <w:sz w:val="34"/>
          <w:szCs w:val="34"/>
        </w:rPr>
      </w:pPr>
    </w:p>
    <w:p w14:paraId="781C4B49" w14:textId="77777777" w:rsidR="00537501" w:rsidRDefault="00000000">
      <w:pPr>
        <w:widowControl/>
        <w:spacing w:line="240" w:lineRule="auto"/>
        <w:ind w:firstLineChars="0" w:firstLine="0"/>
        <w:jc w:val="left"/>
        <w:rPr>
          <w:rFonts w:ascii="黑体" w:eastAsia="黑体" w:hAnsi="黑体" w:cs="黑体" w:hint="eastAsia"/>
          <w:bCs/>
          <w:kern w:val="0"/>
          <w:sz w:val="34"/>
          <w:szCs w:val="34"/>
        </w:rPr>
      </w:pPr>
      <w:r>
        <w:rPr>
          <w:rFonts w:ascii="黑体" w:eastAsia="黑体" w:hAnsi="黑体" w:cs="黑体" w:hint="eastAsia"/>
          <w:bCs/>
          <w:kern w:val="0"/>
          <w:sz w:val="34"/>
          <w:szCs w:val="34"/>
        </w:rPr>
        <w:br w:type="page"/>
      </w:r>
    </w:p>
    <w:p w14:paraId="70811FFC" w14:textId="77777777" w:rsidR="00537501" w:rsidRDefault="00000000">
      <w:pPr>
        <w:tabs>
          <w:tab w:val="left" w:pos="2565"/>
        </w:tabs>
        <w:spacing w:line="500" w:lineRule="exact"/>
        <w:ind w:firstLineChars="0" w:firstLine="0"/>
        <w:rPr>
          <w:rFonts w:ascii="黑体" w:eastAsia="黑体" w:hAnsi="黑体" w:cs="黑体" w:hint="eastAsia"/>
          <w:bCs/>
          <w:kern w:val="0"/>
          <w:sz w:val="34"/>
          <w:szCs w:val="34"/>
        </w:rPr>
      </w:pPr>
      <w:r>
        <w:rPr>
          <w:rFonts w:ascii="黑体" w:eastAsia="黑体" w:hAnsi="黑体" w:cs="黑体" w:hint="eastAsia"/>
          <w:bCs/>
          <w:kern w:val="0"/>
          <w:sz w:val="34"/>
          <w:szCs w:val="34"/>
        </w:rPr>
        <w:lastRenderedPageBreak/>
        <w:t>附件1</w:t>
      </w:r>
    </w:p>
    <w:p w14:paraId="24B4F91D" w14:textId="77777777" w:rsidR="00537501" w:rsidRDefault="00000000">
      <w:pPr>
        <w:pStyle w:val="22"/>
        <w:numPr>
          <w:ilvl w:val="0"/>
          <w:numId w:val="4"/>
        </w:numPr>
        <w:spacing w:line="500" w:lineRule="exact"/>
        <w:rPr>
          <w:rFonts w:hint="eastAsia"/>
        </w:rPr>
      </w:pPr>
      <w:r>
        <w:rPr>
          <w:rFonts w:hint="eastAsia"/>
        </w:rPr>
        <w:t>报价函</w:t>
      </w:r>
    </w:p>
    <w:p w14:paraId="4DC59D09" w14:textId="77777777" w:rsidR="00537501" w:rsidRDefault="00000000">
      <w:pPr>
        <w:pStyle w:val="22"/>
        <w:spacing w:line="500" w:lineRule="exact"/>
        <w:jc w:val="center"/>
        <w:rPr>
          <w:rFonts w:hint="eastAsia"/>
        </w:rPr>
      </w:pPr>
      <w:r>
        <w:rPr>
          <w:rFonts w:hint="eastAsia"/>
        </w:rPr>
        <w:t>报价函</w:t>
      </w:r>
    </w:p>
    <w:p w14:paraId="31263165" w14:textId="77777777" w:rsidR="00537501" w:rsidRDefault="00000000">
      <w:pPr>
        <w:tabs>
          <w:tab w:val="left" w:pos="180"/>
        </w:tabs>
        <w:wordWrap w:val="0"/>
        <w:adjustRightInd w:val="0"/>
        <w:snapToGrid w:val="0"/>
        <w:spacing w:line="500" w:lineRule="exact"/>
        <w:ind w:firstLineChars="0" w:firstLine="0"/>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rPr>
        <w:t>江苏索普（集团）有限公司：</w:t>
      </w:r>
    </w:p>
    <w:p w14:paraId="2141C257" w14:textId="77777777" w:rsidR="00537501" w:rsidRDefault="00000000">
      <w:pPr>
        <w:wordWrap w:val="0"/>
        <w:adjustRightInd w:val="0"/>
        <w:snapToGrid w:val="0"/>
        <w:spacing w:line="500" w:lineRule="exact"/>
        <w:ind w:firstLine="600"/>
        <w:jc w:val="left"/>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u w:val="single"/>
        </w:rPr>
        <w:t>(报价单位全称)</w:t>
      </w:r>
      <w:r>
        <w:rPr>
          <w:rFonts w:ascii="仿宋_GB2312" w:eastAsia="仿宋_GB2312" w:hAnsi="仿宋_GB2312" w:cs="仿宋_GB2312" w:hint="eastAsia"/>
          <w:kern w:val="1"/>
          <w:sz w:val="30"/>
          <w:szCs w:val="30"/>
        </w:rPr>
        <w:t>授权</w:t>
      </w:r>
      <w:r>
        <w:rPr>
          <w:rFonts w:ascii="仿宋_GB2312" w:eastAsia="仿宋_GB2312" w:hAnsi="仿宋_GB2312" w:cs="仿宋_GB2312" w:hint="eastAsia"/>
          <w:kern w:val="1"/>
          <w:sz w:val="30"/>
          <w:szCs w:val="30"/>
          <w:u w:val="single"/>
        </w:rPr>
        <w:t>(全权代表姓名)(职务、职称)</w:t>
      </w:r>
      <w:r>
        <w:rPr>
          <w:rFonts w:ascii="仿宋_GB2312" w:eastAsia="仿宋_GB2312" w:hAnsi="仿宋_GB2312" w:cs="仿宋_GB2312" w:hint="eastAsia"/>
          <w:kern w:val="1"/>
          <w:sz w:val="30"/>
          <w:szCs w:val="30"/>
        </w:rPr>
        <w:t>为全权代表，参加贵方组织的采购有关活动，并对该项目进行报价。</w:t>
      </w:r>
    </w:p>
    <w:p w14:paraId="72C9447E" w14:textId="77777777" w:rsidR="00537501" w:rsidRDefault="00000000">
      <w:pPr>
        <w:wordWrap w:val="0"/>
        <w:adjustRightInd w:val="0"/>
        <w:snapToGrid w:val="0"/>
        <w:spacing w:line="500" w:lineRule="exact"/>
        <w:ind w:firstLine="600"/>
        <w:jc w:val="left"/>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rPr>
        <w:t>1、报价项目的总报价（含税）为</w:t>
      </w:r>
      <w:r>
        <w:rPr>
          <w:rFonts w:ascii="仿宋_GB2312" w:eastAsia="仿宋_GB2312" w:hAnsi="仿宋_GB2312" w:cs="仿宋_GB2312"/>
          <w:kern w:val="1"/>
          <w:sz w:val="30"/>
          <w:szCs w:val="30"/>
          <w:u w:val="single"/>
        </w:rPr>
        <w:softHyphen/>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(大写)：</w:t>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元人民币；税率</w:t>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%，如有分项报价，请另附分项报价清单；</w:t>
      </w:r>
    </w:p>
    <w:tbl>
      <w:tblPr>
        <w:tblStyle w:val="ac"/>
        <w:tblW w:w="9356" w:type="dxa"/>
        <w:tblLook w:val="04A0" w:firstRow="1" w:lastRow="0" w:firstColumn="1" w:lastColumn="0" w:noHBand="0" w:noVBand="1"/>
      </w:tblPr>
      <w:tblGrid>
        <w:gridCol w:w="1869"/>
        <w:gridCol w:w="3436"/>
        <w:gridCol w:w="4051"/>
      </w:tblGrid>
      <w:tr w:rsidR="00537501" w14:paraId="41A0BAC9" w14:textId="77777777">
        <w:tc>
          <w:tcPr>
            <w:tcW w:w="1869" w:type="dxa"/>
            <w:vAlign w:val="center"/>
          </w:tcPr>
          <w:p w14:paraId="2E557B27" w14:textId="77777777" w:rsidR="00537501" w:rsidRDefault="00000000">
            <w:pPr>
              <w:pStyle w:val="a0"/>
              <w:ind w:firstLineChars="0" w:firstLine="0"/>
              <w:jc w:val="center"/>
              <w:rPr>
                <w:b/>
                <w:bCs/>
              </w:rPr>
            </w:pPr>
            <w:r>
              <w:rPr>
                <w:rFonts w:hint="eastAsia"/>
                <w:b/>
                <w:bCs/>
              </w:rPr>
              <w:t>项目</w:t>
            </w:r>
          </w:p>
        </w:tc>
        <w:tc>
          <w:tcPr>
            <w:tcW w:w="3436" w:type="dxa"/>
            <w:vAlign w:val="center"/>
          </w:tcPr>
          <w:p w14:paraId="206257DE" w14:textId="77777777" w:rsidR="00537501" w:rsidRDefault="00000000">
            <w:pPr>
              <w:pStyle w:val="a0"/>
              <w:ind w:firstLineChars="0" w:firstLine="0"/>
              <w:jc w:val="center"/>
              <w:rPr>
                <w:b/>
                <w:bCs/>
              </w:rPr>
            </w:pPr>
            <w:r>
              <w:rPr>
                <w:rFonts w:hint="eastAsia"/>
                <w:b/>
                <w:bCs/>
              </w:rPr>
              <w:t>每年的运维费用（大包）</w:t>
            </w:r>
          </w:p>
        </w:tc>
        <w:tc>
          <w:tcPr>
            <w:tcW w:w="4051" w:type="dxa"/>
            <w:vAlign w:val="center"/>
          </w:tcPr>
          <w:p w14:paraId="77D1AB2C" w14:textId="77777777" w:rsidR="00537501" w:rsidRDefault="00000000">
            <w:pPr>
              <w:pStyle w:val="a0"/>
              <w:ind w:firstLineChars="0" w:firstLine="0"/>
              <w:jc w:val="center"/>
              <w:rPr>
                <w:b/>
                <w:bCs/>
              </w:rPr>
            </w:pPr>
            <w:r>
              <w:rPr>
                <w:rFonts w:hint="eastAsia"/>
                <w:b/>
                <w:bCs/>
              </w:rPr>
              <w:t>软件和数采仪更新（一次性）</w:t>
            </w:r>
          </w:p>
        </w:tc>
      </w:tr>
      <w:tr w:rsidR="00537501" w14:paraId="1DB2DECD" w14:textId="77777777">
        <w:tc>
          <w:tcPr>
            <w:tcW w:w="1869" w:type="dxa"/>
            <w:vAlign w:val="center"/>
          </w:tcPr>
          <w:p w14:paraId="4E2A77FA" w14:textId="77777777" w:rsidR="00537501" w:rsidRDefault="00000000">
            <w:pPr>
              <w:pStyle w:val="a0"/>
              <w:ind w:firstLineChars="0" w:firstLine="0"/>
              <w:jc w:val="center"/>
              <w:rPr>
                <w:b/>
                <w:bCs/>
              </w:rPr>
            </w:pPr>
            <w:r>
              <w:rPr>
                <w:rFonts w:hint="eastAsia"/>
                <w:b/>
                <w:bCs/>
              </w:rPr>
              <w:t>费用</w:t>
            </w:r>
          </w:p>
        </w:tc>
        <w:tc>
          <w:tcPr>
            <w:tcW w:w="3436" w:type="dxa"/>
            <w:vAlign w:val="center"/>
          </w:tcPr>
          <w:p w14:paraId="4E498C2F" w14:textId="77777777" w:rsidR="00537501" w:rsidRDefault="00537501">
            <w:pPr>
              <w:pStyle w:val="a0"/>
              <w:ind w:firstLineChars="0" w:firstLine="0"/>
              <w:jc w:val="center"/>
              <w:rPr>
                <w:b/>
                <w:bCs/>
              </w:rPr>
            </w:pPr>
          </w:p>
        </w:tc>
        <w:tc>
          <w:tcPr>
            <w:tcW w:w="4051" w:type="dxa"/>
            <w:vAlign w:val="center"/>
          </w:tcPr>
          <w:p w14:paraId="7693C328" w14:textId="77777777" w:rsidR="00537501" w:rsidRDefault="00537501">
            <w:pPr>
              <w:pStyle w:val="a0"/>
              <w:ind w:firstLineChars="0" w:firstLine="0"/>
              <w:jc w:val="center"/>
              <w:rPr>
                <w:b/>
                <w:bCs/>
              </w:rPr>
            </w:pPr>
          </w:p>
        </w:tc>
      </w:tr>
      <w:tr w:rsidR="00537501" w14:paraId="2AAC30F5" w14:textId="77777777">
        <w:tc>
          <w:tcPr>
            <w:tcW w:w="1869" w:type="dxa"/>
            <w:vAlign w:val="center"/>
          </w:tcPr>
          <w:p w14:paraId="721A2F51" w14:textId="77777777" w:rsidR="00537501" w:rsidRDefault="00000000">
            <w:pPr>
              <w:pStyle w:val="a0"/>
              <w:ind w:firstLineChars="0" w:firstLine="0"/>
              <w:jc w:val="center"/>
              <w:rPr>
                <w:b/>
                <w:bCs/>
              </w:rPr>
            </w:pPr>
            <w:r>
              <w:rPr>
                <w:rFonts w:hint="eastAsia"/>
                <w:b/>
                <w:bCs/>
              </w:rPr>
              <w:t>总计</w:t>
            </w:r>
          </w:p>
        </w:tc>
        <w:tc>
          <w:tcPr>
            <w:tcW w:w="7487" w:type="dxa"/>
            <w:gridSpan w:val="2"/>
            <w:vAlign w:val="center"/>
          </w:tcPr>
          <w:p w14:paraId="71963640" w14:textId="77777777" w:rsidR="00537501" w:rsidRDefault="00537501">
            <w:pPr>
              <w:pStyle w:val="a0"/>
              <w:ind w:firstLineChars="0" w:firstLine="0"/>
              <w:jc w:val="center"/>
              <w:rPr>
                <w:b/>
                <w:bCs/>
              </w:rPr>
            </w:pPr>
          </w:p>
        </w:tc>
      </w:tr>
    </w:tbl>
    <w:p w14:paraId="2ADEFCA6" w14:textId="77777777" w:rsidR="00537501" w:rsidRDefault="00000000">
      <w:pPr>
        <w:wordWrap w:val="0"/>
        <w:adjustRightInd w:val="0"/>
        <w:snapToGrid w:val="0"/>
        <w:spacing w:line="500" w:lineRule="exact"/>
        <w:ind w:firstLine="600"/>
        <w:jc w:val="left"/>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rPr>
        <w:t>2、我方保证遵守采购文件中的全部规定；</w:t>
      </w:r>
    </w:p>
    <w:p w14:paraId="478F3762" w14:textId="77777777" w:rsidR="00537501" w:rsidRDefault="00000000">
      <w:pPr>
        <w:wordWrap w:val="0"/>
        <w:adjustRightInd w:val="0"/>
        <w:snapToGrid w:val="0"/>
        <w:spacing w:line="500" w:lineRule="exact"/>
        <w:ind w:firstLine="600"/>
        <w:jc w:val="left"/>
        <w:rPr>
          <w:rFonts w:ascii="仿宋_GB2312" w:eastAsia="仿宋_GB2312" w:hAnsi="仿宋_GB2312" w:cs="仿宋_GB2312" w:hint="eastAsia"/>
          <w:bCs/>
          <w:kern w:val="1"/>
          <w:sz w:val="30"/>
          <w:szCs w:val="30"/>
        </w:rPr>
      </w:pPr>
      <w:r>
        <w:rPr>
          <w:rFonts w:ascii="仿宋_GB2312" w:eastAsia="仿宋_GB2312" w:hAnsi="仿宋_GB2312" w:cs="仿宋_GB2312" w:hint="eastAsia"/>
          <w:bCs/>
          <w:kern w:val="1"/>
          <w:sz w:val="30"/>
          <w:szCs w:val="30"/>
        </w:rPr>
        <w:t>3、我方保证忠实地执行双方签订的合同,并承担合同规定的责任义务；</w:t>
      </w:r>
    </w:p>
    <w:p w14:paraId="5C4C8497" w14:textId="77777777" w:rsidR="00537501" w:rsidRDefault="00000000">
      <w:pPr>
        <w:wordWrap w:val="0"/>
        <w:adjustRightInd w:val="0"/>
        <w:snapToGrid w:val="0"/>
        <w:spacing w:line="500" w:lineRule="exact"/>
        <w:ind w:firstLine="600"/>
        <w:jc w:val="left"/>
        <w:rPr>
          <w:rFonts w:ascii="仿宋_GB2312" w:eastAsia="仿宋_GB2312" w:hAnsi="仿宋_GB2312" w:cs="仿宋_GB2312" w:hint="eastAsia"/>
          <w:bCs/>
          <w:kern w:val="1"/>
          <w:sz w:val="30"/>
          <w:szCs w:val="30"/>
        </w:rPr>
      </w:pPr>
      <w:r>
        <w:rPr>
          <w:rFonts w:ascii="仿宋_GB2312" w:eastAsia="仿宋_GB2312" w:hAnsi="仿宋_GB2312" w:cs="仿宋_GB2312" w:hint="eastAsia"/>
          <w:sz w:val="30"/>
          <w:szCs w:val="30"/>
          <w:shd w:val="clear" w:color="auto" w:fill="FFFFFF"/>
        </w:rPr>
        <w:t>4、我方已详细审查全部采购文件，包括采购文件的补充文件（如有）。我方完全理解并同意放弃对这方面有不明及误解的权力，同时完全接受采购文件所有条款。如果采购文件有相互矛盾之处，我方同意按采购方的解释处理；</w:t>
      </w:r>
    </w:p>
    <w:p w14:paraId="7E877476" w14:textId="77777777" w:rsidR="00537501" w:rsidRDefault="00000000">
      <w:pPr>
        <w:wordWrap w:val="0"/>
        <w:adjustRightInd w:val="0"/>
        <w:snapToGrid w:val="0"/>
        <w:spacing w:line="500" w:lineRule="exact"/>
        <w:ind w:firstLine="600"/>
        <w:jc w:val="left"/>
        <w:rPr>
          <w:rFonts w:ascii="仿宋_GB2312" w:eastAsia="仿宋_GB2312" w:hAnsi="仿宋_GB2312" w:cs="仿宋_GB2312" w:hint="eastAsia"/>
          <w:sz w:val="30"/>
          <w:szCs w:val="30"/>
          <w:shd w:val="clear" w:color="auto" w:fill="FFFFFF"/>
        </w:rPr>
      </w:pPr>
      <w:r>
        <w:rPr>
          <w:rFonts w:ascii="仿宋_GB2312" w:eastAsia="仿宋_GB2312" w:hAnsi="仿宋_GB2312" w:cs="仿宋_GB2312" w:hint="eastAsia"/>
          <w:bCs/>
          <w:kern w:val="1"/>
          <w:sz w:val="30"/>
          <w:szCs w:val="30"/>
        </w:rPr>
        <w:t>5、愿意向贵方提供任何与该项报价有关的数据、情况和技术资料，</w:t>
      </w:r>
      <w:r>
        <w:rPr>
          <w:rFonts w:ascii="仿宋_GB2312" w:eastAsia="仿宋_GB2312" w:hAnsi="仿宋_GB2312" w:cs="仿宋_GB2312" w:hint="eastAsia"/>
          <w:sz w:val="30"/>
          <w:szCs w:val="30"/>
          <w:shd w:val="clear" w:color="auto" w:fill="FFFFFF"/>
        </w:rPr>
        <w:t>完全理解贵方不一定接受最低价的报价或收到的任何报价。</w:t>
      </w:r>
    </w:p>
    <w:p w14:paraId="2D8BCA61" w14:textId="77777777" w:rsidR="00537501" w:rsidRDefault="00000000">
      <w:pPr>
        <w:wordWrap w:val="0"/>
        <w:adjustRightInd w:val="0"/>
        <w:snapToGrid w:val="0"/>
        <w:spacing w:beforeLines="50" w:before="120" w:line="500" w:lineRule="exact"/>
        <w:ind w:firstLine="600"/>
        <w:jc w:val="left"/>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rPr>
        <w:t>全权代表（签字）：</w:t>
      </w:r>
    </w:p>
    <w:p w14:paraId="66DFBA49" w14:textId="77777777" w:rsidR="00537501" w:rsidRDefault="00000000">
      <w:pPr>
        <w:wordWrap w:val="0"/>
        <w:adjustRightInd w:val="0"/>
        <w:snapToGrid w:val="0"/>
        <w:spacing w:beforeLines="50" w:before="120" w:line="500" w:lineRule="exact"/>
        <w:ind w:firstLine="600"/>
        <w:jc w:val="left"/>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rPr>
        <w:t>联系电话：</w:t>
      </w:r>
    </w:p>
    <w:p w14:paraId="2FFA7490" w14:textId="77777777" w:rsidR="00537501" w:rsidRDefault="00000000">
      <w:pPr>
        <w:wordWrap w:val="0"/>
        <w:adjustRightInd w:val="0"/>
        <w:snapToGrid w:val="0"/>
        <w:spacing w:beforeLines="50" w:before="120" w:line="500" w:lineRule="exact"/>
        <w:ind w:firstLine="600"/>
        <w:jc w:val="left"/>
        <w:rPr>
          <w:rFonts w:ascii="仿宋_GB2312" w:eastAsia="仿宋_GB2312" w:hAnsi="仿宋_GB2312" w:cs="仿宋_GB2312" w:hint="eastAsia"/>
          <w:kern w:val="1"/>
          <w:sz w:val="30"/>
          <w:szCs w:val="30"/>
        </w:rPr>
      </w:pPr>
      <w:r>
        <w:rPr>
          <w:rFonts w:ascii="仿宋_GB2312" w:eastAsia="仿宋_GB2312" w:hAnsi="仿宋_GB2312" w:cs="仿宋_GB2312" w:hint="eastAsia"/>
          <w:kern w:val="1"/>
          <w:sz w:val="30"/>
          <w:szCs w:val="30"/>
        </w:rPr>
        <w:t>报价单位（盖章）：</w:t>
      </w:r>
    </w:p>
    <w:p w14:paraId="36567D53" w14:textId="77777777" w:rsidR="00537501" w:rsidRDefault="00000000">
      <w:pPr>
        <w:wordWrap w:val="0"/>
        <w:adjustRightInd w:val="0"/>
        <w:snapToGrid w:val="0"/>
        <w:spacing w:beforeLines="50" w:before="120" w:line="500" w:lineRule="exact"/>
        <w:ind w:firstLine="600"/>
        <w:jc w:val="left"/>
        <w:rPr>
          <w:rFonts w:ascii="仿宋_GB2312" w:eastAsia="仿宋_GB2312" w:hAnsi="仿宋_GB2312" w:cs="仿宋_GB2312" w:hint="eastAsia"/>
          <w:bCs/>
          <w:kern w:val="1"/>
          <w:sz w:val="30"/>
          <w:szCs w:val="30"/>
        </w:rPr>
      </w:pPr>
      <w:r>
        <w:rPr>
          <w:rFonts w:ascii="仿宋_GB2312" w:eastAsia="仿宋_GB2312" w:hAnsi="仿宋_GB2312" w:cs="仿宋_GB2312" w:hint="eastAsia"/>
          <w:kern w:val="1"/>
          <w:sz w:val="30"/>
          <w:szCs w:val="30"/>
        </w:rPr>
        <w:t>日期：</w:t>
      </w:r>
    </w:p>
    <w:p w14:paraId="2F1297CB" w14:textId="77777777" w:rsidR="00537501" w:rsidRDefault="00000000">
      <w:pPr>
        <w:pStyle w:val="22"/>
        <w:rPr>
          <w:rFonts w:hint="eastAsia"/>
        </w:rPr>
      </w:pPr>
      <w:r>
        <w:rPr>
          <w:rFonts w:hint="eastAsia"/>
        </w:rPr>
        <w:lastRenderedPageBreak/>
        <w:t>附件2</w:t>
      </w:r>
    </w:p>
    <w:p w14:paraId="77561AE3" w14:textId="77777777" w:rsidR="00537501" w:rsidRDefault="00000000">
      <w:pPr>
        <w:adjustRightInd w:val="0"/>
        <w:snapToGrid w:val="0"/>
        <w:spacing w:line="440" w:lineRule="exact"/>
        <w:ind w:firstLine="643"/>
        <w:rPr>
          <w:rFonts w:ascii="仿宋" w:hAnsi="仿宋" w:cs="仿宋" w:hint="eastAsia"/>
          <w:b/>
          <w:bCs/>
          <w:sz w:val="32"/>
          <w:szCs w:val="32"/>
        </w:rPr>
      </w:pPr>
      <w:r>
        <w:rPr>
          <w:rFonts w:ascii="仿宋" w:hAnsi="仿宋" w:cs="仿宋" w:hint="eastAsia"/>
          <w:b/>
          <w:bCs/>
          <w:sz w:val="32"/>
          <w:szCs w:val="32"/>
        </w:rPr>
        <w:t>江苏索普（集团）有限公司运营服务要求：</w:t>
      </w:r>
    </w:p>
    <w:p w14:paraId="3D5275FE"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1.</w:t>
      </w:r>
      <w:r w:rsidRPr="00207F37">
        <w:rPr>
          <w:rFonts w:ascii="仿宋" w:hAnsi="仿宋" w:cs="仿宋" w:hint="eastAsia"/>
          <w:sz w:val="30"/>
          <w:szCs w:val="30"/>
        </w:rPr>
        <w:t>确保相关监测仪器运行正常，监测数据</w:t>
      </w:r>
      <w:r w:rsidRPr="00207F37">
        <w:rPr>
          <w:rFonts w:ascii="仿宋" w:hAnsi="仿宋" w:cs="仿宋" w:hint="eastAsia"/>
          <w:bCs/>
          <w:kern w:val="1"/>
          <w:sz w:val="30"/>
          <w:szCs w:val="30"/>
        </w:rPr>
        <w:t>与索普集团应急指挥平台及生态环境等上级部门指定平台联</w:t>
      </w:r>
      <w:r>
        <w:rPr>
          <w:rFonts w:ascii="仿宋" w:hAnsi="仿宋" w:cs="仿宋" w:hint="eastAsia"/>
          <w:bCs/>
          <w:color w:val="000000"/>
          <w:kern w:val="1"/>
          <w:sz w:val="30"/>
          <w:szCs w:val="30"/>
        </w:rPr>
        <w:t>网</w:t>
      </w:r>
      <w:r>
        <w:rPr>
          <w:rFonts w:ascii="仿宋" w:hAnsi="仿宋" w:cs="仿宋" w:hint="eastAsia"/>
          <w:sz w:val="30"/>
          <w:szCs w:val="30"/>
        </w:rPr>
        <w:t>，数据及时、准确、完整传输，</w:t>
      </w:r>
      <w:r>
        <w:rPr>
          <w:rFonts w:ascii="仿宋" w:hAnsi="仿宋" w:cs="仿宋" w:hint="eastAsia"/>
          <w:kern w:val="24"/>
          <w:sz w:val="30"/>
          <w:szCs w:val="30"/>
        </w:rPr>
        <w:t>运营服务服务应符合国家、省市相关标准和规范。</w:t>
      </w:r>
    </w:p>
    <w:p w14:paraId="1F85711C" w14:textId="77777777" w:rsidR="00537501" w:rsidRDefault="00000000">
      <w:pPr>
        <w:adjustRightInd w:val="0"/>
        <w:snapToGrid w:val="0"/>
        <w:spacing w:line="440" w:lineRule="exact"/>
        <w:ind w:firstLine="602"/>
        <w:outlineLvl w:val="3"/>
        <w:rPr>
          <w:rFonts w:ascii="仿宋" w:hAnsi="仿宋" w:cs="仿宋" w:hint="eastAsia"/>
          <w:b/>
          <w:bCs/>
          <w:sz w:val="30"/>
          <w:szCs w:val="30"/>
        </w:rPr>
      </w:pPr>
      <w:r>
        <w:rPr>
          <w:rFonts w:ascii="仿宋" w:hAnsi="仿宋" w:cs="仿宋" w:hint="eastAsia"/>
          <w:b/>
          <w:bCs/>
          <w:sz w:val="30"/>
          <w:szCs w:val="30"/>
        </w:rPr>
        <w:t>2.运营服务设备</w:t>
      </w:r>
    </w:p>
    <w:p w14:paraId="5D50FEDC"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2.1 监测点下游水站，</w:t>
      </w:r>
      <w:r>
        <w:rPr>
          <w:rFonts w:ascii="仿宋" w:hAnsi="仿宋" w:cs="仿宋" w:hint="eastAsia"/>
          <w:b/>
          <w:bCs/>
          <w:sz w:val="30"/>
          <w:szCs w:val="30"/>
        </w:rPr>
        <w:t>厂家为</w:t>
      </w:r>
      <w:r>
        <w:rPr>
          <w:rFonts w:ascii="仿宋" w:hAnsi="仿宋" w:cs="仿宋" w:hint="eastAsia"/>
          <w:b/>
          <w:bCs/>
          <w:kern w:val="24"/>
          <w:sz w:val="30"/>
          <w:szCs w:val="30"/>
        </w:rPr>
        <w:t>广州怡文环境和江苏德林环保</w:t>
      </w:r>
      <w:r>
        <w:rPr>
          <w:rFonts w:ascii="仿宋" w:hAnsi="仿宋" w:cs="仿宋" w:hint="eastAsia"/>
          <w:kern w:val="24"/>
          <w:sz w:val="30"/>
          <w:szCs w:val="30"/>
        </w:rPr>
        <w:t>，</w:t>
      </w:r>
      <w:r>
        <w:rPr>
          <w:rFonts w:ascii="仿宋" w:hAnsi="仿宋" w:cs="仿宋" w:hint="eastAsia"/>
          <w:sz w:val="30"/>
          <w:szCs w:val="30"/>
        </w:rPr>
        <w:t>安装于海纳川海事大楼。</w:t>
      </w:r>
    </w:p>
    <w:p w14:paraId="074E26E6"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2.2 数据传输系统（含数据传输平台及费用）。</w:t>
      </w:r>
    </w:p>
    <w:p w14:paraId="5C370B63" w14:textId="77777777" w:rsidR="00537501" w:rsidRDefault="00000000">
      <w:pPr>
        <w:pStyle w:val="a0"/>
      </w:pPr>
      <w:r>
        <w:rPr>
          <w:rFonts w:hint="eastAsia"/>
        </w:rPr>
        <w:t xml:space="preserve">2.3 </w:t>
      </w:r>
      <w:r>
        <w:rPr>
          <w:rFonts w:hint="eastAsia"/>
        </w:rPr>
        <w:t>采样、输送系统；</w:t>
      </w:r>
    </w:p>
    <w:p w14:paraId="46BCB9E5" w14:textId="77777777" w:rsidR="00537501" w:rsidRDefault="00000000">
      <w:pPr>
        <w:pStyle w:val="a0"/>
      </w:pPr>
      <w:r>
        <w:rPr>
          <w:rFonts w:hint="eastAsia"/>
        </w:rPr>
        <w:t xml:space="preserve">2.4 </w:t>
      </w:r>
      <w:r>
        <w:rPr>
          <w:rFonts w:hint="eastAsia"/>
        </w:rPr>
        <w:t>视频监控系统；</w:t>
      </w:r>
    </w:p>
    <w:p w14:paraId="5134535E" w14:textId="77777777" w:rsidR="00537501" w:rsidRDefault="00000000">
      <w:pPr>
        <w:pStyle w:val="a0"/>
      </w:pPr>
      <w:r>
        <w:rPr>
          <w:rFonts w:hint="eastAsia"/>
        </w:rPr>
        <w:t xml:space="preserve">2.5 </w:t>
      </w:r>
      <w:r>
        <w:rPr>
          <w:rFonts w:hint="eastAsia"/>
        </w:rPr>
        <w:t>标液配置及分析室。</w:t>
      </w:r>
    </w:p>
    <w:p w14:paraId="5F6F1A6F" w14:textId="77777777" w:rsidR="00537501" w:rsidRDefault="00000000">
      <w:pPr>
        <w:adjustRightInd w:val="0"/>
        <w:snapToGrid w:val="0"/>
        <w:spacing w:line="440" w:lineRule="exact"/>
        <w:ind w:firstLine="602"/>
        <w:outlineLvl w:val="3"/>
        <w:rPr>
          <w:rFonts w:ascii="仿宋" w:hAnsi="仿宋" w:cs="仿宋" w:hint="eastAsia"/>
          <w:kern w:val="24"/>
          <w:sz w:val="30"/>
          <w:szCs w:val="30"/>
        </w:rPr>
      </w:pPr>
      <w:r>
        <w:rPr>
          <w:rFonts w:ascii="仿宋" w:hAnsi="仿宋" w:cs="仿宋" w:hint="eastAsia"/>
          <w:b/>
          <w:bCs/>
          <w:sz w:val="30"/>
          <w:szCs w:val="30"/>
        </w:rPr>
        <w:t>3.专业化运营服务要求</w:t>
      </w:r>
    </w:p>
    <w:p w14:paraId="4455F3A2"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kern w:val="24"/>
          <w:sz w:val="30"/>
          <w:szCs w:val="30"/>
        </w:rPr>
        <w:t>按环保运行维保等有关规范要求，对采购的设备进行</w:t>
      </w:r>
      <w:r>
        <w:rPr>
          <w:rFonts w:ascii="仿宋" w:hAnsi="仿宋" w:cs="仿宋" w:hint="eastAsia"/>
          <w:sz w:val="30"/>
          <w:szCs w:val="30"/>
        </w:rPr>
        <w:t>专业化运营，包括但不限于：</w:t>
      </w:r>
    </w:p>
    <w:p w14:paraId="3070697D"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3.1中选方负责对仪器及数据传输设备进行运营服务，确保仪器设备正常、稳定运行，数据传输有效，自动监控设施修约前运转率达到98%以上，监测修约前数据传输率达到98%以上，传输有效率达到98%以上；</w:t>
      </w:r>
    </w:p>
    <w:p w14:paraId="638BBFDE" w14:textId="77777777" w:rsidR="00537501" w:rsidRDefault="00000000">
      <w:pPr>
        <w:pStyle w:val="a0"/>
        <w:tabs>
          <w:tab w:val="left" w:pos="840"/>
        </w:tabs>
        <w:spacing w:line="440" w:lineRule="exact"/>
        <w:rPr>
          <w:rFonts w:ascii="仿宋" w:hAnsi="仿宋" w:cs="仿宋" w:hint="eastAsia"/>
          <w:b/>
          <w:bCs/>
        </w:rPr>
      </w:pPr>
      <w:r>
        <w:rPr>
          <w:rFonts w:ascii="仿宋" w:hAnsi="仿宋" w:cs="仿宋" w:hint="eastAsia"/>
        </w:rPr>
        <w:t>3.2运营服务采用大包形式，所有设备及配件（含标液等）全部由中选方负责运行，在运营期间内，除其它不可抗力等因素（如雷击、地震、洪水、火灾等）之外，中选方负责对在线连续监测系统的任何损坏而不能正常使用的设备部件进行更换；</w:t>
      </w:r>
      <w:r>
        <w:rPr>
          <w:rFonts w:ascii="仿宋" w:hAnsi="仿宋" w:cs="仿宋" w:hint="eastAsia"/>
          <w:b/>
          <w:bCs/>
        </w:rPr>
        <w:t>维护、维修、易耗品的更换费用包含在运营服务费内，采购方不再支付其他任何费用。</w:t>
      </w:r>
    </w:p>
    <w:p w14:paraId="034C913A" w14:textId="77777777" w:rsidR="00537501" w:rsidRDefault="00000000">
      <w:pPr>
        <w:pStyle w:val="a0"/>
        <w:tabs>
          <w:tab w:val="left" w:pos="840"/>
        </w:tabs>
        <w:spacing w:line="440" w:lineRule="exact"/>
        <w:rPr>
          <w:rFonts w:ascii="仿宋" w:hAnsi="仿宋" w:cs="仿宋" w:hint="eastAsia"/>
        </w:rPr>
      </w:pPr>
      <w:r>
        <w:rPr>
          <w:rFonts w:ascii="仿宋" w:hAnsi="仿宋" w:cs="仿宋" w:hint="eastAsia"/>
        </w:rPr>
        <w:t>3.3</w:t>
      </w:r>
      <w:r>
        <w:rPr>
          <w:rFonts w:ascii="仿宋" w:hAnsi="仿宋" w:cs="仿宋" w:hint="eastAsia"/>
          <w:kern w:val="24"/>
        </w:rPr>
        <w:t>异常情况响应：</w:t>
      </w:r>
      <w:r>
        <w:rPr>
          <w:rFonts w:ascii="仿宋" w:hAnsi="仿宋" w:cs="仿宋" w:hint="eastAsia"/>
        </w:rPr>
        <w:t>发现故障或接到故障通知，中选方专业技术人员保证在白天2小时内（夜间，于次日9时前）到达仪器安装现场进行处理；对于一些容易诊断的故障保证在当天进行维修，对</w:t>
      </w:r>
      <w:r>
        <w:rPr>
          <w:rFonts w:ascii="仿宋" w:hAnsi="仿宋" w:cs="仿宋" w:hint="eastAsia"/>
        </w:rPr>
        <w:lastRenderedPageBreak/>
        <w:t>不容易诊断和维修的故障，保证在3个工作日内完成维修或提供备件，并出具故障报告。维修期间免费提供监测分析仪器（须在检验合格期内）给采购方进行数据检测；同一故障，相关设备仪器连续出现3次必须更换。中选方保证备有足够的备品备件，对其使用情况进行定期清点，并根据实际需要进行增购，以调整和补充各种备品备件的存储数量。</w:t>
      </w:r>
    </w:p>
    <w:p w14:paraId="2B6C0EED"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3.4运营机构组织，建立完善的技术档案管理制度。所有技术档案接受定期检查和不定期抽查；</w:t>
      </w:r>
      <w:r>
        <w:rPr>
          <w:rFonts w:ascii="仿宋" w:hAnsi="仿宋" w:cs="仿宋" w:hint="eastAsia"/>
          <w:kern w:val="24"/>
          <w:sz w:val="30"/>
          <w:szCs w:val="30"/>
        </w:rPr>
        <w:t>提供月、季度、年度运营报告，接受采购方考核。</w:t>
      </w:r>
    </w:p>
    <w:p w14:paraId="6B855E0F"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3.5对设备系统定期校验，定期更换系统耗材。</w:t>
      </w:r>
    </w:p>
    <w:p w14:paraId="76764C9F"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3.6上级环保部门在线监测系统抽查时，配合采购方现场迎接检查。</w:t>
      </w:r>
    </w:p>
    <w:p w14:paraId="3366749C"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3.7运营服务规范上的其他要求。</w:t>
      </w:r>
    </w:p>
    <w:p w14:paraId="7C946075" w14:textId="77777777" w:rsidR="00537501" w:rsidRDefault="00000000">
      <w:pPr>
        <w:adjustRightInd w:val="0"/>
        <w:snapToGrid w:val="0"/>
        <w:spacing w:line="440" w:lineRule="exact"/>
        <w:ind w:firstLine="602"/>
        <w:outlineLvl w:val="3"/>
        <w:rPr>
          <w:rFonts w:ascii="仿宋" w:hAnsi="仿宋" w:cs="仿宋" w:hint="eastAsia"/>
          <w:b/>
          <w:bCs/>
          <w:sz w:val="30"/>
          <w:szCs w:val="30"/>
        </w:rPr>
      </w:pPr>
      <w:r>
        <w:rPr>
          <w:rFonts w:ascii="仿宋" w:hAnsi="仿宋" w:cs="仿宋" w:hint="eastAsia"/>
          <w:b/>
          <w:bCs/>
          <w:sz w:val="30"/>
          <w:szCs w:val="30"/>
        </w:rPr>
        <w:t>4、专业运营方案提交要求</w:t>
      </w:r>
    </w:p>
    <w:p w14:paraId="634555E6"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rPr>
      </w:pPr>
      <w:r>
        <w:rPr>
          <w:rFonts w:ascii="仿宋" w:hAnsi="仿宋" w:cs="仿宋" w:hint="eastAsia"/>
          <w:sz w:val="30"/>
          <w:szCs w:val="30"/>
        </w:rPr>
        <w:t>中选方必须提供</w:t>
      </w:r>
      <w:bookmarkStart w:id="3" w:name="_Toc208230139"/>
      <w:bookmarkStart w:id="4" w:name="_Toc216779120"/>
      <w:r>
        <w:rPr>
          <w:rFonts w:ascii="仿宋" w:hAnsi="仿宋" w:cs="仿宋" w:hint="eastAsia"/>
          <w:sz w:val="30"/>
          <w:szCs w:val="30"/>
        </w:rPr>
        <w:t>专业化运营方案</w:t>
      </w:r>
      <w:bookmarkEnd w:id="3"/>
      <w:bookmarkEnd w:id="4"/>
      <w:r>
        <w:rPr>
          <w:rFonts w:ascii="仿宋" w:hAnsi="仿宋" w:cs="仿宋" w:hint="eastAsia"/>
          <w:sz w:val="30"/>
          <w:szCs w:val="30"/>
        </w:rPr>
        <w:t>，详细说明本次采购的人员组织、运营标准、系统校验、日常管理等方案。专业化运营方案由中选方自定格式书写，须包含以下内容：</w:t>
      </w:r>
    </w:p>
    <w:p w14:paraId="75FD39E2"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rPr>
      </w:pPr>
      <w:r>
        <w:rPr>
          <w:rFonts w:ascii="仿宋" w:hAnsi="仿宋" w:cs="仿宋" w:hint="eastAsia"/>
          <w:sz w:val="30"/>
          <w:szCs w:val="30"/>
        </w:rPr>
        <w:t>4.1运营方案基本内容</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843"/>
        <w:gridCol w:w="5880"/>
      </w:tblGrid>
      <w:tr w:rsidR="00537501" w14:paraId="3DD20AD6" w14:textId="77777777">
        <w:trPr>
          <w:trHeight w:val="310"/>
          <w:jc w:val="center"/>
        </w:trPr>
        <w:tc>
          <w:tcPr>
            <w:tcW w:w="799" w:type="dxa"/>
            <w:vAlign w:val="center"/>
          </w:tcPr>
          <w:p w14:paraId="0EA2916F" w14:textId="77777777" w:rsidR="00537501" w:rsidRDefault="00000000">
            <w:pPr>
              <w:adjustRightInd w:val="0"/>
              <w:snapToGrid w:val="0"/>
              <w:spacing w:line="440" w:lineRule="exact"/>
              <w:ind w:firstLineChars="0" w:firstLine="0"/>
              <w:jc w:val="center"/>
              <w:rPr>
                <w:rFonts w:ascii="仿宋" w:hAnsi="仿宋" w:cs="仿宋" w:hint="eastAsia"/>
              </w:rPr>
            </w:pPr>
            <w:r>
              <w:rPr>
                <w:rFonts w:ascii="仿宋" w:hAnsi="仿宋" w:cs="仿宋" w:hint="eastAsia"/>
              </w:rPr>
              <w:t>序号</w:t>
            </w:r>
          </w:p>
        </w:tc>
        <w:tc>
          <w:tcPr>
            <w:tcW w:w="1843" w:type="dxa"/>
            <w:vAlign w:val="center"/>
          </w:tcPr>
          <w:p w14:paraId="0DB20C65" w14:textId="77777777" w:rsidR="00537501" w:rsidRDefault="00000000">
            <w:pPr>
              <w:adjustRightInd w:val="0"/>
              <w:snapToGrid w:val="0"/>
              <w:spacing w:line="440" w:lineRule="exact"/>
              <w:ind w:firstLineChars="0" w:firstLine="0"/>
              <w:jc w:val="center"/>
              <w:rPr>
                <w:rFonts w:ascii="仿宋" w:hAnsi="仿宋" w:cs="仿宋" w:hint="eastAsia"/>
              </w:rPr>
            </w:pPr>
            <w:r>
              <w:rPr>
                <w:rFonts w:ascii="仿宋" w:hAnsi="仿宋" w:cs="仿宋" w:hint="eastAsia"/>
              </w:rPr>
              <w:t>服务机构</w:t>
            </w:r>
          </w:p>
        </w:tc>
        <w:tc>
          <w:tcPr>
            <w:tcW w:w="5880" w:type="dxa"/>
            <w:vAlign w:val="center"/>
          </w:tcPr>
          <w:p w14:paraId="02923398" w14:textId="77777777" w:rsidR="00537501" w:rsidRDefault="00000000">
            <w:pPr>
              <w:adjustRightInd w:val="0"/>
              <w:snapToGrid w:val="0"/>
              <w:spacing w:line="440" w:lineRule="exact"/>
              <w:ind w:left="200" w:firstLineChars="0" w:firstLine="0"/>
              <w:jc w:val="center"/>
              <w:rPr>
                <w:rFonts w:ascii="仿宋" w:hAnsi="仿宋" w:cs="仿宋" w:hint="eastAsia"/>
              </w:rPr>
            </w:pPr>
            <w:r>
              <w:rPr>
                <w:rFonts w:ascii="仿宋" w:hAnsi="仿宋" w:cs="仿宋" w:hint="eastAsia"/>
              </w:rPr>
              <w:t>运行维护机构</w:t>
            </w:r>
          </w:p>
        </w:tc>
      </w:tr>
      <w:tr w:rsidR="00537501" w14:paraId="3DCDEE78" w14:textId="77777777">
        <w:trPr>
          <w:trHeight w:val="809"/>
          <w:jc w:val="center"/>
        </w:trPr>
        <w:tc>
          <w:tcPr>
            <w:tcW w:w="799" w:type="dxa"/>
            <w:vAlign w:val="center"/>
          </w:tcPr>
          <w:p w14:paraId="3DF68B90" w14:textId="77777777" w:rsidR="00537501" w:rsidRDefault="00000000">
            <w:pPr>
              <w:adjustRightInd w:val="0"/>
              <w:snapToGrid w:val="0"/>
              <w:spacing w:line="440" w:lineRule="exact"/>
              <w:ind w:firstLineChars="0" w:firstLine="0"/>
              <w:jc w:val="center"/>
              <w:rPr>
                <w:rFonts w:ascii="仿宋" w:hAnsi="仿宋" w:cs="仿宋" w:hint="eastAsia"/>
              </w:rPr>
            </w:pPr>
            <w:r>
              <w:rPr>
                <w:rFonts w:ascii="仿宋" w:hAnsi="仿宋" w:cs="仿宋" w:hint="eastAsia"/>
              </w:rPr>
              <w:t>1</w:t>
            </w:r>
          </w:p>
        </w:tc>
        <w:tc>
          <w:tcPr>
            <w:tcW w:w="1843" w:type="dxa"/>
            <w:vAlign w:val="center"/>
          </w:tcPr>
          <w:p w14:paraId="3654D94C" w14:textId="77777777" w:rsidR="00537501" w:rsidRDefault="00000000">
            <w:pPr>
              <w:adjustRightInd w:val="0"/>
              <w:snapToGrid w:val="0"/>
              <w:spacing w:line="440" w:lineRule="exact"/>
              <w:ind w:firstLineChars="0" w:firstLine="0"/>
              <w:jc w:val="center"/>
              <w:rPr>
                <w:rFonts w:ascii="仿宋" w:hAnsi="仿宋" w:cs="仿宋" w:hint="eastAsia"/>
              </w:rPr>
            </w:pPr>
            <w:r>
              <w:rPr>
                <w:rFonts w:ascii="仿宋" w:hAnsi="仿宋" w:cs="仿宋" w:hint="eastAsia"/>
              </w:rPr>
              <w:t>服务设施</w:t>
            </w:r>
          </w:p>
        </w:tc>
        <w:tc>
          <w:tcPr>
            <w:tcW w:w="5880" w:type="dxa"/>
            <w:vAlign w:val="center"/>
          </w:tcPr>
          <w:p w14:paraId="7021051C" w14:textId="77777777" w:rsidR="00537501" w:rsidRDefault="00000000">
            <w:pPr>
              <w:adjustRightInd w:val="0"/>
              <w:snapToGrid w:val="0"/>
              <w:spacing w:line="440" w:lineRule="exact"/>
              <w:ind w:firstLineChars="0" w:firstLine="0"/>
              <w:rPr>
                <w:rFonts w:ascii="仿宋" w:hAnsi="仿宋" w:cs="仿宋" w:hint="eastAsia"/>
              </w:rPr>
            </w:pPr>
            <w:r>
              <w:rPr>
                <w:rFonts w:ascii="仿宋" w:hAnsi="仿宋" w:cs="仿宋" w:hint="eastAsia"/>
              </w:rPr>
              <w:t>设有独立的办公场所、服务电话，并配置工程服务车辆。配备符合《江苏省污染源自动监控设施社会化运行管理暂行办法》所需运营人员</w:t>
            </w:r>
            <w:r>
              <w:rPr>
                <w:rStyle w:val="apple-converted-space"/>
                <w:rFonts w:ascii="仿宋" w:hAnsi="仿宋" w:cs="仿宋" w:hint="eastAsia"/>
                <w:shd w:val="clear" w:color="auto" w:fill="FFFFFF"/>
              </w:rPr>
              <w:t> </w:t>
            </w:r>
            <w:r>
              <w:rPr>
                <w:rFonts w:ascii="仿宋" w:hAnsi="仿宋" w:cs="仿宋" w:hint="eastAsia"/>
                <w:shd w:val="clear" w:color="auto" w:fill="FFFFFF"/>
              </w:rPr>
              <w:t>。</w:t>
            </w:r>
          </w:p>
        </w:tc>
      </w:tr>
      <w:tr w:rsidR="00537501" w14:paraId="5B95F81F" w14:textId="77777777">
        <w:trPr>
          <w:trHeight w:val="675"/>
          <w:jc w:val="center"/>
        </w:trPr>
        <w:tc>
          <w:tcPr>
            <w:tcW w:w="799" w:type="dxa"/>
            <w:vAlign w:val="center"/>
          </w:tcPr>
          <w:p w14:paraId="20424FA2" w14:textId="77777777" w:rsidR="00537501" w:rsidRDefault="00000000">
            <w:pPr>
              <w:adjustRightInd w:val="0"/>
              <w:snapToGrid w:val="0"/>
              <w:spacing w:line="440" w:lineRule="exact"/>
              <w:ind w:firstLineChars="0" w:firstLine="0"/>
              <w:jc w:val="center"/>
              <w:rPr>
                <w:rFonts w:ascii="仿宋" w:hAnsi="仿宋" w:cs="仿宋" w:hint="eastAsia"/>
              </w:rPr>
            </w:pPr>
            <w:r>
              <w:rPr>
                <w:rFonts w:ascii="仿宋" w:hAnsi="仿宋" w:cs="仿宋" w:hint="eastAsia"/>
              </w:rPr>
              <w:t>2</w:t>
            </w:r>
          </w:p>
        </w:tc>
        <w:tc>
          <w:tcPr>
            <w:tcW w:w="1843" w:type="dxa"/>
            <w:vAlign w:val="center"/>
          </w:tcPr>
          <w:p w14:paraId="2AF5ABC1" w14:textId="77777777" w:rsidR="00537501" w:rsidRDefault="00000000">
            <w:pPr>
              <w:adjustRightInd w:val="0"/>
              <w:snapToGrid w:val="0"/>
              <w:spacing w:line="440" w:lineRule="exact"/>
              <w:ind w:firstLineChars="0" w:firstLine="0"/>
              <w:jc w:val="center"/>
              <w:rPr>
                <w:rFonts w:ascii="仿宋" w:hAnsi="仿宋" w:cs="仿宋" w:hint="eastAsia"/>
              </w:rPr>
            </w:pPr>
            <w:r>
              <w:rPr>
                <w:rFonts w:ascii="仿宋" w:hAnsi="仿宋" w:cs="仿宋" w:hint="eastAsia"/>
              </w:rPr>
              <w:t>运行维护方案</w:t>
            </w:r>
          </w:p>
        </w:tc>
        <w:tc>
          <w:tcPr>
            <w:tcW w:w="5880" w:type="dxa"/>
            <w:vAlign w:val="center"/>
          </w:tcPr>
          <w:p w14:paraId="2DCAE3E8" w14:textId="77777777" w:rsidR="00537501" w:rsidRDefault="00000000">
            <w:pPr>
              <w:adjustRightInd w:val="0"/>
              <w:snapToGrid w:val="0"/>
              <w:spacing w:line="440" w:lineRule="exact"/>
              <w:ind w:firstLineChars="0" w:firstLine="0"/>
              <w:rPr>
                <w:rFonts w:ascii="仿宋" w:hAnsi="仿宋" w:cs="仿宋" w:hint="eastAsia"/>
              </w:rPr>
            </w:pPr>
            <w:r>
              <w:rPr>
                <w:rFonts w:ascii="仿宋" w:hAnsi="仿宋" w:cs="仿宋" w:hint="eastAsia"/>
              </w:rPr>
              <w:t>现场情况运行目标、运行职责、日常维护、系统检修（包括响应时间）、档案管理和考核方案等方面满足采购要求，提出切实可行的方案和样表。</w:t>
            </w:r>
          </w:p>
        </w:tc>
      </w:tr>
    </w:tbl>
    <w:p w14:paraId="235CA9FC"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rPr>
      </w:pPr>
      <w:r>
        <w:rPr>
          <w:rFonts w:ascii="仿宋" w:hAnsi="仿宋" w:cs="仿宋" w:hint="eastAsia"/>
          <w:sz w:val="30"/>
          <w:szCs w:val="30"/>
        </w:rPr>
        <w:t>4.2在满足本文件提供的技术和服务要求外，可提供其他报价人自行描述的服务承诺及报价人认为有必要承诺的其他服务承诺。包括质量保证承诺、运营机构、人员设置及故障响应时间承诺等。</w:t>
      </w:r>
    </w:p>
    <w:p w14:paraId="34F1F187" w14:textId="77777777" w:rsidR="00537501" w:rsidRDefault="00000000">
      <w:pPr>
        <w:adjustRightInd w:val="0"/>
        <w:snapToGrid w:val="0"/>
        <w:spacing w:line="440" w:lineRule="exact"/>
        <w:ind w:firstLine="602"/>
        <w:outlineLvl w:val="3"/>
        <w:rPr>
          <w:rFonts w:ascii="仿宋" w:hAnsi="仿宋" w:cs="仿宋" w:hint="eastAsia"/>
          <w:b/>
          <w:bCs/>
          <w:sz w:val="30"/>
          <w:szCs w:val="30"/>
        </w:rPr>
      </w:pPr>
      <w:r>
        <w:rPr>
          <w:rFonts w:ascii="仿宋" w:hAnsi="仿宋" w:cs="仿宋" w:hint="eastAsia"/>
          <w:b/>
          <w:bCs/>
          <w:sz w:val="30"/>
          <w:szCs w:val="30"/>
        </w:rPr>
        <w:t>5、 技术和服务要求</w:t>
      </w:r>
    </w:p>
    <w:p w14:paraId="40CB9EBC" w14:textId="77777777" w:rsidR="00537501" w:rsidRDefault="00000000">
      <w:pPr>
        <w:adjustRightInd w:val="0"/>
        <w:snapToGrid w:val="0"/>
        <w:spacing w:line="440" w:lineRule="exact"/>
        <w:ind w:firstLine="600"/>
        <w:rPr>
          <w:rFonts w:ascii="仿宋" w:hAnsi="仿宋" w:cs="仿宋" w:hint="eastAsia"/>
          <w:kern w:val="24"/>
          <w:sz w:val="30"/>
          <w:szCs w:val="30"/>
        </w:rPr>
      </w:pPr>
      <w:r>
        <w:rPr>
          <w:rFonts w:ascii="仿宋" w:hAnsi="仿宋" w:cs="仿宋" w:hint="eastAsia"/>
          <w:kern w:val="24"/>
          <w:sz w:val="30"/>
          <w:szCs w:val="30"/>
        </w:rPr>
        <w:t>按照</w:t>
      </w:r>
      <w:r>
        <w:rPr>
          <w:rFonts w:ascii="仿宋" w:hAnsi="仿宋" w:cs="仿宋" w:hint="eastAsia"/>
          <w:sz w:val="30"/>
          <w:szCs w:val="30"/>
        </w:rPr>
        <w:t>数据传输率</w:t>
      </w:r>
      <w:r>
        <w:rPr>
          <w:rFonts w:ascii="仿宋" w:hAnsi="仿宋" w:cs="仿宋" w:hint="eastAsia"/>
          <w:kern w:val="24"/>
          <w:sz w:val="30"/>
          <w:szCs w:val="30"/>
        </w:rPr>
        <w:t>、</w:t>
      </w:r>
      <w:r>
        <w:rPr>
          <w:rFonts w:ascii="仿宋" w:hAnsi="仿宋" w:cs="仿宋" w:hint="eastAsia"/>
          <w:sz w:val="30"/>
          <w:szCs w:val="30"/>
        </w:rPr>
        <w:t>传输有效率</w:t>
      </w:r>
      <w:r>
        <w:rPr>
          <w:rFonts w:ascii="仿宋" w:hAnsi="仿宋" w:cs="仿宋" w:hint="eastAsia"/>
          <w:kern w:val="24"/>
          <w:sz w:val="30"/>
          <w:szCs w:val="30"/>
        </w:rPr>
        <w:t>、异常情况响应率3项指标，进</w:t>
      </w:r>
      <w:r>
        <w:rPr>
          <w:rFonts w:ascii="仿宋" w:hAnsi="仿宋" w:cs="仿宋" w:hint="eastAsia"/>
          <w:kern w:val="24"/>
          <w:sz w:val="30"/>
          <w:szCs w:val="30"/>
        </w:rPr>
        <w:lastRenderedPageBreak/>
        <w:t>行考核和支付费用。</w:t>
      </w:r>
    </w:p>
    <w:p w14:paraId="5E957234" w14:textId="77777777" w:rsidR="00537501" w:rsidRDefault="00000000">
      <w:pPr>
        <w:adjustRightInd w:val="0"/>
        <w:snapToGrid w:val="0"/>
        <w:spacing w:line="440" w:lineRule="exact"/>
        <w:ind w:firstLine="600"/>
        <w:rPr>
          <w:rFonts w:ascii="仿宋" w:hAnsi="仿宋" w:cs="仿宋" w:hint="eastAsia"/>
          <w:kern w:val="24"/>
          <w:sz w:val="30"/>
          <w:szCs w:val="30"/>
        </w:rPr>
      </w:pPr>
      <w:r>
        <w:rPr>
          <w:rFonts w:ascii="仿宋" w:hAnsi="仿宋" w:cs="仿宋" w:hint="eastAsia"/>
          <w:sz w:val="30"/>
          <w:szCs w:val="30"/>
        </w:rPr>
        <w:t>5.1</w:t>
      </w:r>
      <w:r>
        <w:rPr>
          <w:rFonts w:ascii="仿宋" w:hAnsi="仿宋" w:cs="仿宋" w:hint="eastAsia"/>
          <w:kern w:val="24"/>
          <w:sz w:val="30"/>
          <w:szCs w:val="30"/>
        </w:rPr>
        <w:t>运营机构全面负责监控设施的日常维护、维修、校准、运行工作，确保所运营监测设施的正常运转，数据及时、准确、可靠上报。</w:t>
      </w:r>
    </w:p>
    <w:p w14:paraId="264B21EA"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5.2数据有效性最低要求。</w:t>
      </w:r>
    </w:p>
    <w:p w14:paraId="2B60CC80"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（1）自动监控设施运转率应达到98%，传输有效率达到98%以上；</w:t>
      </w:r>
    </w:p>
    <w:p w14:paraId="3B9210B5"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rPr>
        <w:t>（2）季度数据有效性低于97.5%，考核本季度运营服务费200元；低于97.0%，考核本季度运营服务费400元，依此类推。</w:t>
      </w:r>
    </w:p>
    <w:p w14:paraId="6D97D129"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rPr>
      </w:pPr>
      <w:r>
        <w:rPr>
          <w:rFonts w:ascii="仿宋" w:hAnsi="仿宋" w:cs="仿宋" w:hint="eastAsia"/>
          <w:sz w:val="30"/>
          <w:szCs w:val="30"/>
        </w:rPr>
        <w:t>5.3故障排除</w:t>
      </w:r>
    </w:p>
    <w:p w14:paraId="743FF0D3"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shd w:val="clear" w:color="auto" w:fill="FFFFFF"/>
        </w:rPr>
      </w:pPr>
      <w:r>
        <w:rPr>
          <w:rFonts w:ascii="仿宋" w:hAnsi="仿宋" w:cs="仿宋" w:hint="eastAsia"/>
          <w:sz w:val="30"/>
          <w:szCs w:val="30"/>
          <w:shd w:val="clear" w:color="auto" w:fill="FFFFFF"/>
        </w:rPr>
        <w:t>发现故障或接到采购单位等故障报修后，</w:t>
      </w:r>
      <w:r>
        <w:rPr>
          <w:rFonts w:ascii="仿宋" w:hAnsi="仿宋" w:cs="仿宋" w:hint="eastAsia"/>
          <w:sz w:val="30"/>
          <w:szCs w:val="30"/>
        </w:rPr>
        <w:t>中选方专业技术人员应在白天2小时内（夜间，于次日9时前）</w:t>
      </w:r>
      <w:r>
        <w:rPr>
          <w:rFonts w:ascii="仿宋" w:hAnsi="仿宋" w:cs="仿宋" w:hint="eastAsia"/>
          <w:sz w:val="30"/>
          <w:szCs w:val="30"/>
          <w:shd w:val="clear" w:color="auto" w:fill="FFFFFF"/>
        </w:rPr>
        <w:t>到现场进行处理。未及时到达现场，扣除运营服务费100元/次。</w:t>
      </w:r>
    </w:p>
    <w:p w14:paraId="5406D440"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shd w:val="clear" w:color="auto" w:fill="FFFFFF"/>
        </w:rPr>
      </w:pPr>
      <w:r>
        <w:rPr>
          <w:rFonts w:ascii="仿宋" w:hAnsi="仿宋" w:cs="仿宋" w:hint="eastAsia"/>
          <w:sz w:val="30"/>
          <w:szCs w:val="30"/>
          <w:shd w:val="clear" w:color="auto" w:fill="FFFFFF"/>
        </w:rPr>
        <w:t>6、履约条款</w:t>
      </w:r>
    </w:p>
    <w:p w14:paraId="25096FFF"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shd w:val="clear" w:color="auto" w:fill="FFFFFF"/>
        </w:rPr>
      </w:pPr>
      <w:r>
        <w:rPr>
          <w:rFonts w:ascii="仿宋" w:hAnsi="仿宋" w:cs="仿宋" w:hint="eastAsia"/>
          <w:sz w:val="30"/>
          <w:szCs w:val="30"/>
          <w:shd w:val="clear" w:color="auto" w:fill="FFFFFF"/>
        </w:rPr>
        <w:t>中选方如出现以下情形，则判定中选方为不合格运营单位，采购方可单方终止合同并拒付当期运营服务费。</w:t>
      </w:r>
    </w:p>
    <w:p w14:paraId="761A4DD2"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shd w:val="clear" w:color="auto" w:fill="FFFFFF"/>
        </w:rPr>
      </w:pPr>
      <w:r>
        <w:rPr>
          <w:rFonts w:ascii="仿宋" w:hAnsi="仿宋" w:cs="仿宋" w:hint="eastAsia"/>
          <w:sz w:val="30"/>
          <w:szCs w:val="30"/>
          <w:shd w:val="clear" w:color="auto" w:fill="FFFFFF"/>
        </w:rPr>
        <w:t>6.1</w:t>
      </w:r>
      <w:r>
        <w:rPr>
          <w:rFonts w:ascii="仿宋" w:hAnsi="仿宋" w:cs="仿宋" w:hint="eastAsia"/>
          <w:sz w:val="30"/>
          <w:szCs w:val="30"/>
        </w:rPr>
        <w:t>对于一些容易诊断的故障未能当天完成维修，对不容易诊断和维修的故障，7个工作日内不能修复。</w:t>
      </w:r>
    </w:p>
    <w:p w14:paraId="6A28565D" w14:textId="77777777" w:rsidR="00537501" w:rsidRDefault="00000000">
      <w:pPr>
        <w:pStyle w:val="20"/>
        <w:adjustRightInd w:val="0"/>
        <w:snapToGrid w:val="0"/>
        <w:spacing w:after="0" w:line="440" w:lineRule="exact"/>
        <w:ind w:leftChars="0" w:left="0" w:right="11" w:firstLine="600"/>
        <w:rPr>
          <w:rFonts w:ascii="仿宋" w:hAnsi="仿宋" w:cs="仿宋" w:hint="eastAsia"/>
          <w:sz w:val="30"/>
          <w:szCs w:val="30"/>
          <w:shd w:val="clear" w:color="auto" w:fill="FFFFFF"/>
        </w:rPr>
      </w:pPr>
      <w:r>
        <w:rPr>
          <w:rFonts w:ascii="仿宋" w:hAnsi="仿宋" w:cs="仿宋" w:hint="eastAsia"/>
          <w:sz w:val="30"/>
          <w:szCs w:val="30"/>
          <w:shd w:val="clear" w:color="auto" w:fill="FFFFFF"/>
        </w:rPr>
        <w:t>6.2发现故障或接到采购方故障报修后，中选方一个月内3次及以上未能按上述约定时间【</w:t>
      </w:r>
      <w:r>
        <w:rPr>
          <w:rFonts w:ascii="仿宋" w:hAnsi="仿宋" w:cs="仿宋" w:hint="eastAsia"/>
          <w:sz w:val="30"/>
          <w:szCs w:val="30"/>
        </w:rPr>
        <w:t>白天2小时内；夜间，于次日9时前】</w:t>
      </w:r>
      <w:r>
        <w:rPr>
          <w:rFonts w:ascii="仿宋" w:hAnsi="仿宋" w:cs="仿宋" w:hint="eastAsia"/>
          <w:sz w:val="30"/>
          <w:szCs w:val="30"/>
          <w:shd w:val="clear" w:color="auto" w:fill="FFFFFF"/>
        </w:rPr>
        <w:t>到现场进行处理。</w:t>
      </w:r>
    </w:p>
    <w:p w14:paraId="28862F57" w14:textId="77777777" w:rsidR="00537501" w:rsidRDefault="00000000">
      <w:pPr>
        <w:adjustRightInd w:val="0"/>
        <w:snapToGrid w:val="0"/>
        <w:spacing w:line="440" w:lineRule="exact"/>
        <w:ind w:firstLine="600"/>
        <w:rPr>
          <w:rFonts w:ascii="仿宋" w:hAnsi="仿宋" w:cs="仿宋" w:hint="eastAsia"/>
          <w:sz w:val="30"/>
          <w:szCs w:val="30"/>
        </w:rPr>
      </w:pPr>
      <w:r>
        <w:rPr>
          <w:rFonts w:ascii="仿宋" w:hAnsi="仿宋" w:cs="仿宋" w:hint="eastAsia"/>
          <w:sz w:val="30"/>
          <w:szCs w:val="30"/>
          <w:shd w:val="clear" w:color="auto" w:fill="FFFFFF"/>
        </w:rPr>
        <w:t>6.3</w:t>
      </w:r>
      <w:r>
        <w:rPr>
          <w:rFonts w:ascii="仿宋" w:hAnsi="仿宋" w:cs="仿宋" w:hint="eastAsia"/>
          <w:sz w:val="30"/>
          <w:szCs w:val="30"/>
        </w:rPr>
        <w:t>数据有效性不达标，自动监控设施运转率低于90%或数据传输率低于90%。</w:t>
      </w:r>
    </w:p>
    <w:p w14:paraId="3ED2D241" w14:textId="77777777" w:rsidR="00537501" w:rsidRDefault="00537501">
      <w:pPr>
        <w:pStyle w:val="22"/>
        <w:rPr>
          <w:rFonts w:hint="eastAsia"/>
        </w:rPr>
      </w:pPr>
    </w:p>
    <w:p w14:paraId="38D8E38D" w14:textId="77777777" w:rsidR="00537501" w:rsidRDefault="00537501">
      <w:pPr>
        <w:tabs>
          <w:tab w:val="left" w:pos="2565"/>
        </w:tabs>
        <w:spacing w:line="560" w:lineRule="exact"/>
        <w:ind w:firstLine="680"/>
        <w:rPr>
          <w:rFonts w:ascii="黑体" w:eastAsia="黑体" w:hAnsi="黑体" w:cs="黑体" w:hint="eastAsia"/>
          <w:bCs/>
          <w:kern w:val="0"/>
          <w:sz w:val="34"/>
          <w:szCs w:val="34"/>
        </w:rPr>
      </w:pPr>
    </w:p>
    <w:p w14:paraId="739E6D30" w14:textId="77777777" w:rsidR="00537501" w:rsidRDefault="00537501">
      <w:pPr>
        <w:tabs>
          <w:tab w:val="left" w:pos="2565"/>
        </w:tabs>
        <w:spacing w:line="560" w:lineRule="exact"/>
        <w:ind w:firstLine="680"/>
        <w:rPr>
          <w:rFonts w:ascii="黑体" w:eastAsia="黑体" w:hAnsi="黑体" w:cs="黑体" w:hint="eastAsia"/>
          <w:bCs/>
          <w:kern w:val="0"/>
          <w:sz w:val="34"/>
          <w:szCs w:val="34"/>
        </w:rPr>
      </w:pPr>
    </w:p>
    <w:p w14:paraId="1FCFC9E5" w14:textId="77777777" w:rsidR="00537501" w:rsidRDefault="00537501">
      <w:pPr>
        <w:tabs>
          <w:tab w:val="left" w:pos="2565"/>
        </w:tabs>
        <w:spacing w:line="560" w:lineRule="exact"/>
        <w:ind w:firstLine="680"/>
        <w:rPr>
          <w:rFonts w:ascii="黑体" w:eastAsia="黑体" w:hAnsi="黑体" w:cs="黑体" w:hint="eastAsia"/>
          <w:bCs/>
          <w:kern w:val="0"/>
          <w:sz w:val="34"/>
          <w:szCs w:val="34"/>
        </w:rPr>
      </w:pPr>
    </w:p>
    <w:p w14:paraId="0181089F" w14:textId="77777777" w:rsidR="00537501" w:rsidRDefault="00537501">
      <w:pPr>
        <w:tabs>
          <w:tab w:val="left" w:pos="2565"/>
        </w:tabs>
        <w:spacing w:line="560" w:lineRule="exact"/>
        <w:ind w:firstLineChars="0" w:firstLine="0"/>
        <w:rPr>
          <w:rFonts w:ascii="黑体" w:eastAsia="黑体" w:hAnsi="黑体" w:cs="黑体" w:hint="eastAsia"/>
          <w:bCs/>
          <w:kern w:val="0"/>
          <w:sz w:val="34"/>
          <w:szCs w:val="34"/>
        </w:rPr>
      </w:pPr>
    </w:p>
    <w:p w14:paraId="4E34789A" w14:textId="77777777" w:rsidR="00537501" w:rsidRDefault="00000000">
      <w:pPr>
        <w:tabs>
          <w:tab w:val="left" w:pos="2565"/>
        </w:tabs>
        <w:spacing w:line="560" w:lineRule="exact"/>
        <w:ind w:firstLine="680"/>
        <w:rPr>
          <w:rFonts w:ascii="黑体" w:eastAsia="黑体" w:hAnsi="黑体" w:cs="黑体" w:hint="eastAsia"/>
          <w:bCs/>
          <w:kern w:val="0"/>
          <w:sz w:val="34"/>
          <w:szCs w:val="34"/>
        </w:rPr>
      </w:pPr>
      <w:r>
        <w:rPr>
          <w:rFonts w:ascii="黑体" w:eastAsia="黑体" w:hAnsi="黑体" w:cs="黑体" w:hint="eastAsia"/>
          <w:bCs/>
          <w:kern w:val="0"/>
          <w:sz w:val="34"/>
          <w:szCs w:val="34"/>
        </w:rPr>
        <w:lastRenderedPageBreak/>
        <w:t>附件3</w:t>
      </w:r>
    </w:p>
    <w:p w14:paraId="4E0398AB" w14:textId="77777777" w:rsidR="00537501" w:rsidRDefault="00000000">
      <w:pPr>
        <w:tabs>
          <w:tab w:val="left" w:pos="2565"/>
        </w:tabs>
        <w:spacing w:line="560" w:lineRule="exact"/>
        <w:ind w:firstLine="880"/>
        <w:jc w:val="center"/>
        <w:rPr>
          <w:rFonts w:ascii="方正小标宋简体" w:eastAsia="方正小标宋简体" w:hAnsi="方正小标宋简体" w:cs="方正小标宋简体" w:hint="eastAsia"/>
          <w:bCs/>
          <w:kern w:val="0"/>
          <w:sz w:val="44"/>
          <w:szCs w:val="44"/>
        </w:rPr>
      </w:pPr>
      <w:r>
        <w:rPr>
          <w:rFonts w:ascii="方正小标宋简体" w:eastAsia="方正小标宋简体" w:hAnsi="方正小标宋简体" w:cs="方正小标宋简体" w:hint="eastAsia"/>
          <w:bCs/>
          <w:kern w:val="0"/>
          <w:sz w:val="44"/>
          <w:szCs w:val="44"/>
        </w:rPr>
        <w:t>索普集团供应商负面清单管理规定</w:t>
      </w:r>
    </w:p>
    <w:p w14:paraId="7B04AC90" w14:textId="77777777" w:rsidR="00537501" w:rsidRDefault="00000000">
      <w:pPr>
        <w:tabs>
          <w:tab w:val="left" w:pos="2565"/>
        </w:tabs>
        <w:spacing w:line="560" w:lineRule="exact"/>
        <w:ind w:firstLine="880"/>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（2025年修订版）</w:t>
      </w:r>
    </w:p>
    <w:p w14:paraId="7D5D0559" w14:textId="77777777" w:rsidR="00537501" w:rsidRDefault="00537501">
      <w:pPr>
        <w:widowControl/>
        <w:tabs>
          <w:tab w:val="left" w:pos="2565"/>
        </w:tabs>
        <w:adjustRightInd w:val="0"/>
        <w:snapToGrid w:val="0"/>
        <w:spacing w:line="560" w:lineRule="exact"/>
        <w:ind w:firstLine="680"/>
        <w:rPr>
          <w:rFonts w:ascii="黑体" w:eastAsia="黑体" w:hAnsi="黑体" w:hint="eastAsia"/>
          <w:bCs/>
          <w:sz w:val="34"/>
          <w:szCs w:val="34"/>
        </w:rPr>
      </w:pPr>
    </w:p>
    <w:p w14:paraId="74A31D0B" w14:textId="77777777" w:rsidR="00537501" w:rsidRDefault="00000000">
      <w:pPr>
        <w:widowControl/>
        <w:tabs>
          <w:tab w:val="left" w:pos="2565"/>
        </w:tabs>
        <w:adjustRightInd w:val="0"/>
        <w:snapToGrid w:val="0"/>
        <w:spacing w:line="600" w:lineRule="exact"/>
        <w:ind w:firstLine="680"/>
        <w:jc w:val="center"/>
        <w:rPr>
          <w:rFonts w:ascii="仿宋_GB2312" w:eastAsia="黑体" w:hAnsi="仿宋" w:hint="eastAsia"/>
          <w:bCs/>
          <w:sz w:val="34"/>
          <w:szCs w:val="34"/>
        </w:rPr>
      </w:pPr>
      <w:r>
        <w:rPr>
          <w:rFonts w:ascii="黑体" w:eastAsia="黑体" w:hAnsi="黑体" w:hint="eastAsia"/>
          <w:bCs/>
          <w:sz w:val="34"/>
          <w:szCs w:val="34"/>
        </w:rPr>
        <w:t>第一章 总则</w:t>
      </w:r>
    </w:p>
    <w:p w14:paraId="309E16A0" w14:textId="77777777" w:rsidR="00537501" w:rsidRDefault="00000000">
      <w:pPr>
        <w:widowControl/>
        <w:tabs>
          <w:tab w:val="left" w:pos="2565"/>
        </w:tabs>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楷体" w:hint="eastAsia"/>
          <w:b/>
          <w:sz w:val="34"/>
          <w:szCs w:val="34"/>
        </w:rPr>
        <w:t>第一条</w:t>
      </w:r>
      <w:r>
        <w:rPr>
          <w:rFonts w:ascii="仿宋_GB2312" w:eastAsia="仿宋_GB2312" w:hAnsi="楷体" w:hint="eastAsia"/>
          <w:bCs/>
          <w:sz w:val="34"/>
          <w:szCs w:val="34"/>
        </w:rPr>
        <w:t xml:space="preserve"> 凡按国家标准及相关准则或规定组织生产销售的产品供应商及承包商，证照齐全且资质满足公司采购要求的，均可参与公司组织的公开采购商务活动。</w:t>
      </w:r>
    </w:p>
    <w:p w14:paraId="3BD6B3B2" w14:textId="77777777" w:rsidR="00537501" w:rsidRDefault="00000000">
      <w:pPr>
        <w:widowControl/>
        <w:tabs>
          <w:tab w:val="left" w:pos="2565"/>
        </w:tabs>
        <w:adjustRightInd w:val="0"/>
        <w:snapToGrid w:val="0"/>
        <w:spacing w:line="600" w:lineRule="exact"/>
        <w:ind w:firstLine="683"/>
        <w:jc w:val="left"/>
        <w:rPr>
          <w:rFonts w:ascii="黑体" w:eastAsia="黑体" w:hAnsi="黑体" w:hint="eastAsia"/>
          <w:bCs/>
          <w:sz w:val="34"/>
          <w:szCs w:val="34"/>
        </w:rPr>
      </w:pPr>
      <w:r>
        <w:rPr>
          <w:rFonts w:ascii="仿宋_GB2312" w:eastAsia="仿宋_GB2312" w:hAnsi="楷体" w:hint="eastAsia"/>
          <w:b/>
          <w:sz w:val="34"/>
          <w:szCs w:val="34"/>
        </w:rPr>
        <w:t>第二条</w:t>
      </w:r>
      <w:r>
        <w:rPr>
          <w:rFonts w:ascii="仿宋_GB2312" w:eastAsia="仿宋_GB2312" w:hAnsi="楷体" w:hint="eastAsia"/>
          <w:bCs/>
          <w:sz w:val="34"/>
          <w:szCs w:val="34"/>
        </w:rPr>
        <w:t xml:space="preserve"> </w:t>
      </w:r>
      <w:r>
        <w:rPr>
          <w:rFonts w:eastAsia="仿宋_GB2312" w:hint="eastAsia"/>
          <w:bCs/>
          <w:sz w:val="34"/>
          <w:szCs w:val="34"/>
        </w:rPr>
        <w:t>本制度适用于索普集团本部各部门，同时也对各直属单位有明确的指导和约束作用。</w:t>
      </w:r>
      <w:r>
        <w:rPr>
          <w:rFonts w:ascii="黑体" w:eastAsia="黑体" w:hAnsi="黑体" w:hint="eastAsia"/>
          <w:bCs/>
          <w:sz w:val="34"/>
          <w:szCs w:val="34"/>
        </w:rPr>
        <w:t xml:space="preserve"> </w:t>
      </w:r>
    </w:p>
    <w:p w14:paraId="36B876A7" w14:textId="77777777" w:rsidR="00537501" w:rsidRDefault="00000000">
      <w:pPr>
        <w:widowControl/>
        <w:tabs>
          <w:tab w:val="left" w:pos="2565"/>
        </w:tabs>
        <w:adjustRightInd w:val="0"/>
        <w:snapToGrid w:val="0"/>
        <w:spacing w:line="600" w:lineRule="exact"/>
        <w:ind w:firstLine="683"/>
        <w:rPr>
          <w:rFonts w:ascii="Segoe UI" w:eastAsia="Segoe UI" w:hAnsi="Segoe UI" w:cs="Segoe UI"/>
          <w:sz w:val="22"/>
          <w:szCs w:val="22"/>
          <w:shd w:val="clear" w:color="auto" w:fill="FDFDFE"/>
        </w:rPr>
      </w:pPr>
      <w:r>
        <w:rPr>
          <w:rFonts w:ascii="仿宋_GB2312" w:eastAsia="仿宋_GB2312" w:hAnsi="楷体" w:hint="eastAsia"/>
          <w:b/>
          <w:sz w:val="34"/>
          <w:szCs w:val="34"/>
        </w:rPr>
        <w:t xml:space="preserve">第三条 </w:t>
      </w:r>
      <w:r>
        <w:rPr>
          <w:rFonts w:ascii="黑体" w:eastAsia="黑体" w:hAnsi="黑体" w:hint="eastAsia"/>
          <w:bCs/>
          <w:sz w:val="34"/>
          <w:szCs w:val="34"/>
        </w:rPr>
        <w:t xml:space="preserve"> </w:t>
      </w:r>
      <w:r>
        <w:rPr>
          <w:rFonts w:ascii="仿宋_GB2312" w:eastAsia="仿宋_GB2312" w:hAnsi="仿宋" w:hint="eastAsia"/>
          <w:bCs/>
          <w:sz w:val="34"/>
          <w:szCs w:val="34"/>
        </w:rPr>
        <w:t>集团供应商负面清单管理采取共享机制，由全集团共同参与构建并统一使用，确保全集团采购活动中负面清单供应商范围一致。</w:t>
      </w:r>
    </w:p>
    <w:p w14:paraId="5DACA6FA" w14:textId="77777777" w:rsidR="00537501" w:rsidRDefault="00000000">
      <w:pPr>
        <w:widowControl/>
        <w:tabs>
          <w:tab w:val="left" w:pos="2565"/>
        </w:tabs>
        <w:adjustRightInd w:val="0"/>
        <w:snapToGrid w:val="0"/>
        <w:spacing w:line="600" w:lineRule="exact"/>
        <w:ind w:firstLine="680"/>
        <w:jc w:val="center"/>
        <w:rPr>
          <w:rFonts w:ascii="仿宋_GB2312" w:eastAsia="仿宋_GB2312" w:hAnsi="仿宋" w:hint="eastAsia"/>
          <w:bCs/>
          <w:sz w:val="34"/>
          <w:szCs w:val="34"/>
        </w:rPr>
      </w:pPr>
      <w:r>
        <w:rPr>
          <w:rFonts w:ascii="黑体" w:eastAsia="黑体" w:hAnsi="黑体" w:hint="eastAsia"/>
          <w:bCs/>
          <w:sz w:val="34"/>
          <w:szCs w:val="34"/>
        </w:rPr>
        <w:t>第二章 管理职责</w:t>
      </w:r>
    </w:p>
    <w:p w14:paraId="438EBB82" w14:textId="77777777" w:rsidR="00537501" w:rsidRDefault="00000000">
      <w:pPr>
        <w:widowControl/>
        <w:tabs>
          <w:tab w:val="left" w:pos="2565"/>
        </w:tabs>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楷体" w:hint="eastAsia"/>
          <w:b/>
          <w:sz w:val="34"/>
          <w:szCs w:val="34"/>
        </w:rPr>
        <w:t>第四条</w:t>
      </w:r>
      <w:r>
        <w:rPr>
          <w:rFonts w:ascii="仿宋_GB2312" w:eastAsia="仿宋_GB2312" w:hAnsi="仿宋" w:hint="eastAsia"/>
          <w:bCs/>
          <w:sz w:val="34"/>
          <w:szCs w:val="34"/>
        </w:rPr>
        <w:t xml:space="preserve">  集团本部及各单位拥有对负面清单供应商进行考核评价及解除的权限，负面清单供应商的增减变动须报集团商务合作部公示后生效执行。</w:t>
      </w:r>
    </w:p>
    <w:p w14:paraId="55BC3946" w14:textId="77777777" w:rsidR="00537501" w:rsidRDefault="00000000">
      <w:pPr>
        <w:tabs>
          <w:tab w:val="left" w:pos="2565"/>
        </w:tabs>
        <w:adjustRightInd w:val="0"/>
        <w:snapToGrid w:val="0"/>
        <w:spacing w:line="600" w:lineRule="exact"/>
        <w:ind w:firstLine="683"/>
        <w:rPr>
          <w:rFonts w:ascii="仿宋" w:hAnsi="仿宋" w:hint="eastAsia"/>
          <w:bCs/>
          <w:sz w:val="34"/>
          <w:szCs w:val="34"/>
        </w:rPr>
      </w:pPr>
      <w:r>
        <w:rPr>
          <w:rFonts w:ascii="仿宋_GB2312" w:eastAsia="仿宋_GB2312" w:hAnsi="楷体" w:hint="eastAsia"/>
          <w:b/>
          <w:sz w:val="34"/>
          <w:szCs w:val="34"/>
        </w:rPr>
        <w:t xml:space="preserve">第五条 </w:t>
      </w:r>
      <w:r>
        <w:rPr>
          <w:rFonts w:ascii="仿宋_GB2312" w:eastAsia="仿宋_GB2312" w:hAnsi="仿宋" w:hint="eastAsia"/>
          <w:bCs/>
          <w:sz w:val="34"/>
          <w:szCs w:val="34"/>
        </w:rPr>
        <w:t xml:space="preserve"> 集团本部的负面清单管理工作由集团商务合作部直接负责，集团各部门在采购、合同履约、物资使用等环节中产生的供应商考核意见，须实时报送集团商务合作部汇总管理，确保清单动态更新与信息共享。</w:t>
      </w:r>
    </w:p>
    <w:p w14:paraId="30EE2479" w14:textId="77777777" w:rsidR="00537501" w:rsidRDefault="00000000">
      <w:pPr>
        <w:spacing w:line="600" w:lineRule="exact"/>
        <w:ind w:firstLineChars="0" w:firstLine="0"/>
        <w:jc w:val="center"/>
        <w:rPr>
          <w:rFonts w:ascii="黑体" w:eastAsia="黑体" w:hAnsi="黑体" w:hint="eastAsia"/>
          <w:bCs/>
          <w:sz w:val="34"/>
          <w:szCs w:val="34"/>
        </w:rPr>
      </w:pPr>
      <w:r>
        <w:rPr>
          <w:rFonts w:ascii="黑体" w:eastAsia="黑体" w:hAnsi="黑体" w:hint="eastAsia"/>
          <w:bCs/>
          <w:sz w:val="34"/>
          <w:szCs w:val="34"/>
        </w:rPr>
        <w:t>第三章　供应商分级管理</w:t>
      </w:r>
    </w:p>
    <w:p w14:paraId="3AF9FAF7" w14:textId="77777777" w:rsidR="00537501" w:rsidRDefault="00000000">
      <w:pPr>
        <w:widowControl/>
        <w:tabs>
          <w:tab w:val="left" w:pos="2565"/>
        </w:tabs>
        <w:adjustRightInd w:val="0"/>
        <w:snapToGrid w:val="0"/>
        <w:spacing w:line="600" w:lineRule="exact"/>
        <w:ind w:firstLine="683"/>
        <w:rPr>
          <w:rFonts w:ascii="仿宋_GB2312" w:eastAsia="仿宋_GB2312" w:hAnsi="楷体" w:hint="eastAsia"/>
          <w:bCs/>
          <w:sz w:val="34"/>
          <w:szCs w:val="34"/>
        </w:rPr>
      </w:pPr>
      <w:r>
        <w:rPr>
          <w:rFonts w:ascii="仿宋_GB2312" w:eastAsia="仿宋_GB2312" w:hAnsi="楷体" w:hint="eastAsia"/>
          <w:b/>
          <w:sz w:val="34"/>
          <w:szCs w:val="34"/>
        </w:rPr>
        <w:lastRenderedPageBreak/>
        <w:t xml:space="preserve">第六条  </w:t>
      </w:r>
      <w:r>
        <w:rPr>
          <w:rFonts w:ascii="仿宋_GB2312" w:eastAsia="仿宋_GB2312" w:hAnsi="楷体" w:hint="eastAsia"/>
          <w:bCs/>
          <w:sz w:val="34"/>
          <w:szCs w:val="34"/>
        </w:rPr>
        <w:t>根据考核扣分及违规严重性，将供应商分为以下三类管理：</w:t>
      </w:r>
    </w:p>
    <w:p w14:paraId="231DBABC"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（一）合格供应商</w:t>
      </w:r>
    </w:p>
    <w:p w14:paraId="46919271"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1.考核标准：滚动周期扣分（一年内）＜10分。</w:t>
      </w:r>
    </w:p>
    <w:p w14:paraId="59ABD237"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2.管理措施：可正常参与公司公开采购及合作，扣分自首次扣除满一年自动清零。</w:t>
      </w:r>
    </w:p>
    <w:p w14:paraId="2FAC67AA"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（二）暂停合作供应商</w:t>
      </w:r>
    </w:p>
    <w:p w14:paraId="0411BCE1"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1.考核标准：同一</w:t>
      </w:r>
      <w:r>
        <w:rPr>
          <w:rFonts w:ascii="仿宋_GB2312" w:eastAsia="仿宋_GB2312" w:hAnsi="仿宋" w:hint="eastAsia"/>
          <w:bCs/>
          <w:sz w:val="34"/>
          <w:szCs w:val="34"/>
        </w:rPr>
        <w:t>单位对同一供应商一年内的考核扣分累计</w:t>
      </w:r>
      <w:r>
        <w:rPr>
          <w:rFonts w:ascii="仿宋_GB2312" w:eastAsia="仿宋_GB2312" w:hAnsi="楷体" w:hint="eastAsia"/>
          <w:bCs/>
          <w:sz w:val="34"/>
          <w:szCs w:val="34"/>
        </w:rPr>
        <w:t>≥10分；</w:t>
      </w:r>
      <w:r>
        <w:rPr>
          <w:rFonts w:ascii="仿宋_GB2312" w:eastAsia="仿宋_GB2312" w:hAnsi="仿宋" w:hint="eastAsia"/>
          <w:bCs/>
          <w:sz w:val="34"/>
          <w:szCs w:val="34"/>
        </w:rPr>
        <w:t>不同单位对同一供应商一年内的考核扣分累计</w:t>
      </w:r>
      <w:r>
        <w:rPr>
          <w:rFonts w:ascii="仿宋_GB2312" w:eastAsia="仿宋_GB2312" w:hAnsi="楷体" w:hint="eastAsia"/>
          <w:bCs/>
          <w:sz w:val="34"/>
          <w:szCs w:val="34"/>
        </w:rPr>
        <w:t>≥15分。</w:t>
      </w:r>
    </w:p>
    <w:p w14:paraId="3787A83B" w14:textId="77777777" w:rsidR="00537501" w:rsidRDefault="00000000">
      <w:pPr>
        <w:widowControl/>
        <w:tabs>
          <w:tab w:val="left" w:pos="2565"/>
        </w:tabs>
        <w:adjustRightInd w:val="0"/>
        <w:snapToGrid w:val="0"/>
        <w:spacing w:line="600" w:lineRule="exact"/>
        <w:ind w:firstLine="680"/>
      </w:pPr>
      <w:r>
        <w:rPr>
          <w:rFonts w:ascii="仿宋_GB2312" w:eastAsia="仿宋_GB2312" w:hAnsi="楷体" w:hint="eastAsia"/>
          <w:bCs/>
          <w:sz w:val="34"/>
          <w:szCs w:val="34"/>
        </w:rPr>
        <w:t>2.管理措施：一年内停止与其产生新的合作。建立到期提示机制，到期前一个月内考核部门应主动告知相应供应商，并同步开放整改材料提交通道。</w:t>
      </w:r>
    </w:p>
    <w:p w14:paraId="6A4DA484"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3.评审优先级：在采购评审过程中，同等情况下应优先选择未曾被列入暂停合作供应商清单的供应商。</w:t>
      </w:r>
    </w:p>
    <w:p w14:paraId="3FAD47ED"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（三）禁止合作供应商</w:t>
      </w:r>
    </w:p>
    <w:p w14:paraId="75AD1F1E"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1.考核标准：供应商发生以下恶意行为的，将直接列入禁止合作供应商清单：</w:t>
      </w:r>
    </w:p>
    <w:p w14:paraId="0D8FC1CE"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（1）主观恶意且对公司生产经营活动造成重大损害的；</w:t>
      </w:r>
    </w:p>
    <w:p w14:paraId="5F0AB1B5" w14:textId="77777777" w:rsidR="00537501" w:rsidRDefault="00000000">
      <w:pPr>
        <w:widowControl/>
        <w:tabs>
          <w:tab w:val="left" w:pos="2565"/>
        </w:tabs>
        <w:adjustRightInd w:val="0"/>
        <w:snapToGrid w:val="0"/>
        <w:spacing w:line="600" w:lineRule="exact"/>
        <w:ind w:firstLine="680"/>
        <w:rPr>
          <w:rFonts w:ascii="仿宋_GB2312" w:eastAsia="仿宋_GB2312" w:hAnsi="仿宋" w:hint="eastAsia"/>
          <w:bCs/>
          <w:sz w:val="34"/>
          <w:szCs w:val="34"/>
        </w:rPr>
      </w:pPr>
      <w:r>
        <w:rPr>
          <w:rFonts w:ascii="仿宋_GB2312" w:eastAsia="仿宋_GB2312" w:hAnsi="楷体" w:hint="eastAsia"/>
          <w:bCs/>
          <w:sz w:val="34"/>
          <w:szCs w:val="34"/>
        </w:rPr>
        <w:t>（2）</w:t>
      </w:r>
      <w:r>
        <w:rPr>
          <w:rFonts w:ascii="仿宋_GB2312" w:eastAsia="仿宋_GB2312" w:hAnsi="仿宋" w:hint="eastAsia"/>
          <w:bCs/>
          <w:sz w:val="34"/>
          <w:szCs w:val="34"/>
        </w:rPr>
        <w:t>恶意法律诉讼起诉我公司最终被法院裁定为败诉的；</w:t>
      </w:r>
    </w:p>
    <w:p w14:paraId="38505D99" w14:textId="77777777" w:rsidR="00537501" w:rsidRDefault="00000000">
      <w:pPr>
        <w:widowControl/>
        <w:adjustRightInd w:val="0"/>
        <w:snapToGrid w:val="0"/>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（3）</w:t>
      </w:r>
      <w:r>
        <w:rPr>
          <w:rFonts w:ascii="仿宋_GB2312" w:eastAsia="仿宋_GB2312" w:hAnsi="楷体" w:hint="eastAsia"/>
          <w:bCs/>
          <w:sz w:val="34"/>
          <w:szCs w:val="34"/>
        </w:rPr>
        <w:t>两次列入暂停合作供应商的；</w:t>
      </w:r>
    </w:p>
    <w:p w14:paraId="7E237F2F"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lastRenderedPageBreak/>
        <w:t>（4）</w:t>
      </w:r>
      <w:r>
        <w:rPr>
          <w:rFonts w:ascii="仿宋_GB2312" w:eastAsia="仿宋_GB2312" w:hAnsi="仿宋" w:hint="eastAsia"/>
          <w:bCs/>
          <w:sz w:val="34"/>
          <w:szCs w:val="34"/>
        </w:rPr>
        <w:t>违反廉政协议，滋生腐败现象的；</w:t>
      </w:r>
    </w:p>
    <w:p w14:paraId="32D32EA7" w14:textId="77777777" w:rsidR="00537501" w:rsidRDefault="00000000">
      <w:pPr>
        <w:pStyle w:val="2"/>
        <w:widowControl/>
        <w:autoSpaceDE/>
        <w:autoSpaceDN/>
        <w:adjustRightInd w:val="0"/>
        <w:snapToGrid w:val="0"/>
        <w:spacing w:line="600" w:lineRule="exact"/>
        <w:ind w:firstLineChars="200" w:firstLine="680"/>
      </w:pPr>
      <w:r>
        <w:rPr>
          <w:rFonts w:ascii="仿宋_GB2312" w:eastAsia="仿宋_GB2312" w:hAnsi="楷体" w:cs="Times New Roman" w:hint="eastAsia"/>
          <w:b w:val="0"/>
          <w:sz w:val="34"/>
          <w:szCs w:val="34"/>
        </w:rPr>
        <w:t>（5）存在其他严重侵害公司利益行为的。</w:t>
      </w:r>
    </w:p>
    <w:p w14:paraId="6AB18AD1" w14:textId="77777777" w:rsidR="00537501" w:rsidRDefault="00000000">
      <w:pPr>
        <w:widowControl/>
        <w:tabs>
          <w:tab w:val="left" w:pos="2565"/>
        </w:tabs>
        <w:adjustRightInd w:val="0"/>
        <w:snapToGrid w:val="0"/>
        <w:spacing w:line="600" w:lineRule="exact"/>
        <w:ind w:firstLine="680"/>
        <w:rPr>
          <w:rFonts w:ascii="仿宋_GB2312" w:eastAsia="仿宋_GB2312" w:hAnsi="楷体" w:hint="eastAsia"/>
          <w:bCs/>
          <w:sz w:val="34"/>
          <w:szCs w:val="34"/>
        </w:rPr>
      </w:pPr>
      <w:r>
        <w:rPr>
          <w:rFonts w:ascii="仿宋_GB2312" w:eastAsia="仿宋_GB2312" w:hAnsi="楷体" w:hint="eastAsia"/>
          <w:bCs/>
          <w:sz w:val="34"/>
          <w:szCs w:val="34"/>
        </w:rPr>
        <w:t>2.管理措施：原则上永久禁止合作。</w:t>
      </w:r>
    </w:p>
    <w:p w14:paraId="38275F13" w14:textId="77777777" w:rsidR="00537501" w:rsidRDefault="00000000">
      <w:pPr>
        <w:widowControl/>
        <w:spacing w:line="600" w:lineRule="exact"/>
        <w:ind w:firstLineChars="0" w:firstLine="0"/>
        <w:jc w:val="center"/>
        <w:rPr>
          <w:rFonts w:ascii="黑体" w:eastAsia="黑体" w:hAnsi="黑体" w:hint="eastAsia"/>
          <w:bCs/>
          <w:sz w:val="34"/>
          <w:szCs w:val="34"/>
        </w:rPr>
      </w:pPr>
      <w:r>
        <w:rPr>
          <w:rFonts w:ascii="黑体" w:eastAsia="黑体" w:hAnsi="黑体" w:hint="eastAsia"/>
          <w:bCs/>
          <w:sz w:val="34"/>
          <w:szCs w:val="34"/>
        </w:rPr>
        <w:t>第四章 积分考核细则</w:t>
      </w:r>
    </w:p>
    <w:p w14:paraId="59772C00" w14:textId="77777777" w:rsidR="00537501" w:rsidRDefault="00000000">
      <w:pPr>
        <w:widowControl/>
        <w:spacing w:line="600" w:lineRule="exact"/>
        <w:ind w:firstLine="683"/>
        <w:rPr>
          <w:rFonts w:ascii="仿宋_GB2312" w:eastAsia="仿宋_GB2312" w:hAnsi="楷体" w:hint="eastAsia"/>
          <w:bCs/>
          <w:sz w:val="34"/>
          <w:szCs w:val="34"/>
        </w:rPr>
      </w:pPr>
      <w:r>
        <w:rPr>
          <w:rFonts w:ascii="仿宋_GB2312" w:eastAsia="仿宋_GB2312" w:hAnsi="楷体" w:hint="eastAsia"/>
          <w:b/>
          <w:sz w:val="34"/>
          <w:szCs w:val="34"/>
        </w:rPr>
        <w:t xml:space="preserve">第七条 </w:t>
      </w:r>
      <w:r>
        <w:rPr>
          <w:rFonts w:ascii="仿宋_GB2312" w:eastAsia="仿宋_GB2312" w:hAnsi="楷体" w:hint="eastAsia"/>
          <w:bCs/>
          <w:sz w:val="34"/>
          <w:szCs w:val="34"/>
        </w:rPr>
        <w:t>供应商的积分考核主要包括供货质量、交货周期、售后服务、资质信誉等方面，每项各10分，各相关部门均可提出书面考核意见。商务合作部负责对各相关部门提出的考核意见进行收集汇总，并及时公示。</w:t>
      </w:r>
    </w:p>
    <w:p w14:paraId="4BDFDC82"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（一）质量方面</w:t>
      </w:r>
    </w:p>
    <w:p w14:paraId="661B3F44"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1.所供产品出现质量问题，未对公司造成影响，单次扣1-3分。</w:t>
      </w:r>
    </w:p>
    <w:p w14:paraId="3E56FDF4"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2.所供产品出现质量问题，对公司造成了一定影响，单次扣3-5分。</w:t>
      </w:r>
    </w:p>
    <w:p w14:paraId="2A5942D9" w14:textId="77777777" w:rsidR="00537501" w:rsidRDefault="00000000">
      <w:pPr>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3.所供产品出现质量问题，对公司造成了严重影响，单次扣5-10分。</w:t>
      </w:r>
    </w:p>
    <w:p w14:paraId="3D664411" w14:textId="77777777" w:rsidR="00537501" w:rsidRDefault="00000000">
      <w:pPr>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 xml:space="preserve">    4.所供产品故意隐瞒质量缺陷或以次充好，单次扣10分。</w:t>
      </w:r>
    </w:p>
    <w:p w14:paraId="174E13B9"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（二）交货方面</w:t>
      </w:r>
    </w:p>
    <w:p w14:paraId="295767FD"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1.交货时无质检报告或合格证等必要资料的，单次扣1-3分。</w:t>
      </w:r>
    </w:p>
    <w:p w14:paraId="193D2F34"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2.交货时未按规定包装的，单次扣1-3分。</w:t>
      </w:r>
    </w:p>
    <w:p w14:paraId="5B488CA5"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lastRenderedPageBreak/>
        <w:t xml:space="preserve">    3.延期交货，但未对公司造成影响，单次扣1-3分；造成一定影响，单次扣3-5分；造成严重影响，单次扣5-10分。</w:t>
      </w:r>
    </w:p>
    <w:p w14:paraId="09487CF9"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（三）售后方面</w:t>
      </w:r>
    </w:p>
    <w:p w14:paraId="3CEF0691"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1.对我公司的售后服务要求不能及时响应，单次扣1-3分；已造成一定影响，单次扣3-5分；造成严重影响，单次扣5-10分。</w:t>
      </w:r>
    </w:p>
    <w:p w14:paraId="38DBC5AA"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2.售后人员不能及时解决问题，单次扣1-3分。</w:t>
      </w:r>
    </w:p>
    <w:p w14:paraId="623ACE31"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3.在质保期之内，拒绝按合同提供售后服务，单次扣5-10分。</w:t>
      </w:r>
    </w:p>
    <w:p w14:paraId="050519ED"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（四）资信方面</w:t>
      </w:r>
    </w:p>
    <w:p w14:paraId="2FC050B2"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1.未提供询价书要求的资质文件、不满足询价书资质要求、报价与技术要求不符等，单次扣1～3 分。   </w:t>
      </w:r>
    </w:p>
    <w:p w14:paraId="7FE48DF5" w14:textId="77777777" w:rsidR="00537501" w:rsidRDefault="00000000">
      <w:pPr>
        <w:widowControl/>
        <w:spacing w:line="600" w:lineRule="exact"/>
        <w:ind w:firstLine="680"/>
        <w:rPr>
          <w:rFonts w:ascii="仿宋_GB2312" w:eastAsia="仿宋_GB2312" w:hAnsi="仿宋" w:hint="eastAsia"/>
          <w:bCs/>
          <w:sz w:val="34"/>
          <w:szCs w:val="34"/>
        </w:rPr>
      </w:pPr>
      <w:r>
        <w:rPr>
          <w:rFonts w:ascii="仿宋_GB2312" w:eastAsia="仿宋_GB2312" w:hAnsi="仿宋" w:hint="eastAsia"/>
          <w:bCs/>
          <w:sz w:val="34"/>
          <w:szCs w:val="34"/>
        </w:rPr>
        <w:t>2.中选之后因报价、参数错误等原因，报价人放弃成交，单次扣3-5分。</w:t>
      </w:r>
    </w:p>
    <w:p w14:paraId="7E26F346" w14:textId="77777777" w:rsidR="00537501" w:rsidRDefault="00000000">
      <w:pPr>
        <w:widowControl/>
        <w:spacing w:line="600" w:lineRule="exact"/>
        <w:ind w:firstLineChars="0" w:firstLine="0"/>
        <w:rPr>
          <w:rFonts w:ascii="仿宋_GB2312" w:eastAsia="仿宋_GB2312" w:hAnsi="仿宋" w:hint="eastAsia"/>
          <w:bCs/>
          <w:sz w:val="34"/>
          <w:szCs w:val="34"/>
        </w:rPr>
      </w:pPr>
      <w:r>
        <w:rPr>
          <w:rFonts w:ascii="仿宋_GB2312" w:eastAsia="仿宋_GB2312" w:hAnsi="仿宋" w:hint="eastAsia"/>
          <w:bCs/>
          <w:sz w:val="34"/>
          <w:szCs w:val="34"/>
        </w:rPr>
        <w:t xml:space="preserve">    3.中选之后拒绝签订合同或拒绝履行合同，单次扣5-10分。</w:t>
      </w:r>
    </w:p>
    <w:p w14:paraId="374FCDA0" w14:textId="77777777" w:rsidR="00537501" w:rsidRDefault="00000000">
      <w:pPr>
        <w:widowControl/>
        <w:spacing w:line="600" w:lineRule="exact"/>
        <w:ind w:firstLineChars="0" w:firstLine="680"/>
        <w:rPr>
          <w:rFonts w:ascii="仿宋_GB2312" w:eastAsia="仿宋_GB2312" w:hAnsi="仿宋" w:hint="eastAsia"/>
          <w:bCs/>
          <w:sz w:val="34"/>
          <w:szCs w:val="34"/>
        </w:rPr>
      </w:pPr>
      <w:r>
        <w:rPr>
          <w:rFonts w:ascii="仿宋_GB2312" w:eastAsia="仿宋_GB2312" w:hAnsi="仿宋" w:hint="eastAsia"/>
          <w:bCs/>
          <w:sz w:val="34"/>
          <w:szCs w:val="34"/>
        </w:rPr>
        <w:t>4.无正当理由未及时开具发票给我方或未按合同约定价格开票，单次扣1-3分。</w:t>
      </w:r>
    </w:p>
    <w:p w14:paraId="0B903D15" w14:textId="77777777" w:rsidR="00537501" w:rsidRDefault="00000000">
      <w:pPr>
        <w:widowControl/>
        <w:spacing w:line="600" w:lineRule="exact"/>
        <w:ind w:firstLineChars="0" w:firstLine="680"/>
        <w:rPr>
          <w:rFonts w:ascii="仿宋_GB2312" w:eastAsia="仿宋_GB2312" w:hAnsi="仿宋" w:hint="eastAsia"/>
          <w:bCs/>
          <w:sz w:val="34"/>
          <w:szCs w:val="34"/>
        </w:rPr>
      </w:pPr>
      <w:r>
        <w:rPr>
          <w:rFonts w:ascii="仿宋_GB2312" w:eastAsia="仿宋_GB2312" w:hAnsi="仿宋" w:hint="eastAsia"/>
          <w:bCs/>
          <w:sz w:val="34"/>
          <w:szCs w:val="34"/>
        </w:rPr>
        <w:t>5.未按照《江苏索普(集团)有限公司工程造价审计管理制度》要求提供工程结算资料，或未按规定进行工程结算确认的，单次扣1-3分。</w:t>
      </w:r>
    </w:p>
    <w:p w14:paraId="37840CD2" w14:textId="77777777" w:rsidR="00537501" w:rsidRDefault="00000000">
      <w:pPr>
        <w:widowControl/>
        <w:spacing w:line="600" w:lineRule="exact"/>
        <w:ind w:firstLineChars="0" w:firstLine="680"/>
        <w:rPr>
          <w:rFonts w:ascii="仿宋_GB2312" w:eastAsia="仿宋_GB2312" w:hAnsi="仿宋" w:hint="eastAsia"/>
          <w:bCs/>
          <w:sz w:val="34"/>
          <w:szCs w:val="34"/>
        </w:rPr>
      </w:pPr>
      <w:r>
        <w:rPr>
          <w:rFonts w:ascii="仿宋_GB2312" w:eastAsia="仿宋_GB2312" w:hAnsi="仿宋" w:hint="eastAsia"/>
          <w:bCs/>
          <w:sz w:val="34"/>
          <w:szCs w:val="34"/>
        </w:rPr>
        <w:lastRenderedPageBreak/>
        <w:t>6.报价人经核实资质造假或因知识产权引起纠纷，单次扣6-10分。</w:t>
      </w:r>
    </w:p>
    <w:p w14:paraId="5FECA4FC" w14:textId="77777777" w:rsidR="00537501" w:rsidRDefault="00000000">
      <w:pPr>
        <w:widowControl/>
        <w:spacing w:line="600" w:lineRule="exact"/>
        <w:ind w:firstLineChars="0" w:firstLine="680"/>
        <w:rPr>
          <w:rFonts w:ascii="仿宋_GB2312" w:eastAsia="仿宋_GB2312" w:hAnsi="仿宋" w:hint="eastAsia"/>
          <w:bCs/>
          <w:sz w:val="34"/>
          <w:szCs w:val="34"/>
        </w:rPr>
      </w:pPr>
      <w:r>
        <w:rPr>
          <w:rFonts w:ascii="仿宋_GB2312" w:eastAsia="仿宋_GB2312" w:hAnsi="仿宋" w:hint="eastAsia"/>
          <w:bCs/>
          <w:sz w:val="34"/>
          <w:szCs w:val="34"/>
        </w:rPr>
        <w:t>7.报价低于成本价且无合理说明扰乱公开采购秩序,单次扣10 分。</w:t>
      </w:r>
    </w:p>
    <w:p w14:paraId="14824971" w14:textId="77777777" w:rsidR="00537501" w:rsidRDefault="00000000">
      <w:pPr>
        <w:widowControl/>
        <w:spacing w:line="600" w:lineRule="exact"/>
        <w:ind w:firstLineChars="0" w:firstLine="642"/>
        <w:rPr>
          <w:rFonts w:ascii="仿宋_GB2312" w:eastAsia="仿宋_GB2312" w:hAnsi="仿宋" w:hint="eastAsia"/>
          <w:bCs/>
          <w:sz w:val="34"/>
          <w:szCs w:val="34"/>
        </w:rPr>
      </w:pPr>
      <w:r>
        <w:rPr>
          <w:rFonts w:ascii="仿宋_GB2312" w:eastAsia="仿宋_GB2312" w:hAnsi="楷体" w:hint="eastAsia"/>
          <w:b/>
          <w:sz w:val="34"/>
          <w:szCs w:val="34"/>
        </w:rPr>
        <w:t xml:space="preserve">第八条 </w:t>
      </w:r>
      <w:r>
        <w:rPr>
          <w:rFonts w:ascii="仿宋_GB2312" w:eastAsia="仿宋_GB2312" w:hAnsi="仿宋" w:hint="eastAsia"/>
          <w:bCs/>
          <w:sz w:val="34"/>
          <w:szCs w:val="34"/>
        </w:rPr>
        <w:t>关于无效投诉的处理办法</w:t>
      </w:r>
    </w:p>
    <w:p w14:paraId="65482B1F" w14:textId="77777777" w:rsidR="00537501" w:rsidRDefault="00000000">
      <w:pPr>
        <w:widowControl/>
        <w:spacing w:line="600" w:lineRule="exact"/>
        <w:ind w:firstLineChars="0" w:firstLine="641"/>
        <w:rPr>
          <w:rFonts w:ascii="仿宋_GB2312" w:eastAsia="仿宋_GB2312" w:hAnsi="仿宋" w:hint="eastAsia"/>
          <w:bCs/>
          <w:sz w:val="34"/>
          <w:szCs w:val="34"/>
        </w:rPr>
      </w:pPr>
      <w:r>
        <w:rPr>
          <w:rFonts w:ascii="仿宋_GB2312" w:eastAsia="仿宋_GB2312" w:hAnsi="仿宋" w:hint="eastAsia"/>
          <w:bCs/>
          <w:sz w:val="34"/>
          <w:szCs w:val="34"/>
        </w:rPr>
        <w:t>报价人如对评审结果存有异议，可向监管部门提起投诉。但为了维护公开采购工作的严肃性，报价人所提出的投诉一旦被公司认定为无效投诉，单次扣除投诉人3分；如果报价人仍不接受解释且采取重复投诉，甚至出现捏造事实、无理取闹、聚众围堵、恶意诽谤等严重扰乱公司生产经营秩序的恶劣行为，可再扣除投诉人5-10分；报价人对同一事件进行重复的无效投诉，或一年内累计无效投诉达三次以上（含三次），均直接列入暂停交易清单，情节严重的可直接列入禁止交易供应商清单。</w:t>
      </w:r>
    </w:p>
    <w:p w14:paraId="1CAB3182" w14:textId="77777777" w:rsidR="00537501" w:rsidRDefault="00000000">
      <w:pPr>
        <w:widowControl/>
        <w:adjustRightInd w:val="0"/>
        <w:snapToGrid w:val="0"/>
        <w:spacing w:line="600" w:lineRule="exact"/>
        <w:ind w:rightChars="100" w:right="240" w:firstLine="680"/>
        <w:jc w:val="center"/>
        <w:rPr>
          <w:rFonts w:ascii="黑体" w:eastAsia="黑体" w:hAnsi="黑体" w:cs="仿宋" w:hint="eastAsia"/>
          <w:bCs/>
          <w:sz w:val="34"/>
          <w:szCs w:val="34"/>
        </w:rPr>
      </w:pPr>
      <w:r>
        <w:rPr>
          <w:rFonts w:ascii="黑体" w:eastAsia="黑体" w:hAnsi="黑体" w:cs="仿宋" w:hint="eastAsia"/>
          <w:bCs/>
          <w:sz w:val="34"/>
          <w:szCs w:val="34"/>
        </w:rPr>
        <w:t>第五章  重要事项</w:t>
      </w:r>
    </w:p>
    <w:p w14:paraId="6E971B9F" w14:textId="77777777" w:rsidR="00537501" w:rsidRDefault="00000000">
      <w:pPr>
        <w:pStyle w:val="2"/>
        <w:widowControl/>
        <w:autoSpaceDE/>
        <w:autoSpaceDN/>
        <w:adjustRightInd w:val="0"/>
        <w:snapToGrid w:val="0"/>
        <w:spacing w:line="600" w:lineRule="exact"/>
        <w:ind w:firstLineChars="200" w:firstLine="683"/>
        <w:rPr>
          <w:rFonts w:ascii="仿宋_GB2312" w:eastAsia="仿宋_GB2312" w:hAnsi="仿宋" w:cs="Times New Roman" w:hint="eastAsia"/>
          <w:b w:val="0"/>
          <w:kern w:val="2"/>
          <w:sz w:val="34"/>
          <w:szCs w:val="34"/>
        </w:rPr>
      </w:pPr>
      <w:r>
        <w:rPr>
          <w:rFonts w:ascii="仿宋_GB2312" w:eastAsia="仿宋_GB2312" w:hAnsi="仿宋" w:cs="Times New Roman" w:hint="eastAsia"/>
          <w:bCs w:val="0"/>
          <w:kern w:val="2"/>
          <w:sz w:val="34"/>
          <w:szCs w:val="34"/>
        </w:rPr>
        <w:t>第九条</w:t>
      </w:r>
      <w:r>
        <w:rPr>
          <w:rFonts w:ascii="仿宋_GB2312" w:eastAsia="仿宋_GB2312" w:hAnsi="仿宋" w:cs="Times New Roman" w:hint="eastAsia"/>
          <w:b w:val="0"/>
          <w:kern w:val="2"/>
          <w:sz w:val="34"/>
          <w:szCs w:val="34"/>
        </w:rPr>
        <w:t xml:space="preserve">  为确保集团内部供应商管理的一致性和高效性，各部门应统一按照集团公司制定的供应商管理要求严格执行。</w:t>
      </w:r>
    </w:p>
    <w:p w14:paraId="360B82F8" w14:textId="77777777" w:rsidR="00537501" w:rsidRDefault="00000000">
      <w:pPr>
        <w:widowControl/>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仿宋" w:hint="eastAsia"/>
          <w:b/>
          <w:sz w:val="34"/>
          <w:szCs w:val="34"/>
        </w:rPr>
        <w:t>第十条</w:t>
      </w:r>
      <w:r>
        <w:rPr>
          <w:rFonts w:ascii="仿宋_GB2312" w:eastAsia="仿宋_GB2312" w:hAnsi="仿宋" w:hint="eastAsia"/>
          <w:bCs/>
          <w:sz w:val="34"/>
          <w:szCs w:val="34"/>
        </w:rPr>
        <w:t xml:space="preserve">  各部门将供应商纳入负面清单时应秉持审慎原则，需建立在事实调查与证据收集基础之上，确保决定的合理性与公正性。</w:t>
      </w:r>
    </w:p>
    <w:p w14:paraId="72AC469F" w14:textId="77777777" w:rsidR="00537501" w:rsidRDefault="00000000">
      <w:pPr>
        <w:widowControl/>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仿宋" w:hint="eastAsia"/>
          <w:b/>
          <w:sz w:val="34"/>
          <w:szCs w:val="34"/>
        </w:rPr>
        <w:lastRenderedPageBreak/>
        <w:t>第十一条</w:t>
      </w:r>
      <w:r>
        <w:rPr>
          <w:rFonts w:ascii="仿宋_GB2312" w:eastAsia="仿宋_GB2312" w:hAnsi="仿宋" w:hint="eastAsia"/>
          <w:bCs/>
          <w:sz w:val="34"/>
          <w:szCs w:val="34"/>
        </w:rPr>
        <w:t xml:space="preserve">  原则上不得与禁止合作的供应商恢复合作关系。如确因生产需要恢复合作的，须经相关审批流程后方可实施。</w:t>
      </w:r>
    </w:p>
    <w:p w14:paraId="561E3C7E" w14:textId="77777777" w:rsidR="00537501" w:rsidRDefault="00000000">
      <w:pPr>
        <w:widowControl/>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仿宋" w:hint="eastAsia"/>
          <w:b/>
          <w:sz w:val="34"/>
          <w:szCs w:val="34"/>
        </w:rPr>
        <w:t>第十二条</w:t>
      </w:r>
      <w:r>
        <w:rPr>
          <w:rFonts w:ascii="仿宋_GB2312" w:eastAsia="仿宋_GB2312" w:hAnsi="仿宋" w:hint="eastAsia"/>
          <w:bCs/>
          <w:sz w:val="34"/>
          <w:szCs w:val="34"/>
        </w:rPr>
        <w:t xml:space="preserve">  暂停合作供应商考核满一年后，经审议符合移出暂停合作清单条件的，各部门无正当理由不得拒绝或拖延将其移出负面清单。</w:t>
      </w:r>
    </w:p>
    <w:p w14:paraId="61039BFE" w14:textId="77777777" w:rsidR="00537501" w:rsidRDefault="00000000">
      <w:pPr>
        <w:widowControl/>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仿宋" w:hint="eastAsia"/>
          <w:b/>
          <w:sz w:val="34"/>
          <w:szCs w:val="34"/>
        </w:rPr>
        <w:t>第十三条</w:t>
      </w:r>
      <w:r>
        <w:rPr>
          <w:rFonts w:ascii="仿宋_GB2312" w:eastAsia="仿宋_GB2312" w:hAnsi="仿宋" w:hint="eastAsia"/>
          <w:bCs/>
          <w:sz w:val="34"/>
          <w:szCs w:val="34"/>
        </w:rPr>
        <w:t xml:space="preserve">  如果被暂停合作供应商在收到我司到期告知后三个月内未能提供有效整改材料或一年内不能完成整改的，相关单位可将其列入禁止合作供应商清单，不再与其开展合作。</w:t>
      </w:r>
    </w:p>
    <w:p w14:paraId="62844087" w14:textId="77777777" w:rsidR="00537501" w:rsidRDefault="00000000">
      <w:pPr>
        <w:widowControl/>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仿宋" w:hint="eastAsia"/>
          <w:b/>
          <w:sz w:val="34"/>
          <w:szCs w:val="34"/>
        </w:rPr>
        <w:t xml:space="preserve">第十四条 </w:t>
      </w:r>
      <w:r>
        <w:rPr>
          <w:rFonts w:ascii="仿宋_GB2312" w:eastAsia="仿宋_GB2312" w:hAnsi="仿宋" w:hint="eastAsia"/>
          <w:bCs/>
          <w:sz w:val="34"/>
          <w:szCs w:val="34"/>
        </w:rPr>
        <w:t xml:space="preserve"> 各单位、各部门需真实、准确地记录供应商的考核结果，并按照要求及时报送供应商考核信息至集团商务合作部，确保信息及时、透明。</w:t>
      </w:r>
    </w:p>
    <w:p w14:paraId="06AC7268" w14:textId="77777777" w:rsidR="00537501" w:rsidRDefault="00000000">
      <w:pPr>
        <w:widowControl/>
        <w:adjustRightInd w:val="0"/>
        <w:snapToGrid w:val="0"/>
        <w:spacing w:line="600" w:lineRule="exact"/>
        <w:ind w:firstLine="683"/>
        <w:rPr>
          <w:rFonts w:ascii="仿宋_GB2312" w:eastAsia="仿宋_GB2312" w:hAnsi="仿宋" w:hint="eastAsia"/>
          <w:bCs/>
          <w:sz w:val="34"/>
          <w:szCs w:val="34"/>
        </w:rPr>
      </w:pPr>
      <w:r>
        <w:rPr>
          <w:rFonts w:ascii="仿宋_GB2312" w:eastAsia="仿宋_GB2312" w:hAnsi="仿宋" w:hint="eastAsia"/>
          <w:b/>
          <w:sz w:val="34"/>
          <w:szCs w:val="34"/>
        </w:rPr>
        <w:t>第十五条</w:t>
      </w:r>
      <w:r>
        <w:rPr>
          <w:rFonts w:ascii="仿宋_GB2312" w:eastAsia="仿宋_GB2312" w:hAnsi="仿宋" w:hint="eastAsia"/>
          <w:bCs/>
          <w:sz w:val="34"/>
          <w:szCs w:val="34"/>
        </w:rPr>
        <w:t xml:space="preserve">  对于严重侵害我公司利益的供应商，除按照供应商管理制度进行正常考核外，对于存在违法违规行为的供应商，应依法追究其法律责任，包括但不限于通过法律途径索赔、向相关监管机构举报等。</w:t>
      </w:r>
    </w:p>
    <w:p w14:paraId="20ADC0D2" w14:textId="77777777" w:rsidR="00537501" w:rsidRDefault="00000000">
      <w:pPr>
        <w:widowControl/>
        <w:adjustRightInd w:val="0"/>
        <w:snapToGrid w:val="0"/>
        <w:spacing w:line="600" w:lineRule="exact"/>
        <w:ind w:rightChars="100" w:right="240" w:firstLine="680"/>
        <w:jc w:val="center"/>
        <w:rPr>
          <w:rFonts w:ascii="黑体" w:eastAsia="黑体" w:hAnsi="黑体" w:cs="仿宋" w:hint="eastAsia"/>
          <w:bCs/>
          <w:sz w:val="34"/>
          <w:szCs w:val="34"/>
        </w:rPr>
      </w:pPr>
      <w:r>
        <w:rPr>
          <w:rFonts w:ascii="黑体" w:eastAsia="黑体" w:hAnsi="黑体" w:cs="仿宋" w:hint="eastAsia"/>
          <w:bCs/>
          <w:sz w:val="34"/>
          <w:szCs w:val="34"/>
        </w:rPr>
        <w:t>第六章  附则</w:t>
      </w:r>
    </w:p>
    <w:p w14:paraId="44CB053E" w14:textId="77777777" w:rsidR="00537501" w:rsidRDefault="00000000">
      <w:pPr>
        <w:spacing w:line="600" w:lineRule="exact"/>
        <w:ind w:firstLine="683"/>
        <w:rPr>
          <w:rFonts w:ascii="仿宋_GB2312" w:eastAsia="仿宋_GB2312" w:hAnsi="仿宋" w:hint="eastAsia"/>
          <w:bCs/>
          <w:sz w:val="34"/>
          <w:szCs w:val="34"/>
        </w:rPr>
      </w:pPr>
      <w:r>
        <w:rPr>
          <w:rFonts w:ascii="仿宋_GB2312" w:eastAsia="仿宋_GB2312" w:hAnsi="楷体" w:hint="eastAsia"/>
          <w:b/>
          <w:sz w:val="34"/>
          <w:szCs w:val="34"/>
        </w:rPr>
        <w:t xml:space="preserve">第十六条 </w:t>
      </w:r>
      <w:r>
        <w:rPr>
          <w:rFonts w:ascii="仿宋_GB2312" w:eastAsia="仿宋_GB2312" w:hAnsi="仿宋" w:hint="eastAsia"/>
          <w:bCs/>
          <w:sz w:val="34"/>
          <w:szCs w:val="34"/>
        </w:rPr>
        <w:t>各部门、各单位应努力按照公开、公平、公正的原则，做好供应商负面清单的考核和管理工作。</w:t>
      </w:r>
    </w:p>
    <w:p w14:paraId="3B94E3E8" w14:textId="77777777" w:rsidR="00537501" w:rsidRDefault="00000000">
      <w:pPr>
        <w:spacing w:line="600" w:lineRule="exact"/>
        <w:ind w:firstLine="683"/>
        <w:rPr>
          <w:rFonts w:ascii="仿宋_GB2312" w:eastAsia="仿宋_GB2312" w:hAnsi="仿宋" w:hint="eastAsia"/>
          <w:bCs/>
          <w:sz w:val="34"/>
          <w:szCs w:val="34"/>
        </w:rPr>
      </w:pPr>
      <w:r>
        <w:rPr>
          <w:rFonts w:ascii="仿宋_GB2312" w:eastAsia="仿宋_GB2312" w:hAnsi="楷体" w:hint="eastAsia"/>
          <w:b/>
          <w:sz w:val="34"/>
          <w:szCs w:val="34"/>
        </w:rPr>
        <w:t xml:space="preserve">第十七条 </w:t>
      </w:r>
      <w:r>
        <w:rPr>
          <w:rFonts w:ascii="仿宋_GB2312" w:eastAsia="仿宋_GB2312" w:hAnsi="仿宋" w:hint="eastAsia"/>
          <w:bCs/>
          <w:sz w:val="34"/>
          <w:szCs w:val="34"/>
        </w:rPr>
        <w:t>不同单位对同一供应商12个月内的考核扣分累计达到15分及以上的，由集团商务合作部将其列为暂</w:t>
      </w:r>
      <w:r>
        <w:rPr>
          <w:rFonts w:ascii="仿宋_GB2312" w:eastAsia="仿宋_GB2312" w:hAnsi="仿宋" w:hint="eastAsia"/>
          <w:bCs/>
          <w:sz w:val="34"/>
          <w:szCs w:val="34"/>
        </w:rPr>
        <w:lastRenderedPageBreak/>
        <w:t>停合作供应商。</w:t>
      </w:r>
    </w:p>
    <w:p w14:paraId="59F80097" w14:textId="77777777" w:rsidR="00537501" w:rsidRDefault="00000000">
      <w:pPr>
        <w:widowControl/>
        <w:spacing w:line="600" w:lineRule="exact"/>
        <w:ind w:firstLine="683"/>
        <w:jc w:val="left"/>
        <w:rPr>
          <w:rFonts w:ascii="仿宋_GB2312" w:eastAsia="仿宋_GB2312" w:hAnsi="楷体" w:hint="eastAsia"/>
          <w:bCs/>
          <w:sz w:val="34"/>
          <w:szCs w:val="34"/>
        </w:rPr>
      </w:pPr>
      <w:r>
        <w:rPr>
          <w:rFonts w:ascii="仿宋_GB2312" w:eastAsia="仿宋_GB2312" w:hAnsi="楷体" w:hint="eastAsia"/>
          <w:b/>
          <w:sz w:val="34"/>
          <w:szCs w:val="34"/>
        </w:rPr>
        <w:t>第十八条</w:t>
      </w:r>
      <w:r>
        <w:rPr>
          <w:rFonts w:ascii="仿宋_GB2312" w:eastAsia="仿宋_GB2312" w:hAnsi="楷体" w:hint="eastAsia"/>
          <w:bCs/>
          <w:sz w:val="34"/>
          <w:szCs w:val="34"/>
        </w:rPr>
        <w:t xml:space="preserve"> 自然人、废旧物资处置单位参照本制度进行管理。</w:t>
      </w:r>
    </w:p>
    <w:p w14:paraId="1A3B7B5F" w14:textId="77777777" w:rsidR="00537501" w:rsidRDefault="00000000">
      <w:pPr>
        <w:widowControl/>
        <w:spacing w:line="600" w:lineRule="exact"/>
        <w:ind w:firstLine="683"/>
        <w:jc w:val="left"/>
        <w:rPr>
          <w:rFonts w:ascii="仿宋_GB2312" w:eastAsia="仿宋_GB2312" w:hAnsi="楷体" w:hint="eastAsia"/>
          <w:bCs/>
          <w:sz w:val="34"/>
          <w:szCs w:val="34"/>
        </w:rPr>
      </w:pPr>
      <w:r>
        <w:rPr>
          <w:rFonts w:ascii="仿宋_GB2312" w:eastAsia="仿宋_GB2312" w:hAnsi="楷体" w:hint="eastAsia"/>
          <w:b/>
          <w:sz w:val="34"/>
          <w:szCs w:val="34"/>
        </w:rPr>
        <w:t>第十九条</w:t>
      </w:r>
      <w:r>
        <w:rPr>
          <w:rFonts w:ascii="仿宋_GB2312" w:eastAsia="仿宋_GB2312" w:hAnsi="楷体" w:hint="eastAsia"/>
          <w:bCs/>
          <w:sz w:val="34"/>
          <w:szCs w:val="34"/>
        </w:rPr>
        <w:t xml:space="preserve"> 如某一实际控制人所控制的公司被列入负面清单，该实控人直接或间接控制的所有相关公司也视同列入负面清单。</w:t>
      </w:r>
    </w:p>
    <w:p w14:paraId="76F8AF2B" w14:textId="77777777" w:rsidR="00537501" w:rsidRDefault="00000000">
      <w:pPr>
        <w:widowControl/>
        <w:spacing w:line="600" w:lineRule="exact"/>
        <w:ind w:firstLine="683"/>
        <w:jc w:val="left"/>
        <w:rPr>
          <w:rFonts w:ascii="仿宋_GB2312" w:eastAsia="仿宋_GB2312" w:hAnsi="楷体" w:hint="eastAsia"/>
          <w:bCs/>
          <w:sz w:val="34"/>
          <w:szCs w:val="34"/>
        </w:rPr>
      </w:pPr>
      <w:r>
        <w:rPr>
          <w:rFonts w:ascii="仿宋_GB2312" w:eastAsia="仿宋_GB2312" w:hAnsi="楷体" w:hint="eastAsia"/>
          <w:b/>
          <w:sz w:val="34"/>
          <w:szCs w:val="34"/>
        </w:rPr>
        <w:t>第二十条</w:t>
      </w:r>
      <w:r>
        <w:rPr>
          <w:rFonts w:ascii="仿宋_GB2312" w:eastAsia="仿宋_GB2312" w:hAnsi="楷体" w:hint="eastAsia"/>
          <w:bCs/>
          <w:sz w:val="34"/>
          <w:szCs w:val="34"/>
        </w:rPr>
        <w:t xml:space="preserve"> 集团公司开发供应商管理信息系统，实现扣分、清单更新、公示全流程线上化，并与采购系统联动拦截违规供应商。</w:t>
      </w:r>
    </w:p>
    <w:p w14:paraId="3D6505A6" w14:textId="77777777" w:rsidR="00537501" w:rsidRDefault="00000000">
      <w:pPr>
        <w:widowControl/>
        <w:spacing w:line="600" w:lineRule="exact"/>
        <w:ind w:firstLineChars="0" w:firstLine="0"/>
        <w:jc w:val="left"/>
        <w:rPr>
          <w:rFonts w:ascii="仿宋_GB2312" w:eastAsia="仿宋_GB2312" w:hAnsi="仿宋" w:hint="eastAsia"/>
          <w:bCs/>
          <w:sz w:val="34"/>
          <w:szCs w:val="34"/>
        </w:rPr>
        <w:sectPr w:rsidR="00537501">
          <w:headerReference w:type="even" r:id="rId7"/>
          <w:headerReference w:type="default" r:id="rId8"/>
          <w:footerReference w:type="even" r:id="rId9"/>
          <w:footerReference w:type="default" r:id="rId10"/>
          <w:headerReference w:type="first" r:id="rId11"/>
          <w:footerReference w:type="first" r:id="rId12"/>
          <w:pgSz w:w="11906" w:h="16838"/>
          <w:pgMar w:top="1701" w:right="1587" w:bottom="1701" w:left="1587" w:header="851" w:footer="1418" w:gutter="0"/>
          <w:cols w:space="720"/>
          <w:docGrid w:linePitch="312"/>
        </w:sectPr>
      </w:pPr>
      <w:r>
        <w:rPr>
          <w:rFonts w:ascii="仿宋_GB2312" w:eastAsia="仿宋_GB2312" w:hAnsi="楷体" w:hint="eastAsia"/>
          <w:bCs/>
          <w:sz w:val="34"/>
          <w:szCs w:val="34"/>
        </w:rPr>
        <w:t xml:space="preserve">　</w:t>
      </w:r>
      <w:r>
        <w:rPr>
          <w:rFonts w:ascii="仿宋_GB2312" w:eastAsia="仿宋_GB2312" w:hAnsi="楷体" w:hint="eastAsia"/>
          <w:b/>
          <w:sz w:val="34"/>
          <w:szCs w:val="34"/>
        </w:rPr>
        <w:t xml:space="preserve">　第二十一条</w:t>
      </w:r>
      <w:r>
        <w:rPr>
          <w:rFonts w:ascii="仿宋_GB2312" w:eastAsia="仿宋_GB2312" w:hAnsi="楷体" w:hint="eastAsia"/>
          <w:bCs/>
          <w:sz w:val="34"/>
          <w:szCs w:val="34"/>
        </w:rPr>
        <w:t xml:space="preserve"> </w:t>
      </w:r>
      <w:r>
        <w:rPr>
          <w:rFonts w:ascii="仿宋_GB2312" w:eastAsia="仿宋_GB2312" w:hAnsi="仿宋" w:hint="eastAsia"/>
          <w:bCs/>
          <w:sz w:val="34"/>
          <w:szCs w:val="34"/>
        </w:rPr>
        <w:t>本规定自颁发之日起生效，由集团商务合作部负责解释，</w:t>
      </w:r>
      <w:r>
        <w:rPr>
          <w:rFonts w:ascii="仿宋_GB2312" w:eastAsia="仿宋_GB2312" w:hAnsi="宋体" w:cs="宋体" w:hint="eastAsia"/>
          <w:bCs/>
          <w:kern w:val="0"/>
          <w:sz w:val="34"/>
          <w:szCs w:val="34"/>
        </w:rPr>
        <w:t>原《索普集团供应商负面清单管理规定（试行）》</w:t>
      </w:r>
      <w:r>
        <w:rPr>
          <w:rFonts w:ascii="仿宋_GB2312" w:eastAsia="仿宋_GB2312" w:hint="eastAsia"/>
          <w:bCs/>
          <w:sz w:val="34"/>
          <w:szCs w:val="34"/>
        </w:rPr>
        <w:t>（苏索企字〔</w:t>
      </w:r>
      <w:r>
        <w:rPr>
          <w:rFonts w:ascii="仿宋_GB2312" w:eastAsia="仿宋_GB2312"/>
          <w:bCs/>
          <w:sz w:val="34"/>
          <w:szCs w:val="34"/>
        </w:rPr>
        <w:t>20</w:t>
      </w:r>
      <w:r>
        <w:rPr>
          <w:rFonts w:ascii="仿宋_GB2312" w:eastAsia="仿宋_GB2312" w:hint="eastAsia"/>
          <w:bCs/>
          <w:sz w:val="34"/>
          <w:szCs w:val="34"/>
        </w:rPr>
        <w:t>23〕90号）同时废止。</w:t>
      </w:r>
    </w:p>
    <w:p w14:paraId="6796830D" w14:textId="77777777" w:rsidR="00537501" w:rsidRDefault="00000000">
      <w:pPr>
        <w:widowControl/>
        <w:ind w:firstLineChars="0" w:firstLine="0"/>
        <w:jc w:val="left"/>
        <w:rPr>
          <w:rFonts w:ascii="黑体" w:eastAsia="黑体" w:hAnsi="黑体" w:cs="黑体" w:hint="eastAsia"/>
          <w:bCs/>
          <w:kern w:val="0"/>
          <w:sz w:val="34"/>
          <w:szCs w:val="34"/>
        </w:rPr>
      </w:pPr>
      <w:r>
        <w:rPr>
          <w:rFonts w:ascii="黑体" w:eastAsia="黑体" w:hAnsi="黑体" w:cs="黑体" w:hint="eastAsia"/>
          <w:bCs/>
          <w:kern w:val="0"/>
          <w:sz w:val="34"/>
          <w:szCs w:val="34"/>
        </w:rPr>
        <w:lastRenderedPageBreak/>
        <w:t>附件3</w:t>
      </w:r>
    </w:p>
    <w:tbl>
      <w:tblPr>
        <w:tblW w:w="14225" w:type="dxa"/>
        <w:tblLayout w:type="fixed"/>
        <w:tblLook w:val="04A0" w:firstRow="1" w:lastRow="0" w:firstColumn="1" w:lastColumn="0" w:noHBand="0" w:noVBand="1"/>
      </w:tblPr>
      <w:tblGrid>
        <w:gridCol w:w="705"/>
        <w:gridCol w:w="1685"/>
        <w:gridCol w:w="1328"/>
        <w:gridCol w:w="908"/>
        <w:gridCol w:w="788"/>
        <w:gridCol w:w="824"/>
        <w:gridCol w:w="703"/>
        <w:gridCol w:w="753"/>
        <w:gridCol w:w="806"/>
        <w:gridCol w:w="925"/>
        <w:gridCol w:w="955"/>
        <w:gridCol w:w="1200"/>
        <w:gridCol w:w="1250"/>
        <w:gridCol w:w="109"/>
        <w:gridCol w:w="487"/>
        <w:gridCol w:w="799"/>
      </w:tblGrid>
      <w:tr w:rsidR="00537501" w14:paraId="677CEF0D" w14:textId="77777777">
        <w:trPr>
          <w:trHeight w:val="375"/>
        </w:trPr>
        <w:tc>
          <w:tcPr>
            <w:tcW w:w="11580" w:type="dxa"/>
            <w:gridSpan w:val="12"/>
            <w:tcBorders>
              <w:top w:val="nil"/>
              <w:left w:val="nil"/>
              <w:bottom w:val="nil"/>
              <w:right w:val="nil"/>
            </w:tcBorders>
            <w:vAlign w:val="center"/>
          </w:tcPr>
          <w:p w14:paraId="142E6A15" w14:textId="77777777" w:rsidR="00537501" w:rsidRDefault="00000000">
            <w:pPr>
              <w:widowControl/>
              <w:spacing w:line="240" w:lineRule="auto"/>
              <w:ind w:firstLineChars="0" w:firstLine="0"/>
              <w:jc w:val="center"/>
              <w:rPr>
                <w:rFonts w:ascii="方正小标宋简体" w:eastAsia="方正小标宋简体" w:hAnsi="宋体" w:cs="宋体" w:hint="eastAsia"/>
                <w:bCs/>
                <w:kern w:val="0"/>
                <w:sz w:val="44"/>
                <w:szCs w:val="44"/>
              </w:rPr>
            </w:pPr>
            <w:r>
              <w:rPr>
                <w:rFonts w:ascii="方正小标宋简体" w:eastAsia="方正小标宋简体" w:hAnsi="宋体" w:cs="宋体" w:hint="eastAsia"/>
                <w:bCs/>
                <w:kern w:val="0"/>
                <w:sz w:val="44"/>
                <w:szCs w:val="44"/>
              </w:rPr>
              <w:t>供应商考核表</w:t>
            </w:r>
          </w:p>
        </w:tc>
        <w:tc>
          <w:tcPr>
            <w:tcW w:w="1359" w:type="dxa"/>
            <w:gridSpan w:val="2"/>
            <w:tcBorders>
              <w:top w:val="nil"/>
              <w:left w:val="nil"/>
              <w:bottom w:val="nil"/>
              <w:right w:val="nil"/>
            </w:tcBorders>
            <w:vAlign w:val="center"/>
          </w:tcPr>
          <w:p w14:paraId="53A871BB" w14:textId="77777777" w:rsidR="00537501" w:rsidRDefault="00537501">
            <w:pPr>
              <w:widowControl/>
              <w:spacing w:line="240" w:lineRule="auto"/>
              <w:ind w:firstLineChars="0" w:firstLine="0"/>
              <w:jc w:val="center"/>
              <w:rPr>
                <w:rFonts w:ascii="方正小标宋简体" w:eastAsia="方正小标宋简体" w:hAnsi="宋体" w:cs="宋体" w:hint="eastAsia"/>
                <w:bCs/>
                <w:kern w:val="0"/>
                <w:sz w:val="44"/>
                <w:szCs w:val="44"/>
              </w:rPr>
            </w:pPr>
          </w:p>
        </w:tc>
        <w:tc>
          <w:tcPr>
            <w:tcW w:w="1286" w:type="dxa"/>
            <w:gridSpan w:val="2"/>
            <w:tcBorders>
              <w:top w:val="nil"/>
              <w:left w:val="nil"/>
              <w:bottom w:val="nil"/>
              <w:right w:val="nil"/>
            </w:tcBorders>
            <w:vAlign w:val="center"/>
          </w:tcPr>
          <w:p w14:paraId="0020056E" w14:textId="77777777" w:rsidR="00537501" w:rsidRDefault="00537501">
            <w:pPr>
              <w:widowControl/>
              <w:spacing w:line="240" w:lineRule="auto"/>
              <w:ind w:firstLineChars="0" w:firstLine="0"/>
              <w:jc w:val="center"/>
              <w:rPr>
                <w:rFonts w:ascii="方正小标宋简体" w:eastAsia="方正小标宋简体" w:hAnsi="宋体" w:cs="宋体" w:hint="eastAsia"/>
                <w:bCs/>
                <w:kern w:val="0"/>
                <w:sz w:val="44"/>
                <w:szCs w:val="44"/>
              </w:rPr>
            </w:pPr>
          </w:p>
        </w:tc>
      </w:tr>
      <w:tr w:rsidR="00537501" w14:paraId="619AF789" w14:textId="77777777">
        <w:trPr>
          <w:trHeight w:val="285"/>
        </w:trPr>
        <w:tc>
          <w:tcPr>
            <w:tcW w:w="11580" w:type="dxa"/>
            <w:gridSpan w:val="12"/>
            <w:tcBorders>
              <w:top w:val="nil"/>
              <w:left w:val="nil"/>
              <w:bottom w:val="nil"/>
              <w:right w:val="nil"/>
            </w:tcBorders>
            <w:vAlign w:val="center"/>
          </w:tcPr>
          <w:p w14:paraId="3EEBB85D" w14:textId="77777777" w:rsidR="00537501" w:rsidRDefault="00000000">
            <w:pPr>
              <w:widowControl/>
              <w:spacing w:line="240" w:lineRule="auto"/>
              <w:ind w:firstLineChars="0" w:firstLine="0"/>
              <w:jc w:val="left"/>
              <w:rPr>
                <w:rFonts w:ascii="宋体" w:eastAsia="宋体" w:hAnsi="宋体" w:cs="宋体" w:hint="eastAsia"/>
                <w:bCs/>
                <w:kern w:val="0"/>
              </w:rPr>
            </w:pPr>
            <w:r>
              <w:rPr>
                <w:rFonts w:ascii="宋体" w:eastAsia="宋体" w:hAnsi="宋体" w:cs="宋体" w:hint="eastAsia"/>
                <w:bCs/>
                <w:kern w:val="0"/>
              </w:rPr>
              <w:t xml:space="preserve">                                                                      　 时间：    年   月   日                                                           </w:t>
            </w:r>
          </w:p>
        </w:tc>
        <w:tc>
          <w:tcPr>
            <w:tcW w:w="1359" w:type="dxa"/>
            <w:gridSpan w:val="2"/>
            <w:tcBorders>
              <w:top w:val="nil"/>
              <w:left w:val="nil"/>
              <w:bottom w:val="nil"/>
              <w:right w:val="nil"/>
            </w:tcBorders>
            <w:vAlign w:val="center"/>
          </w:tcPr>
          <w:p w14:paraId="740CAC90" w14:textId="77777777" w:rsidR="00537501" w:rsidRDefault="00537501">
            <w:pPr>
              <w:widowControl/>
              <w:spacing w:line="240" w:lineRule="auto"/>
              <w:ind w:firstLineChars="0" w:firstLine="0"/>
              <w:jc w:val="left"/>
              <w:rPr>
                <w:rFonts w:ascii="宋体" w:eastAsia="宋体" w:hAnsi="宋体" w:cs="宋体" w:hint="eastAsia"/>
                <w:bCs/>
                <w:kern w:val="0"/>
              </w:rPr>
            </w:pPr>
          </w:p>
        </w:tc>
        <w:tc>
          <w:tcPr>
            <w:tcW w:w="1286" w:type="dxa"/>
            <w:gridSpan w:val="2"/>
            <w:tcBorders>
              <w:top w:val="nil"/>
              <w:left w:val="nil"/>
              <w:bottom w:val="nil"/>
              <w:right w:val="nil"/>
            </w:tcBorders>
            <w:vAlign w:val="center"/>
          </w:tcPr>
          <w:p w14:paraId="2544F5EB" w14:textId="77777777" w:rsidR="00537501" w:rsidRDefault="00537501">
            <w:pPr>
              <w:widowControl/>
              <w:spacing w:line="240" w:lineRule="auto"/>
              <w:ind w:firstLineChars="0" w:firstLine="0"/>
              <w:jc w:val="left"/>
              <w:rPr>
                <w:rFonts w:ascii="宋体" w:eastAsia="宋体" w:hAnsi="宋体" w:cs="宋体" w:hint="eastAsia"/>
                <w:bCs/>
                <w:kern w:val="0"/>
              </w:rPr>
            </w:pPr>
          </w:p>
        </w:tc>
      </w:tr>
      <w:tr w:rsidR="00537501" w14:paraId="02120C25" w14:textId="77777777">
        <w:trPr>
          <w:gridAfter w:val="1"/>
          <w:wAfter w:w="799" w:type="dxa"/>
          <w:trHeight w:val="498"/>
        </w:trPr>
        <w:tc>
          <w:tcPr>
            <w:tcW w:w="705" w:type="dxa"/>
            <w:vMerge w:val="restart"/>
            <w:tcBorders>
              <w:top w:val="single" w:sz="4" w:space="0" w:color="auto"/>
              <w:left w:val="single" w:sz="4" w:space="0" w:color="auto"/>
              <w:right w:val="single" w:sz="4" w:space="0" w:color="auto"/>
            </w:tcBorders>
            <w:vAlign w:val="center"/>
          </w:tcPr>
          <w:p w14:paraId="11172155"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序号</w:t>
            </w:r>
          </w:p>
        </w:tc>
        <w:tc>
          <w:tcPr>
            <w:tcW w:w="1685" w:type="dxa"/>
            <w:vMerge w:val="restart"/>
            <w:tcBorders>
              <w:top w:val="single" w:sz="4" w:space="0" w:color="auto"/>
              <w:left w:val="single" w:sz="4" w:space="0" w:color="auto"/>
              <w:right w:val="single" w:sz="4" w:space="0" w:color="auto"/>
            </w:tcBorders>
            <w:vAlign w:val="center"/>
          </w:tcPr>
          <w:p w14:paraId="3F667632"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企业名称</w:t>
            </w:r>
          </w:p>
        </w:tc>
        <w:tc>
          <w:tcPr>
            <w:tcW w:w="1328" w:type="dxa"/>
            <w:vMerge w:val="restart"/>
            <w:tcBorders>
              <w:top w:val="single" w:sz="4" w:space="0" w:color="auto"/>
              <w:left w:val="single" w:sz="4" w:space="0" w:color="auto"/>
              <w:right w:val="single" w:sz="4" w:space="0" w:color="auto"/>
            </w:tcBorders>
            <w:vAlign w:val="center"/>
          </w:tcPr>
          <w:p w14:paraId="58D13E78"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供货产品</w:t>
            </w:r>
          </w:p>
        </w:tc>
        <w:tc>
          <w:tcPr>
            <w:tcW w:w="4782" w:type="dxa"/>
            <w:gridSpan w:val="6"/>
            <w:tcBorders>
              <w:top w:val="single" w:sz="4" w:space="0" w:color="auto"/>
              <w:left w:val="single" w:sz="4" w:space="0" w:color="auto"/>
              <w:bottom w:val="single" w:sz="4" w:space="0" w:color="auto"/>
              <w:right w:val="single" w:sz="4" w:space="0" w:color="auto"/>
            </w:tcBorders>
            <w:vAlign w:val="center"/>
          </w:tcPr>
          <w:p w14:paraId="6E56676B"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考核扣分</w:t>
            </w:r>
          </w:p>
        </w:tc>
        <w:tc>
          <w:tcPr>
            <w:tcW w:w="925" w:type="dxa"/>
            <w:vMerge w:val="restart"/>
            <w:tcBorders>
              <w:top w:val="single" w:sz="4" w:space="0" w:color="auto"/>
              <w:left w:val="single" w:sz="4" w:space="0" w:color="auto"/>
              <w:bottom w:val="single" w:sz="4" w:space="0" w:color="auto"/>
              <w:right w:val="single" w:sz="4" w:space="0" w:color="auto"/>
            </w:tcBorders>
            <w:vAlign w:val="center"/>
          </w:tcPr>
          <w:p w14:paraId="03CA6E4F"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扣分时间</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07F678B0"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总体评估</w:t>
            </w:r>
          </w:p>
        </w:tc>
        <w:tc>
          <w:tcPr>
            <w:tcW w:w="596" w:type="dxa"/>
            <w:gridSpan w:val="2"/>
            <w:vMerge w:val="restart"/>
            <w:tcBorders>
              <w:top w:val="single" w:sz="4" w:space="0" w:color="auto"/>
              <w:left w:val="single" w:sz="4" w:space="0" w:color="auto"/>
              <w:right w:val="single" w:sz="4" w:space="0" w:color="auto"/>
            </w:tcBorders>
            <w:vAlign w:val="center"/>
          </w:tcPr>
          <w:p w14:paraId="15809CF4"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备注</w:t>
            </w:r>
          </w:p>
        </w:tc>
      </w:tr>
      <w:tr w:rsidR="00537501" w14:paraId="6875992A" w14:textId="77777777">
        <w:trPr>
          <w:gridAfter w:val="1"/>
          <w:wAfter w:w="799" w:type="dxa"/>
          <w:trHeight w:val="534"/>
        </w:trPr>
        <w:tc>
          <w:tcPr>
            <w:tcW w:w="705" w:type="dxa"/>
            <w:vMerge/>
            <w:tcBorders>
              <w:left w:val="single" w:sz="4" w:space="0" w:color="auto"/>
              <w:bottom w:val="single" w:sz="4" w:space="0" w:color="auto"/>
              <w:right w:val="single" w:sz="4" w:space="0" w:color="auto"/>
            </w:tcBorders>
            <w:vAlign w:val="center"/>
          </w:tcPr>
          <w:p w14:paraId="09689035"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1685" w:type="dxa"/>
            <w:vMerge/>
            <w:tcBorders>
              <w:left w:val="single" w:sz="4" w:space="0" w:color="auto"/>
              <w:bottom w:val="single" w:sz="4" w:space="0" w:color="auto"/>
              <w:right w:val="single" w:sz="4" w:space="0" w:color="auto"/>
            </w:tcBorders>
            <w:vAlign w:val="center"/>
          </w:tcPr>
          <w:p w14:paraId="0B70ED8B"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1328" w:type="dxa"/>
            <w:vMerge/>
            <w:tcBorders>
              <w:left w:val="single" w:sz="4" w:space="0" w:color="auto"/>
              <w:bottom w:val="single" w:sz="4" w:space="0" w:color="auto"/>
              <w:right w:val="single" w:sz="4" w:space="0" w:color="auto"/>
            </w:tcBorders>
            <w:vAlign w:val="center"/>
          </w:tcPr>
          <w:p w14:paraId="06559F05"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08" w:type="dxa"/>
            <w:tcBorders>
              <w:top w:val="single" w:sz="4" w:space="0" w:color="auto"/>
              <w:left w:val="nil"/>
              <w:bottom w:val="single" w:sz="4" w:space="0" w:color="auto"/>
              <w:right w:val="single" w:sz="4" w:space="0" w:color="auto"/>
            </w:tcBorders>
            <w:vAlign w:val="center"/>
          </w:tcPr>
          <w:p w14:paraId="1DC22983"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质量</w:t>
            </w:r>
          </w:p>
        </w:tc>
        <w:tc>
          <w:tcPr>
            <w:tcW w:w="788" w:type="dxa"/>
            <w:tcBorders>
              <w:top w:val="single" w:sz="4" w:space="0" w:color="auto"/>
              <w:left w:val="nil"/>
              <w:bottom w:val="single" w:sz="4" w:space="0" w:color="auto"/>
              <w:right w:val="single" w:sz="4" w:space="0" w:color="auto"/>
            </w:tcBorders>
            <w:vAlign w:val="center"/>
          </w:tcPr>
          <w:p w14:paraId="3CBF36FC"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交货</w:t>
            </w:r>
          </w:p>
        </w:tc>
        <w:tc>
          <w:tcPr>
            <w:tcW w:w="824" w:type="dxa"/>
            <w:tcBorders>
              <w:top w:val="single" w:sz="4" w:space="0" w:color="auto"/>
              <w:left w:val="nil"/>
              <w:bottom w:val="single" w:sz="4" w:space="0" w:color="auto"/>
              <w:right w:val="single" w:sz="4" w:space="0" w:color="auto"/>
            </w:tcBorders>
            <w:vAlign w:val="center"/>
          </w:tcPr>
          <w:p w14:paraId="0EAD392E"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售后</w:t>
            </w:r>
          </w:p>
        </w:tc>
        <w:tc>
          <w:tcPr>
            <w:tcW w:w="703" w:type="dxa"/>
            <w:tcBorders>
              <w:top w:val="single" w:sz="4" w:space="0" w:color="auto"/>
              <w:left w:val="nil"/>
              <w:bottom w:val="single" w:sz="4" w:space="0" w:color="auto"/>
              <w:right w:val="single" w:sz="4" w:space="0" w:color="auto"/>
            </w:tcBorders>
            <w:vAlign w:val="center"/>
          </w:tcPr>
          <w:p w14:paraId="26774A6B"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资信</w:t>
            </w:r>
          </w:p>
        </w:tc>
        <w:tc>
          <w:tcPr>
            <w:tcW w:w="753" w:type="dxa"/>
            <w:tcBorders>
              <w:top w:val="single" w:sz="4" w:space="0" w:color="auto"/>
              <w:left w:val="nil"/>
              <w:bottom w:val="single" w:sz="4" w:space="0" w:color="auto"/>
              <w:right w:val="single" w:sz="4" w:space="0" w:color="auto"/>
            </w:tcBorders>
            <w:vAlign w:val="center"/>
          </w:tcPr>
          <w:p w14:paraId="496EA0E5"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其他</w:t>
            </w:r>
          </w:p>
        </w:tc>
        <w:tc>
          <w:tcPr>
            <w:tcW w:w="806" w:type="dxa"/>
            <w:tcBorders>
              <w:top w:val="single" w:sz="4" w:space="0" w:color="auto"/>
              <w:left w:val="nil"/>
              <w:bottom w:val="single" w:sz="4" w:space="0" w:color="auto"/>
              <w:right w:val="single" w:sz="4" w:space="0" w:color="auto"/>
            </w:tcBorders>
            <w:vAlign w:val="center"/>
          </w:tcPr>
          <w:p w14:paraId="341F499C"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累计</w:t>
            </w:r>
          </w:p>
        </w:tc>
        <w:tc>
          <w:tcPr>
            <w:tcW w:w="925" w:type="dxa"/>
            <w:vMerge/>
            <w:tcBorders>
              <w:top w:val="single" w:sz="4" w:space="0" w:color="auto"/>
              <w:left w:val="nil"/>
              <w:bottom w:val="single" w:sz="4" w:space="0" w:color="auto"/>
              <w:right w:val="single" w:sz="4" w:space="0" w:color="auto"/>
            </w:tcBorders>
            <w:vAlign w:val="center"/>
          </w:tcPr>
          <w:p w14:paraId="2F57A609"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single" w:sz="4" w:space="0" w:color="auto"/>
              <w:left w:val="single" w:sz="4" w:space="0" w:color="auto"/>
              <w:bottom w:val="single" w:sz="4" w:space="0" w:color="auto"/>
              <w:right w:val="single" w:sz="4" w:space="0" w:color="auto"/>
            </w:tcBorders>
            <w:vAlign w:val="center"/>
          </w:tcPr>
          <w:p w14:paraId="5089823B"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合格供应商</w:t>
            </w:r>
          </w:p>
        </w:tc>
        <w:tc>
          <w:tcPr>
            <w:tcW w:w="1200" w:type="dxa"/>
            <w:tcBorders>
              <w:top w:val="single" w:sz="4" w:space="0" w:color="auto"/>
              <w:left w:val="single" w:sz="4" w:space="0" w:color="auto"/>
              <w:bottom w:val="single" w:sz="4" w:space="0" w:color="auto"/>
              <w:right w:val="single" w:sz="4" w:space="0" w:color="auto"/>
            </w:tcBorders>
            <w:vAlign w:val="center"/>
          </w:tcPr>
          <w:p w14:paraId="4655FEE7"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暂停合作供应商</w:t>
            </w:r>
          </w:p>
        </w:tc>
        <w:tc>
          <w:tcPr>
            <w:tcW w:w="1250" w:type="dxa"/>
            <w:tcBorders>
              <w:top w:val="single" w:sz="4" w:space="0" w:color="auto"/>
              <w:left w:val="nil"/>
              <w:bottom w:val="single" w:sz="4" w:space="0" w:color="auto"/>
              <w:right w:val="single" w:sz="4" w:space="0" w:color="auto"/>
            </w:tcBorders>
            <w:vAlign w:val="center"/>
          </w:tcPr>
          <w:p w14:paraId="6C20CC37" w14:textId="77777777" w:rsidR="00537501" w:rsidRDefault="00000000">
            <w:pPr>
              <w:widowControl/>
              <w:spacing w:line="240" w:lineRule="auto"/>
              <w:ind w:firstLineChars="0" w:firstLine="0"/>
              <w:jc w:val="center"/>
              <w:rPr>
                <w:rFonts w:ascii="宋体" w:eastAsia="宋体" w:hAnsi="宋体" w:cs="宋体" w:hint="eastAsia"/>
                <w:bCs/>
                <w:kern w:val="0"/>
              </w:rPr>
            </w:pPr>
            <w:r>
              <w:rPr>
                <w:rFonts w:ascii="宋体" w:eastAsia="宋体" w:hAnsi="宋体" w:cs="宋体" w:hint="eastAsia"/>
                <w:bCs/>
                <w:kern w:val="0"/>
              </w:rPr>
              <w:t>禁止合作供应商</w:t>
            </w:r>
          </w:p>
        </w:tc>
        <w:tc>
          <w:tcPr>
            <w:tcW w:w="596" w:type="dxa"/>
            <w:gridSpan w:val="2"/>
            <w:vMerge/>
            <w:tcBorders>
              <w:left w:val="single" w:sz="4" w:space="0" w:color="auto"/>
              <w:bottom w:val="single" w:sz="4" w:space="0" w:color="auto"/>
              <w:right w:val="single" w:sz="4" w:space="0" w:color="auto"/>
            </w:tcBorders>
            <w:vAlign w:val="center"/>
          </w:tcPr>
          <w:p w14:paraId="41475430" w14:textId="77777777" w:rsidR="00537501" w:rsidRDefault="00537501">
            <w:pPr>
              <w:widowControl/>
              <w:spacing w:line="240" w:lineRule="auto"/>
              <w:ind w:firstLineChars="0" w:firstLine="0"/>
              <w:jc w:val="center"/>
              <w:rPr>
                <w:rFonts w:ascii="宋体" w:eastAsia="宋体" w:hAnsi="宋体" w:cs="宋体" w:hint="eastAsia"/>
                <w:bCs/>
                <w:kern w:val="0"/>
              </w:rPr>
            </w:pPr>
          </w:p>
        </w:tc>
      </w:tr>
      <w:tr w:rsidR="00537501" w14:paraId="0015538B" w14:textId="77777777">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14:paraId="0281D766" w14:textId="77777777" w:rsidR="00537501" w:rsidRDefault="00537501">
            <w:pPr>
              <w:widowControl/>
              <w:spacing w:line="240" w:lineRule="auto"/>
              <w:ind w:firstLineChars="0" w:firstLine="0"/>
              <w:jc w:val="center"/>
              <w:rPr>
                <w:rFonts w:ascii="Arial" w:eastAsia="宋体" w:hAnsi="Arial" w:cs="Arial"/>
                <w:bCs/>
                <w:kern w:val="0"/>
              </w:rPr>
            </w:pPr>
          </w:p>
        </w:tc>
        <w:tc>
          <w:tcPr>
            <w:tcW w:w="1685" w:type="dxa"/>
            <w:tcBorders>
              <w:top w:val="nil"/>
              <w:left w:val="nil"/>
              <w:bottom w:val="single" w:sz="4" w:space="0" w:color="auto"/>
              <w:right w:val="single" w:sz="4" w:space="0" w:color="auto"/>
            </w:tcBorders>
            <w:vAlign w:val="center"/>
          </w:tcPr>
          <w:p w14:paraId="4A311030" w14:textId="77777777" w:rsidR="00537501" w:rsidRDefault="00537501">
            <w:pPr>
              <w:widowControl/>
              <w:spacing w:line="240" w:lineRule="auto"/>
              <w:ind w:firstLineChars="0" w:firstLine="0"/>
              <w:jc w:val="center"/>
              <w:rPr>
                <w:rFonts w:ascii="Arial" w:eastAsia="宋体" w:hAnsi="Arial" w:cs="Arial"/>
                <w:bCs/>
                <w:kern w:val="0"/>
              </w:rPr>
            </w:pPr>
          </w:p>
        </w:tc>
        <w:tc>
          <w:tcPr>
            <w:tcW w:w="1328" w:type="dxa"/>
            <w:tcBorders>
              <w:top w:val="nil"/>
              <w:left w:val="nil"/>
              <w:bottom w:val="single" w:sz="4" w:space="0" w:color="auto"/>
              <w:right w:val="single" w:sz="4" w:space="0" w:color="auto"/>
            </w:tcBorders>
            <w:vAlign w:val="center"/>
          </w:tcPr>
          <w:p w14:paraId="5746DAC1" w14:textId="77777777" w:rsidR="00537501" w:rsidRDefault="00537501">
            <w:pPr>
              <w:widowControl/>
              <w:spacing w:line="240" w:lineRule="auto"/>
              <w:ind w:firstLineChars="0" w:firstLine="0"/>
              <w:jc w:val="center"/>
              <w:rPr>
                <w:rFonts w:ascii="Calibri" w:eastAsia="宋体" w:hAnsi="Calibri" w:cs="宋体"/>
                <w:bCs/>
                <w:kern w:val="0"/>
              </w:rPr>
            </w:pPr>
          </w:p>
        </w:tc>
        <w:tc>
          <w:tcPr>
            <w:tcW w:w="908" w:type="dxa"/>
            <w:tcBorders>
              <w:top w:val="nil"/>
              <w:left w:val="nil"/>
              <w:bottom w:val="single" w:sz="4" w:space="0" w:color="auto"/>
              <w:right w:val="single" w:sz="4" w:space="0" w:color="auto"/>
            </w:tcBorders>
            <w:vAlign w:val="center"/>
          </w:tcPr>
          <w:p w14:paraId="5442FC5F" w14:textId="77777777" w:rsidR="00537501" w:rsidRDefault="00537501">
            <w:pPr>
              <w:widowControl/>
              <w:spacing w:line="240" w:lineRule="auto"/>
              <w:ind w:firstLineChars="0" w:firstLine="0"/>
              <w:jc w:val="center"/>
              <w:rPr>
                <w:rFonts w:ascii="Calibri" w:eastAsia="宋体" w:hAnsi="Calibri" w:cs="宋体"/>
                <w:bCs/>
                <w:kern w:val="0"/>
              </w:rPr>
            </w:pPr>
          </w:p>
        </w:tc>
        <w:tc>
          <w:tcPr>
            <w:tcW w:w="788" w:type="dxa"/>
            <w:tcBorders>
              <w:top w:val="nil"/>
              <w:left w:val="nil"/>
              <w:bottom w:val="single" w:sz="4" w:space="0" w:color="auto"/>
              <w:right w:val="single" w:sz="4" w:space="0" w:color="auto"/>
            </w:tcBorders>
            <w:vAlign w:val="center"/>
          </w:tcPr>
          <w:p w14:paraId="28D8B5AF" w14:textId="77777777" w:rsidR="00537501" w:rsidRDefault="00537501">
            <w:pPr>
              <w:widowControl/>
              <w:spacing w:line="240" w:lineRule="auto"/>
              <w:ind w:firstLineChars="0" w:firstLine="0"/>
              <w:jc w:val="center"/>
              <w:rPr>
                <w:rFonts w:ascii="Calibri" w:eastAsia="宋体" w:hAnsi="Calibri" w:cs="宋体"/>
                <w:bCs/>
                <w:kern w:val="0"/>
              </w:rPr>
            </w:pPr>
          </w:p>
        </w:tc>
        <w:tc>
          <w:tcPr>
            <w:tcW w:w="824" w:type="dxa"/>
            <w:tcBorders>
              <w:top w:val="nil"/>
              <w:left w:val="nil"/>
              <w:bottom w:val="single" w:sz="4" w:space="0" w:color="auto"/>
              <w:right w:val="single" w:sz="4" w:space="0" w:color="auto"/>
            </w:tcBorders>
            <w:vAlign w:val="center"/>
          </w:tcPr>
          <w:p w14:paraId="1CBEC701" w14:textId="77777777" w:rsidR="00537501" w:rsidRDefault="00537501">
            <w:pPr>
              <w:widowControl/>
              <w:spacing w:line="240" w:lineRule="auto"/>
              <w:ind w:firstLineChars="0" w:firstLine="0"/>
              <w:jc w:val="center"/>
              <w:rPr>
                <w:rFonts w:ascii="Calibri" w:eastAsia="宋体" w:hAnsi="Calibri" w:cs="宋体"/>
                <w:bCs/>
                <w:kern w:val="0"/>
              </w:rPr>
            </w:pPr>
          </w:p>
        </w:tc>
        <w:tc>
          <w:tcPr>
            <w:tcW w:w="703" w:type="dxa"/>
            <w:tcBorders>
              <w:top w:val="nil"/>
              <w:left w:val="nil"/>
              <w:bottom w:val="single" w:sz="4" w:space="0" w:color="auto"/>
              <w:right w:val="single" w:sz="4" w:space="0" w:color="auto"/>
            </w:tcBorders>
            <w:vAlign w:val="center"/>
          </w:tcPr>
          <w:p w14:paraId="5DE52F54" w14:textId="77777777" w:rsidR="00537501" w:rsidRDefault="00537501">
            <w:pPr>
              <w:widowControl/>
              <w:spacing w:line="240" w:lineRule="auto"/>
              <w:ind w:firstLineChars="0" w:firstLine="0"/>
              <w:jc w:val="center"/>
              <w:rPr>
                <w:rFonts w:ascii="Calibri" w:eastAsia="宋体" w:hAnsi="Calibri" w:cs="宋体"/>
                <w:bCs/>
                <w:kern w:val="0"/>
              </w:rPr>
            </w:pPr>
          </w:p>
        </w:tc>
        <w:tc>
          <w:tcPr>
            <w:tcW w:w="753" w:type="dxa"/>
            <w:tcBorders>
              <w:top w:val="single" w:sz="4" w:space="0" w:color="auto"/>
              <w:left w:val="single" w:sz="4" w:space="0" w:color="auto"/>
              <w:bottom w:val="single" w:sz="4" w:space="0" w:color="auto"/>
              <w:right w:val="single" w:sz="4" w:space="0" w:color="auto"/>
            </w:tcBorders>
            <w:vAlign w:val="center"/>
          </w:tcPr>
          <w:p w14:paraId="3C558BAC" w14:textId="77777777" w:rsidR="00537501" w:rsidRDefault="00537501">
            <w:pPr>
              <w:widowControl/>
              <w:spacing w:line="240" w:lineRule="auto"/>
              <w:ind w:firstLineChars="0" w:firstLine="0"/>
              <w:jc w:val="center"/>
              <w:rPr>
                <w:rFonts w:ascii="Calibri" w:eastAsia="宋体" w:hAnsi="Calibri" w:cs="宋体"/>
                <w:bCs/>
                <w:kern w:val="0"/>
              </w:rPr>
            </w:pPr>
          </w:p>
        </w:tc>
        <w:tc>
          <w:tcPr>
            <w:tcW w:w="806" w:type="dxa"/>
            <w:tcBorders>
              <w:top w:val="single" w:sz="4" w:space="0" w:color="auto"/>
              <w:left w:val="single" w:sz="4" w:space="0" w:color="auto"/>
              <w:bottom w:val="single" w:sz="4" w:space="0" w:color="auto"/>
              <w:right w:val="single" w:sz="4" w:space="0" w:color="auto"/>
            </w:tcBorders>
            <w:vAlign w:val="center"/>
          </w:tcPr>
          <w:p w14:paraId="38DC1D60" w14:textId="77777777" w:rsidR="00537501" w:rsidRDefault="00537501">
            <w:pPr>
              <w:widowControl/>
              <w:spacing w:line="240" w:lineRule="auto"/>
              <w:ind w:firstLineChars="0" w:firstLine="0"/>
              <w:jc w:val="center"/>
              <w:rPr>
                <w:rFonts w:ascii="Calibri" w:eastAsia="宋体" w:hAnsi="Calibri" w:cs="宋体"/>
                <w:bCs/>
                <w:kern w:val="0"/>
              </w:rPr>
            </w:pPr>
          </w:p>
        </w:tc>
        <w:tc>
          <w:tcPr>
            <w:tcW w:w="925" w:type="dxa"/>
            <w:tcBorders>
              <w:top w:val="single" w:sz="4" w:space="0" w:color="auto"/>
              <w:left w:val="single" w:sz="4" w:space="0" w:color="auto"/>
              <w:bottom w:val="single" w:sz="4" w:space="0" w:color="auto"/>
              <w:right w:val="single" w:sz="4" w:space="0" w:color="auto"/>
            </w:tcBorders>
            <w:vAlign w:val="center"/>
          </w:tcPr>
          <w:p w14:paraId="6F5FC82F"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single" w:sz="4" w:space="0" w:color="auto"/>
              <w:left w:val="nil"/>
              <w:bottom w:val="single" w:sz="4" w:space="0" w:color="auto"/>
              <w:right w:val="single" w:sz="4" w:space="0" w:color="auto"/>
            </w:tcBorders>
            <w:vAlign w:val="center"/>
          </w:tcPr>
          <w:p w14:paraId="488FAAE2" w14:textId="77777777" w:rsidR="00537501" w:rsidRDefault="00537501">
            <w:pPr>
              <w:widowControl/>
              <w:spacing w:line="240" w:lineRule="auto"/>
              <w:ind w:firstLineChars="0" w:firstLine="0"/>
              <w:jc w:val="center"/>
              <w:rPr>
                <w:rFonts w:ascii="Calibri" w:eastAsia="宋体" w:hAnsi="Calibri" w:cs="宋体"/>
                <w:bCs/>
                <w:kern w:val="0"/>
              </w:rPr>
            </w:pPr>
          </w:p>
        </w:tc>
        <w:tc>
          <w:tcPr>
            <w:tcW w:w="1200" w:type="dxa"/>
            <w:tcBorders>
              <w:top w:val="single" w:sz="4" w:space="0" w:color="auto"/>
              <w:left w:val="nil"/>
              <w:bottom w:val="single" w:sz="4" w:space="0" w:color="auto"/>
              <w:right w:val="single" w:sz="4" w:space="0" w:color="auto"/>
            </w:tcBorders>
            <w:vAlign w:val="center"/>
          </w:tcPr>
          <w:p w14:paraId="4A9B8B06" w14:textId="77777777" w:rsidR="00537501" w:rsidRDefault="00537501">
            <w:pPr>
              <w:widowControl/>
              <w:spacing w:line="240" w:lineRule="auto"/>
              <w:ind w:firstLineChars="0" w:firstLine="0"/>
              <w:jc w:val="center"/>
              <w:rPr>
                <w:rFonts w:ascii="Calibri" w:eastAsia="宋体" w:hAnsi="Calibri" w:cs="宋体"/>
                <w:bCs/>
                <w:kern w:val="0"/>
              </w:rPr>
            </w:pPr>
          </w:p>
        </w:tc>
        <w:tc>
          <w:tcPr>
            <w:tcW w:w="1250" w:type="dxa"/>
            <w:tcBorders>
              <w:top w:val="nil"/>
              <w:left w:val="nil"/>
              <w:bottom w:val="single" w:sz="4" w:space="0" w:color="auto"/>
              <w:right w:val="single" w:sz="4" w:space="0" w:color="auto"/>
            </w:tcBorders>
            <w:vAlign w:val="center"/>
          </w:tcPr>
          <w:p w14:paraId="4C3146BC" w14:textId="77777777" w:rsidR="00537501" w:rsidRDefault="00537501">
            <w:pPr>
              <w:widowControl/>
              <w:spacing w:line="240" w:lineRule="auto"/>
              <w:ind w:firstLineChars="0" w:firstLine="0"/>
              <w:jc w:val="center"/>
              <w:rPr>
                <w:rFonts w:ascii="Calibri" w:eastAsia="宋体" w:hAnsi="Calibri" w:cs="宋体"/>
                <w:bCs/>
                <w:kern w:val="0"/>
              </w:rPr>
            </w:pPr>
          </w:p>
        </w:tc>
        <w:tc>
          <w:tcPr>
            <w:tcW w:w="596" w:type="dxa"/>
            <w:gridSpan w:val="2"/>
            <w:tcBorders>
              <w:top w:val="nil"/>
              <w:left w:val="nil"/>
              <w:bottom w:val="single" w:sz="4" w:space="0" w:color="auto"/>
              <w:right w:val="single" w:sz="4" w:space="0" w:color="auto"/>
            </w:tcBorders>
            <w:vAlign w:val="center"/>
          </w:tcPr>
          <w:p w14:paraId="1973872C" w14:textId="77777777" w:rsidR="00537501" w:rsidRDefault="00537501">
            <w:pPr>
              <w:widowControl/>
              <w:spacing w:line="240" w:lineRule="auto"/>
              <w:ind w:firstLineChars="0" w:firstLine="0"/>
              <w:jc w:val="center"/>
              <w:rPr>
                <w:rFonts w:ascii="Calibri" w:eastAsia="宋体" w:hAnsi="Calibri" w:cs="宋体"/>
                <w:bCs/>
                <w:kern w:val="0"/>
              </w:rPr>
            </w:pPr>
          </w:p>
        </w:tc>
      </w:tr>
      <w:tr w:rsidR="00537501" w14:paraId="307EC7E8" w14:textId="77777777">
        <w:trPr>
          <w:gridAfter w:val="1"/>
          <w:wAfter w:w="799" w:type="dxa"/>
          <w:trHeight w:val="343"/>
        </w:trPr>
        <w:tc>
          <w:tcPr>
            <w:tcW w:w="705" w:type="dxa"/>
            <w:tcBorders>
              <w:top w:val="nil"/>
              <w:left w:val="single" w:sz="4" w:space="0" w:color="auto"/>
              <w:bottom w:val="single" w:sz="4" w:space="0" w:color="auto"/>
              <w:right w:val="single" w:sz="4" w:space="0" w:color="auto"/>
            </w:tcBorders>
            <w:vAlign w:val="center"/>
          </w:tcPr>
          <w:p w14:paraId="4D32A395" w14:textId="77777777" w:rsidR="00537501" w:rsidRDefault="00537501">
            <w:pPr>
              <w:widowControl/>
              <w:spacing w:line="240" w:lineRule="auto"/>
              <w:ind w:firstLineChars="0" w:firstLine="0"/>
              <w:jc w:val="center"/>
              <w:rPr>
                <w:rFonts w:ascii="Arial" w:eastAsia="宋体" w:hAnsi="Arial" w:cs="Arial"/>
                <w:bCs/>
                <w:kern w:val="0"/>
              </w:rPr>
            </w:pPr>
          </w:p>
        </w:tc>
        <w:tc>
          <w:tcPr>
            <w:tcW w:w="1685" w:type="dxa"/>
            <w:tcBorders>
              <w:top w:val="nil"/>
              <w:left w:val="nil"/>
              <w:bottom w:val="single" w:sz="4" w:space="0" w:color="auto"/>
              <w:right w:val="single" w:sz="4" w:space="0" w:color="auto"/>
            </w:tcBorders>
            <w:vAlign w:val="center"/>
          </w:tcPr>
          <w:p w14:paraId="2ABA6BCA" w14:textId="77777777" w:rsidR="00537501" w:rsidRDefault="00537501">
            <w:pPr>
              <w:widowControl/>
              <w:spacing w:line="240" w:lineRule="auto"/>
              <w:ind w:firstLineChars="0" w:firstLine="0"/>
              <w:jc w:val="center"/>
              <w:rPr>
                <w:rFonts w:ascii="Arial" w:eastAsia="宋体" w:hAnsi="Arial" w:cs="Arial"/>
                <w:bCs/>
                <w:kern w:val="0"/>
              </w:rPr>
            </w:pPr>
          </w:p>
        </w:tc>
        <w:tc>
          <w:tcPr>
            <w:tcW w:w="1328" w:type="dxa"/>
            <w:tcBorders>
              <w:top w:val="nil"/>
              <w:left w:val="nil"/>
              <w:bottom w:val="single" w:sz="4" w:space="0" w:color="auto"/>
              <w:right w:val="single" w:sz="4" w:space="0" w:color="auto"/>
            </w:tcBorders>
            <w:vAlign w:val="center"/>
          </w:tcPr>
          <w:p w14:paraId="4CC5F1A2" w14:textId="77777777" w:rsidR="00537501" w:rsidRDefault="00537501">
            <w:pPr>
              <w:widowControl/>
              <w:spacing w:line="240" w:lineRule="auto"/>
              <w:ind w:firstLineChars="0" w:firstLine="0"/>
              <w:jc w:val="center"/>
              <w:rPr>
                <w:rFonts w:ascii="Calibri" w:eastAsia="宋体" w:hAnsi="Calibri" w:cs="宋体"/>
                <w:bCs/>
                <w:kern w:val="0"/>
              </w:rPr>
            </w:pPr>
          </w:p>
        </w:tc>
        <w:tc>
          <w:tcPr>
            <w:tcW w:w="908" w:type="dxa"/>
            <w:tcBorders>
              <w:top w:val="nil"/>
              <w:left w:val="nil"/>
              <w:bottom w:val="single" w:sz="4" w:space="0" w:color="auto"/>
              <w:right w:val="single" w:sz="4" w:space="0" w:color="auto"/>
            </w:tcBorders>
            <w:vAlign w:val="center"/>
          </w:tcPr>
          <w:p w14:paraId="60D3B81B" w14:textId="77777777" w:rsidR="00537501" w:rsidRDefault="00537501">
            <w:pPr>
              <w:widowControl/>
              <w:spacing w:line="240" w:lineRule="auto"/>
              <w:ind w:firstLineChars="0" w:firstLine="0"/>
              <w:jc w:val="center"/>
              <w:rPr>
                <w:rFonts w:ascii="Calibri" w:eastAsia="宋体" w:hAnsi="Calibri" w:cs="宋体"/>
                <w:bCs/>
                <w:kern w:val="0"/>
              </w:rPr>
            </w:pPr>
          </w:p>
        </w:tc>
        <w:tc>
          <w:tcPr>
            <w:tcW w:w="788" w:type="dxa"/>
            <w:tcBorders>
              <w:top w:val="nil"/>
              <w:left w:val="nil"/>
              <w:bottom w:val="single" w:sz="4" w:space="0" w:color="auto"/>
              <w:right w:val="single" w:sz="4" w:space="0" w:color="auto"/>
            </w:tcBorders>
            <w:vAlign w:val="center"/>
          </w:tcPr>
          <w:p w14:paraId="354ABEFF" w14:textId="77777777" w:rsidR="00537501" w:rsidRDefault="00537501">
            <w:pPr>
              <w:widowControl/>
              <w:spacing w:line="240" w:lineRule="auto"/>
              <w:ind w:firstLineChars="0" w:firstLine="0"/>
              <w:jc w:val="center"/>
              <w:rPr>
                <w:rFonts w:ascii="Calibri" w:eastAsia="宋体" w:hAnsi="Calibri" w:cs="宋体"/>
                <w:bCs/>
                <w:kern w:val="0"/>
              </w:rPr>
            </w:pPr>
          </w:p>
        </w:tc>
        <w:tc>
          <w:tcPr>
            <w:tcW w:w="824" w:type="dxa"/>
            <w:tcBorders>
              <w:top w:val="nil"/>
              <w:left w:val="nil"/>
              <w:bottom w:val="single" w:sz="4" w:space="0" w:color="auto"/>
              <w:right w:val="single" w:sz="4" w:space="0" w:color="auto"/>
            </w:tcBorders>
            <w:vAlign w:val="center"/>
          </w:tcPr>
          <w:p w14:paraId="0F8E18A7" w14:textId="77777777" w:rsidR="00537501" w:rsidRDefault="00537501">
            <w:pPr>
              <w:widowControl/>
              <w:spacing w:line="240" w:lineRule="auto"/>
              <w:ind w:firstLineChars="0" w:firstLine="0"/>
              <w:jc w:val="center"/>
              <w:rPr>
                <w:rFonts w:ascii="Calibri" w:eastAsia="宋体" w:hAnsi="Calibri" w:cs="宋体"/>
                <w:bCs/>
                <w:kern w:val="0"/>
              </w:rPr>
            </w:pPr>
          </w:p>
        </w:tc>
        <w:tc>
          <w:tcPr>
            <w:tcW w:w="703" w:type="dxa"/>
            <w:tcBorders>
              <w:top w:val="nil"/>
              <w:left w:val="nil"/>
              <w:bottom w:val="single" w:sz="4" w:space="0" w:color="auto"/>
              <w:right w:val="single" w:sz="4" w:space="0" w:color="auto"/>
            </w:tcBorders>
            <w:vAlign w:val="center"/>
          </w:tcPr>
          <w:p w14:paraId="5954743E" w14:textId="77777777" w:rsidR="00537501" w:rsidRDefault="00537501">
            <w:pPr>
              <w:widowControl/>
              <w:spacing w:line="240" w:lineRule="auto"/>
              <w:ind w:firstLineChars="0" w:firstLine="0"/>
              <w:jc w:val="center"/>
              <w:rPr>
                <w:rFonts w:ascii="Calibri" w:eastAsia="宋体" w:hAnsi="Calibri" w:cs="宋体"/>
                <w:bCs/>
                <w:kern w:val="0"/>
              </w:rPr>
            </w:pPr>
          </w:p>
        </w:tc>
        <w:tc>
          <w:tcPr>
            <w:tcW w:w="753" w:type="dxa"/>
            <w:tcBorders>
              <w:top w:val="single" w:sz="4" w:space="0" w:color="auto"/>
              <w:left w:val="single" w:sz="4" w:space="0" w:color="auto"/>
              <w:bottom w:val="single" w:sz="4" w:space="0" w:color="auto"/>
              <w:right w:val="single" w:sz="4" w:space="0" w:color="auto"/>
            </w:tcBorders>
            <w:vAlign w:val="center"/>
          </w:tcPr>
          <w:p w14:paraId="17FC437F" w14:textId="77777777" w:rsidR="00537501" w:rsidRDefault="00537501">
            <w:pPr>
              <w:widowControl/>
              <w:spacing w:line="240" w:lineRule="auto"/>
              <w:ind w:firstLineChars="0" w:firstLine="0"/>
              <w:jc w:val="center"/>
              <w:rPr>
                <w:rFonts w:ascii="Calibri" w:eastAsia="宋体" w:hAnsi="Calibri" w:cs="宋体"/>
                <w:bCs/>
                <w:kern w:val="0"/>
              </w:rPr>
            </w:pPr>
          </w:p>
        </w:tc>
        <w:tc>
          <w:tcPr>
            <w:tcW w:w="806" w:type="dxa"/>
            <w:tcBorders>
              <w:top w:val="single" w:sz="4" w:space="0" w:color="auto"/>
              <w:left w:val="single" w:sz="4" w:space="0" w:color="auto"/>
              <w:bottom w:val="single" w:sz="4" w:space="0" w:color="auto"/>
              <w:right w:val="single" w:sz="4" w:space="0" w:color="auto"/>
            </w:tcBorders>
            <w:vAlign w:val="center"/>
          </w:tcPr>
          <w:p w14:paraId="43B611DD" w14:textId="77777777" w:rsidR="00537501" w:rsidRDefault="00537501">
            <w:pPr>
              <w:widowControl/>
              <w:spacing w:line="240" w:lineRule="auto"/>
              <w:ind w:firstLineChars="0" w:firstLine="0"/>
              <w:jc w:val="center"/>
              <w:rPr>
                <w:rFonts w:ascii="Calibri" w:eastAsia="宋体" w:hAnsi="Calibri" w:cs="宋体"/>
                <w:bCs/>
                <w:kern w:val="0"/>
              </w:rPr>
            </w:pPr>
          </w:p>
        </w:tc>
        <w:tc>
          <w:tcPr>
            <w:tcW w:w="925" w:type="dxa"/>
            <w:tcBorders>
              <w:top w:val="single" w:sz="4" w:space="0" w:color="auto"/>
              <w:left w:val="single" w:sz="4" w:space="0" w:color="auto"/>
              <w:bottom w:val="single" w:sz="4" w:space="0" w:color="auto"/>
              <w:right w:val="single" w:sz="4" w:space="0" w:color="auto"/>
            </w:tcBorders>
            <w:vAlign w:val="center"/>
          </w:tcPr>
          <w:p w14:paraId="3AD82400"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nil"/>
              <w:left w:val="nil"/>
              <w:bottom w:val="single" w:sz="4" w:space="0" w:color="auto"/>
              <w:right w:val="single" w:sz="4" w:space="0" w:color="auto"/>
            </w:tcBorders>
            <w:vAlign w:val="center"/>
          </w:tcPr>
          <w:p w14:paraId="10E9F03D" w14:textId="77777777" w:rsidR="00537501" w:rsidRDefault="00537501">
            <w:pPr>
              <w:widowControl/>
              <w:spacing w:line="240" w:lineRule="auto"/>
              <w:ind w:firstLineChars="0" w:firstLine="0"/>
              <w:jc w:val="center"/>
              <w:rPr>
                <w:rFonts w:ascii="Calibri" w:eastAsia="宋体" w:hAnsi="Calibri" w:cs="宋体"/>
                <w:bCs/>
                <w:kern w:val="0"/>
              </w:rPr>
            </w:pPr>
          </w:p>
        </w:tc>
        <w:tc>
          <w:tcPr>
            <w:tcW w:w="1200" w:type="dxa"/>
            <w:tcBorders>
              <w:top w:val="nil"/>
              <w:left w:val="nil"/>
              <w:bottom w:val="single" w:sz="4" w:space="0" w:color="auto"/>
              <w:right w:val="single" w:sz="4" w:space="0" w:color="auto"/>
            </w:tcBorders>
            <w:vAlign w:val="center"/>
          </w:tcPr>
          <w:p w14:paraId="79B21EA3" w14:textId="77777777" w:rsidR="00537501" w:rsidRDefault="00537501">
            <w:pPr>
              <w:widowControl/>
              <w:spacing w:line="240" w:lineRule="auto"/>
              <w:ind w:firstLineChars="0" w:firstLine="0"/>
              <w:jc w:val="center"/>
              <w:rPr>
                <w:rFonts w:ascii="Calibri" w:eastAsia="宋体" w:hAnsi="Calibri" w:cs="宋体"/>
                <w:bCs/>
                <w:kern w:val="0"/>
              </w:rPr>
            </w:pPr>
          </w:p>
        </w:tc>
        <w:tc>
          <w:tcPr>
            <w:tcW w:w="1250" w:type="dxa"/>
            <w:tcBorders>
              <w:top w:val="nil"/>
              <w:left w:val="nil"/>
              <w:bottom w:val="single" w:sz="4" w:space="0" w:color="auto"/>
              <w:right w:val="single" w:sz="4" w:space="0" w:color="auto"/>
            </w:tcBorders>
            <w:vAlign w:val="center"/>
          </w:tcPr>
          <w:p w14:paraId="414E422F" w14:textId="77777777" w:rsidR="00537501" w:rsidRDefault="00537501">
            <w:pPr>
              <w:widowControl/>
              <w:spacing w:line="240" w:lineRule="auto"/>
              <w:ind w:firstLineChars="0" w:firstLine="0"/>
              <w:jc w:val="center"/>
              <w:rPr>
                <w:rFonts w:ascii="Calibri" w:eastAsia="宋体" w:hAnsi="Calibri" w:cs="宋体"/>
                <w:bCs/>
                <w:kern w:val="0"/>
              </w:rPr>
            </w:pPr>
          </w:p>
        </w:tc>
        <w:tc>
          <w:tcPr>
            <w:tcW w:w="596" w:type="dxa"/>
            <w:gridSpan w:val="2"/>
            <w:tcBorders>
              <w:top w:val="nil"/>
              <w:left w:val="nil"/>
              <w:bottom w:val="single" w:sz="4" w:space="0" w:color="auto"/>
              <w:right w:val="single" w:sz="4" w:space="0" w:color="auto"/>
            </w:tcBorders>
            <w:vAlign w:val="center"/>
          </w:tcPr>
          <w:p w14:paraId="724DDF5C" w14:textId="77777777" w:rsidR="00537501" w:rsidRDefault="00537501">
            <w:pPr>
              <w:widowControl/>
              <w:spacing w:line="240" w:lineRule="auto"/>
              <w:ind w:firstLineChars="0" w:firstLine="0"/>
              <w:jc w:val="center"/>
              <w:rPr>
                <w:rFonts w:ascii="Calibri" w:eastAsia="宋体" w:hAnsi="Calibri" w:cs="宋体"/>
                <w:bCs/>
                <w:kern w:val="0"/>
              </w:rPr>
            </w:pPr>
          </w:p>
        </w:tc>
      </w:tr>
      <w:tr w:rsidR="00537501" w14:paraId="61D90D34" w14:textId="77777777">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14:paraId="0AC7CFF3" w14:textId="77777777" w:rsidR="00537501" w:rsidRDefault="00537501">
            <w:pPr>
              <w:widowControl/>
              <w:spacing w:line="240" w:lineRule="auto"/>
              <w:ind w:firstLineChars="0" w:firstLine="0"/>
              <w:jc w:val="center"/>
              <w:rPr>
                <w:rFonts w:ascii="Arial" w:eastAsia="宋体" w:hAnsi="Arial" w:cs="Arial"/>
                <w:bCs/>
                <w:kern w:val="0"/>
              </w:rPr>
            </w:pPr>
          </w:p>
        </w:tc>
        <w:tc>
          <w:tcPr>
            <w:tcW w:w="1685" w:type="dxa"/>
            <w:tcBorders>
              <w:top w:val="nil"/>
              <w:left w:val="nil"/>
              <w:bottom w:val="single" w:sz="4" w:space="0" w:color="auto"/>
              <w:right w:val="single" w:sz="4" w:space="0" w:color="auto"/>
            </w:tcBorders>
            <w:vAlign w:val="center"/>
          </w:tcPr>
          <w:p w14:paraId="2E814763" w14:textId="77777777" w:rsidR="00537501" w:rsidRDefault="00537501">
            <w:pPr>
              <w:widowControl/>
              <w:spacing w:line="240" w:lineRule="auto"/>
              <w:ind w:firstLineChars="0" w:firstLine="0"/>
              <w:jc w:val="center"/>
              <w:rPr>
                <w:rFonts w:ascii="Arial" w:eastAsia="宋体" w:hAnsi="Arial" w:cs="Arial"/>
                <w:bCs/>
                <w:kern w:val="0"/>
              </w:rPr>
            </w:pPr>
          </w:p>
        </w:tc>
        <w:tc>
          <w:tcPr>
            <w:tcW w:w="1328" w:type="dxa"/>
            <w:tcBorders>
              <w:top w:val="nil"/>
              <w:left w:val="nil"/>
              <w:bottom w:val="single" w:sz="4" w:space="0" w:color="auto"/>
              <w:right w:val="single" w:sz="4" w:space="0" w:color="auto"/>
            </w:tcBorders>
            <w:vAlign w:val="center"/>
          </w:tcPr>
          <w:p w14:paraId="309C7DF4" w14:textId="77777777" w:rsidR="00537501" w:rsidRDefault="00537501">
            <w:pPr>
              <w:widowControl/>
              <w:spacing w:line="240" w:lineRule="auto"/>
              <w:ind w:firstLineChars="0" w:firstLine="0"/>
              <w:jc w:val="center"/>
              <w:rPr>
                <w:rFonts w:ascii="Calibri" w:eastAsia="宋体" w:hAnsi="Calibri" w:cs="宋体"/>
                <w:bCs/>
                <w:kern w:val="0"/>
              </w:rPr>
            </w:pPr>
          </w:p>
        </w:tc>
        <w:tc>
          <w:tcPr>
            <w:tcW w:w="908" w:type="dxa"/>
            <w:tcBorders>
              <w:top w:val="nil"/>
              <w:left w:val="nil"/>
              <w:bottom w:val="single" w:sz="4" w:space="0" w:color="auto"/>
              <w:right w:val="single" w:sz="4" w:space="0" w:color="auto"/>
            </w:tcBorders>
            <w:vAlign w:val="center"/>
          </w:tcPr>
          <w:p w14:paraId="7E98BD13" w14:textId="77777777" w:rsidR="00537501" w:rsidRDefault="00537501">
            <w:pPr>
              <w:widowControl/>
              <w:spacing w:line="240" w:lineRule="auto"/>
              <w:ind w:firstLineChars="0" w:firstLine="0"/>
              <w:jc w:val="center"/>
              <w:rPr>
                <w:rFonts w:ascii="Calibri" w:eastAsia="宋体" w:hAnsi="Calibri" w:cs="宋体"/>
                <w:bCs/>
                <w:kern w:val="0"/>
              </w:rPr>
            </w:pPr>
          </w:p>
        </w:tc>
        <w:tc>
          <w:tcPr>
            <w:tcW w:w="788" w:type="dxa"/>
            <w:tcBorders>
              <w:top w:val="nil"/>
              <w:left w:val="nil"/>
              <w:bottom w:val="single" w:sz="4" w:space="0" w:color="auto"/>
              <w:right w:val="single" w:sz="4" w:space="0" w:color="auto"/>
            </w:tcBorders>
            <w:vAlign w:val="center"/>
          </w:tcPr>
          <w:p w14:paraId="449A6E06" w14:textId="77777777" w:rsidR="00537501" w:rsidRDefault="00537501">
            <w:pPr>
              <w:widowControl/>
              <w:spacing w:line="240" w:lineRule="auto"/>
              <w:ind w:firstLineChars="0" w:firstLine="0"/>
              <w:jc w:val="center"/>
              <w:rPr>
                <w:rFonts w:ascii="Calibri" w:eastAsia="宋体" w:hAnsi="Calibri" w:cs="宋体"/>
                <w:bCs/>
                <w:kern w:val="0"/>
              </w:rPr>
            </w:pPr>
          </w:p>
        </w:tc>
        <w:tc>
          <w:tcPr>
            <w:tcW w:w="824" w:type="dxa"/>
            <w:tcBorders>
              <w:top w:val="nil"/>
              <w:left w:val="nil"/>
              <w:bottom w:val="single" w:sz="4" w:space="0" w:color="auto"/>
              <w:right w:val="single" w:sz="4" w:space="0" w:color="auto"/>
            </w:tcBorders>
            <w:vAlign w:val="center"/>
          </w:tcPr>
          <w:p w14:paraId="737BBA36" w14:textId="77777777" w:rsidR="00537501" w:rsidRDefault="00537501">
            <w:pPr>
              <w:widowControl/>
              <w:spacing w:line="240" w:lineRule="auto"/>
              <w:ind w:firstLineChars="0" w:firstLine="0"/>
              <w:jc w:val="center"/>
              <w:rPr>
                <w:rFonts w:ascii="Calibri" w:eastAsia="宋体" w:hAnsi="Calibri" w:cs="宋体"/>
                <w:bCs/>
                <w:kern w:val="0"/>
              </w:rPr>
            </w:pPr>
          </w:p>
        </w:tc>
        <w:tc>
          <w:tcPr>
            <w:tcW w:w="703" w:type="dxa"/>
            <w:tcBorders>
              <w:top w:val="nil"/>
              <w:left w:val="nil"/>
              <w:bottom w:val="single" w:sz="4" w:space="0" w:color="auto"/>
              <w:right w:val="single" w:sz="4" w:space="0" w:color="auto"/>
            </w:tcBorders>
            <w:vAlign w:val="center"/>
          </w:tcPr>
          <w:p w14:paraId="6CA3A83E" w14:textId="77777777" w:rsidR="00537501" w:rsidRDefault="00537501">
            <w:pPr>
              <w:widowControl/>
              <w:spacing w:line="240" w:lineRule="auto"/>
              <w:ind w:firstLineChars="0" w:firstLine="0"/>
              <w:jc w:val="center"/>
              <w:rPr>
                <w:rFonts w:ascii="Calibri" w:eastAsia="宋体" w:hAnsi="Calibri" w:cs="宋体"/>
                <w:bCs/>
                <w:kern w:val="0"/>
              </w:rPr>
            </w:pPr>
          </w:p>
        </w:tc>
        <w:tc>
          <w:tcPr>
            <w:tcW w:w="753" w:type="dxa"/>
            <w:tcBorders>
              <w:top w:val="single" w:sz="4" w:space="0" w:color="auto"/>
              <w:left w:val="single" w:sz="4" w:space="0" w:color="auto"/>
              <w:bottom w:val="single" w:sz="4" w:space="0" w:color="auto"/>
              <w:right w:val="single" w:sz="4" w:space="0" w:color="auto"/>
            </w:tcBorders>
            <w:vAlign w:val="center"/>
          </w:tcPr>
          <w:p w14:paraId="5D7A51D3" w14:textId="77777777" w:rsidR="00537501" w:rsidRDefault="00537501">
            <w:pPr>
              <w:widowControl/>
              <w:spacing w:line="240" w:lineRule="auto"/>
              <w:ind w:firstLineChars="0" w:firstLine="0"/>
              <w:jc w:val="center"/>
              <w:rPr>
                <w:rFonts w:ascii="Calibri" w:eastAsia="宋体" w:hAnsi="Calibri" w:cs="宋体"/>
                <w:bCs/>
                <w:kern w:val="0"/>
              </w:rPr>
            </w:pPr>
          </w:p>
        </w:tc>
        <w:tc>
          <w:tcPr>
            <w:tcW w:w="806" w:type="dxa"/>
            <w:tcBorders>
              <w:top w:val="single" w:sz="4" w:space="0" w:color="auto"/>
              <w:left w:val="single" w:sz="4" w:space="0" w:color="auto"/>
              <w:bottom w:val="single" w:sz="4" w:space="0" w:color="auto"/>
              <w:right w:val="single" w:sz="4" w:space="0" w:color="auto"/>
            </w:tcBorders>
            <w:vAlign w:val="center"/>
          </w:tcPr>
          <w:p w14:paraId="38A1FCDF" w14:textId="77777777" w:rsidR="00537501" w:rsidRDefault="00537501">
            <w:pPr>
              <w:widowControl/>
              <w:spacing w:line="240" w:lineRule="auto"/>
              <w:ind w:firstLineChars="0" w:firstLine="0"/>
              <w:jc w:val="center"/>
              <w:rPr>
                <w:rFonts w:ascii="Calibri" w:eastAsia="宋体" w:hAnsi="Calibri" w:cs="宋体"/>
                <w:bCs/>
                <w:kern w:val="0"/>
              </w:rPr>
            </w:pPr>
          </w:p>
        </w:tc>
        <w:tc>
          <w:tcPr>
            <w:tcW w:w="925" w:type="dxa"/>
            <w:tcBorders>
              <w:top w:val="single" w:sz="4" w:space="0" w:color="auto"/>
              <w:left w:val="single" w:sz="4" w:space="0" w:color="auto"/>
              <w:bottom w:val="single" w:sz="4" w:space="0" w:color="auto"/>
              <w:right w:val="single" w:sz="4" w:space="0" w:color="auto"/>
            </w:tcBorders>
            <w:vAlign w:val="center"/>
          </w:tcPr>
          <w:p w14:paraId="396EBC19"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nil"/>
              <w:left w:val="nil"/>
              <w:bottom w:val="single" w:sz="4" w:space="0" w:color="auto"/>
              <w:right w:val="single" w:sz="4" w:space="0" w:color="auto"/>
            </w:tcBorders>
            <w:vAlign w:val="center"/>
          </w:tcPr>
          <w:p w14:paraId="6832D0B0" w14:textId="77777777" w:rsidR="00537501" w:rsidRDefault="00537501">
            <w:pPr>
              <w:widowControl/>
              <w:spacing w:line="240" w:lineRule="auto"/>
              <w:ind w:firstLineChars="0" w:firstLine="0"/>
              <w:jc w:val="center"/>
              <w:rPr>
                <w:rFonts w:ascii="Calibri" w:eastAsia="宋体" w:hAnsi="Calibri" w:cs="宋体"/>
                <w:bCs/>
                <w:kern w:val="0"/>
              </w:rPr>
            </w:pPr>
          </w:p>
        </w:tc>
        <w:tc>
          <w:tcPr>
            <w:tcW w:w="1200" w:type="dxa"/>
            <w:tcBorders>
              <w:top w:val="nil"/>
              <w:left w:val="nil"/>
              <w:bottom w:val="single" w:sz="4" w:space="0" w:color="auto"/>
              <w:right w:val="single" w:sz="4" w:space="0" w:color="auto"/>
            </w:tcBorders>
            <w:vAlign w:val="center"/>
          </w:tcPr>
          <w:p w14:paraId="007CE654" w14:textId="77777777" w:rsidR="00537501" w:rsidRDefault="00537501">
            <w:pPr>
              <w:widowControl/>
              <w:spacing w:line="240" w:lineRule="auto"/>
              <w:ind w:firstLineChars="0" w:firstLine="0"/>
              <w:jc w:val="center"/>
              <w:rPr>
                <w:rFonts w:ascii="Calibri" w:eastAsia="宋体" w:hAnsi="Calibri" w:cs="宋体"/>
                <w:bCs/>
                <w:kern w:val="0"/>
              </w:rPr>
            </w:pPr>
          </w:p>
        </w:tc>
        <w:tc>
          <w:tcPr>
            <w:tcW w:w="1250" w:type="dxa"/>
            <w:tcBorders>
              <w:top w:val="nil"/>
              <w:left w:val="nil"/>
              <w:bottom w:val="single" w:sz="4" w:space="0" w:color="auto"/>
              <w:right w:val="single" w:sz="4" w:space="0" w:color="auto"/>
            </w:tcBorders>
            <w:vAlign w:val="center"/>
          </w:tcPr>
          <w:p w14:paraId="529CD7B1" w14:textId="77777777" w:rsidR="00537501" w:rsidRDefault="00537501">
            <w:pPr>
              <w:widowControl/>
              <w:spacing w:line="240" w:lineRule="auto"/>
              <w:ind w:firstLineChars="0" w:firstLine="0"/>
              <w:jc w:val="center"/>
              <w:rPr>
                <w:rFonts w:ascii="Calibri" w:eastAsia="宋体" w:hAnsi="Calibri" w:cs="宋体"/>
                <w:bCs/>
                <w:kern w:val="0"/>
              </w:rPr>
            </w:pPr>
          </w:p>
        </w:tc>
        <w:tc>
          <w:tcPr>
            <w:tcW w:w="596" w:type="dxa"/>
            <w:gridSpan w:val="2"/>
            <w:tcBorders>
              <w:top w:val="nil"/>
              <w:left w:val="nil"/>
              <w:bottom w:val="single" w:sz="4" w:space="0" w:color="auto"/>
              <w:right w:val="single" w:sz="4" w:space="0" w:color="auto"/>
            </w:tcBorders>
            <w:vAlign w:val="center"/>
          </w:tcPr>
          <w:p w14:paraId="660B7D76" w14:textId="77777777" w:rsidR="00537501" w:rsidRDefault="00537501">
            <w:pPr>
              <w:widowControl/>
              <w:spacing w:line="240" w:lineRule="auto"/>
              <w:ind w:firstLineChars="0" w:firstLine="0"/>
              <w:jc w:val="center"/>
              <w:rPr>
                <w:rFonts w:ascii="Calibri" w:eastAsia="宋体" w:hAnsi="Calibri" w:cs="宋体"/>
                <w:bCs/>
                <w:kern w:val="0"/>
              </w:rPr>
            </w:pPr>
          </w:p>
        </w:tc>
      </w:tr>
      <w:tr w:rsidR="00537501" w14:paraId="6E7FA03E" w14:textId="77777777">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14:paraId="5EDC6EF6" w14:textId="77777777" w:rsidR="00537501" w:rsidRDefault="00537501">
            <w:pPr>
              <w:widowControl/>
              <w:spacing w:line="240" w:lineRule="auto"/>
              <w:ind w:firstLineChars="0" w:firstLine="0"/>
              <w:jc w:val="center"/>
              <w:rPr>
                <w:rFonts w:ascii="Arial" w:eastAsia="宋体" w:hAnsi="Arial" w:cs="Arial"/>
                <w:bCs/>
                <w:kern w:val="0"/>
              </w:rPr>
            </w:pPr>
          </w:p>
        </w:tc>
        <w:tc>
          <w:tcPr>
            <w:tcW w:w="1685" w:type="dxa"/>
            <w:tcBorders>
              <w:top w:val="nil"/>
              <w:left w:val="nil"/>
              <w:bottom w:val="single" w:sz="4" w:space="0" w:color="auto"/>
              <w:right w:val="single" w:sz="4" w:space="0" w:color="auto"/>
            </w:tcBorders>
            <w:vAlign w:val="center"/>
          </w:tcPr>
          <w:p w14:paraId="4999C2DC" w14:textId="77777777" w:rsidR="00537501" w:rsidRDefault="00537501">
            <w:pPr>
              <w:widowControl/>
              <w:spacing w:line="240" w:lineRule="auto"/>
              <w:ind w:firstLineChars="0" w:firstLine="0"/>
              <w:jc w:val="center"/>
              <w:rPr>
                <w:rFonts w:ascii="Arial" w:eastAsia="宋体" w:hAnsi="Arial" w:cs="Arial"/>
                <w:bCs/>
                <w:kern w:val="0"/>
              </w:rPr>
            </w:pPr>
          </w:p>
        </w:tc>
        <w:tc>
          <w:tcPr>
            <w:tcW w:w="1328" w:type="dxa"/>
            <w:tcBorders>
              <w:top w:val="nil"/>
              <w:left w:val="nil"/>
              <w:bottom w:val="single" w:sz="4" w:space="0" w:color="auto"/>
              <w:right w:val="single" w:sz="4" w:space="0" w:color="auto"/>
            </w:tcBorders>
            <w:vAlign w:val="center"/>
          </w:tcPr>
          <w:p w14:paraId="2AD5568D" w14:textId="77777777" w:rsidR="00537501" w:rsidRDefault="00537501">
            <w:pPr>
              <w:widowControl/>
              <w:spacing w:line="240" w:lineRule="auto"/>
              <w:ind w:firstLineChars="0" w:firstLine="0"/>
              <w:jc w:val="center"/>
              <w:rPr>
                <w:rFonts w:ascii="Calibri" w:eastAsia="宋体" w:hAnsi="Calibri" w:cs="宋体"/>
                <w:bCs/>
                <w:kern w:val="0"/>
              </w:rPr>
            </w:pPr>
          </w:p>
        </w:tc>
        <w:tc>
          <w:tcPr>
            <w:tcW w:w="908" w:type="dxa"/>
            <w:tcBorders>
              <w:top w:val="nil"/>
              <w:left w:val="nil"/>
              <w:bottom w:val="single" w:sz="4" w:space="0" w:color="auto"/>
              <w:right w:val="single" w:sz="4" w:space="0" w:color="auto"/>
            </w:tcBorders>
            <w:vAlign w:val="center"/>
          </w:tcPr>
          <w:p w14:paraId="556636E3" w14:textId="77777777" w:rsidR="00537501" w:rsidRDefault="00537501">
            <w:pPr>
              <w:widowControl/>
              <w:spacing w:line="240" w:lineRule="auto"/>
              <w:ind w:firstLineChars="0" w:firstLine="0"/>
              <w:jc w:val="center"/>
              <w:rPr>
                <w:rFonts w:ascii="Calibri" w:eastAsia="宋体" w:hAnsi="Calibri" w:cs="宋体"/>
                <w:bCs/>
                <w:kern w:val="0"/>
              </w:rPr>
            </w:pPr>
          </w:p>
        </w:tc>
        <w:tc>
          <w:tcPr>
            <w:tcW w:w="788" w:type="dxa"/>
            <w:tcBorders>
              <w:top w:val="nil"/>
              <w:left w:val="nil"/>
              <w:bottom w:val="single" w:sz="4" w:space="0" w:color="auto"/>
              <w:right w:val="single" w:sz="4" w:space="0" w:color="auto"/>
            </w:tcBorders>
            <w:vAlign w:val="center"/>
          </w:tcPr>
          <w:p w14:paraId="4D54903C" w14:textId="77777777" w:rsidR="00537501" w:rsidRDefault="00537501">
            <w:pPr>
              <w:widowControl/>
              <w:spacing w:line="240" w:lineRule="auto"/>
              <w:ind w:firstLineChars="0" w:firstLine="0"/>
              <w:jc w:val="center"/>
              <w:rPr>
                <w:rFonts w:ascii="Calibri" w:eastAsia="宋体" w:hAnsi="Calibri" w:cs="宋体"/>
                <w:bCs/>
                <w:kern w:val="0"/>
              </w:rPr>
            </w:pPr>
          </w:p>
        </w:tc>
        <w:tc>
          <w:tcPr>
            <w:tcW w:w="824" w:type="dxa"/>
            <w:tcBorders>
              <w:top w:val="nil"/>
              <w:left w:val="nil"/>
              <w:bottom w:val="single" w:sz="4" w:space="0" w:color="auto"/>
              <w:right w:val="single" w:sz="4" w:space="0" w:color="auto"/>
            </w:tcBorders>
            <w:vAlign w:val="center"/>
          </w:tcPr>
          <w:p w14:paraId="402E2B9B" w14:textId="77777777" w:rsidR="00537501" w:rsidRDefault="00537501">
            <w:pPr>
              <w:widowControl/>
              <w:spacing w:line="240" w:lineRule="auto"/>
              <w:ind w:firstLineChars="0" w:firstLine="0"/>
              <w:jc w:val="center"/>
              <w:rPr>
                <w:rFonts w:ascii="Calibri" w:eastAsia="宋体" w:hAnsi="Calibri" w:cs="宋体"/>
                <w:bCs/>
                <w:kern w:val="0"/>
              </w:rPr>
            </w:pPr>
          </w:p>
        </w:tc>
        <w:tc>
          <w:tcPr>
            <w:tcW w:w="703" w:type="dxa"/>
            <w:tcBorders>
              <w:top w:val="nil"/>
              <w:left w:val="nil"/>
              <w:bottom w:val="single" w:sz="4" w:space="0" w:color="auto"/>
              <w:right w:val="single" w:sz="4" w:space="0" w:color="auto"/>
            </w:tcBorders>
            <w:vAlign w:val="center"/>
          </w:tcPr>
          <w:p w14:paraId="464BC308" w14:textId="77777777" w:rsidR="00537501" w:rsidRDefault="00537501">
            <w:pPr>
              <w:widowControl/>
              <w:spacing w:line="240" w:lineRule="auto"/>
              <w:ind w:firstLineChars="0" w:firstLine="0"/>
              <w:jc w:val="center"/>
              <w:rPr>
                <w:rFonts w:ascii="Calibri" w:eastAsia="宋体" w:hAnsi="Calibri" w:cs="宋体"/>
                <w:bCs/>
                <w:kern w:val="0"/>
              </w:rPr>
            </w:pPr>
          </w:p>
        </w:tc>
        <w:tc>
          <w:tcPr>
            <w:tcW w:w="753" w:type="dxa"/>
            <w:tcBorders>
              <w:top w:val="single" w:sz="4" w:space="0" w:color="auto"/>
              <w:left w:val="single" w:sz="4" w:space="0" w:color="auto"/>
              <w:bottom w:val="single" w:sz="4" w:space="0" w:color="auto"/>
              <w:right w:val="single" w:sz="4" w:space="0" w:color="auto"/>
            </w:tcBorders>
            <w:vAlign w:val="center"/>
          </w:tcPr>
          <w:p w14:paraId="6385EF0F" w14:textId="77777777" w:rsidR="00537501" w:rsidRDefault="00537501">
            <w:pPr>
              <w:widowControl/>
              <w:spacing w:line="240" w:lineRule="auto"/>
              <w:ind w:firstLineChars="0" w:firstLine="0"/>
              <w:jc w:val="center"/>
              <w:rPr>
                <w:rFonts w:ascii="Calibri" w:eastAsia="宋体" w:hAnsi="Calibri" w:cs="宋体"/>
                <w:bCs/>
                <w:kern w:val="0"/>
              </w:rPr>
            </w:pPr>
          </w:p>
        </w:tc>
        <w:tc>
          <w:tcPr>
            <w:tcW w:w="806" w:type="dxa"/>
            <w:tcBorders>
              <w:top w:val="single" w:sz="4" w:space="0" w:color="auto"/>
              <w:left w:val="single" w:sz="4" w:space="0" w:color="auto"/>
              <w:bottom w:val="single" w:sz="4" w:space="0" w:color="auto"/>
              <w:right w:val="single" w:sz="4" w:space="0" w:color="auto"/>
            </w:tcBorders>
            <w:vAlign w:val="center"/>
          </w:tcPr>
          <w:p w14:paraId="2430F488" w14:textId="77777777" w:rsidR="00537501" w:rsidRDefault="00537501">
            <w:pPr>
              <w:widowControl/>
              <w:spacing w:line="240" w:lineRule="auto"/>
              <w:ind w:firstLineChars="0" w:firstLine="0"/>
              <w:jc w:val="center"/>
              <w:rPr>
                <w:rFonts w:ascii="Calibri" w:eastAsia="宋体" w:hAnsi="Calibri" w:cs="宋体"/>
                <w:bCs/>
                <w:kern w:val="0"/>
              </w:rPr>
            </w:pPr>
          </w:p>
        </w:tc>
        <w:tc>
          <w:tcPr>
            <w:tcW w:w="925" w:type="dxa"/>
            <w:tcBorders>
              <w:top w:val="single" w:sz="4" w:space="0" w:color="auto"/>
              <w:left w:val="single" w:sz="4" w:space="0" w:color="auto"/>
              <w:bottom w:val="single" w:sz="4" w:space="0" w:color="auto"/>
              <w:right w:val="single" w:sz="4" w:space="0" w:color="auto"/>
            </w:tcBorders>
            <w:vAlign w:val="center"/>
          </w:tcPr>
          <w:p w14:paraId="0521D655"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nil"/>
              <w:left w:val="nil"/>
              <w:bottom w:val="single" w:sz="4" w:space="0" w:color="auto"/>
              <w:right w:val="single" w:sz="4" w:space="0" w:color="auto"/>
            </w:tcBorders>
            <w:vAlign w:val="center"/>
          </w:tcPr>
          <w:p w14:paraId="7E2834F2" w14:textId="77777777" w:rsidR="00537501" w:rsidRDefault="00537501">
            <w:pPr>
              <w:widowControl/>
              <w:spacing w:line="240" w:lineRule="auto"/>
              <w:ind w:firstLineChars="0" w:firstLine="0"/>
              <w:jc w:val="center"/>
              <w:rPr>
                <w:rFonts w:ascii="Calibri" w:eastAsia="宋体" w:hAnsi="Calibri" w:cs="宋体"/>
                <w:bCs/>
                <w:kern w:val="0"/>
              </w:rPr>
            </w:pPr>
          </w:p>
        </w:tc>
        <w:tc>
          <w:tcPr>
            <w:tcW w:w="1200" w:type="dxa"/>
            <w:tcBorders>
              <w:top w:val="nil"/>
              <w:left w:val="nil"/>
              <w:bottom w:val="single" w:sz="4" w:space="0" w:color="auto"/>
              <w:right w:val="single" w:sz="4" w:space="0" w:color="auto"/>
            </w:tcBorders>
            <w:vAlign w:val="center"/>
          </w:tcPr>
          <w:p w14:paraId="67841F59" w14:textId="77777777" w:rsidR="00537501" w:rsidRDefault="00537501">
            <w:pPr>
              <w:widowControl/>
              <w:spacing w:line="240" w:lineRule="auto"/>
              <w:ind w:firstLineChars="0" w:firstLine="0"/>
              <w:jc w:val="center"/>
              <w:rPr>
                <w:rFonts w:ascii="Calibri" w:eastAsia="宋体" w:hAnsi="Calibri" w:cs="宋体"/>
                <w:bCs/>
                <w:kern w:val="0"/>
              </w:rPr>
            </w:pPr>
          </w:p>
        </w:tc>
        <w:tc>
          <w:tcPr>
            <w:tcW w:w="1250" w:type="dxa"/>
            <w:tcBorders>
              <w:top w:val="nil"/>
              <w:left w:val="nil"/>
              <w:bottom w:val="single" w:sz="4" w:space="0" w:color="auto"/>
              <w:right w:val="single" w:sz="4" w:space="0" w:color="auto"/>
            </w:tcBorders>
            <w:vAlign w:val="center"/>
          </w:tcPr>
          <w:p w14:paraId="52B387DA" w14:textId="77777777" w:rsidR="00537501" w:rsidRDefault="00537501">
            <w:pPr>
              <w:widowControl/>
              <w:spacing w:line="240" w:lineRule="auto"/>
              <w:ind w:firstLineChars="0" w:firstLine="0"/>
              <w:jc w:val="center"/>
              <w:rPr>
                <w:rFonts w:ascii="Calibri" w:eastAsia="宋体" w:hAnsi="Calibri" w:cs="宋体"/>
                <w:bCs/>
                <w:kern w:val="0"/>
              </w:rPr>
            </w:pPr>
          </w:p>
        </w:tc>
        <w:tc>
          <w:tcPr>
            <w:tcW w:w="596" w:type="dxa"/>
            <w:gridSpan w:val="2"/>
            <w:tcBorders>
              <w:top w:val="nil"/>
              <w:left w:val="nil"/>
              <w:bottom w:val="single" w:sz="4" w:space="0" w:color="auto"/>
              <w:right w:val="single" w:sz="4" w:space="0" w:color="auto"/>
            </w:tcBorders>
            <w:vAlign w:val="center"/>
          </w:tcPr>
          <w:p w14:paraId="4C6F8CF6" w14:textId="77777777" w:rsidR="00537501" w:rsidRDefault="00537501">
            <w:pPr>
              <w:widowControl/>
              <w:spacing w:line="240" w:lineRule="auto"/>
              <w:ind w:firstLineChars="0" w:firstLine="0"/>
              <w:jc w:val="center"/>
              <w:rPr>
                <w:rFonts w:ascii="Calibri" w:eastAsia="宋体" w:hAnsi="Calibri" w:cs="宋体"/>
                <w:bCs/>
                <w:kern w:val="0"/>
              </w:rPr>
            </w:pPr>
          </w:p>
        </w:tc>
      </w:tr>
      <w:tr w:rsidR="00537501" w14:paraId="461C2CCC" w14:textId="77777777">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14:paraId="3133536D" w14:textId="77777777" w:rsidR="00537501" w:rsidRDefault="00537501">
            <w:pPr>
              <w:widowControl/>
              <w:spacing w:line="240" w:lineRule="auto"/>
              <w:ind w:firstLineChars="0" w:firstLine="0"/>
              <w:jc w:val="center"/>
              <w:rPr>
                <w:rFonts w:ascii="Arial" w:eastAsia="宋体" w:hAnsi="Arial" w:cs="Arial"/>
                <w:bCs/>
                <w:kern w:val="0"/>
              </w:rPr>
            </w:pPr>
          </w:p>
        </w:tc>
        <w:tc>
          <w:tcPr>
            <w:tcW w:w="1685" w:type="dxa"/>
            <w:tcBorders>
              <w:top w:val="nil"/>
              <w:left w:val="nil"/>
              <w:bottom w:val="single" w:sz="4" w:space="0" w:color="auto"/>
              <w:right w:val="single" w:sz="4" w:space="0" w:color="auto"/>
            </w:tcBorders>
            <w:vAlign w:val="center"/>
          </w:tcPr>
          <w:p w14:paraId="19143B77" w14:textId="77777777" w:rsidR="00537501" w:rsidRDefault="00537501">
            <w:pPr>
              <w:widowControl/>
              <w:spacing w:line="240" w:lineRule="auto"/>
              <w:ind w:firstLineChars="0" w:firstLine="0"/>
              <w:jc w:val="center"/>
              <w:rPr>
                <w:rFonts w:ascii="Arial" w:eastAsia="宋体" w:hAnsi="Arial" w:cs="Arial"/>
                <w:bCs/>
                <w:kern w:val="0"/>
              </w:rPr>
            </w:pPr>
          </w:p>
        </w:tc>
        <w:tc>
          <w:tcPr>
            <w:tcW w:w="1328" w:type="dxa"/>
            <w:tcBorders>
              <w:top w:val="nil"/>
              <w:left w:val="nil"/>
              <w:bottom w:val="single" w:sz="4" w:space="0" w:color="auto"/>
              <w:right w:val="single" w:sz="4" w:space="0" w:color="auto"/>
            </w:tcBorders>
            <w:vAlign w:val="center"/>
          </w:tcPr>
          <w:p w14:paraId="383A06EB" w14:textId="77777777" w:rsidR="00537501" w:rsidRDefault="00537501">
            <w:pPr>
              <w:widowControl/>
              <w:spacing w:line="240" w:lineRule="auto"/>
              <w:ind w:firstLineChars="0" w:firstLine="0"/>
              <w:jc w:val="center"/>
              <w:rPr>
                <w:rFonts w:ascii="Calibri" w:eastAsia="宋体" w:hAnsi="Calibri" w:cs="宋体"/>
                <w:bCs/>
                <w:kern w:val="0"/>
              </w:rPr>
            </w:pPr>
          </w:p>
        </w:tc>
        <w:tc>
          <w:tcPr>
            <w:tcW w:w="908" w:type="dxa"/>
            <w:tcBorders>
              <w:top w:val="nil"/>
              <w:left w:val="nil"/>
              <w:bottom w:val="single" w:sz="4" w:space="0" w:color="auto"/>
              <w:right w:val="single" w:sz="4" w:space="0" w:color="auto"/>
            </w:tcBorders>
            <w:vAlign w:val="center"/>
          </w:tcPr>
          <w:p w14:paraId="2528322D" w14:textId="77777777" w:rsidR="00537501" w:rsidRDefault="00537501">
            <w:pPr>
              <w:widowControl/>
              <w:spacing w:line="240" w:lineRule="auto"/>
              <w:ind w:firstLineChars="0" w:firstLine="0"/>
              <w:jc w:val="center"/>
              <w:rPr>
                <w:rFonts w:ascii="Calibri" w:eastAsia="宋体" w:hAnsi="Calibri" w:cs="宋体"/>
                <w:bCs/>
                <w:kern w:val="0"/>
              </w:rPr>
            </w:pPr>
          </w:p>
        </w:tc>
        <w:tc>
          <w:tcPr>
            <w:tcW w:w="788" w:type="dxa"/>
            <w:tcBorders>
              <w:top w:val="nil"/>
              <w:left w:val="nil"/>
              <w:bottom w:val="single" w:sz="4" w:space="0" w:color="auto"/>
              <w:right w:val="single" w:sz="4" w:space="0" w:color="auto"/>
            </w:tcBorders>
            <w:vAlign w:val="center"/>
          </w:tcPr>
          <w:p w14:paraId="1219A2CB" w14:textId="77777777" w:rsidR="00537501" w:rsidRDefault="00537501">
            <w:pPr>
              <w:widowControl/>
              <w:spacing w:line="240" w:lineRule="auto"/>
              <w:ind w:firstLineChars="0" w:firstLine="0"/>
              <w:jc w:val="center"/>
              <w:rPr>
                <w:rFonts w:ascii="Calibri" w:eastAsia="宋体" w:hAnsi="Calibri" w:cs="宋体"/>
                <w:bCs/>
                <w:kern w:val="0"/>
              </w:rPr>
            </w:pPr>
          </w:p>
        </w:tc>
        <w:tc>
          <w:tcPr>
            <w:tcW w:w="824" w:type="dxa"/>
            <w:tcBorders>
              <w:top w:val="nil"/>
              <w:left w:val="nil"/>
              <w:bottom w:val="single" w:sz="4" w:space="0" w:color="auto"/>
              <w:right w:val="single" w:sz="4" w:space="0" w:color="auto"/>
            </w:tcBorders>
            <w:vAlign w:val="center"/>
          </w:tcPr>
          <w:p w14:paraId="7C87134B" w14:textId="77777777" w:rsidR="00537501" w:rsidRDefault="00537501">
            <w:pPr>
              <w:widowControl/>
              <w:spacing w:line="240" w:lineRule="auto"/>
              <w:ind w:firstLineChars="0" w:firstLine="0"/>
              <w:jc w:val="center"/>
              <w:rPr>
                <w:rFonts w:ascii="Calibri" w:eastAsia="宋体" w:hAnsi="Calibri" w:cs="宋体"/>
                <w:bCs/>
                <w:kern w:val="0"/>
              </w:rPr>
            </w:pPr>
          </w:p>
        </w:tc>
        <w:tc>
          <w:tcPr>
            <w:tcW w:w="703" w:type="dxa"/>
            <w:tcBorders>
              <w:top w:val="nil"/>
              <w:left w:val="nil"/>
              <w:bottom w:val="single" w:sz="4" w:space="0" w:color="auto"/>
              <w:right w:val="single" w:sz="4" w:space="0" w:color="auto"/>
            </w:tcBorders>
            <w:vAlign w:val="center"/>
          </w:tcPr>
          <w:p w14:paraId="64FC245F" w14:textId="77777777" w:rsidR="00537501" w:rsidRDefault="00537501">
            <w:pPr>
              <w:widowControl/>
              <w:spacing w:line="240" w:lineRule="auto"/>
              <w:ind w:firstLineChars="0" w:firstLine="0"/>
              <w:jc w:val="center"/>
              <w:rPr>
                <w:rFonts w:ascii="Calibri" w:eastAsia="宋体" w:hAnsi="Calibri" w:cs="宋体"/>
                <w:bCs/>
                <w:kern w:val="0"/>
              </w:rPr>
            </w:pPr>
          </w:p>
        </w:tc>
        <w:tc>
          <w:tcPr>
            <w:tcW w:w="753" w:type="dxa"/>
            <w:tcBorders>
              <w:top w:val="single" w:sz="4" w:space="0" w:color="auto"/>
              <w:left w:val="single" w:sz="4" w:space="0" w:color="auto"/>
              <w:bottom w:val="single" w:sz="4" w:space="0" w:color="auto"/>
              <w:right w:val="single" w:sz="4" w:space="0" w:color="auto"/>
            </w:tcBorders>
            <w:vAlign w:val="center"/>
          </w:tcPr>
          <w:p w14:paraId="380C41BB" w14:textId="77777777" w:rsidR="00537501" w:rsidRDefault="00537501">
            <w:pPr>
              <w:widowControl/>
              <w:spacing w:line="240" w:lineRule="auto"/>
              <w:ind w:firstLineChars="0" w:firstLine="0"/>
              <w:jc w:val="center"/>
              <w:rPr>
                <w:rFonts w:ascii="Calibri" w:eastAsia="宋体" w:hAnsi="Calibri" w:cs="宋体"/>
                <w:bCs/>
                <w:kern w:val="0"/>
              </w:rPr>
            </w:pPr>
          </w:p>
        </w:tc>
        <w:tc>
          <w:tcPr>
            <w:tcW w:w="806" w:type="dxa"/>
            <w:tcBorders>
              <w:top w:val="single" w:sz="4" w:space="0" w:color="auto"/>
              <w:left w:val="single" w:sz="4" w:space="0" w:color="auto"/>
              <w:bottom w:val="single" w:sz="4" w:space="0" w:color="auto"/>
              <w:right w:val="single" w:sz="4" w:space="0" w:color="auto"/>
            </w:tcBorders>
            <w:vAlign w:val="center"/>
          </w:tcPr>
          <w:p w14:paraId="49426804" w14:textId="77777777" w:rsidR="00537501" w:rsidRDefault="00537501">
            <w:pPr>
              <w:widowControl/>
              <w:spacing w:line="240" w:lineRule="auto"/>
              <w:ind w:firstLineChars="0" w:firstLine="0"/>
              <w:jc w:val="center"/>
              <w:rPr>
                <w:rFonts w:ascii="Calibri" w:eastAsia="宋体" w:hAnsi="Calibri" w:cs="宋体"/>
                <w:bCs/>
                <w:kern w:val="0"/>
              </w:rPr>
            </w:pPr>
          </w:p>
        </w:tc>
        <w:tc>
          <w:tcPr>
            <w:tcW w:w="925" w:type="dxa"/>
            <w:tcBorders>
              <w:top w:val="single" w:sz="4" w:space="0" w:color="auto"/>
              <w:left w:val="single" w:sz="4" w:space="0" w:color="auto"/>
              <w:bottom w:val="single" w:sz="4" w:space="0" w:color="auto"/>
              <w:right w:val="single" w:sz="4" w:space="0" w:color="auto"/>
            </w:tcBorders>
            <w:vAlign w:val="center"/>
          </w:tcPr>
          <w:p w14:paraId="139D4D6E"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nil"/>
              <w:left w:val="nil"/>
              <w:bottom w:val="single" w:sz="4" w:space="0" w:color="auto"/>
              <w:right w:val="single" w:sz="4" w:space="0" w:color="auto"/>
            </w:tcBorders>
            <w:vAlign w:val="center"/>
          </w:tcPr>
          <w:p w14:paraId="14B01EA0" w14:textId="77777777" w:rsidR="00537501" w:rsidRDefault="00537501">
            <w:pPr>
              <w:widowControl/>
              <w:spacing w:line="240" w:lineRule="auto"/>
              <w:ind w:firstLineChars="0" w:firstLine="0"/>
              <w:jc w:val="center"/>
              <w:rPr>
                <w:rFonts w:ascii="Calibri" w:eastAsia="宋体" w:hAnsi="Calibri" w:cs="宋体"/>
                <w:bCs/>
                <w:kern w:val="0"/>
              </w:rPr>
            </w:pPr>
          </w:p>
        </w:tc>
        <w:tc>
          <w:tcPr>
            <w:tcW w:w="1200" w:type="dxa"/>
            <w:tcBorders>
              <w:top w:val="nil"/>
              <w:left w:val="nil"/>
              <w:bottom w:val="single" w:sz="4" w:space="0" w:color="auto"/>
              <w:right w:val="single" w:sz="4" w:space="0" w:color="auto"/>
            </w:tcBorders>
            <w:vAlign w:val="center"/>
          </w:tcPr>
          <w:p w14:paraId="4393934D" w14:textId="77777777" w:rsidR="00537501" w:rsidRDefault="00537501">
            <w:pPr>
              <w:widowControl/>
              <w:spacing w:line="240" w:lineRule="auto"/>
              <w:ind w:firstLineChars="0" w:firstLine="0"/>
              <w:jc w:val="center"/>
              <w:rPr>
                <w:rFonts w:ascii="Calibri" w:eastAsia="宋体" w:hAnsi="Calibri" w:cs="宋体"/>
                <w:bCs/>
                <w:kern w:val="0"/>
              </w:rPr>
            </w:pPr>
          </w:p>
        </w:tc>
        <w:tc>
          <w:tcPr>
            <w:tcW w:w="1250" w:type="dxa"/>
            <w:tcBorders>
              <w:top w:val="nil"/>
              <w:left w:val="nil"/>
              <w:bottom w:val="single" w:sz="4" w:space="0" w:color="auto"/>
              <w:right w:val="single" w:sz="4" w:space="0" w:color="auto"/>
            </w:tcBorders>
            <w:vAlign w:val="center"/>
          </w:tcPr>
          <w:p w14:paraId="0F86CD23" w14:textId="77777777" w:rsidR="00537501" w:rsidRDefault="00537501">
            <w:pPr>
              <w:widowControl/>
              <w:spacing w:line="240" w:lineRule="auto"/>
              <w:ind w:firstLineChars="0" w:firstLine="0"/>
              <w:jc w:val="center"/>
              <w:rPr>
                <w:rFonts w:ascii="Calibri" w:eastAsia="宋体" w:hAnsi="Calibri" w:cs="宋体"/>
                <w:bCs/>
                <w:kern w:val="0"/>
              </w:rPr>
            </w:pPr>
          </w:p>
        </w:tc>
        <w:tc>
          <w:tcPr>
            <w:tcW w:w="596" w:type="dxa"/>
            <w:gridSpan w:val="2"/>
            <w:tcBorders>
              <w:top w:val="nil"/>
              <w:left w:val="nil"/>
              <w:bottom w:val="single" w:sz="4" w:space="0" w:color="auto"/>
              <w:right w:val="single" w:sz="4" w:space="0" w:color="auto"/>
            </w:tcBorders>
            <w:vAlign w:val="center"/>
          </w:tcPr>
          <w:p w14:paraId="41787B3A" w14:textId="77777777" w:rsidR="00537501" w:rsidRDefault="00537501">
            <w:pPr>
              <w:widowControl/>
              <w:spacing w:line="240" w:lineRule="auto"/>
              <w:ind w:firstLineChars="0" w:firstLine="0"/>
              <w:jc w:val="center"/>
              <w:rPr>
                <w:rFonts w:ascii="Calibri" w:eastAsia="宋体" w:hAnsi="Calibri" w:cs="宋体"/>
                <w:bCs/>
                <w:kern w:val="0"/>
              </w:rPr>
            </w:pPr>
          </w:p>
        </w:tc>
      </w:tr>
      <w:tr w:rsidR="00537501" w14:paraId="67FBE969" w14:textId="77777777">
        <w:trPr>
          <w:gridAfter w:val="1"/>
          <w:wAfter w:w="799" w:type="dxa"/>
          <w:trHeight w:val="285"/>
        </w:trPr>
        <w:tc>
          <w:tcPr>
            <w:tcW w:w="705" w:type="dxa"/>
            <w:tcBorders>
              <w:top w:val="nil"/>
              <w:left w:val="single" w:sz="4" w:space="0" w:color="auto"/>
              <w:bottom w:val="single" w:sz="4" w:space="0" w:color="auto"/>
              <w:right w:val="single" w:sz="4" w:space="0" w:color="auto"/>
            </w:tcBorders>
            <w:vAlign w:val="center"/>
          </w:tcPr>
          <w:p w14:paraId="41EF67F3" w14:textId="77777777" w:rsidR="00537501" w:rsidRDefault="00537501">
            <w:pPr>
              <w:widowControl/>
              <w:spacing w:line="240" w:lineRule="auto"/>
              <w:ind w:firstLineChars="0" w:firstLine="0"/>
              <w:jc w:val="center"/>
              <w:rPr>
                <w:rFonts w:ascii="Arial" w:eastAsia="宋体" w:hAnsi="Arial" w:cs="Arial"/>
                <w:bCs/>
                <w:kern w:val="0"/>
              </w:rPr>
            </w:pPr>
          </w:p>
        </w:tc>
        <w:tc>
          <w:tcPr>
            <w:tcW w:w="1685" w:type="dxa"/>
            <w:tcBorders>
              <w:top w:val="nil"/>
              <w:left w:val="nil"/>
              <w:bottom w:val="single" w:sz="4" w:space="0" w:color="auto"/>
              <w:right w:val="single" w:sz="4" w:space="0" w:color="auto"/>
            </w:tcBorders>
            <w:vAlign w:val="center"/>
          </w:tcPr>
          <w:p w14:paraId="1873A6F4" w14:textId="77777777" w:rsidR="00537501" w:rsidRDefault="00537501">
            <w:pPr>
              <w:widowControl/>
              <w:spacing w:line="240" w:lineRule="auto"/>
              <w:ind w:firstLineChars="0" w:firstLine="0"/>
              <w:jc w:val="center"/>
              <w:rPr>
                <w:rFonts w:ascii="Arial" w:eastAsia="宋体" w:hAnsi="Arial" w:cs="Arial"/>
                <w:bCs/>
                <w:kern w:val="0"/>
              </w:rPr>
            </w:pPr>
          </w:p>
        </w:tc>
        <w:tc>
          <w:tcPr>
            <w:tcW w:w="1328" w:type="dxa"/>
            <w:tcBorders>
              <w:top w:val="nil"/>
              <w:left w:val="nil"/>
              <w:bottom w:val="single" w:sz="4" w:space="0" w:color="auto"/>
              <w:right w:val="single" w:sz="4" w:space="0" w:color="auto"/>
            </w:tcBorders>
            <w:vAlign w:val="center"/>
          </w:tcPr>
          <w:p w14:paraId="27D891AB" w14:textId="77777777" w:rsidR="00537501" w:rsidRDefault="00537501">
            <w:pPr>
              <w:widowControl/>
              <w:spacing w:line="240" w:lineRule="auto"/>
              <w:ind w:firstLineChars="0" w:firstLine="0"/>
              <w:jc w:val="center"/>
              <w:rPr>
                <w:rFonts w:ascii="Calibri" w:eastAsia="宋体" w:hAnsi="Calibri" w:cs="宋体"/>
                <w:bCs/>
                <w:kern w:val="0"/>
              </w:rPr>
            </w:pPr>
          </w:p>
        </w:tc>
        <w:tc>
          <w:tcPr>
            <w:tcW w:w="908" w:type="dxa"/>
            <w:tcBorders>
              <w:top w:val="nil"/>
              <w:left w:val="nil"/>
              <w:bottom w:val="single" w:sz="4" w:space="0" w:color="auto"/>
              <w:right w:val="single" w:sz="4" w:space="0" w:color="auto"/>
            </w:tcBorders>
            <w:vAlign w:val="center"/>
          </w:tcPr>
          <w:p w14:paraId="3A591B59" w14:textId="77777777" w:rsidR="00537501" w:rsidRDefault="00537501">
            <w:pPr>
              <w:widowControl/>
              <w:spacing w:line="240" w:lineRule="auto"/>
              <w:ind w:firstLineChars="0" w:firstLine="0"/>
              <w:jc w:val="center"/>
              <w:rPr>
                <w:rFonts w:ascii="Calibri" w:eastAsia="宋体" w:hAnsi="Calibri" w:cs="宋体"/>
                <w:bCs/>
                <w:kern w:val="0"/>
              </w:rPr>
            </w:pPr>
          </w:p>
        </w:tc>
        <w:tc>
          <w:tcPr>
            <w:tcW w:w="788" w:type="dxa"/>
            <w:tcBorders>
              <w:top w:val="nil"/>
              <w:left w:val="nil"/>
              <w:bottom w:val="single" w:sz="4" w:space="0" w:color="auto"/>
              <w:right w:val="single" w:sz="4" w:space="0" w:color="auto"/>
            </w:tcBorders>
            <w:vAlign w:val="center"/>
          </w:tcPr>
          <w:p w14:paraId="077AF117" w14:textId="77777777" w:rsidR="00537501" w:rsidRDefault="00537501">
            <w:pPr>
              <w:widowControl/>
              <w:spacing w:line="240" w:lineRule="auto"/>
              <w:ind w:firstLineChars="0" w:firstLine="0"/>
              <w:jc w:val="center"/>
              <w:rPr>
                <w:rFonts w:ascii="Calibri" w:eastAsia="宋体" w:hAnsi="Calibri" w:cs="宋体"/>
                <w:bCs/>
                <w:kern w:val="0"/>
              </w:rPr>
            </w:pPr>
          </w:p>
        </w:tc>
        <w:tc>
          <w:tcPr>
            <w:tcW w:w="824" w:type="dxa"/>
            <w:tcBorders>
              <w:top w:val="nil"/>
              <w:left w:val="nil"/>
              <w:bottom w:val="single" w:sz="4" w:space="0" w:color="auto"/>
              <w:right w:val="single" w:sz="4" w:space="0" w:color="auto"/>
            </w:tcBorders>
            <w:vAlign w:val="center"/>
          </w:tcPr>
          <w:p w14:paraId="127FA4F9" w14:textId="77777777" w:rsidR="00537501" w:rsidRDefault="00537501">
            <w:pPr>
              <w:widowControl/>
              <w:spacing w:line="240" w:lineRule="auto"/>
              <w:ind w:firstLineChars="0" w:firstLine="0"/>
              <w:jc w:val="center"/>
              <w:rPr>
                <w:rFonts w:ascii="Calibri" w:eastAsia="宋体" w:hAnsi="Calibri" w:cs="宋体"/>
                <w:bCs/>
                <w:kern w:val="0"/>
              </w:rPr>
            </w:pPr>
          </w:p>
        </w:tc>
        <w:tc>
          <w:tcPr>
            <w:tcW w:w="703" w:type="dxa"/>
            <w:tcBorders>
              <w:top w:val="nil"/>
              <w:left w:val="nil"/>
              <w:bottom w:val="single" w:sz="4" w:space="0" w:color="auto"/>
              <w:right w:val="single" w:sz="4" w:space="0" w:color="auto"/>
            </w:tcBorders>
            <w:vAlign w:val="center"/>
          </w:tcPr>
          <w:p w14:paraId="45E89EFA" w14:textId="77777777" w:rsidR="00537501" w:rsidRDefault="00537501">
            <w:pPr>
              <w:widowControl/>
              <w:spacing w:line="240" w:lineRule="auto"/>
              <w:ind w:firstLineChars="0" w:firstLine="0"/>
              <w:jc w:val="center"/>
              <w:rPr>
                <w:rFonts w:ascii="Calibri" w:eastAsia="宋体" w:hAnsi="Calibri" w:cs="宋体"/>
                <w:bCs/>
                <w:kern w:val="0"/>
              </w:rPr>
            </w:pPr>
          </w:p>
        </w:tc>
        <w:tc>
          <w:tcPr>
            <w:tcW w:w="753" w:type="dxa"/>
            <w:tcBorders>
              <w:top w:val="single" w:sz="4" w:space="0" w:color="auto"/>
              <w:left w:val="single" w:sz="4" w:space="0" w:color="auto"/>
              <w:bottom w:val="single" w:sz="4" w:space="0" w:color="auto"/>
              <w:right w:val="single" w:sz="4" w:space="0" w:color="auto"/>
            </w:tcBorders>
            <w:vAlign w:val="center"/>
          </w:tcPr>
          <w:p w14:paraId="0827B158" w14:textId="77777777" w:rsidR="00537501" w:rsidRDefault="00537501">
            <w:pPr>
              <w:widowControl/>
              <w:spacing w:line="240" w:lineRule="auto"/>
              <w:ind w:firstLineChars="0" w:firstLine="0"/>
              <w:jc w:val="center"/>
              <w:rPr>
                <w:rFonts w:ascii="Calibri" w:eastAsia="宋体" w:hAnsi="Calibri" w:cs="宋体"/>
                <w:bCs/>
                <w:kern w:val="0"/>
              </w:rPr>
            </w:pPr>
          </w:p>
        </w:tc>
        <w:tc>
          <w:tcPr>
            <w:tcW w:w="806" w:type="dxa"/>
            <w:tcBorders>
              <w:top w:val="single" w:sz="4" w:space="0" w:color="auto"/>
              <w:left w:val="single" w:sz="4" w:space="0" w:color="auto"/>
              <w:bottom w:val="single" w:sz="4" w:space="0" w:color="auto"/>
              <w:right w:val="single" w:sz="4" w:space="0" w:color="auto"/>
            </w:tcBorders>
            <w:vAlign w:val="center"/>
          </w:tcPr>
          <w:p w14:paraId="75CB2C3F" w14:textId="77777777" w:rsidR="00537501" w:rsidRDefault="00537501">
            <w:pPr>
              <w:widowControl/>
              <w:spacing w:line="240" w:lineRule="auto"/>
              <w:ind w:firstLineChars="0" w:firstLine="0"/>
              <w:jc w:val="center"/>
              <w:rPr>
                <w:rFonts w:ascii="Calibri" w:eastAsia="宋体" w:hAnsi="Calibri" w:cs="宋体"/>
                <w:bCs/>
                <w:kern w:val="0"/>
              </w:rPr>
            </w:pPr>
          </w:p>
        </w:tc>
        <w:tc>
          <w:tcPr>
            <w:tcW w:w="925" w:type="dxa"/>
            <w:tcBorders>
              <w:top w:val="single" w:sz="4" w:space="0" w:color="auto"/>
              <w:left w:val="single" w:sz="4" w:space="0" w:color="auto"/>
              <w:bottom w:val="single" w:sz="4" w:space="0" w:color="auto"/>
              <w:right w:val="single" w:sz="4" w:space="0" w:color="auto"/>
            </w:tcBorders>
            <w:vAlign w:val="center"/>
          </w:tcPr>
          <w:p w14:paraId="0E6D5E55" w14:textId="77777777" w:rsidR="00537501" w:rsidRDefault="00537501">
            <w:pPr>
              <w:widowControl/>
              <w:spacing w:line="240" w:lineRule="auto"/>
              <w:ind w:firstLineChars="0" w:firstLine="0"/>
              <w:jc w:val="center"/>
              <w:rPr>
                <w:rFonts w:ascii="宋体" w:eastAsia="宋体" w:hAnsi="宋体" w:cs="宋体" w:hint="eastAsia"/>
                <w:bCs/>
                <w:kern w:val="0"/>
              </w:rPr>
            </w:pPr>
          </w:p>
        </w:tc>
        <w:tc>
          <w:tcPr>
            <w:tcW w:w="955" w:type="dxa"/>
            <w:tcBorders>
              <w:top w:val="nil"/>
              <w:left w:val="nil"/>
              <w:bottom w:val="single" w:sz="4" w:space="0" w:color="auto"/>
              <w:right w:val="single" w:sz="4" w:space="0" w:color="auto"/>
            </w:tcBorders>
            <w:vAlign w:val="center"/>
          </w:tcPr>
          <w:p w14:paraId="14C896A8" w14:textId="77777777" w:rsidR="00537501" w:rsidRDefault="00537501">
            <w:pPr>
              <w:widowControl/>
              <w:spacing w:line="240" w:lineRule="auto"/>
              <w:ind w:firstLineChars="0" w:firstLine="0"/>
              <w:jc w:val="center"/>
              <w:rPr>
                <w:rFonts w:ascii="Calibri" w:eastAsia="宋体" w:hAnsi="Calibri" w:cs="宋体"/>
                <w:bCs/>
                <w:kern w:val="0"/>
              </w:rPr>
            </w:pPr>
          </w:p>
        </w:tc>
        <w:tc>
          <w:tcPr>
            <w:tcW w:w="1200" w:type="dxa"/>
            <w:tcBorders>
              <w:top w:val="nil"/>
              <w:left w:val="nil"/>
              <w:bottom w:val="single" w:sz="4" w:space="0" w:color="auto"/>
              <w:right w:val="single" w:sz="4" w:space="0" w:color="auto"/>
            </w:tcBorders>
            <w:vAlign w:val="center"/>
          </w:tcPr>
          <w:p w14:paraId="6E487236" w14:textId="77777777" w:rsidR="00537501" w:rsidRDefault="00537501">
            <w:pPr>
              <w:widowControl/>
              <w:spacing w:line="240" w:lineRule="auto"/>
              <w:ind w:firstLineChars="0" w:firstLine="0"/>
              <w:jc w:val="center"/>
              <w:rPr>
                <w:rFonts w:ascii="Calibri" w:eastAsia="宋体" w:hAnsi="Calibri" w:cs="宋体"/>
                <w:bCs/>
                <w:kern w:val="0"/>
              </w:rPr>
            </w:pPr>
          </w:p>
        </w:tc>
        <w:tc>
          <w:tcPr>
            <w:tcW w:w="1250" w:type="dxa"/>
            <w:tcBorders>
              <w:top w:val="nil"/>
              <w:left w:val="nil"/>
              <w:bottom w:val="single" w:sz="4" w:space="0" w:color="auto"/>
              <w:right w:val="single" w:sz="4" w:space="0" w:color="auto"/>
            </w:tcBorders>
            <w:vAlign w:val="center"/>
          </w:tcPr>
          <w:p w14:paraId="6C5270E2" w14:textId="77777777" w:rsidR="00537501" w:rsidRDefault="00537501">
            <w:pPr>
              <w:widowControl/>
              <w:spacing w:line="240" w:lineRule="auto"/>
              <w:ind w:firstLineChars="0" w:firstLine="0"/>
              <w:jc w:val="center"/>
              <w:rPr>
                <w:rFonts w:ascii="Calibri" w:eastAsia="宋体" w:hAnsi="Calibri" w:cs="宋体"/>
                <w:bCs/>
                <w:kern w:val="0"/>
              </w:rPr>
            </w:pPr>
          </w:p>
        </w:tc>
        <w:tc>
          <w:tcPr>
            <w:tcW w:w="596" w:type="dxa"/>
            <w:gridSpan w:val="2"/>
            <w:tcBorders>
              <w:top w:val="nil"/>
              <w:left w:val="nil"/>
              <w:bottom w:val="single" w:sz="4" w:space="0" w:color="auto"/>
              <w:right w:val="single" w:sz="4" w:space="0" w:color="auto"/>
            </w:tcBorders>
            <w:vAlign w:val="center"/>
          </w:tcPr>
          <w:p w14:paraId="31C18444" w14:textId="77777777" w:rsidR="00537501" w:rsidRDefault="00537501">
            <w:pPr>
              <w:widowControl/>
              <w:spacing w:line="240" w:lineRule="auto"/>
              <w:ind w:firstLineChars="0" w:firstLine="0"/>
              <w:jc w:val="center"/>
              <w:rPr>
                <w:rFonts w:ascii="Calibri" w:eastAsia="宋体" w:hAnsi="Calibri" w:cs="宋体"/>
                <w:bCs/>
                <w:kern w:val="0"/>
              </w:rPr>
            </w:pPr>
          </w:p>
        </w:tc>
      </w:tr>
      <w:tr w:rsidR="00537501" w14:paraId="3D68FC26" w14:textId="77777777">
        <w:trPr>
          <w:trHeight w:val="285"/>
        </w:trPr>
        <w:tc>
          <w:tcPr>
            <w:tcW w:w="10380" w:type="dxa"/>
            <w:gridSpan w:val="11"/>
            <w:tcBorders>
              <w:top w:val="nil"/>
              <w:left w:val="nil"/>
              <w:bottom w:val="nil"/>
              <w:right w:val="nil"/>
            </w:tcBorders>
            <w:vAlign w:val="center"/>
          </w:tcPr>
          <w:p w14:paraId="463650A3" w14:textId="77777777" w:rsidR="00537501" w:rsidRDefault="00537501">
            <w:pPr>
              <w:widowControl/>
              <w:spacing w:line="240" w:lineRule="auto"/>
              <w:ind w:firstLineChars="0" w:firstLine="0"/>
              <w:jc w:val="left"/>
              <w:rPr>
                <w:rFonts w:ascii="宋体" w:eastAsia="宋体" w:hAnsi="宋体" w:cs="宋体" w:hint="eastAsia"/>
                <w:bCs/>
                <w:kern w:val="0"/>
                <w:sz w:val="21"/>
                <w:szCs w:val="21"/>
              </w:rPr>
            </w:pPr>
          </w:p>
        </w:tc>
        <w:tc>
          <w:tcPr>
            <w:tcW w:w="1200" w:type="dxa"/>
            <w:tcBorders>
              <w:top w:val="nil"/>
              <w:left w:val="nil"/>
              <w:bottom w:val="nil"/>
              <w:right w:val="nil"/>
            </w:tcBorders>
            <w:vAlign w:val="center"/>
          </w:tcPr>
          <w:p w14:paraId="2CC061D8" w14:textId="77777777" w:rsidR="00537501" w:rsidRDefault="00537501">
            <w:pPr>
              <w:widowControl/>
              <w:spacing w:line="240" w:lineRule="auto"/>
              <w:ind w:firstLineChars="0" w:firstLine="0"/>
              <w:jc w:val="left"/>
              <w:rPr>
                <w:rFonts w:ascii="宋体" w:eastAsia="宋体" w:hAnsi="宋体" w:cs="宋体" w:hint="eastAsia"/>
                <w:bCs/>
                <w:kern w:val="0"/>
                <w:sz w:val="21"/>
                <w:szCs w:val="21"/>
              </w:rPr>
            </w:pPr>
          </w:p>
        </w:tc>
        <w:tc>
          <w:tcPr>
            <w:tcW w:w="1359" w:type="dxa"/>
            <w:gridSpan w:val="2"/>
            <w:tcBorders>
              <w:top w:val="nil"/>
              <w:left w:val="nil"/>
              <w:bottom w:val="nil"/>
              <w:right w:val="nil"/>
            </w:tcBorders>
            <w:vAlign w:val="center"/>
          </w:tcPr>
          <w:p w14:paraId="6B767322" w14:textId="77777777" w:rsidR="00537501" w:rsidRDefault="00537501">
            <w:pPr>
              <w:widowControl/>
              <w:spacing w:line="240" w:lineRule="auto"/>
              <w:ind w:firstLineChars="0" w:firstLine="0"/>
              <w:jc w:val="left"/>
              <w:rPr>
                <w:rFonts w:ascii="宋体" w:eastAsia="宋体" w:hAnsi="宋体" w:cs="宋体" w:hint="eastAsia"/>
                <w:bCs/>
                <w:kern w:val="0"/>
                <w:sz w:val="21"/>
                <w:szCs w:val="21"/>
              </w:rPr>
            </w:pPr>
          </w:p>
        </w:tc>
        <w:tc>
          <w:tcPr>
            <w:tcW w:w="1286" w:type="dxa"/>
            <w:gridSpan w:val="2"/>
            <w:tcBorders>
              <w:top w:val="nil"/>
              <w:left w:val="nil"/>
              <w:bottom w:val="nil"/>
              <w:right w:val="nil"/>
            </w:tcBorders>
            <w:vAlign w:val="center"/>
          </w:tcPr>
          <w:p w14:paraId="3A2BCD1F" w14:textId="77777777" w:rsidR="00537501" w:rsidRDefault="00537501">
            <w:pPr>
              <w:widowControl/>
              <w:spacing w:line="240" w:lineRule="auto"/>
              <w:ind w:firstLineChars="0" w:firstLine="0"/>
              <w:jc w:val="left"/>
              <w:rPr>
                <w:rFonts w:ascii="宋体" w:eastAsia="宋体" w:hAnsi="宋体" w:cs="宋体" w:hint="eastAsia"/>
                <w:bCs/>
                <w:kern w:val="0"/>
                <w:sz w:val="21"/>
                <w:szCs w:val="21"/>
              </w:rPr>
            </w:pPr>
          </w:p>
        </w:tc>
      </w:tr>
      <w:tr w:rsidR="00537501" w14:paraId="72954F21" w14:textId="77777777">
        <w:trPr>
          <w:trHeight w:val="285"/>
        </w:trPr>
        <w:tc>
          <w:tcPr>
            <w:tcW w:w="12939" w:type="dxa"/>
            <w:gridSpan w:val="14"/>
            <w:tcBorders>
              <w:top w:val="nil"/>
              <w:left w:val="nil"/>
              <w:bottom w:val="nil"/>
              <w:right w:val="nil"/>
            </w:tcBorders>
            <w:vAlign w:val="center"/>
          </w:tcPr>
          <w:p w14:paraId="7F9E0821" w14:textId="77777777" w:rsidR="00537501" w:rsidRDefault="00537501">
            <w:pPr>
              <w:widowControl/>
              <w:spacing w:line="240" w:lineRule="auto"/>
              <w:ind w:firstLineChars="0" w:firstLine="0"/>
              <w:jc w:val="left"/>
              <w:rPr>
                <w:rFonts w:ascii="Calibri" w:eastAsia="宋体" w:hAnsi="Calibri" w:cs="宋体"/>
                <w:bCs/>
                <w:kern w:val="0"/>
                <w:sz w:val="21"/>
                <w:szCs w:val="21"/>
              </w:rPr>
            </w:pPr>
          </w:p>
        </w:tc>
        <w:tc>
          <w:tcPr>
            <w:tcW w:w="1286" w:type="dxa"/>
            <w:gridSpan w:val="2"/>
            <w:tcBorders>
              <w:top w:val="nil"/>
              <w:left w:val="nil"/>
              <w:bottom w:val="nil"/>
              <w:right w:val="nil"/>
            </w:tcBorders>
            <w:vAlign w:val="center"/>
          </w:tcPr>
          <w:p w14:paraId="6CAAE162" w14:textId="77777777" w:rsidR="00537501" w:rsidRDefault="00537501">
            <w:pPr>
              <w:widowControl/>
              <w:spacing w:line="240" w:lineRule="auto"/>
              <w:ind w:firstLineChars="0" w:firstLine="0"/>
              <w:jc w:val="left"/>
              <w:rPr>
                <w:rFonts w:ascii="Calibri" w:eastAsia="宋体" w:hAnsi="Calibri" w:cs="宋体"/>
                <w:bCs/>
                <w:kern w:val="0"/>
                <w:sz w:val="21"/>
                <w:szCs w:val="21"/>
              </w:rPr>
            </w:pPr>
          </w:p>
        </w:tc>
      </w:tr>
    </w:tbl>
    <w:p w14:paraId="65099FCB" w14:textId="77777777" w:rsidR="00537501" w:rsidRDefault="00537501">
      <w:pPr>
        <w:pStyle w:val="a0"/>
      </w:pPr>
    </w:p>
    <w:sectPr w:rsidR="00537501">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1800" w:left="144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9CA6" w14:textId="77777777" w:rsidR="00C279B6" w:rsidRDefault="00C279B6">
      <w:pPr>
        <w:spacing w:line="240" w:lineRule="auto"/>
        <w:ind w:firstLine="480"/>
      </w:pPr>
      <w:r>
        <w:separator/>
      </w:r>
    </w:p>
  </w:endnote>
  <w:endnote w:type="continuationSeparator" w:id="0">
    <w:p w14:paraId="1A214C27" w14:textId="77777777" w:rsidR="00C279B6" w:rsidRDefault="00C279B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ÎSå">
    <w:altName w:val="Arial"/>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F8BD" w14:textId="77777777" w:rsidR="00537501" w:rsidRDefault="00000000">
    <w:pPr>
      <w:pStyle w:val="a7"/>
      <w:ind w:leftChars="200" w:left="480" w:firstLine="560"/>
      <w:jc w:val="center"/>
      <w:rPr>
        <w:rFonts w:ascii="宋体" w:hAnsi="宋体" w:hint="eastAsia"/>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8CB0" w14:textId="77777777" w:rsidR="00537501" w:rsidRDefault="00000000">
    <w:pPr>
      <w:pStyle w:val="a7"/>
      <w:ind w:rightChars="200" w:right="480" w:firstLine="560"/>
      <w:jc w:val="center"/>
      <w:rPr>
        <w:rFonts w:ascii="宋体" w:hAnsi="宋体" w:hint="eastAsia"/>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2965" w14:textId="77777777" w:rsidR="00537501" w:rsidRDefault="00537501">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6D2F" w14:textId="77777777" w:rsidR="00537501" w:rsidRDefault="00537501">
    <w:pPr>
      <w:pStyle w:val="a7"/>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86D2" w14:textId="77777777" w:rsidR="00537501" w:rsidRDefault="00000000">
    <w:pPr>
      <w:pStyle w:val="a7"/>
      <w:spacing w:before="120" w:after="120"/>
      <w:ind w:firstLine="360"/>
      <w:jc w:val="center"/>
    </w:pPr>
    <w:r>
      <w:fldChar w:fldCharType="begin"/>
    </w:r>
    <w:r>
      <w:instrText>PAGE   \* MERGEFORMAT</w:instrText>
    </w:r>
    <w:r>
      <w:fldChar w:fldCharType="separate"/>
    </w:r>
    <w:r>
      <w:rPr>
        <w:lang w:val="zh-CN"/>
      </w:rPr>
      <w:t>2</w:t>
    </w:r>
    <w:r>
      <w:fldChar w:fldCharType="end"/>
    </w:r>
  </w:p>
  <w:p w14:paraId="67DC0E70" w14:textId="77777777" w:rsidR="00537501" w:rsidRDefault="00537501">
    <w:pPr>
      <w:pStyle w:val="a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0EEA" w14:textId="77777777" w:rsidR="00537501" w:rsidRDefault="00537501">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0F69" w14:textId="77777777" w:rsidR="00C279B6" w:rsidRDefault="00C279B6">
      <w:pPr>
        <w:ind w:firstLine="480"/>
      </w:pPr>
      <w:r>
        <w:separator/>
      </w:r>
    </w:p>
  </w:footnote>
  <w:footnote w:type="continuationSeparator" w:id="0">
    <w:p w14:paraId="5A9B4205" w14:textId="77777777" w:rsidR="00C279B6" w:rsidRDefault="00C279B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F312" w14:textId="77777777" w:rsidR="00537501" w:rsidRDefault="00537501">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F246" w14:textId="77777777" w:rsidR="00537501" w:rsidRDefault="00537501">
    <w:pPr>
      <w:pStyle w:val="a8"/>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A97E" w14:textId="77777777" w:rsidR="00537501" w:rsidRDefault="00537501">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FC62" w14:textId="77777777" w:rsidR="00537501" w:rsidRDefault="00537501">
    <w:pPr>
      <w:pStyle w:val="a8"/>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0B9F" w14:textId="77777777" w:rsidR="00537501" w:rsidRDefault="00537501">
    <w:pPr>
      <w:pStyle w:val="a8"/>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C4A4" w14:textId="77777777" w:rsidR="00537501" w:rsidRDefault="00537501">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2280"/>
    <w:multiLevelType w:val="singleLevel"/>
    <w:tmpl w:val="3B762280"/>
    <w:lvl w:ilvl="0">
      <w:start w:val="1"/>
      <w:numFmt w:val="decimal"/>
      <w:lvlText w:val="%1."/>
      <w:lvlJc w:val="left"/>
      <w:pPr>
        <w:tabs>
          <w:tab w:val="left" w:pos="312"/>
        </w:tabs>
      </w:pPr>
    </w:lvl>
  </w:abstractNum>
  <w:abstractNum w:abstractNumId="1" w15:restartNumberingAfterBreak="0">
    <w:nsid w:val="3D0116E0"/>
    <w:multiLevelType w:val="multilevel"/>
    <w:tmpl w:val="3D0116E0"/>
    <w:lvl w:ilvl="0">
      <w:start w:val="1"/>
      <w:numFmt w:val="japaneseCounting"/>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250E27"/>
    <w:multiLevelType w:val="multilevel"/>
    <w:tmpl w:val="77250E27"/>
    <w:lvl w:ilvl="0">
      <w:start w:val="1"/>
      <w:numFmt w:val="decimal"/>
      <w:pStyle w:val="10"/>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922F2A"/>
    <w:multiLevelType w:val="multilevel"/>
    <w:tmpl w:val="7D922F2A"/>
    <w:lvl w:ilvl="0">
      <w:start w:val="1"/>
      <w:numFmt w:val="decimal"/>
      <w:pStyle w:val="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935087959">
    <w:abstractNumId w:val="3"/>
  </w:num>
  <w:num w:numId="2" w16cid:durableId="1707636399">
    <w:abstractNumId w:val="1"/>
  </w:num>
  <w:num w:numId="3" w16cid:durableId="1584297689">
    <w:abstractNumId w:val="2"/>
  </w:num>
  <w:num w:numId="4" w16cid:durableId="195817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zN2Q5NjE2MTg4ZGYzNDI4ZWM5MDg2NjE5NTM4ZTMifQ=="/>
  </w:docVars>
  <w:rsids>
    <w:rsidRoot w:val="4F5C24C6"/>
    <w:rsid w:val="0002014A"/>
    <w:rsid w:val="00044DD1"/>
    <w:rsid w:val="00070521"/>
    <w:rsid w:val="00070C05"/>
    <w:rsid w:val="00071597"/>
    <w:rsid w:val="000771C1"/>
    <w:rsid w:val="000824CD"/>
    <w:rsid w:val="00085582"/>
    <w:rsid w:val="00087083"/>
    <w:rsid w:val="0009395E"/>
    <w:rsid w:val="00097B91"/>
    <w:rsid w:val="000A36EB"/>
    <w:rsid w:val="000B47E6"/>
    <w:rsid w:val="00110917"/>
    <w:rsid w:val="0014490B"/>
    <w:rsid w:val="00165E57"/>
    <w:rsid w:val="001673FB"/>
    <w:rsid w:val="001B52BD"/>
    <w:rsid w:val="001C14EB"/>
    <w:rsid w:val="001D21C0"/>
    <w:rsid w:val="001E5999"/>
    <w:rsid w:val="00200DA1"/>
    <w:rsid w:val="00207F37"/>
    <w:rsid w:val="00247EFC"/>
    <w:rsid w:val="00254F45"/>
    <w:rsid w:val="002B1DCC"/>
    <w:rsid w:val="002C1ABF"/>
    <w:rsid w:val="002D5952"/>
    <w:rsid w:val="002F448E"/>
    <w:rsid w:val="002F69C7"/>
    <w:rsid w:val="00305202"/>
    <w:rsid w:val="003132FA"/>
    <w:rsid w:val="00360D5C"/>
    <w:rsid w:val="003A4453"/>
    <w:rsid w:val="003C6795"/>
    <w:rsid w:val="003D44DF"/>
    <w:rsid w:val="003D7D8E"/>
    <w:rsid w:val="00410F1E"/>
    <w:rsid w:val="00411AE3"/>
    <w:rsid w:val="00423EE4"/>
    <w:rsid w:val="00435205"/>
    <w:rsid w:val="004A5F00"/>
    <w:rsid w:val="004C09A5"/>
    <w:rsid w:val="004C6AC5"/>
    <w:rsid w:val="004C7A01"/>
    <w:rsid w:val="004E0EA1"/>
    <w:rsid w:val="005003B7"/>
    <w:rsid w:val="00522F7D"/>
    <w:rsid w:val="00537501"/>
    <w:rsid w:val="00562470"/>
    <w:rsid w:val="00576147"/>
    <w:rsid w:val="005948DD"/>
    <w:rsid w:val="00596AB3"/>
    <w:rsid w:val="005A4073"/>
    <w:rsid w:val="006050F0"/>
    <w:rsid w:val="00620864"/>
    <w:rsid w:val="00640C08"/>
    <w:rsid w:val="00642587"/>
    <w:rsid w:val="00662D0B"/>
    <w:rsid w:val="00665BE8"/>
    <w:rsid w:val="00694E07"/>
    <w:rsid w:val="00700472"/>
    <w:rsid w:val="00735198"/>
    <w:rsid w:val="00746E3D"/>
    <w:rsid w:val="007618AF"/>
    <w:rsid w:val="0076558F"/>
    <w:rsid w:val="007868EE"/>
    <w:rsid w:val="007877F2"/>
    <w:rsid w:val="007E127F"/>
    <w:rsid w:val="007E4945"/>
    <w:rsid w:val="0080696F"/>
    <w:rsid w:val="00807947"/>
    <w:rsid w:val="00841684"/>
    <w:rsid w:val="00865C13"/>
    <w:rsid w:val="008957E7"/>
    <w:rsid w:val="008C06F1"/>
    <w:rsid w:val="008C20DE"/>
    <w:rsid w:val="008C4C21"/>
    <w:rsid w:val="008C6CCD"/>
    <w:rsid w:val="008E4F16"/>
    <w:rsid w:val="008F7BD4"/>
    <w:rsid w:val="009030A3"/>
    <w:rsid w:val="00903491"/>
    <w:rsid w:val="009110E5"/>
    <w:rsid w:val="009877E9"/>
    <w:rsid w:val="009D654A"/>
    <w:rsid w:val="009E313D"/>
    <w:rsid w:val="009E6518"/>
    <w:rsid w:val="009F503B"/>
    <w:rsid w:val="00A04973"/>
    <w:rsid w:val="00A126F2"/>
    <w:rsid w:val="00A21C5B"/>
    <w:rsid w:val="00A253B8"/>
    <w:rsid w:val="00A30975"/>
    <w:rsid w:val="00A678CE"/>
    <w:rsid w:val="00A83E1F"/>
    <w:rsid w:val="00A97751"/>
    <w:rsid w:val="00AC43B6"/>
    <w:rsid w:val="00AE19AF"/>
    <w:rsid w:val="00AF1E4F"/>
    <w:rsid w:val="00AF36D5"/>
    <w:rsid w:val="00B234CC"/>
    <w:rsid w:val="00B34BF5"/>
    <w:rsid w:val="00B54603"/>
    <w:rsid w:val="00BD775C"/>
    <w:rsid w:val="00BD7A8D"/>
    <w:rsid w:val="00BF4F5D"/>
    <w:rsid w:val="00C22CAC"/>
    <w:rsid w:val="00C279B6"/>
    <w:rsid w:val="00C4378B"/>
    <w:rsid w:val="00C43DF2"/>
    <w:rsid w:val="00C63ACB"/>
    <w:rsid w:val="00C76481"/>
    <w:rsid w:val="00C90B9C"/>
    <w:rsid w:val="00CA2EA9"/>
    <w:rsid w:val="00CA4F5B"/>
    <w:rsid w:val="00CC21B9"/>
    <w:rsid w:val="00CE64B7"/>
    <w:rsid w:val="00D63452"/>
    <w:rsid w:val="00D754E7"/>
    <w:rsid w:val="00D963A1"/>
    <w:rsid w:val="00DB603E"/>
    <w:rsid w:val="00DC1036"/>
    <w:rsid w:val="00DF2DAC"/>
    <w:rsid w:val="00E61805"/>
    <w:rsid w:val="00E646F8"/>
    <w:rsid w:val="00E651E2"/>
    <w:rsid w:val="00E67B46"/>
    <w:rsid w:val="00E716A4"/>
    <w:rsid w:val="00E75C05"/>
    <w:rsid w:val="00E76063"/>
    <w:rsid w:val="00E763AC"/>
    <w:rsid w:val="00EA1E51"/>
    <w:rsid w:val="00EA2970"/>
    <w:rsid w:val="00EE176B"/>
    <w:rsid w:val="00EE5066"/>
    <w:rsid w:val="00EF4350"/>
    <w:rsid w:val="00F32333"/>
    <w:rsid w:val="00F45F4B"/>
    <w:rsid w:val="00F53A12"/>
    <w:rsid w:val="00F56FCA"/>
    <w:rsid w:val="00F846F2"/>
    <w:rsid w:val="00FB72D8"/>
    <w:rsid w:val="01233D34"/>
    <w:rsid w:val="0256755B"/>
    <w:rsid w:val="02E114CE"/>
    <w:rsid w:val="05252F96"/>
    <w:rsid w:val="09287AB6"/>
    <w:rsid w:val="09C03236"/>
    <w:rsid w:val="0A09210B"/>
    <w:rsid w:val="0A5E06E5"/>
    <w:rsid w:val="0B1D6794"/>
    <w:rsid w:val="0E0D4FDC"/>
    <w:rsid w:val="0FE00D92"/>
    <w:rsid w:val="10485547"/>
    <w:rsid w:val="10EE0272"/>
    <w:rsid w:val="11F46CDE"/>
    <w:rsid w:val="131865CD"/>
    <w:rsid w:val="14CE633A"/>
    <w:rsid w:val="14F271EE"/>
    <w:rsid w:val="1AA2738A"/>
    <w:rsid w:val="1F1B182C"/>
    <w:rsid w:val="204C04C4"/>
    <w:rsid w:val="20832935"/>
    <w:rsid w:val="244B0A94"/>
    <w:rsid w:val="257C5818"/>
    <w:rsid w:val="2A967AA0"/>
    <w:rsid w:val="2B501376"/>
    <w:rsid w:val="2BEB6DE3"/>
    <w:rsid w:val="2D742490"/>
    <w:rsid w:val="303147D8"/>
    <w:rsid w:val="3AD2144E"/>
    <w:rsid w:val="416B3B3A"/>
    <w:rsid w:val="42C71A9E"/>
    <w:rsid w:val="42D33864"/>
    <w:rsid w:val="4554734F"/>
    <w:rsid w:val="4C387D9F"/>
    <w:rsid w:val="4F551598"/>
    <w:rsid w:val="4F5C24C6"/>
    <w:rsid w:val="4FBC621D"/>
    <w:rsid w:val="56E85645"/>
    <w:rsid w:val="5B065511"/>
    <w:rsid w:val="5F1F0F92"/>
    <w:rsid w:val="5FC72BEE"/>
    <w:rsid w:val="630E1F93"/>
    <w:rsid w:val="640D3680"/>
    <w:rsid w:val="64722EF6"/>
    <w:rsid w:val="65493C57"/>
    <w:rsid w:val="656E32CD"/>
    <w:rsid w:val="666845B1"/>
    <w:rsid w:val="6803069B"/>
    <w:rsid w:val="69F27468"/>
    <w:rsid w:val="6BFD527D"/>
    <w:rsid w:val="6E757032"/>
    <w:rsid w:val="766A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C0542"/>
  <w15:docId w15:val="{1D5A77D6-0094-444F-BB33-6A3B83AD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nhideWhenUsed="1" w:qFormat="1"/>
    <w:lsdException w:name="footer"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Indent 2" w:qFormat="1"/>
    <w:lsdException w:name="Body Text Indent 3"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ind w:firstLineChars="200" w:firstLine="200"/>
      <w:jc w:val="both"/>
    </w:pPr>
    <w:rPr>
      <w:rFonts w:eastAsia="仿宋"/>
      <w:kern w:val="2"/>
      <w:sz w:val="24"/>
      <w:szCs w:val="24"/>
    </w:rPr>
  </w:style>
  <w:style w:type="paragraph" w:styleId="11">
    <w:name w:val="heading 1"/>
    <w:basedOn w:val="a"/>
    <w:next w:val="a"/>
    <w:autoRedefine/>
    <w:uiPriority w:val="9"/>
    <w:qFormat/>
    <w:pPr>
      <w:keepNext/>
      <w:keepLines/>
      <w:widowControl/>
      <w:numPr>
        <w:numId w:val="1"/>
      </w:numPr>
      <w:spacing w:line="500" w:lineRule="atLeast"/>
      <w:ind w:firstLineChars="0" w:firstLine="0"/>
      <w:jc w:val="center"/>
      <w:outlineLvl w:val="0"/>
    </w:pPr>
    <w:rPr>
      <w:b/>
      <w:bCs/>
      <w:kern w:val="44"/>
      <w:sz w:val="28"/>
    </w:rPr>
  </w:style>
  <w:style w:type="paragraph" w:styleId="2">
    <w:name w:val="heading 2"/>
    <w:basedOn w:val="a"/>
    <w:next w:val="a"/>
    <w:autoRedefine/>
    <w:uiPriority w:val="99"/>
    <w:unhideWhenUsed/>
    <w:qFormat/>
    <w:pPr>
      <w:autoSpaceDE w:val="0"/>
      <w:autoSpaceDN w:val="0"/>
      <w:spacing w:line="500" w:lineRule="exact"/>
      <w:ind w:firstLineChars="0" w:firstLine="0"/>
      <w:jc w:val="left"/>
      <w:outlineLvl w:val="1"/>
    </w:pPr>
    <w:rPr>
      <w:rFonts w:cs="宋体"/>
      <w:b/>
      <w:bCs/>
      <w:kern w:val="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autoRedefine/>
    <w:uiPriority w:val="99"/>
    <w:unhideWhenUsed/>
    <w:qFormat/>
    <w:pPr>
      <w:spacing w:line="560" w:lineRule="exact"/>
      <w:ind w:firstLine="600"/>
    </w:pPr>
    <w:rPr>
      <w:sz w:val="30"/>
      <w:szCs w:val="30"/>
    </w:rPr>
  </w:style>
  <w:style w:type="paragraph" w:styleId="a4">
    <w:name w:val="Plain Text"/>
    <w:basedOn w:val="a"/>
    <w:autoRedefine/>
    <w:uiPriority w:val="99"/>
    <w:unhideWhenUsed/>
    <w:qFormat/>
    <w:rPr>
      <w:rFonts w:ascii="宋体" w:hAnsi="Courier New"/>
      <w:kern w:val="0"/>
      <w:sz w:val="20"/>
      <w:szCs w:val="20"/>
    </w:rPr>
  </w:style>
  <w:style w:type="paragraph" w:styleId="a5">
    <w:name w:val="annotation text"/>
    <w:basedOn w:val="a"/>
    <w:link w:val="a6"/>
    <w:autoRedefine/>
    <w:uiPriority w:val="99"/>
    <w:unhideWhenUsed/>
    <w:qFormat/>
    <w:pPr>
      <w:jc w:val="left"/>
    </w:pPr>
  </w:style>
  <w:style w:type="paragraph" w:styleId="20">
    <w:name w:val="Body Text Indent 2"/>
    <w:basedOn w:val="a"/>
    <w:link w:val="21"/>
    <w:qFormat/>
    <w:pPr>
      <w:spacing w:after="120" w:line="480" w:lineRule="auto"/>
      <w:ind w:leftChars="200" w:left="420"/>
    </w:pPr>
  </w:style>
  <w:style w:type="paragraph" w:styleId="a7">
    <w:name w:val="footer"/>
    <w:basedOn w:val="a"/>
    <w:autoRedefine/>
    <w:unhideWhenUsed/>
    <w:qFormat/>
    <w:pPr>
      <w:tabs>
        <w:tab w:val="center" w:pos="4153"/>
        <w:tab w:val="right" w:pos="8306"/>
      </w:tabs>
      <w:snapToGrid w:val="0"/>
      <w:spacing w:line="240" w:lineRule="auto"/>
      <w:jc w:val="left"/>
    </w:pPr>
    <w:rPr>
      <w:sz w:val="18"/>
      <w:szCs w:val="18"/>
    </w:rPr>
  </w:style>
  <w:style w:type="paragraph" w:styleId="a8">
    <w:name w:val="header"/>
    <w:basedOn w:val="a"/>
    <w:link w:val="a9"/>
    <w:autoRedefine/>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3">
    <w:name w:val="Body Text Indent 3"/>
    <w:basedOn w:val="a"/>
    <w:autoRedefine/>
    <w:qFormat/>
    <w:pPr>
      <w:spacing w:beforeLines="25" w:afterLines="25" w:line="500" w:lineRule="exact"/>
      <w:ind w:firstLine="480"/>
    </w:pPr>
    <w:rPr>
      <w:rFonts w:ascii="仿宋_GB2312" w:eastAsia="仿宋_GB2312" w:hAnsi="宋体"/>
      <w:bCs/>
      <w:szCs w:val="28"/>
    </w:rPr>
  </w:style>
  <w:style w:type="paragraph" w:styleId="aa">
    <w:name w:val="annotation subject"/>
    <w:basedOn w:val="a5"/>
    <w:next w:val="a5"/>
    <w:link w:val="ab"/>
    <w:autoRedefine/>
    <w:qFormat/>
    <w:rPr>
      <w:b/>
      <w:bCs/>
    </w:rPr>
  </w:style>
  <w:style w:type="table" w:styleId="ac">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autoRedefine/>
    <w:qFormat/>
    <w:rPr>
      <w:b/>
    </w:rPr>
  </w:style>
  <w:style w:type="character" w:styleId="ae">
    <w:name w:val="Hyperlink"/>
    <w:basedOn w:val="a1"/>
    <w:autoRedefine/>
    <w:uiPriority w:val="99"/>
    <w:unhideWhenUsed/>
    <w:qFormat/>
    <w:rPr>
      <w:color w:val="0000FF"/>
      <w:u w:val="single"/>
    </w:rPr>
  </w:style>
  <w:style w:type="character" w:styleId="af">
    <w:name w:val="annotation reference"/>
    <w:basedOn w:val="a1"/>
    <w:autoRedefine/>
    <w:uiPriority w:val="99"/>
    <w:unhideWhenUsed/>
    <w:qFormat/>
    <w:rPr>
      <w:sz w:val="21"/>
      <w:szCs w:val="21"/>
    </w:rPr>
  </w:style>
  <w:style w:type="paragraph" w:customStyle="1" w:styleId="1">
    <w:name w:val="标题1"/>
    <w:basedOn w:val="11"/>
    <w:autoRedefine/>
    <w:qFormat/>
    <w:pPr>
      <w:numPr>
        <w:numId w:val="2"/>
      </w:numPr>
      <w:spacing w:beforeLines="50" w:afterLines="50" w:line="360" w:lineRule="auto"/>
      <w:jc w:val="left"/>
    </w:pPr>
    <w:rPr>
      <w:rFonts w:ascii="宋体" w:eastAsia="宋体" w:hAnsi="宋体"/>
      <w:bCs w:val="0"/>
    </w:rPr>
  </w:style>
  <w:style w:type="paragraph" w:customStyle="1" w:styleId="10">
    <w:name w:val="正文1"/>
    <w:basedOn w:val="af0"/>
    <w:autoRedefine/>
    <w:qFormat/>
    <w:pPr>
      <w:numPr>
        <w:numId w:val="3"/>
      </w:numPr>
      <w:tabs>
        <w:tab w:val="left" w:pos="900"/>
      </w:tabs>
      <w:overflowPunct w:val="0"/>
      <w:ind w:left="0" w:firstLine="200"/>
    </w:pPr>
    <w:rPr>
      <w:rFonts w:eastAsia="宋体"/>
    </w:rPr>
  </w:style>
  <w:style w:type="paragraph" w:styleId="af0">
    <w:name w:val="List Paragraph"/>
    <w:basedOn w:val="a"/>
    <w:autoRedefine/>
    <w:uiPriority w:val="34"/>
    <w:qFormat/>
    <w:pPr>
      <w:ind w:firstLine="420"/>
    </w:pPr>
  </w:style>
  <w:style w:type="character" w:customStyle="1" w:styleId="Char">
    <w:name w:val="报告正文 Char"/>
    <w:basedOn w:val="a1"/>
    <w:autoRedefine/>
    <w:qFormat/>
    <w:rPr>
      <w:rFonts w:ascii="Times New Roman" w:eastAsia="宋体" w:hAnsi="Times New Roman" w:cs="宋体"/>
      <w:bCs/>
      <w:sz w:val="24"/>
      <w:szCs w:val="24"/>
    </w:rPr>
  </w:style>
  <w:style w:type="paragraph" w:customStyle="1" w:styleId="af1">
    <w:name w:val="报告正文"/>
    <w:basedOn w:val="a"/>
    <w:autoRedefine/>
    <w:qFormat/>
    <w:pPr>
      <w:adjustRightInd w:val="0"/>
      <w:snapToGrid w:val="0"/>
      <w:spacing w:line="500" w:lineRule="exact"/>
    </w:pPr>
    <w:rPr>
      <w:szCs w:val="22"/>
    </w:rPr>
  </w:style>
  <w:style w:type="paragraph" w:customStyle="1" w:styleId="22">
    <w:name w:val="标题2"/>
    <w:basedOn w:val="2"/>
    <w:autoRedefine/>
    <w:qFormat/>
    <w:pPr>
      <w:spacing w:beforeLines="50" w:before="120" w:afterLines="50" w:after="120" w:line="560" w:lineRule="exact"/>
    </w:pPr>
    <w:rPr>
      <w:rFonts w:ascii="黑体" w:eastAsia="黑体" w:hAnsi="黑体" w:cs="Times New Roman"/>
      <w:b w:val="0"/>
      <w:bCs w:val="0"/>
      <w:sz w:val="34"/>
      <w:szCs w:val="34"/>
    </w:rPr>
  </w:style>
  <w:style w:type="character" w:customStyle="1" w:styleId="a6">
    <w:name w:val="批注文字 字符"/>
    <w:basedOn w:val="a1"/>
    <w:link w:val="a5"/>
    <w:autoRedefine/>
    <w:uiPriority w:val="99"/>
    <w:qFormat/>
    <w:rPr>
      <w:rFonts w:eastAsia="仿宋"/>
      <w:kern w:val="2"/>
      <w:sz w:val="24"/>
      <w:szCs w:val="24"/>
    </w:rPr>
  </w:style>
  <w:style w:type="character" w:customStyle="1" w:styleId="ab">
    <w:name w:val="批注主题 字符"/>
    <w:basedOn w:val="a6"/>
    <w:link w:val="aa"/>
    <w:autoRedefine/>
    <w:qFormat/>
    <w:rPr>
      <w:rFonts w:eastAsia="仿宋"/>
      <w:b/>
      <w:bCs/>
      <w:kern w:val="2"/>
      <w:sz w:val="24"/>
      <w:szCs w:val="24"/>
    </w:rPr>
  </w:style>
  <w:style w:type="paragraph" w:customStyle="1" w:styleId="08">
    <w:name w:val="08表格文字"/>
    <w:basedOn w:val="a"/>
    <w:autoRedefine/>
    <w:qFormat/>
    <w:pPr>
      <w:spacing w:line="240" w:lineRule="auto"/>
      <w:jc w:val="center"/>
    </w:pPr>
    <w:rPr>
      <w:rFonts w:eastAsia="仿宋_GB2312"/>
      <w:kern w:val="0"/>
      <w:szCs w:val="28"/>
    </w:rPr>
  </w:style>
  <w:style w:type="table" w:customStyle="1" w:styleId="NJUAE">
    <w:name w:val="NJUAE"/>
    <w:basedOn w:val="a2"/>
    <w:autoRedefine/>
    <w:uiPriority w:val="99"/>
    <w:qFormat/>
    <w:pPr>
      <w:adjustRightInd w:val="0"/>
      <w:snapToGrid w:val="0"/>
      <w:jc w:val="both"/>
    </w:pPr>
    <w:rPr>
      <w:sz w:val="21"/>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12">
    <w:name w:val="列出段落1"/>
    <w:basedOn w:val="a"/>
    <w:autoRedefine/>
    <w:uiPriority w:val="34"/>
    <w:qFormat/>
    <w:pPr>
      <w:ind w:firstLine="420"/>
    </w:pPr>
  </w:style>
  <w:style w:type="character" w:customStyle="1" w:styleId="a9">
    <w:name w:val="页眉 字符"/>
    <w:link w:val="a8"/>
    <w:qFormat/>
    <w:rPr>
      <w:rFonts w:eastAsia="仿宋"/>
      <w:kern w:val="2"/>
      <w:sz w:val="18"/>
      <w:szCs w:val="18"/>
    </w:rPr>
  </w:style>
  <w:style w:type="character" w:customStyle="1" w:styleId="21">
    <w:name w:val="正文文本缩进 2 字符"/>
    <w:basedOn w:val="a1"/>
    <w:link w:val="20"/>
    <w:qFormat/>
    <w:rPr>
      <w:rFonts w:eastAsia="仿宋"/>
      <w:kern w:val="2"/>
      <w:sz w:val="24"/>
      <w:szCs w:val="24"/>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19</Pages>
  <Words>1300</Words>
  <Characters>7412</Characters>
  <Application>Microsoft Office Word</Application>
  <DocSecurity>0</DocSecurity>
  <Lines>61</Lines>
  <Paragraphs>17</Paragraphs>
  <ScaleCrop>false</ScaleCrop>
  <Company>Microsoft</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101</cp:revision>
  <dcterms:created xsi:type="dcterms:W3CDTF">2021-06-25T03:47:00Z</dcterms:created>
  <dcterms:modified xsi:type="dcterms:W3CDTF">2025-11-26T05:45:00Z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0292B77FBE924D479B74D3FD0A92FE71_13</vt:lpwstr>
  </property>
  <property fmtid="{D5CDD505-2E9C-101B-9397-08002B2CF9AE}" pid="4" name="KSOTemplateDocerSaveRecord">
    <vt:lpwstr>eyJoZGlkIjoiZTgzN2Q5NjE2MTg4ZGYzNDI4ZWM5MDg2NjE5NTM4ZTMiLCJ1c2VySWQiOiIzMTQyNzg4MDEifQ==</vt:lpwstr>
  </property>
</Properties>
</file>