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6BDF03">
      <w:pPr>
        <w:jc w:val="center"/>
        <w:rPr>
          <w:rFonts w:hint="default" w:ascii="楷体" w:hAnsi="楷体" w:eastAsia="楷体" w:cs="楷体"/>
          <w:b w:val="0"/>
          <w:color w:val="000000"/>
          <w:sz w:val="21"/>
          <w:szCs w:val="24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color w:val="000000"/>
          <w:sz w:val="32"/>
          <w:szCs w:val="32"/>
          <w:lang w:val="en-US" w:eastAsia="zh-CN" w:bidi="ar-SA"/>
        </w:rPr>
        <w:t>索普新材料80万吨硫酸迁建及配套工程总承包（EPC)项目35KV变电所工程塔吊租赁报价清单</w:t>
      </w:r>
    </w:p>
    <w:tbl>
      <w:tblPr>
        <w:tblStyle w:val="4"/>
        <w:tblpPr w:leftFromText="180" w:rightFromText="180" w:vertAnchor="text" w:horzAnchor="page" w:tblpXSpec="center" w:tblpY="587"/>
        <w:tblOverlap w:val="never"/>
        <w:tblW w:w="13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2180"/>
        <w:gridCol w:w="4847"/>
        <w:gridCol w:w="760"/>
        <w:gridCol w:w="1000"/>
        <w:gridCol w:w="930"/>
        <w:gridCol w:w="1230"/>
        <w:gridCol w:w="2410"/>
      </w:tblGrid>
      <w:tr w14:paraId="267BF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638" w:type="dxa"/>
            <w:vMerge w:val="restart"/>
            <w:noWrap w:val="0"/>
            <w:vAlign w:val="center"/>
          </w:tcPr>
          <w:p w14:paraId="098CF840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180" w:type="dxa"/>
            <w:vMerge w:val="restart"/>
            <w:noWrap w:val="0"/>
            <w:vAlign w:val="center"/>
          </w:tcPr>
          <w:p w14:paraId="49D2DAC8"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4847" w:type="dxa"/>
            <w:vMerge w:val="restart"/>
            <w:noWrap w:val="0"/>
            <w:vAlign w:val="center"/>
          </w:tcPr>
          <w:p w14:paraId="65D1FB03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项目特征描述</w:t>
            </w:r>
          </w:p>
        </w:tc>
        <w:tc>
          <w:tcPr>
            <w:tcW w:w="760" w:type="dxa"/>
            <w:vMerge w:val="restart"/>
            <w:noWrap w:val="0"/>
            <w:vAlign w:val="center"/>
          </w:tcPr>
          <w:p w14:paraId="29A97654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1000" w:type="dxa"/>
            <w:vMerge w:val="restart"/>
            <w:noWrap w:val="0"/>
            <w:vAlign w:val="center"/>
          </w:tcPr>
          <w:p w14:paraId="6D93A289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暂估工程量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305E9652"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含税金额（元）</w:t>
            </w:r>
          </w:p>
        </w:tc>
        <w:tc>
          <w:tcPr>
            <w:tcW w:w="2410" w:type="dxa"/>
            <w:vMerge w:val="restart"/>
            <w:noWrap w:val="0"/>
            <w:vAlign w:val="center"/>
          </w:tcPr>
          <w:p w14:paraId="682A45D8"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备注</w:t>
            </w:r>
          </w:p>
        </w:tc>
      </w:tr>
      <w:tr w14:paraId="30200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638" w:type="dxa"/>
            <w:vMerge w:val="continue"/>
            <w:noWrap w:val="0"/>
            <w:vAlign w:val="center"/>
          </w:tcPr>
          <w:p w14:paraId="5B194113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180" w:type="dxa"/>
            <w:vMerge w:val="continue"/>
            <w:noWrap w:val="0"/>
            <w:vAlign w:val="center"/>
          </w:tcPr>
          <w:p w14:paraId="5C758575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4847" w:type="dxa"/>
            <w:vMerge w:val="continue"/>
            <w:noWrap w:val="0"/>
            <w:vAlign w:val="center"/>
          </w:tcPr>
          <w:p w14:paraId="1A71C885"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760" w:type="dxa"/>
            <w:vMerge w:val="continue"/>
            <w:noWrap w:val="0"/>
            <w:vAlign w:val="center"/>
          </w:tcPr>
          <w:p w14:paraId="7AC081CB"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vMerge w:val="continue"/>
            <w:noWrap w:val="0"/>
            <w:vAlign w:val="center"/>
          </w:tcPr>
          <w:p w14:paraId="7C9DD186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noWrap w:val="0"/>
            <w:vAlign w:val="center"/>
          </w:tcPr>
          <w:p w14:paraId="7FF33A3A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综合单价</w:t>
            </w:r>
          </w:p>
        </w:tc>
        <w:tc>
          <w:tcPr>
            <w:tcW w:w="1230" w:type="dxa"/>
            <w:noWrap w:val="0"/>
            <w:vAlign w:val="center"/>
          </w:tcPr>
          <w:p w14:paraId="6716631E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合价</w:t>
            </w:r>
          </w:p>
        </w:tc>
        <w:tc>
          <w:tcPr>
            <w:tcW w:w="2410" w:type="dxa"/>
            <w:vMerge w:val="continue"/>
            <w:noWrap w:val="0"/>
            <w:vAlign w:val="center"/>
          </w:tcPr>
          <w:p w14:paraId="3D9B6D84"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7E66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noWrap w:val="0"/>
            <w:vAlign w:val="center"/>
          </w:tcPr>
          <w:p w14:paraId="6D822885">
            <w:pPr>
              <w:tabs>
                <w:tab w:val="left" w:pos="269"/>
              </w:tabs>
              <w:jc w:val="left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ab/>
            </w: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2180" w:type="dxa"/>
            <w:noWrap w:val="0"/>
            <w:vAlign w:val="center"/>
          </w:tcPr>
          <w:p w14:paraId="5BB64687">
            <w:pPr>
              <w:jc w:val="center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QTZ</w:t>
            </w:r>
            <w:r>
              <w:rPr>
                <w:rFonts w:hint="eastAsia" w:ascii="楷体" w:hAnsi="楷体" w:eastAsia="楷体" w:cs="楷体"/>
                <w:b w:val="0"/>
                <w:color w:val="auto"/>
                <w:sz w:val="21"/>
                <w:szCs w:val="24"/>
                <w:highlight w:val="none"/>
                <w:lang w:val="en-US" w:eastAsia="zh-CN" w:bidi="ar-SA"/>
              </w:rPr>
              <w:t>80</w:t>
            </w: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型号塔吊设备月租费及设备操作人员</w:t>
            </w:r>
          </w:p>
        </w:tc>
        <w:tc>
          <w:tcPr>
            <w:tcW w:w="4847" w:type="dxa"/>
            <w:noWrap w:val="0"/>
            <w:vAlign w:val="center"/>
          </w:tcPr>
          <w:p w14:paraId="39811EDC">
            <w:pPr>
              <w:jc w:val="left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60" w:type="dxa"/>
            <w:noWrap w:val="0"/>
            <w:vAlign w:val="center"/>
          </w:tcPr>
          <w:p w14:paraId="3EE8919C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月</w:t>
            </w:r>
          </w:p>
        </w:tc>
        <w:tc>
          <w:tcPr>
            <w:tcW w:w="1000" w:type="dxa"/>
            <w:noWrap w:val="0"/>
            <w:vAlign w:val="center"/>
          </w:tcPr>
          <w:p w14:paraId="66D11BA1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4.33</w:t>
            </w:r>
          </w:p>
        </w:tc>
        <w:tc>
          <w:tcPr>
            <w:tcW w:w="930" w:type="dxa"/>
            <w:noWrap w:val="0"/>
            <w:vAlign w:val="center"/>
          </w:tcPr>
          <w:p w14:paraId="65275E9D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664591C5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5DF9AF6E">
            <w:pPr>
              <w:jc w:val="left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</w:p>
        </w:tc>
      </w:tr>
      <w:tr w14:paraId="66BEA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noWrap w:val="0"/>
            <w:vAlign w:val="center"/>
          </w:tcPr>
          <w:p w14:paraId="4C19E891">
            <w:pPr>
              <w:jc w:val="center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1.1</w:t>
            </w:r>
          </w:p>
        </w:tc>
        <w:tc>
          <w:tcPr>
            <w:tcW w:w="2180" w:type="dxa"/>
            <w:noWrap w:val="0"/>
            <w:vAlign w:val="center"/>
          </w:tcPr>
          <w:p w14:paraId="34B40403">
            <w:pPr>
              <w:jc w:val="center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QTZ</w:t>
            </w:r>
            <w:r>
              <w:rPr>
                <w:rFonts w:hint="eastAsia" w:ascii="楷体" w:hAnsi="楷体" w:eastAsia="楷体" w:cs="楷体"/>
                <w:b w:val="0"/>
                <w:color w:val="auto"/>
                <w:sz w:val="21"/>
                <w:szCs w:val="24"/>
                <w:highlight w:val="none"/>
                <w:lang w:val="en-US" w:eastAsia="zh-CN" w:bidi="ar-SA"/>
              </w:rPr>
              <w:t>80</w:t>
            </w: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型号塔吊设备月租费</w:t>
            </w:r>
          </w:p>
        </w:tc>
        <w:tc>
          <w:tcPr>
            <w:tcW w:w="4847" w:type="dxa"/>
            <w:noWrap w:val="0"/>
            <w:vAlign w:val="center"/>
          </w:tcPr>
          <w:p w14:paraId="7C0D5B3E">
            <w:pPr>
              <w:jc w:val="left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1、所供设备的质量符合国家及省市标准，刷漆后进场安装，三年以内塔吊，租赁方自行申报安监站塔吊系统备案。</w:t>
            </w:r>
          </w:p>
          <w:p w14:paraId="76331876">
            <w:pPr>
              <w:jc w:val="left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2、包含防坠器的安装使用。塔吊司机必须正确使用五点式安全带。</w:t>
            </w:r>
          </w:p>
        </w:tc>
        <w:tc>
          <w:tcPr>
            <w:tcW w:w="760" w:type="dxa"/>
            <w:noWrap w:val="0"/>
            <w:vAlign w:val="center"/>
          </w:tcPr>
          <w:p w14:paraId="64965201">
            <w:pPr>
              <w:jc w:val="center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月</w:t>
            </w:r>
          </w:p>
        </w:tc>
        <w:tc>
          <w:tcPr>
            <w:tcW w:w="1000" w:type="dxa"/>
            <w:noWrap w:val="0"/>
            <w:vAlign w:val="center"/>
          </w:tcPr>
          <w:p w14:paraId="467DF1AC">
            <w:pPr>
              <w:jc w:val="center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4.33</w:t>
            </w:r>
          </w:p>
        </w:tc>
        <w:tc>
          <w:tcPr>
            <w:tcW w:w="930" w:type="dxa"/>
            <w:noWrap w:val="0"/>
            <w:vAlign w:val="center"/>
          </w:tcPr>
          <w:p w14:paraId="66004BD7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03B5550D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770B82E1">
            <w:pPr>
              <w:jc w:val="left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实际费用按日历天结算。（最大工作幅度40米，最大幅度额定起重量1.0吨）</w:t>
            </w:r>
          </w:p>
        </w:tc>
      </w:tr>
      <w:tr w14:paraId="36B84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noWrap w:val="0"/>
            <w:vAlign w:val="center"/>
          </w:tcPr>
          <w:p w14:paraId="02CEACDE">
            <w:pPr>
              <w:jc w:val="center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1.2</w:t>
            </w:r>
          </w:p>
        </w:tc>
        <w:tc>
          <w:tcPr>
            <w:tcW w:w="2180" w:type="dxa"/>
            <w:noWrap w:val="0"/>
            <w:vAlign w:val="center"/>
          </w:tcPr>
          <w:p w14:paraId="231452C3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设备操作人工费（塔吊司机）</w:t>
            </w:r>
          </w:p>
        </w:tc>
        <w:tc>
          <w:tcPr>
            <w:tcW w:w="4847" w:type="dxa"/>
            <w:noWrap w:val="0"/>
            <w:vAlign w:val="center"/>
          </w:tcPr>
          <w:p w14:paraId="55CC66BE">
            <w:pPr>
              <w:jc w:val="left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1、需满足现场施工安排，上下班时间与现场施工时间同步，暂定工作时间为每天6:00~18:00，满足实际12小时工作时间。如遇特殊情况连续加班超过1小时以上，则有甲方支付加班费，每小时按20元计算。遇商品砼施工，施工结束需吊泵管则不计加班，但工作时间不得超过1小时。</w:t>
            </w:r>
          </w:p>
        </w:tc>
        <w:tc>
          <w:tcPr>
            <w:tcW w:w="760" w:type="dxa"/>
            <w:noWrap w:val="0"/>
            <w:vAlign w:val="center"/>
          </w:tcPr>
          <w:p w14:paraId="73C849C4">
            <w:pPr>
              <w:jc w:val="center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天</w:t>
            </w:r>
          </w:p>
        </w:tc>
        <w:tc>
          <w:tcPr>
            <w:tcW w:w="1000" w:type="dxa"/>
            <w:noWrap w:val="0"/>
            <w:vAlign w:val="center"/>
          </w:tcPr>
          <w:p w14:paraId="6590D87F">
            <w:pPr>
              <w:jc w:val="center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130</w:t>
            </w:r>
          </w:p>
        </w:tc>
        <w:tc>
          <w:tcPr>
            <w:tcW w:w="930" w:type="dxa"/>
            <w:noWrap w:val="0"/>
            <w:vAlign w:val="center"/>
          </w:tcPr>
          <w:p w14:paraId="4B1B6BF4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74604A20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4219B704">
            <w:pPr>
              <w:jc w:val="left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需具备特种作业证。意外伤害险保额</w:t>
            </w: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highlight w:val="none"/>
                <w:lang w:val="en-US" w:eastAsia="zh-CN" w:bidi="ar-SA"/>
              </w:rPr>
              <w:t>100万。</w:t>
            </w:r>
          </w:p>
        </w:tc>
      </w:tr>
      <w:tr w14:paraId="7C9C0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638" w:type="dxa"/>
            <w:noWrap w:val="0"/>
            <w:vAlign w:val="center"/>
          </w:tcPr>
          <w:p w14:paraId="77113FC9">
            <w:pPr>
              <w:jc w:val="center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1.3</w:t>
            </w:r>
          </w:p>
        </w:tc>
        <w:tc>
          <w:tcPr>
            <w:tcW w:w="2180" w:type="dxa"/>
            <w:noWrap w:val="0"/>
            <w:vAlign w:val="center"/>
          </w:tcPr>
          <w:p w14:paraId="035B9AF6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设备操作人工费（信号工）</w:t>
            </w:r>
          </w:p>
        </w:tc>
        <w:tc>
          <w:tcPr>
            <w:tcW w:w="4847" w:type="dxa"/>
            <w:noWrap w:val="0"/>
            <w:vAlign w:val="center"/>
          </w:tcPr>
          <w:p w14:paraId="3AA940EA">
            <w:pPr>
              <w:jc w:val="left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同上</w:t>
            </w:r>
            <w:bookmarkStart w:id="0" w:name="_GoBack"/>
            <w:bookmarkEnd w:id="0"/>
          </w:p>
        </w:tc>
        <w:tc>
          <w:tcPr>
            <w:tcW w:w="760" w:type="dxa"/>
            <w:noWrap w:val="0"/>
            <w:vAlign w:val="center"/>
          </w:tcPr>
          <w:p w14:paraId="64E6597E">
            <w:pPr>
              <w:jc w:val="center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天</w:t>
            </w:r>
          </w:p>
        </w:tc>
        <w:tc>
          <w:tcPr>
            <w:tcW w:w="1000" w:type="dxa"/>
            <w:noWrap w:val="0"/>
            <w:vAlign w:val="center"/>
          </w:tcPr>
          <w:p w14:paraId="4A50F320">
            <w:pPr>
              <w:jc w:val="center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130</w:t>
            </w:r>
          </w:p>
        </w:tc>
        <w:tc>
          <w:tcPr>
            <w:tcW w:w="930" w:type="dxa"/>
            <w:noWrap w:val="0"/>
            <w:vAlign w:val="center"/>
          </w:tcPr>
          <w:p w14:paraId="01B40699">
            <w:pPr>
              <w:jc w:val="center"/>
              <w:rPr>
                <w:rFonts w:hint="eastAsia"/>
                <w:lang w:val="en-US" w:eastAsia="zh-CN"/>
              </w:rPr>
            </w:pPr>
          </w:p>
          <w:p w14:paraId="387BCB59">
            <w:pPr>
              <w:pStyle w:val="2"/>
              <w:rPr>
                <w:rFonts w:hint="eastAsia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482B69CF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291D2D2A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同上</w:t>
            </w:r>
          </w:p>
        </w:tc>
      </w:tr>
      <w:tr w14:paraId="7323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noWrap w:val="0"/>
            <w:vAlign w:val="center"/>
          </w:tcPr>
          <w:p w14:paraId="2AF7DA1A">
            <w:pPr>
              <w:jc w:val="center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2180" w:type="dxa"/>
            <w:noWrap w:val="0"/>
            <w:vAlign w:val="center"/>
          </w:tcPr>
          <w:p w14:paraId="30ACFAC3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设备进、退场费</w:t>
            </w:r>
          </w:p>
        </w:tc>
        <w:tc>
          <w:tcPr>
            <w:tcW w:w="4847" w:type="dxa"/>
            <w:noWrap w:val="0"/>
            <w:vAlign w:val="center"/>
          </w:tcPr>
          <w:p w14:paraId="6141CC08">
            <w:pPr>
              <w:jc w:val="left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含基础螺栓预埋件及螺栓定位件，塔吊基础浇筑前到现场复测确认标高水平（进场、出场作为一次）</w:t>
            </w:r>
          </w:p>
        </w:tc>
        <w:tc>
          <w:tcPr>
            <w:tcW w:w="760" w:type="dxa"/>
            <w:noWrap w:val="0"/>
            <w:vAlign w:val="center"/>
          </w:tcPr>
          <w:p w14:paraId="0357E807">
            <w:pPr>
              <w:jc w:val="center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次</w:t>
            </w:r>
          </w:p>
        </w:tc>
        <w:tc>
          <w:tcPr>
            <w:tcW w:w="1000" w:type="dxa"/>
            <w:noWrap w:val="0"/>
            <w:vAlign w:val="center"/>
          </w:tcPr>
          <w:p w14:paraId="52A71B3D">
            <w:pPr>
              <w:jc w:val="center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2B57D234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0FC7865D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29F89D11">
            <w:pPr>
              <w:jc w:val="both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通过安监系统塔吊备案正式启用作为进场时间。</w:t>
            </w:r>
          </w:p>
        </w:tc>
      </w:tr>
      <w:tr w14:paraId="07531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8" w:type="dxa"/>
            <w:noWrap w:val="0"/>
            <w:vAlign w:val="center"/>
          </w:tcPr>
          <w:p w14:paraId="74434BF3">
            <w:pPr>
              <w:jc w:val="center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2180" w:type="dxa"/>
            <w:noWrap w:val="0"/>
            <w:vAlign w:val="center"/>
          </w:tcPr>
          <w:p w14:paraId="1A3759A5">
            <w:pPr>
              <w:jc w:val="center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塔吊照明安装维护使用费</w:t>
            </w:r>
          </w:p>
        </w:tc>
        <w:tc>
          <w:tcPr>
            <w:tcW w:w="4847" w:type="dxa"/>
            <w:noWrap w:val="0"/>
            <w:vAlign w:val="center"/>
          </w:tcPr>
          <w:p w14:paraId="240CB3C2">
            <w:pPr>
              <w:jc w:val="left"/>
              <w:rPr>
                <w:rFonts w:hint="default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夜间需保证不低于200lux照度。每台塔吊塔臂灯数量不低于4台，塔臂末端提升节处固定灯数量不低于2台。</w:t>
            </w:r>
          </w:p>
        </w:tc>
        <w:tc>
          <w:tcPr>
            <w:tcW w:w="760" w:type="dxa"/>
            <w:noWrap w:val="0"/>
            <w:vAlign w:val="center"/>
          </w:tcPr>
          <w:p w14:paraId="13DB0525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套</w:t>
            </w:r>
          </w:p>
        </w:tc>
        <w:tc>
          <w:tcPr>
            <w:tcW w:w="1000" w:type="dxa"/>
            <w:noWrap w:val="0"/>
            <w:vAlign w:val="center"/>
          </w:tcPr>
          <w:p w14:paraId="7CB4CEA8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34CC6BF0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769EDDF9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6E5B4220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整套系统安拆维护费用，包含租赁费，租期不做调整。</w:t>
            </w:r>
          </w:p>
        </w:tc>
      </w:tr>
      <w:tr w14:paraId="06A6E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0355" w:type="dxa"/>
            <w:gridSpan w:val="6"/>
            <w:noWrap w:val="0"/>
            <w:vAlign w:val="center"/>
          </w:tcPr>
          <w:p w14:paraId="4D4263B1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  <w:t>暂估总价</w:t>
            </w:r>
          </w:p>
        </w:tc>
        <w:tc>
          <w:tcPr>
            <w:tcW w:w="1230" w:type="dxa"/>
            <w:noWrap w:val="0"/>
            <w:vAlign w:val="center"/>
          </w:tcPr>
          <w:p w14:paraId="513DEFFD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48CD8423">
            <w:pPr>
              <w:jc w:val="center"/>
              <w:rPr>
                <w:rFonts w:hint="eastAsia" w:ascii="楷体" w:hAnsi="楷体" w:eastAsia="楷体" w:cs="楷体"/>
                <w:b w:val="0"/>
                <w:color w:val="000000"/>
                <w:sz w:val="21"/>
                <w:szCs w:val="24"/>
                <w:lang w:val="en-US" w:eastAsia="zh-CN" w:bidi="ar-SA"/>
              </w:rPr>
            </w:pPr>
          </w:p>
        </w:tc>
      </w:tr>
    </w:tbl>
    <w:p w14:paraId="4DC75FF4">
      <w:pPr>
        <w:jc w:val="center"/>
        <w:rPr>
          <w:rFonts w:hint="eastAsia" w:ascii="楷体" w:hAnsi="楷体" w:eastAsia="楷体" w:cs="楷体"/>
          <w:b w:val="0"/>
          <w:color w:val="000000"/>
          <w:sz w:val="21"/>
          <w:szCs w:val="24"/>
          <w:lang w:val="en-US" w:eastAsia="zh-CN" w:bidi="ar-SA"/>
        </w:rPr>
      </w:pPr>
    </w:p>
    <w:p w14:paraId="076C58A7">
      <w:pPr>
        <w:jc w:val="center"/>
        <w:rPr>
          <w:rFonts w:hint="eastAsia" w:ascii="楷体" w:hAnsi="楷体" w:eastAsia="楷体" w:cs="楷体"/>
          <w:b w:val="0"/>
          <w:color w:val="000000"/>
          <w:sz w:val="21"/>
          <w:szCs w:val="24"/>
          <w:lang w:val="en-US" w:eastAsia="zh-CN" w:bidi="ar-SA"/>
        </w:rPr>
      </w:pPr>
    </w:p>
    <w:p w14:paraId="088DB7BD">
      <w:pPr>
        <w:jc w:val="left"/>
        <w:rPr>
          <w:rFonts w:hint="eastAsia" w:ascii="楷体" w:hAnsi="楷体" w:eastAsia="楷体" w:cs="楷体"/>
          <w:b w:val="0"/>
          <w:color w:val="000000"/>
          <w:sz w:val="21"/>
          <w:szCs w:val="24"/>
          <w:lang w:val="en-US" w:eastAsia="zh-CN" w:bidi="ar-SA"/>
        </w:rPr>
      </w:pPr>
    </w:p>
    <w:p w14:paraId="59A838AC">
      <w:pPr>
        <w:jc w:val="left"/>
        <w:rPr>
          <w:rFonts w:hint="eastAsia" w:ascii="楷体" w:hAnsi="楷体" w:eastAsia="楷体" w:cs="楷体"/>
          <w:b w:val="0"/>
          <w:color w:val="000000"/>
          <w:sz w:val="21"/>
          <w:szCs w:val="24"/>
          <w:lang w:val="en-US" w:eastAsia="zh-CN" w:bidi="ar-SA"/>
        </w:rPr>
      </w:pPr>
    </w:p>
    <w:p w14:paraId="19039708">
      <w:pPr>
        <w:jc w:val="left"/>
        <w:rPr>
          <w:rFonts w:hint="eastAsia" w:ascii="楷体" w:hAnsi="楷体" w:eastAsia="楷体" w:cs="楷体"/>
          <w:b w:val="0"/>
          <w:color w:val="000000"/>
          <w:sz w:val="21"/>
          <w:szCs w:val="24"/>
          <w:lang w:val="en-US" w:eastAsia="zh-CN" w:bidi="ar-SA"/>
        </w:rPr>
      </w:pPr>
    </w:p>
    <w:p w14:paraId="6561C028">
      <w:pPr>
        <w:jc w:val="left"/>
        <w:rPr>
          <w:rFonts w:hint="eastAsia" w:ascii="楷体" w:hAnsi="楷体" w:eastAsia="楷体" w:cs="楷体"/>
          <w:b w:val="0"/>
          <w:color w:val="000000"/>
          <w:sz w:val="21"/>
          <w:szCs w:val="24"/>
          <w:lang w:val="en-US" w:eastAsia="zh-CN" w:bidi="ar-SA"/>
        </w:rPr>
      </w:pPr>
    </w:p>
    <w:p w14:paraId="795B0D5A">
      <w:pPr>
        <w:jc w:val="left"/>
        <w:rPr>
          <w:rFonts w:hint="eastAsia" w:ascii="楷体" w:hAnsi="楷体" w:eastAsia="楷体" w:cs="楷体"/>
          <w:b w:val="0"/>
          <w:color w:val="000000"/>
          <w:sz w:val="21"/>
          <w:szCs w:val="24"/>
          <w:lang w:val="en-US" w:eastAsia="zh-CN" w:bidi="ar-SA"/>
        </w:rPr>
      </w:pPr>
    </w:p>
    <w:p w14:paraId="77654DE2">
      <w:pPr>
        <w:jc w:val="left"/>
        <w:rPr>
          <w:rFonts w:hint="eastAsia" w:ascii="楷体" w:hAnsi="楷体" w:eastAsia="楷体" w:cs="楷体"/>
          <w:b w:val="0"/>
          <w:color w:val="000000"/>
          <w:sz w:val="21"/>
          <w:szCs w:val="24"/>
          <w:lang w:val="en-US" w:eastAsia="zh-CN" w:bidi="ar-SA"/>
        </w:rPr>
      </w:pPr>
    </w:p>
    <w:p w14:paraId="4ED42593">
      <w:pPr>
        <w:jc w:val="left"/>
        <w:rPr>
          <w:rFonts w:hint="eastAsia" w:ascii="楷体" w:hAnsi="楷体" w:eastAsia="楷体" w:cs="楷体"/>
          <w:b w:val="0"/>
          <w:color w:val="000000"/>
          <w:sz w:val="21"/>
          <w:szCs w:val="24"/>
          <w:lang w:val="en-US" w:eastAsia="zh-CN" w:bidi="ar-SA"/>
        </w:rPr>
      </w:pPr>
    </w:p>
    <w:p w14:paraId="20F23A3B">
      <w:pPr>
        <w:jc w:val="left"/>
        <w:rPr>
          <w:rFonts w:hint="eastAsia" w:ascii="楷体" w:hAnsi="楷体" w:eastAsia="楷体" w:cs="楷体"/>
          <w:b w:val="0"/>
          <w:color w:val="000000"/>
          <w:sz w:val="21"/>
          <w:szCs w:val="24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color w:val="000000"/>
          <w:sz w:val="21"/>
          <w:szCs w:val="24"/>
          <w:lang w:val="en-US" w:eastAsia="zh-CN" w:bidi="ar-SA"/>
        </w:rPr>
        <w:t xml:space="preserve">工程名称：索普新材料80万吨硫酸迁建及配套工程总承包（EPC)装置配电房项目 --塔吊租赁                                                                    </w:t>
      </w:r>
    </w:p>
    <w:p w14:paraId="0A83DAC7">
      <w:pPr>
        <w:jc w:val="center"/>
        <w:rPr>
          <w:rFonts w:hint="eastAsia" w:ascii="楷体" w:hAnsi="楷体" w:eastAsia="楷体" w:cs="楷体"/>
          <w:b w:val="0"/>
          <w:color w:val="000000"/>
          <w:sz w:val="21"/>
          <w:szCs w:val="24"/>
          <w:lang w:val="en-US" w:eastAsia="zh-CN" w:bidi="ar-S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1NTdlYzZkMWI2MGNhNTc2MzcwZGYxZmE4NWY5YjcifQ=="/>
  </w:docVars>
  <w:rsids>
    <w:rsidRoot w:val="2E931C81"/>
    <w:rsid w:val="02914D77"/>
    <w:rsid w:val="030560A3"/>
    <w:rsid w:val="07E9572A"/>
    <w:rsid w:val="0AB45767"/>
    <w:rsid w:val="11DE549A"/>
    <w:rsid w:val="1AD35D34"/>
    <w:rsid w:val="220B29D3"/>
    <w:rsid w:val="22844CF9"/>
    <w:rsid w:val="26E434C5"/>
    <w:rsid w:val="27087A21"/>
    <w:rsid w:val="2D021110"/>
    <w:rsid w:val="2E384A04"/>
    <w:rsid w:val="2E931C81"/>
    <w:rsid w:val="339E0DDD"/>
    <w:rsid w:val="41F11D5F"/>
    <w:rsid w:val="42D1240F"/>
    <w:rsid w:val="47EE3FC8"/>
    <w:rsid w:val="48C269A2"/>
    <w:rsid w:val="49E12311"/>
    <w:rsid w:val="5723269B"/>
    <w:rsid w:val="5CF276DD"/>
    <w:rsid w:val="5E3D511B"/>
    <w:rsid w:val="5F404966"/>
    <w:rsid w:val="64300B2F"/>
    <w:rsid w:val="66FA1EF2"/>
    <w:rsid w:val="730438B3"/>
    <w:rsid w:val="73A63E28"/>
    <w:rsid w:val="73B07127"/>
    <w:rsid w:val="746F3A0E"/>
    <w:rsid w:val="76AF7C78"/>
    <w:rsid w:val="7C5D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微软雅黑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687</Words>
  <Characters>749</Characters>
  <Lines>0</Lines>
  <Paragraphs>0</Paragraphs>
  <TotalTime>2</TotalTime>
  <ScaleCrop>false</ScaleCrop>
  <LinksUpToDate>false</LinksUpToDate>
  <CharactersWithSpaces>819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2023-03-18T02:25:00Z</dcterms:created>
  <dc:creator>蒋一</dc:creator>
  <cp:lastModifiedBy>浅蓝色</cp:lastModifiedBy>
  <dcterms:modified xsi:type="dcterms:W3CDTF">2025-02-27T08:39:54Z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5F6371E6F059472D8FFC5AA141876AC8</vt:lpwstr>
  </property>
  <property fmtid="{D5CDD505-2E9C-101B-9397-08002B2CF9AE}" pid="4" name="KSOTemplateDocerSaveRecord">
    <vt:lpwstr>eyJoZGlkIjoiNDc4ZDJmMTJlZmYxZmVhNjQ2MjE4NTg3YjBmM2NhMGMiLCJ1c2VySWQiOiI0MzEwMDExNjYifQ==</vt:lpwstr>
  </property>
</Properties>
</file>