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E234">
      <w:pPr>
        <w:adjustRightInd w:val="0"/>
        <w:snapToGrid w:val="0"/>
        <w:spacing w:line="600" w:lineRule="exact"/>
        <w:jc w:val="center"/>
        <w:rPr>
          <w:rFonts w:hint="eastAsia" w:ascii="方正小标宋简体" w:hAnsi="方正小标宋简体" w:eastAsia="方正小标宋简体" w:cs="方正小标宋简体"/>
          <w:bCs/>
          <w:color w:val="auto"/>
          <w:kern w:val="1"/>
          <w:sz w:val="44"/>
          <w:szCs w:val="44"/>
          <w:highlight w:val="none"/>
        </w:rPr>
      </w:pPr>
      <w:r>
        <w:rPr>
          <w:rFonts w:hint="eastAsia" w:ascii="方正小标宋简体" w:hAnsi="方正小标宋简体" w:eastAsia="方正小标宋简体" w:cs="方正小标宋简体"/>
          <w:bCs/>
          <w:color w:val="auto"/>
          <w:kern w:val="1"/>
          <w:sz w:val="44"/>
          <w:szCs w:val="44"/>
          <w:highlight w:val="none"/>
        </w:rPr>
        <w:t>江苏索普化工股份有限公司</w:t>
      </w:r>
    </w:p>
    <w:p w14:paraId="67119F93">
      <w:pPr>
        <w:adjustRightInd w:val="0"/>
        <w:snapToGrid w:val="0"/>
        <w:spacing w:line="600" w:lineRule="exact"/>
        <w:jc w:val="center"/>
        <w:rPr>
          <w:rFonts w:hint="default" w:ascii="方正小标宋简体" w:hAnsi="方正小标宋简体" w:eastAsia="方正小标宋简体" w:cs="方正小标宋简体"/>
          <w:bCs/>
          <w:color w:val="auto"/>
          <w:kern w:val="1"/>
          <w:sz w:val="44"/>
          <w:szCs w:val="44"/>
          <w:highlight w:val="none"/>
          <w:lang w:val="en-US" w:eastAsia="zh-CN"/>
        </w:rPr>
      </w:pPr>
      <w:r>
        <w:rPr>
          <w:rFonts w:hint="eastAsia" w:ascii="方正小标宋简体" w:hAnsi="方正小标宋简体" w:eastAsia="方正小标宋简体" w:cs="方正小标宋简体"/>
          <w:bCs/>
          <w:color w:val="auto"/>
          <w:kern w:val="1"/>
          <w:sz w:val="44"/>
          <w:szCs w:val="44"/>
          <w:highlight w:val="none"/>
          <w:lang w:val="en-US" w:eastAsia="zh-CN"/>
        </w:rPr>
        <w:t>公开采购询价书</w:t>
      </w:r>
    </w:p>
    <w:p w14:paraId="4FFA5941">
      <w:pPr>
        <w:adjustRightInd w:val="0"/>
        <w:snapToGrid w:val="0"/>
        <w:spacing w:line="600" w:lineRule="exact"/>
        <w:ind w:firstLine="480" w:firstLineChars="200"/>
        <w:jc w:val="left"/>
        <w:rPr>
          <w:rFonts w:hint="eastAsia" w:ascii="黑体" w:hAnsi="黑体" w:eastAsia="黑体" w:cs="黑体"/>
          <w:bCs/>
          <w:color w:val="auto"/>
          <w:sz w:val="24"/>
          <w:szCs w:val="24"/>
          <w:highlight w:val="none"/>
          <w:lang w:val="en-US" w:eastAsia="zh-CN"/>
        </w:rPr>
      </w:pPr>
      <w:r>
        <w:rPr>
          <w:sz w:val="24"/>
          <w:highlight w:val="none"/>
        </w:rPr>
        <w:pict>
          <v:rect id="_x0000_s2050" o:spid="_x0000_s2050" o:spt="1" style="position:absolute;left:0pt;margin-left:-7.85pt;margin-top:26.85pt;height:84.75pt;width:475.1pt;z-index:-251657216;mso-width-relative:page;mso-height-relative:page;" fillcolor="#FFFFFF" filled="t" stroked="t" coordsize="21600,21600">
            <v:path/>
            <v:fill on="t" color2="#FFFFFF" focussize="0,0"/>
            <v:stroke color="#000000" joinstyle="miter"/>
            <v:imagedata o:title=""/>
            <o:lock v:ext="edit" aspectratio="f"/>
          </v:rect>
        </w:pict>
      </w:r>
    </w:p>
    <w:p w14:paraId="704B597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color w:val="auto"/>
          <w:kern w:val="1"/>
          <w:sz w:val="24"/>
          <w:szCs w:val="24"/>
          <w:highlight w:val="none"/>
          <w:lang w:val="en-US" w:eastAsia="zh-CN"/>
        </w:rPr>
        <w:t>0511-88995150、88995690，投诉邮箱：116963626@qq.com。</w:t>
      </w:r>
    </w:p>
    <w:p w14:paraId="526D812C">
      <w:pPr>
        <w:adjustRightInd w:val="0"/>
        <w:snapToGrid w:val="0"/>
        <w:spacing w:line="600" w:lineRule="exact"/>
        <w:jc w:val="center"/>
        <w:rPr>
          <w:rFonts w:hint="eastAsia" w:ascii="方正小标宋简体" w:hAnsi="方正小标宋简体" w:eastAsia="方正小标宋简体" w:cs="方正小标宋简体"/>
          <w:bCs/>
          <w:color w:val="auto"/>
          <w:kern w:val="1"/>
          <w:sz w:val="44"/>
          <w:szCs w:val="44"/>
          <w:highlight w:val="none"/>
        </w:rPr>
      </w:pPr>
    </w:p>
    <w:p w14:paraId="1ABCCFE1">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我公司现需</w:t>
      </w:r>
      <w:r>
        <w:rPr>
          <w:rFonts w:hint="eastAsia" w:ascii="仿宋_GB2312" w:hAnsi="仿宋_GB2312" w:eastAsia="仿宋_GB2312" w:cs="仿宋_GB2312"/>
          <w:bCs/>
          <w:color w:val="auto"/>
          <w:sz w:val="30"/>
          <w:szCs w:val="30"/>
          <w:highlight w:val="none"/>
          <w:lang w:val="en-US" w:eastAsia="zh-CN"/>
        </w:rPr>
        <w:t>对</w:t>
      </w:r>
      <w:r>
        <w:rPr>
          <w:rFonts w:hint="eastAsia" w:ascii="仿宋_GB2312" w:hAnsi="仿宋_GB2312" w:eastAsia="仿宋_GB2312" w:cs="仿宋_GB2312"/>
          <w:bCs/>
          <w:color w:val="auto"/>
          <w:sz w:val="30"/>
          <w:szCs w:val="30"/>
          <w:highlight w:val="none"/>
          <w:u w:val="single"/>
          <w:lang w:val="en-US" w:eastAsia="zh-CN"/>
        </w:rPr>
        <w:t>江苏索普化工股份有限公司（以下简称索普股份）</w:t>
      </w:r>
      <w:r>
        <w:rPr>
          <w:rFonts w:hint="eastAsia" w:ascii="仿宋_GB2312" w:hAnsi="仿宋" w:eastAsia="仿宋_GB2312" w:cs="仿宋"/>
          <w:bCs/>
          <w:sz w:val="30"/>
          <w:szCs w:val="30"/>
          <w:u w:val="single"/>
        </w:rPr>
        <w:t>乙酯</w:t>
      </w:r>
      <w:r>
        <w:rPr>
          <w:rFonts w:hint="eastAsia" w:ascii="仿宋_GB2312" w:hAnsi="仿宋" w:eastAsia="仿宋_GB2312" w:cs="仿宋"/>
          <w:bCs/>
          <w:sz w:val="30"/>
          <w:szCs w:val="30"/>
          <w:u w:val="single"/>
          <w:lang w:val="en-US" w:eastAsia="zh-CN"/>
        </w:rPr>
        <w:t>老装置、新装置</w:t>
      </w:r>
      <w:r>
        <w:rPr>
          <w:rFonts w:hint="eastAsia" w:ascii="仿宋_GB2312" w:hAnsi="仿宋" w:eastAsia="仿宋_GB2312" w:cs="仿宋"/>
          <w:bCs/>
          <w:sz w:val="30"/>
          <w:szCs w:val="30"/>
          <w:u w:val="single"/>
        </w:rPr>
        <w:t>VOC</w:t>
      </w:r>
      <w:r>
        <w:rPr>
          <w:rFonts w:hint="eastAsia" w:ascii="仿宋_GB2312" w:hAnsi="仿宋" w:eastAsia="仿宋_GB2312" w:cs="仿宋"/>
          <w:bCs/>
          <w:sz w:val="30"/>
          <w:szCs w:val="30"/>
          <w:u w:val="single"/>
          <w:lang w:val="en-US" w:eastAsia="zh-CN"/>
        </w:rPr>
        <w:t>s</w:t>
      </w:r>
      <w:r>
        <w:rPr>
          <w:rFonts w:hint="eastAsia" w:ascii="仿宋_GB2312" w:hAnsi="仿宋" w:eastAsia="仿宋_GB2312" w:cs="仿宋"/>
          <w:bCs/>
          <w:sz w:val="30"/>
          <w:szCs w:val="30"/>
          <w:u w:val="single"/>
        </w:rPr>
        <w:t>自动监控设施第三方运维</w:t>
      </w:r>
      <w:r>
        <w:rPr>
          <w:rFonts w:hint="eastAsia" w:ascii="仿宋_GB2312" w:hAnsi="仿宋_GB2312" w:eastAsia="仿宋_GB2312" w:cs="仿宋_GB2312"/>
          <w:bCs/>
          <w:color w:val="auto"/>
          <w:sz w:val="30"/>
          <w:szCs w:val="30"/>
          <w:highlight w:val="none"/>
          <w:u w:val="single"/>
          <w:lang w:val="en-US" w:eastAsia="zh-CN"/>
        </w:rPr>
        <w:t>技术服务项目</w:t>
      </w:r>
      <w:r>
        <w:rPr>
          <w:rFonts w:hint="eastAsia" w:ascii="仿宋_GB2312" w:hAnsi="仿宋_GB2312" w:eastAsia="仿宋_GB2312" w:cs="仿宋_GB2312"/>
          <w:bCs/>
          <w:color w:val="auto"/>
          <w:sz w:val="30"/>
          <w:szCs w:val="30"/>
          <w:highlight w:val="none"/>
          <w:lang w:val="zh-CN"/>
        </w:rPr>
        <w:t>采用</w:t>
      </w:r>
      <w:r>
        <w:rPr>
          <w:rFonts w:hint="eastAsia" w:ascii="仿宋_GB2312" w:hAnsi="仿宋_GB2312" w:eastAsia="仿宋_GB2312" w:cs="仿宋_GB2312"/>
          <w:bCs/>
          <w:color w:val="auto"/>
          <w:sz w:val="30"/>
          <w:szCs w:val="30"/>
          <w:highlight w:val="none"/>
          <w:lang w:val="en-US" w:eastAsia="zh-CN"/>
        </w:rPr>
        <w:t>公开询比价</w:t>
      </w:r>
      <w:r>
        <w:rPr>
          <w:rFonts w:hint="eastAsia" w:ascii="仿宋_GB2312" w:hAnsi="仿宋_GB2312" w:eastAsia="仿宋_GB2312" w:cs="仿宋_GB2312"/>
          <w:bCs/>
          <w:color w:val="auto"/>
          <w:sz w:val="30"/>
          <w:szCs w:val="30"/>
          <w:highlight w:val="none"/>
          <w:lang w:val="zh-CN"/>
        </w:rPr>
        <w:t>的方式选定服务商，</w:t>
      </w:r>
      <w:r>
        <w:rPr>
          <w:rFonts w:hint="eastAsia" w:ascii="仿宋_GB2312" w:hAnsi="仿宋_GB2312" w:eastAsia="仿宋_GB2312" w:cs="仿宋_GB2312"/>
          <w:bCs/>
          <w:color w:val="auto"/>
          <w:sz w:val="30"/>
          <w:szCs w:val="30"/>
          <w:highlight w:val="none"/>
        </w:rPr>
        <w:t>特邀请贵单位参与</w:t>
      </w:r>
      <w:r>
        <w:rPr>
          <w:rFonts w:hint="eastAsia" w:ascii="仿宋_GB2312" w:hAnsi="仿宋_GB2312" w:eastAsia="仿宋_GB2312" w:cs="仿宋_GB2312"/>
          <w:bCs/>
          <w:color w:val="auto"/>
          <w:sz w:val="30"/>
          <w:szCs w:val="30"/>
          <w:highlight w:val="none"/>
          <w:lang w:val="en-US" w:eastAsia="zh-CN"/>
        </w:rPr>
        <w:t>报价</w:t>
      </w:r>
      <w:r>
        <w:rPr>
          <w:rFonts w:hint="eastAsia" w:ascii="仿宋_GB2312" w:hAnsi="仿宋_GB2312" w:eastAsia="仿宋_GB2312" w:cs="仿宋_GB2312"/>
          <w:bCs/>
          <w:color w:val="auto"/>
          <w:sz w:val="30"/>
          <w:szCs w:val="30"/>
          <w:highlight w:val="none"/>
        </w:rPr>
        <w:t>。</w:t>
      </w:r>
    </w:p>
    <w:p w14:paraId="51EE9B3C">
      <w:pPr>
        <w:adjustRightInd w:val="0"/>
        <w:snapToGrid w:val="0"/>
        <w:spacing w:line="600" w:lineRule="exact"/>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30"/>
          <w:szCs w:val="30"/>
          <w:highlight w:val="none"/>
        </w:rPr>
        <w:t>一、</w:t>
      </w:r>
      <w:r>
        <w:rPr>
          <w:rFonts w:hint="eastAsia" w:ascii="仿宋_GB2312" w:hAnsi="仿宋_GB2312" w:eastAsia="仿宋_GB2312" w:cs="仿宋_GB2312"/>
          <w:b/>
          <w:color w:val="auto"/>
          <w:sz w:val="30"/>
          <w:szCs w:val="30"/>
          <w:highlight w:val="none"/>
          <w:lang w:val="en-US" w:eastAsia="zh-CN"/>
        </w:rPr>
        <w:t>公开询比价</w:t>
      </w:r>
      <w:r>
        <w:rPr>
          <w:rFonts w:hint="eastAsia" w:ascii="仿宋_GB2312" w:hAnsi="仿宋_GB2312" w:eastAsia="仿宋_GB2312" w:cs="仿宋_GB2312"/>
          <w:b/>
          <w:color w:val="auto"/>
          <w:sz w:val="30"/>
          <w:szCs w:val="30"/>
          <w:highlight w:val="none"/>
        </w:rPr>
        <w:t>概况：</w:t>
      </w:r>
    </w:p>
    <w:p w14:paraId="36E39C8F">
      <w:pPr>
        <w:adjustRightInd w:val="0"/>
        <w:snapToGrid w:val="0"/>
        <w:spacing w:line="600" w:lineRule="exact"/>
        <w:ind w:firstLine="602" w:firstLineChars="200"/>
        <w:jc w:val="left"/>
        <w:rPr>
          <w:rFonts w:hint="default" w:ascii="仿宋_GB2312" w:hAnsi="仿宋_GB2312" w:eastAsia="仿宋_GB2312" w:cs="仿宋_GB2312"/>
          <w:b/>
          <w:bCs w:val="0"/>
          <w:color w:val="auto"/>
          <w:kern w:val="1"/>
          <w:sz w:val="30"/>
          <w:szCs w:val="30"/>
          <w:highlight w:val="none"/>
          <w:lang w:val="en-US" w:eastAsia="zh-CN" w:bidi="ar-SA"/>
        </w:rPr>
      </w:pPr>
      <w:r>
        <w:rPr>
          <w:rFonts w:hint="eastAsia" w:ascii="仿宋_GB2312" w:hAnsi="仿宋_GB2312" w:eastAsia="仿宋_GB2312" w:cs="仿宋_GB2312"/>
          <w:b/>
          <w:bCs w:val="0"/>
          <w:color w:val="auto"/>
          <w:kern w:val="1"/>
          <w:sz w:val="30"/>
          <w:szCs w:val="30"/>
          <w:highlight w:val="none"/>
          <w:lang w:val="en-US" w:eastAsia="zh-CN" w:bidi="ar-SA"/>
        </w:rPr>
        <w:t>（一）采购项目名称：</w:t>
      </w:r>
      <w:r>
        <w:rPr>
          <w:rFonts w:hint="eastAsia" w:ascii="仿宋_GB2312" w:hAnsi="仿宋_GB2312" w:eastAsia="仿宋_GB2312" w:cs="仿宋_GB2312"/>
          <w:b/>
          <w:bCs w:val="0"/>
          <w:color w:val="auto"/>
          <w:kern w:val="1"/>
          <w:sz w:val="30"/>
          <w:szCs w:val="30"/>
          <w:highlight w:val="none"/>
          <w:u w:val="single"/>
          <w:lang w:val="en-US" w:eastAsia="zh-CN" w:bidi="ar-SA"/>
        </w:rPr>
        <w:t>索普股份乙酯老装置、新装置VOCs自动监控设施第三方运维技术服务项目;</w:t>
      </w:r>
    </w:p>
    <w:p w14:paraId="01D3F26E">
      <w:pPr>
        <w:adjustRightInd w:val="0"/>
        <w:snapToGrid w:val="0"/>
        <w:spacing w:line="600" w:lineRule="exact"/>
        <w:ind w:firstLine="602"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
          <w:bCs w:val="0"/>
          <w:color w:val="auto"/>
          <w:kern w:val="1"/>
          <w:sz w:val="30"/>
          <w:szCs w:val="30"/>
          <w:highlight w:val="none"/>
          <w:u w:val="single"/>
          <w:lang w:val="en-US" w:eastAsia="zh-CN" w:bidi="ar-SA"/>
        </w:rPr>
        <w:t>（二）合同执行期限：老装置2025年3月1日--2027年2月28日，新装置2025年6月30日--2027年2月28日；</w:t>
      </w:r>
    </w:p>
    <w:p w14:paraId="46DEFBF0">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（三）运维地点： 江苏索普化工股份有限公司；</w:t>
      </w:r>
    </w:p>
    <w:p w14:paraId="70524B5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（四）报价截止时间2025年2月27日9 时（北京时间）；</w:t>
      </w:r>
    </w:p>
    <w:p w14:paraId="430D9E6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（五）评审时间2025年2月27日9时（北京时间）；</w:t>
      </w:r>
    </w:p>
    <w:p w14:paraId="26A7481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（六）评审地点：江苏索普(集团)有限公司评审中心；</w:t>
      </w:r>
    </w:p>
    <w:p w14:paraId="1911CE9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（七）评审结果公示：评审结果将于评审后在索普集团官网公示，请各服务商登录http://www.sopo.com.cn查询。</w:t>
      </w:r>
    </w:p>
    <w:p w14:paraId="5C808C5F">
      <w:pPr>
        <w:adjustRightInd w:val="0"/>
        <w:snapToGrid w:val="0"/>
        <w:spacing w:line="60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二、采购项目内容：</w:t>
      </w:r>
    </w:p>
    <w:p w14:paraId="25424184">
      <w:pPr>
        <w:adjustRightInd w:val="0"/>
        <w:snapToGrid w:val="0"/>
        <w:spacing w:line="600" w:lineRule="exact"/>
        <w:ind w:firstLine="42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rPr>
        <w:t xml:space="preserve"> </w:t>
      </w:r>
      <w:r>
        <w:rPr>
          <w:rFonts w:hint="eastAsia" w:ascii="仿宋_GB2312" w:hAnsi="仿宋_GB2312" w:eastAsia="仿宋_GB2312" w:cs="仿宋_GB2312"/>
          <w:bCs/>
          <w:color w:val="auto"/>
          <w:kern w:val="1"/>
          <w:sz w:val="30"/>
          <w:szCs w:val="30"/>
          <w:highlight w:val="none"/>
          <w:lang w:val="en-US" w:eastAsia="zh-CN" w:bidi="ar-SA"/>
        </w:rPr>
        <w:t xml:space="preserve">（一）采购项目内容   </w:t>
      </w:r>
    </w:p>
    <w:p w14:paraId="600C4560">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索普股份乙酯老装置VOCs在线分析仪1套（厂家：西门子SYS-CE-VOC）、温压流一体监测仪1套、氧含量监测仪1套、湿度监测仪1套、 数采仪1套（含数据传输费用）运维服务。</w:t>
      </w:r>
    </w:p>
    <w:p w14:paraId="23C92818">
      <w:pPr>
        <w:adjustRightInd w:val="0"/>
        <w:snapToGrid w:val="0"/>
        <w:spacing w:line="600" w:lineRule="exact"/>
        <w:ind w:firstLine="600" w:firstLineChars="200"/>
        <w:jc w:val="left"/>
        <w:rPr>
          <w:rFonts w:hint="default"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索普股份乙酯新装置VOC在线分析仪1套（厂家：横河GC8000）、温压流一体监测仪1套、氧含量监测仪1套、湿度监测仪1套、 数采仪1套（含数据传输费用）运维服务。</w:t>
      </w:r>
    </w:p>
    <w:p w14:paraId="7E1499C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 xml:space="preserve"> （二）质量技术要求</w:t>
      </w:r>
    </w:p>
    <w:p w14:paraId="0EA572ED">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1.技术服务方式：</w:t>
      </w:r>
      <w:r>
        <w:rPr>
          <w:rFonts w:hint="eastAsia" w:ascii="仿宋_GB2312" w:hAnsi="仿宋" w:eastAsia="仿宋_GB2312" w:cs="仿宋"/>
          <w:bCs/>
          <w:kern w:val="1"/>
          <w:sz w:val="30"/>
          <w:szCs w:val="30"/>
          <w:highlight w:val="none"/>
        </w:rPr>
        <w:t>按《固定污染源废气非甲烷总烃连续监测技术规范》（HJ 1286—2023）、《</w:t>
      </w:r>
      <w:r>
        <w:rPr>
          <w:rFonts w:hint="eastAsia" w:ascii="仿宋_GB2312" w:hAnsi="仿宋" w:eastAsia="仿宋_GB2312" w:cs="仿宋"/>
          <w:bCs/>
          <w:kern w:val="1"/>
          <w:sz w:val="30"/>
          <w:szCs w:val="30"/>
          <w:highlight w:val="none"/>
          <w:lang w:val="zh-CN"/>
        </w:rPr>
        <w:t>固定污染源废气非甲烷总烃连续监测技术规范</w:t>
      </w:r>
      <w:r>
        <w:rPr>
          <w:rFonts w:hint="eastAsia" w:ascii="仿宋_GB2312" w:hAnsi="仿宋" w:eastAsia="仿宋_GB2312" w:cs="仿宋"/>
          <w:bCs/>
          <w:kern w:val="1"/>
          <w:sz w:val="30"/>
          <w:szCs w:val="30"/>
          <w:highlight w:val="none"/>
        </w:rPr>
        <w:t>》（DB32/T  3944-2020）等有关规范要求</w:t>
      </w:r>
      <w:r>
        <w:rPr>
          <w:rFonts w:hint="eastAsia" w:ascii="仿宋_GB2312" w:hAnsi="仿宋" w:eastAsia="仿宋_GB2312" w:cs="仿宋"/>
          <w:bCs/>
          <w:kern w:val="1"/>
          <w:sz w:val="30"/>
          <w:szCs w:val="30"/>
          <w:highlight w:val="none"/>
          <w:lang w:val="en-US" w:eastAsia="zh-CN"/>
        </w:rPr>
        <w:t>进行运维</w:t>
      </w:r>
      <w:r>
        <w:rPr>
          <w:rFonts w:hint="eastAsia" w:ascii="仿宋_GB2312" w:hAnsi="仿宋" w:eastAsia="仿宋_GB2312" w:cs="仿宋"/>
          <w:bCs/>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bidi="ar-SA"/>
        </w:rPr>
        <w:t>运维均采用小包方式，运营期内报价方负责提供在线仪器易耗品及免费更换，仪器的维护、保养、校准、校验及维修等工作，负责提供并定期更换标准气体。</w:t>
      </w:r>
    </w:p>
    <w:p w14:paraId="3434744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2.服务期限：</w:t>
      </w:r>
      <w:r>
        <w:rPr>
          <w:rFonts w:hint="eastAsia" w:ascii="仿宋_GB2312" w:hAnsi="仿宋_GB2312" w:eastAsia="仿宋_GB2312" w:cs="仿宋_GB2312"/>
          <w:b/>
          <w:bCs w:val="0"/>
          <w:color w:val="auto"/>
          <w:kern w:val="1"/>
          <w:sz w:val="30"/>
          <w:szCs w:val="30"/>
          <w:highlight w:val="none"/>
          <w:u w:val="single"/>
          <w:lang w:val="en-US" w:eastAsia="zh-CN" w:bidi="ar-SA"/>
        </w:rPr>
        <w:t>老装置2025年3月1日--2027年2月28日，新装置2025年6月30日--2027年2月28日。</w:t>
      </w:r>
    </w:p>
    <w:p w14:paraId="348F4EAD">
      <w:pPr>
        <w:adjustRightInd w:val="0"/>
        <w:snapToGrid w:val="0"/>
        <w:spacing w:line="60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    三、</w:t>
      </w:r>
      <w:r>
        <w:rPr>
          <w:rFonts w:hint="eastAsia" w:ascii="仿宋_GB2312" w:hAnsi="仿宋_GB2312" w:eastAsia="仿宋_GB2312" w:cs="仿宋_GB2312"/>
          <w:b/>
          <w:color w:val="auto"/>
          <w:sz w:val="30"/>
          <w:szCs w:val="30"/>
          <w:highlight w:val="none"/>
          <w:lang w:val="en-US" w:eastAsia="zh-CN"/>
        </w:rPr>
        <w:t>报价</w:t>
      </w:r>
      <w:r>
        <w:rPr>
          <w:rFonts w:hint="eastAsia" w:ascii="仿宋_GB2312" w:hAnsi="仿宋_GB2312" w:eastAsia="仿宋_GB2312" w:cs="仿宋_GB2312"/>
          <w:b/>
          <w:color w:val="auto"/>
          <w:sz w:val="30"/>
          <w:szCs w:val="30"/>
          <w:highlight w:val="none"/>
        </w:rPr>
        <w:t>人资质与要求：</w:t>
      </w:r>
    </w:p>
    <w:p w14:paraId="1569ECE6">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bidi="ar-SA"/>
        </w:rPr>
        <w:t>报价人必须具备中华人民共和国境内生产或经营应具备的合法资质。</w:t>
      </w:r>
      <w:r>
        <w:rPr>
          <w:rFonts w:hint="eastAsia" w:ascii="仿宋_GB2312" w:hAnsi="仿宋_GB2312" w:eastAsia="仿宋_GB2312" w:cs="仿宋_GB2312"/>
          <w:bCs/>
          <w:color w:val="auto"/>
          <w:kern w:val="1"/>
          <w:sz w:val="30"/>
          <w:szCs w:val="30"/>
          <w:highlight w:val="none"/>
          <w:lang w:val="en-US" w:eastAsia="zh-CN"/>
        </w:rPr>
        <w:t>报价文件需提供如下有效资质文件：</w:t>
      </w:r>
    </w:p>
    <w:p w14:paraId="53F7A25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（一）</w:t>
      </w:r>
      <w:r>
        <w:rPr>
          <w:rFonts w:hint="eastAsia" w:ascii="仿宋_GB2312" w:hAnsi="仿宋_GB2312" w:eastAsia="仿宋_GB2312" w:cs="仿宋_GB2312"/>
          <w:bCs/>
          <w:color w:val="auto"/>
          <w:sz w:val="30"/>
          <w:szCs w:val="30"/>
        </w:rPr>
        <w:t>报价人企业服务能力应具有质量管理体系认证证书（ISO9001)</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kern w:val="1"/>
          <w:sz w:val="30"/>
          <w:szCs w:val="30"/>
          <w:highlight w:val="none"/>
          <w:lang w:val="en-US" w:eastAsia="zh-CN"/>
        </w:rPr>
        <w:t>报价人《营业执照》副本复印件、《税务登记证》、《组织机构代码证》（或三证合一）；</w:t>
      </w:r>
    </w:p>
    <w:p w14:paraId="2F572D8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（二）报价人需提供近三年（ 2022 年1月 1日至今）财务状况良好的证明材料；在经营活动中没有重大违法违规记录、无违约历史的声明或证明材料（均需加盖公章），报价人还需在“信用中国”（www.creditchina.gov.cn）网站未被列入失信被执行人、重大税收违法案件当事人名单，以评审当时网站查询结果为准；</w:t>
      </w:r>
    </w:p>
    <w:p w14:paraId="4500C0FD">
      <w:pPr>
        <w:adjustRightInd w:val="0"/>
        <w:snapToGrid w:val="0"/>
        <w:spacing w:line="360" w:lineRule="auto"/>
        <w:ind w:firstLine="600" w:firstLineChars="200"/>
        <w:jc w:val="left"/>
        <w:rPr>
          <w:rFonts w:hint="eastAsia" w:ascii="仿宋_GB2312" w:hAnsi="仿宋" w:eastAsia="仿宋_GB2312" w:cs="仿宋"/>
          <w:bCs/>
          <w:kern w:val="1"/>
          <w:sz w:val="30"/>
          <w:szCs w:val="30"/>
          <w:lang w:eastAsia="zh-CN"/>
        </w:rPr>
      </w:pPr>
      <w:r>
        <w:rPr>
          <w:rFonts w:hint="eastAsia" w:ascii="仿宋_GB2312" w:hAnsi="仿宋_GB2312" w:eastAsia="仿宋_GB2312" w:cs="仿宋_GB2312"/>
          <w:bCs/>
          <w:color w:val="auto"/>
          <w:kern w:val="1"/>
          <w:sz w:val="30"/>
          <w:szCs w:val="30"/>
          <w:highlight w:val="none"/>
          <w:lang w:val="en-US" w:eastAsia="zh-CN" w:bidi="ar-SA"/>
        </w:rPr>
        <w:t>（三）具有废气污染源自动监控设施服务能力，</w:t>
      </w:r>
      <w:r>
        <w:rPr>
          <w:rFonts w:hint="eastAsia" w:ascii="仿宋_GB2312" w:hAnsi="仿宋" w:eastAsia="仿宋_GB2312" w:cs="仿宋"/>
          <w:bCs/>
          <w:kern w:val="1"/>
          <w:sz w:val="30"/>
          <w:szCs w:val="30"/>
        </w:rPr>
        <w:t>专业全职资深技术运维人员至少2人，持有环境污染治理设施运营（气）培训合格证书（在有效期内，</w:t>
      </w:r>
      <w:r>
        <w:rPr>
          <w:rFonts w:hint="eastAsia" w:ascii="仿宋_GB2312" w:hAnsi="仿宋" w:eastAsia="仿宋_GB2312" w:cs="仿宋"/>
          <w:bCs/>
          <w:color w:val="auto"/>
          <w:kern w:val="1"/>
          <w:sz w:val="30"/>
          <w:szCs w:val="30"/>
        </w:rPr>
        <w:t>连续持证年限不低于3年）</w:t>
      </w:r>
      <w:r>
        <w:rPr>
          <w:rFonts w:hint="eastAsia" w:ascii="仿宋_GB2312" w:hAnsi="仿宋_GB2312" w:eastAsia="仿宋_GB2312" w:cs="仿宋_GB2312"/>
          <w:bCs/>
          <w:color w:val="auto"/>
          <w:kern w:val="1"/>
          <w:sz w:val="30"/>
          <w:szCs w:val="30"/>
          <w:highlight w:val="none"/>
          <w:lang w:val="en-US" w:eastAsia="zh-CN" w:bidi="ar-SA"/>
        </w:rPr>
        <w:t>，且提供报价企业近6个月为其缴纳社保的证明；在镇江市区设置办公场所和运行维护车辆；</w:t>
      </w:r>
      <w:r>
        <w:rPr>
          <w:rFonts w:hint="eastAsia" w:ascii="仿宋_GB2312" w:hAnsi="仿宋" w:eastAsia="仿宋_GB2312" w:cs="仿宋"/>
          <w:bCs/>
          <w:kern w:val="1"/>
          <w:sz w:val="30"/>
          <w:szCs w:val="30"/>
          <w:lang w:val="en-US" w:eastAsia="zh-CN"/>
        </w:rPr>
        <w:t>提供</w:t>
      </w:r>
      <w:r>
        <w:rPr>
          <w:rFonts w:hint="eastAsia" w:ascii="仿宋_GB2312" w:hAnsi="仿宋" w:eastAsia="仿宋_GB2312" w:cs="仿宋"/>
          <w:bCs/>
          <w:kern w:val="1"/>
          <w:sz w:val="30"/>
          <w:szCs w:val="30"/>
        </w:rPr>
        <w:t>服务质量保证方案</w:t>
      </w:r>
      <w:r>
        <w:rPr>
          <w:rFonts w:hint="eastAsia" w:ascii="仿宋_GB2312" w:hAnsi="仿宋" w:eastAsia="仿宋_GB2312" w:cs="仿宋"/>
          <w:bCs/>
          <w:kern w:val="1"/>
          <w:sz w:val="30"/>
          <w:szCs w:val="30"/>
          <w:lang w:val="en-US" w:eastAsia="zh-CN"/>
        </w:rPr>
        <w:t>及</w:t>
      </w:r>
      <w:r>
        <w:rPr>
          <w:rFonts w:hint="eastAsia" w:ascii="仿宋_GB2312" w:hAnsi="仿宋" w:eastAsia="仿宋_GB2312" w:cs="仿宋"/>
          <w:bCs/>
          <w:kern w:val="1"/>
          <w:sz w:val="30"/>
          <w:szCs w:val="30"/>
        </w:rPr>
        <w:t>易耗品清单</w:t>
      </w:r>
      <w:r>
        <w:rPr>
          <w:rFonts w:hint="eastAsia" w:ascii="仿宋_GB2312" w:hAnsi="仿宋" w:eastAsia="仿宋_GB2312" w:cs="仿宋"/>
          <w:bCs/>
          <w:kern w:val="1"/>
          <w:sz w:val="30"/>
          <w:szCs w:val="30"/>
          <w:lang w:eastAsia="zh-CN"/>
        </w:rPr>
        <w:t>；</w:t>
      </w:r>
    </w:p>
    <w:p w14:paraId="0503B673">
      <w:pPr>
        <w:adjustRightInd w:val="0"/>
        <w:snapToGrid w:val="0"/>
        <w:spacing w:line="360" w:lineRule="auto"/>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（四）在镇江市有相应的废气污染自动监控设施运维业绩，提供4家以上有效期内的镇江市运维服务单位运维证明，</w:t>
      </w:r>
      <w:r>
        <w:rPr>
          <w:rFonts w:hint="eastAsia" w:ascii="仿宋_GB2312" w:hAnsi="仿宋" w:eastAsia="仿宋_GB2312" w:cs="仿宋"/>
          <w:bCs/>
          <w:color w:val="auto"/>
          <w:kern w:val="1"/>
          <w:sz w:val="30"/>
          <w:szCs w:val="30"/>
        </w:rPr>
        <w:t>并</w:t>
      </w:r>
      <w:r>
        <w:rPr>
          <w:rFonts w:hint="eastAsia" w:ascii="仿宋_GB2312" w:hAnsi="仿宋" w:eastAsia="仿宋_GB2312" w:cs="仿宋"/>
          <w:bCs/>
          <w:color w:val="auto"/>
          <w:kern w:val="1"/>
          <w:sz w:val="30"/>
          <w:szCs w:val="30"/>
          <w:lang w:val="en-US" w:eastAsia="zh-CN"/>
        </w:rPr>
        <w:t>至少一家单位是</w:t>
      </w:r>
      <w:r>
        <w:rPr>
          <w:rFonts w:hint="eastAsia" w:ascii="仿宋_GB2312" w:hAnsi="仿宋" w:eastAsia="仿宋_GB2312" w:cs="仿宋"/>
          <w:bCs/>
          <w:color w:val="auto"/>
          <w:kern w:val="1"/>
          <w:sz w:val="30"/>
          <w:szCs w:val="30"/>
        </w:rPr>
        <w:t>进口品牌（如西门子</w:t>
      </w:r>
      <w:r>
        <w:rPr>
          <w:rFonts w:hint="eastAsia" w:ascii="仿宋_GB2312" w:hAnsi="仿宋" w:eastAsia="仿宋_GB2312" w:cs="仿宋"/>
          <w:bCs/>
          <w:color w:val="auto"/>
          <w:kern w:val="1"/>
          <w:sz w:val="30"/>
          <w:szCs w:val="30"/>
          <w:lang w:val="en-US" w:eastAsia="zh-CN"/>
        </w:rPr>
        <w:t>或横河</w:t>
      </w:r>
      <w:r>
        <w:rPr>
          <w:rFonts w:hint="eastAsia" w:ascii="仿宋_GB2312" w:hAnsi="仿宋" w:eastAsia="仿宋_GB2312" w:cs="仿宋"/>
          <w:bCs/>
          <w:color w:val="auto"/>
          <w:kern w:val="1"/>
          <w:sz w:val="30"/>
          <w:szCs w:val="30"/>
        </w:rPr>
        <w:t>等）VOCs在线监控设备运维业绩</w:t>
      </w:r>
      <w:r>
        <w:rPr>
          <w:rFonts w:hint="eastAsia" w:ascii="仿宋_GB2312" w:hAnsi="仿宋_GB2312" w:eastAsia="仿宋_GB2312" w:cs="仿宋_GB2312"/>
          <w:bCs/>
          <w:color w:val="auto"/>
          <w:kern w:val="1"/>
          <w:sz w:val="30"/>
          <w:szCs w:val="30"/>
          <w:highlight w:val="none"/>
          <w:lang w:val="en-US" w:eastAsia="zh-CN" w:bidi="ar-SA"/>
        </w:rPr>
        <w:t>；</w:t>
      </w:r>
      <w:bookmarkStart w:id="3" w:name="_GoBack"/>
      <w:bookmarkEnd w:id="3"/>
    </w:p>
    <w:p w14:paraId="347997FE">
      <w:pPr>
        <w:adjustRightInd w:val="0"/>
        <w:snapToGrid w:val="0"/>
        <w:spacing w:line="360" w:lineRule="auto"/>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（五）具有良好的商业信誉，信用良好，不接受被列入失信被执行人、重大违法案件当事人报价；</w:t>
      </w:r>
    </w:p>
    <w:p w14:paraId="7D0CABAD">
      <w:pPr>
        <w:adjustRightInd w:val="0"/>
        <w:snapToGrid w:val="0"/>
        <w:spacing w:line="360" w:lineRule="auto"/>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（六）报价人证明文件：法定代表人参加询价的必须有法定代表人身份证，法人授权委托人参加询价的必须有法人授权委托书及被授权委托人的身份证；</w:t>
      </w:r>
    </w:p>
    <w:p w14:paraId="6D248066">
      <w:pPr>
        <w:adjustRightInd w:val="0"/>
        <w:snapToGrid w:val="0"/>
        <w:spacing w:line="360" w:lineRule="auto"/>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（七）</w:t>
      </w:r>
      <w:r>
        <w:rPr>
          <w:rFonts w:hint="eastAsia" w:ascii="仿宋_GB2312" w:hAnsi="仿宋_GB2312" w:eastAsia="仿宋_GB2312" w:cs="仿宋_GB2312"/>
          <w:b/>
          <w:bCs w:val="0"/>
          <w:color w:val="auto"/>
          <w:kern w:val="1"/>
          <w:sz w:val="30"/>
          <w:szCs w:val="30"/>
          <w:highlight w:val="none"/>
          <w:lang w:val="en-US" w:eastAsia="zh-CN" w:bidi="ar-SA"/>
        </w:rPr>
        <w:t>本项目不接受联合体报价及运维服务任务转包。</w:t>
      </w:r>
    </w:p>
    <w:p w14:paraId="6BA504A1">
      <w:pPr>
        <w:adjustRightInd w:val="0"/>
        <w:snapToGrid w:val="0"/>
        <w:spacing w:line="600" w:lineRule="exact"/>
        <w:ind w:firstLine="602" w:firstLineChars="200"/>
        <w:jc w:val="left"/>
        <w:rPr>
          <w:rFonts w:hint="eastAsia" w:ascii="仿宋_GB2312" w:hAnsi="仿宋_GB2312" w:eastAsia="仿宋_GB2312" w:cs="仿宋_GB2312"/>
          <w:b/>
          <w:bCs w:val="0"/>
          <w:color w:val="auto"/>
          <w:kern w:val="1"/>
          <w:sz w:val="30"/>
          <w:szCs w:val="30"/>
          <w:highlight w:val="none"/>
          <w:lang w:val="en-US" w:eastAsia="zh-CN" w:bidi="ar-SA"/>
        </w:rPr>
      </w:pPr>
      <w:r>
        <w:rPr>
          <w:rFonts w:hint="eastAsia" w:ascii="仿宋_GB2312" w:hAnsi="仿宋_GB2312" w:eastAsia="仿宋_GB2312" w:cs="仿宋_GB2312"/>
          <w:b/>
          <w:bCs w:val="0"/>
          <w:color w:val="auto"/>
          <w:kern w:val="1"/>
          <w:sz w:val="30"/>
          <w:szCs w:val="30"/>
          <w:highlight w:val="none"/>
          <w:lang w:val="en-US" w:eastAsia="zh-CN" w:bidi="ar-SA"/>
        </w:rPr>
        <w:t>四、询价：</w:t>
      </w:r>
    </w:p>
    <w:p w14:paraId="2033572E">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bidi="ar-SA"/>
        </w:rPr>
      </w:pPr>
      <w:r>
        <w:rPr>
          <w:rFonts w:hint="eastAsia" w:ascii="仿宋_GB2312" w:hAnsi="仿宋_GB2312" w:eastAsia="仿宋_GB2312" w:cs="仿宋_GB2312"/>
          <w:bCs/>
          <w:color w:val="auto"/>
          <w:kern w:val="1"/>
          <w:sz w:val="30"/>
          <w:szCs w:val="30"/>
          <w:highlight w:val="none"/>
          <w:lang w:val="en-US" w:eastAsia="zh-CN" w:bidi="ar-SA"/>
        </w:rPr>
        <w:t>（一）报价方式：报价单（含税价，注明税率），如有不同请注明。</w:t>
      </w:r>
    </w:p>
    <w:p w14:paraId="4D4EA31D">
      <w:pPr>
        <w:numPr>
          <w:ilvl w:val="0"/>
          <w:numId w:val="0"/>
        </w:numPr>
        <w:adjustRightInd w:val="0"/>
        <w:snapToGrid w:val="0"/>
        <w:spacing w:line="360" w:lineRule="auto"/>
        <w:ind w:firstLine="600" w:firstLineChars="200"/>
        <w:jc w:val="left"/>
        <w:rPr>
          <w:rFonts w:hint="eastAsia" w:ascii="仿宋" w:hAnsi="仿宋" w:eastAsia="仿宋" w:cs="仿宋"/>
          <w:bCs/>
          <w:color w:val="auto"/>
          <w:kern w:val="0"/>
          <w:sz w:val="30"/>
          <w:szCs w:val="30"/>
          <w:highlight w:val="none"/>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二）</w:t>
      </w:r>
      <w:r>
        <w:rPr>
          <w:rFonts w:hint="eastAsia" w:ascii="仿宋" w:hAnsi="仿宋" w:eastAsia="仿宋" w:cs="仿宋"/>
          <w:bCs/>
          <w:color w:val="auto"/>
          <w:kern w:val="1"/>
          <w:sz w:val="30"/>
          <w:szCs w:val="30"/>
          <w:highlight w:val="none"/>
        </w:rPr>
        <w:t>付款方式：</w:t>
      </w:r>
      <w:r>
        <w:rPr>
          <w:rFonts w:hint="eastAsia" w:ascii="仿宋_GB2312" w:hAnsi="仿宋_GB2312" w:eastAsia="仿宋_GB2312" w:cs="仿宋_GB2312"/>
          <w:bCs/>
          <w:color w:val="auto"/>
          <w:kern w:val="1"/>
          <w:sz w:val="30"/>
          <w:szCs w:val="30"/>
          <w:highlight w:val="none"/>
          <w:lang w:val="en-US" w:eastAsia="zh-CN" w:bidi="ar-SA"/>
        </w:rPr>
        <w:t>承兑。</w:t>
      </w:r>
      <w:r>
        <w:rPr>
          <w:rFonts w:hint="eastAsia" w:ascii="仿宋_GB2312" w:hAnsi="仿宋_GB2312" w:eastAsia="仿宋_GB2312" w:cs="仿宋_GB2312"/>
          <w:bCs/>
          <w:sz w:val="30"/>
          <w:szCs w:val="30"/>
          <w:highlight w:val="none"/>
        </w:rPr>
        <w:t>合同签订后，</w:t>
      </w:r>
      <w:r>
        <w:rPr>
          <w:rFonts w:hint="eastAsia" w:ascii="仿宋_GB2312" w:hAnsi="仿宋_GB2312" w:eastAsia="仿宋_GB2312" w:cs="仿宋_GB2312"/>
          <w:bCs/>
          <w:sz w:val="30"/>
          <w:szCs w:val="30"/>
          <w:highlight w:val="none"/>
          <w:lang w:val="en-US" w:eastAsia="zh-CN"/>
        </w:rPr>
        <w:t>每年支付2次，分别是2月底、8月底，分别支付乙酯老装置、新装置VOCs设施运维费，金额为老装置、新装置VOCs设施已运维月度数量*每月运维金额。询</w:t>
      </w:r>
      <w:r>
        <w:rPr>
          <w:rFonts w:hint="eastAsia" w:ascii="仿宋_GB2312" w:hAnsi="仿宋_GB2312" w:eastAsia="仿宋_GB2312" w:cs="仿宋_GB2312"/>
          <w:bCs/>
          <w:sz w:val="30"/>
          <w:szCs w:val="30"/>
          <w:lang w:val="en-US" w:eastAsia="zh-CN"/>
        </w:rPr>
        <w:t>价方</w:t>
      </w:r>
      <w:r>
        <w:rPr>
          <w:rFonts w:hint="eastAsia" w:ascii="仿宋_GB2312" w:hAnsi="仿宋_GB2312" w:eastAsia="仿宋_GB2312" w:cs="仿宋_GB2312"/>
          <w:bCs/>
          <w:sz w:val="30"/>
          <w:szCs w:val="30"/>
        </w:rPr>
        <w:t>收到增值税专用发票后</w:t>
      </w:r>
      <w:r>
        <w:rPr>
          <w:rFonts w:hint="eastAsia" w:ascii="仿宋_GB2312" w:hAnsi="仿宋_GB2312" w:eastAsia="仿宋_GB2312" w:cs="仿宋_GB2312"/>
          <w:bCs/>
          <w:sz w:val="30"/>
          <w:szCs w:val="30"/>
          <w:lang w:val="en-US" w:eastAsia="zh-CN"/>
        </w:rPr>
        <w:t>次月</w:t>
      </w:r>
      <w:r>
        <w:rPr>
          <w:rFonts w:hint="eastAsia" w:ascii="仿宋_GB2312" w:hAnsi="仿宋_GB2312" w:eastAsia="仿宋_GB2312" w:cs="仿宋_GB2312"/>
          <w:bCs/>
          <w:sz w:val="30"/>
          <w:szCs w:val="30"/>
        </w:rPr>
        <w:t>支付。</w:t>
      </w:r>
      <w:r>
        <w:rPr>
          <w:rFonts w:hint="eastAsia" w:ascii="仿宋_GB2312" w:hAnsi="仿宋" w:eastAsia="仿宋_GB2312" w:cs="仿宋"/>
          <w:bCs/>
          <w:sz w:val="30"/>
          <w:szCs w:val="30"/>
        </w:rPr>
        <w:t>如国家税率调整，按合同含税价格/（1+合同约定税率）*</w:t>
      </w:r>
      <w:r>
        <w:rPr>
          <w:rFonts w:hint="eastAsia" w:ascii="仿宋_GB2312" w:hAnsi="仿宋" w:eastAsia="仿宋_GB2312" w:cs="仿宋"/>
          <w:bCs/>
          <w:sz w:val="30"/>
          <w:szCs w:val="30"/>
          <w:highlight w:val="none"/>
        </w:rPr>
        <w:t>（1+国家规定的新税率）调整合同价格开具发票</w:t>
      </w:r>
      <w:r>
        <w:rPr>
          <w:rFonts w:hint="eastAsia" w:ascii="仿宋_GB2312" w:hAnsi="仿宋" w:eastAsia="仿宋_GB2312" w:cs="仿宋"/>
          <w:bCs/>
          <w:sz w:val="30"/>
          <w:szCs w:val="30"/>
          <w:highlight w:val="none"/>
          <w:lang w:eastAsia="zh-CN"/>
        </w:rPr>
        <w:t>。</w:t>
      </w:r>
      <w:r>
        <w:rPr>
          <w:rFonts w:hint="eastAsia" w:ascii="仿宋_GB2312" w:hAnsi="仿宋" w:eastAsia="仿宋_GB2312" w:cs="仿宋"/>
          <w:bCs/>
          <w:sz w:val="30"/>
          <w:szCs w:val="30"/>
          <w:highlight w:val="none"/>
        </w:rPr>
        <w:t>如</w:t>
      </w:r>
      <w:r>
        <w:rPr>
          <w:rFonts w:hint="eastAsia" w:ascii="仿宋_GB2312" w:hAnsi="仿宋" w:eastAsia="仿宋_GB2312" w:cs="仿宋"/>
          <w:bCs/>
          <w:sz w:val="30"/>
          <w:szCs w:val="30"/>
          <w:highlight w:val="none"/>
          <w:lang w:val="en-US" w:eastAsia="zh-CN"/>
        </w:rPr>
        <w:t>报价</w:t>
      </w:r>
      <w:r>
        <w:rPr>
          <w:rFonts w:hint="eastAsia" w:ascii="仿宋_GB2312" w:hAnsi="仿宋" w:eastAsia="仿宋_GB2312" w:cs="仿宋"/>
          <w:bCs/>
          <w:sz w:val="30"/>
          <w:szCs w:val="30"/>
          <w:highlight w:val="none"/>
        </w:rPr>
        <w:t>人不接受</w:t>
      </w:r>
      <w:r>
        <w:rPr>
          <w:rFonts w:hint="eastAsia" w:ascii="仿宋_GB2312" w:hAnsi="仿宋" w:eastAsia="仿宋_GB2312" w:cs="仿宋"/>
          <w:bCs/>
          <w:sz w:val="30"/>
          <w:szCs w:val="30"/>
          <w:highlight w:val="none"/>
          <w:lang w:val="en-US" w:eastAsia="zh-CN"/>
        </w:rPr>
        <w:t>采购</w:t>
      </w:r>
      <w:r>
        <w:rPr>
          <w:rFonts w:hint="eastAsia" w:ascii="仿宋_GB2312" w:hAnsi="仿宋" w:eastAsia="仿宋_GB2312" w:cs="仿宋"/>
          <w:bCs/>
          <w:sz w:val="30"/>
          <w:szCs w:val="30"/>
          <w:highlight w:val="none"/>
        </w:rPr>
        <w:t>人提出的付款方式，可在报价书中明确能够接受的付款方式及</w:t>
      </w:r>
      <w:r>
        <w:rPr>
          <w:rFonts w:hint="eastAsia" w:ascii="仿宋" w:hAnsi="仿宋" w:eastAsia="仿宋" w:cs="仿宋"/>
          <w:bCs/>
          <w:color w:val="auto"/>
          <w:kern w:val="0"/>
          <w:sz w:val="30"/>
          <w:szCs w:val="30"/>
          <w:highlight w:val="none"/>
        </w:rPr>
        <w:t>付款时间，评</w:t>
      </w:r>
      <w:r>
        <w:rPr>
          <w:rFonts w:hint="eastAsia" w:ascii="仿宋" w:hAnsi="仿宋" w:eastAsia="仿宋" w:cs="仿宋"/>
          <w:bCs/>
          <w:color w:val="auto"/>
          <w:kern w:val="0"/>
          <w:sz w:val="30"/>
          <w:szCs w:val="30"/>
          <w:highlight w:val="none"/>
          <w:lang w:val="en-US" w:eastAsia="zh-CN"/>
        </w:rPr>
        <w:t>审</w:t>
      </w:r>
      <w:r>
        <w:rPr>
          <w:rFonts w:hint="eastAsia" w:ascii="仿宋" w:hAnsi="仿宋" w:eastAsia="仿宋" w:cs="仿宋"/>
          <w:bCs/>
          <w:color w:val="auto"/>
          <w:kern w:val="0"/>
          <w:sz w:val="30"/>
          <w:szCs w:val="30"/>
          <w:highlight w:val="none"/>
        </w:rPr>
        <w:t>时作为参考。</w:t>
      </w:r>
    </w:p>
    <w:p w14:paraId="5DF826AA">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（三）本项目</w:t>
      </w:r>
      <w:r>
        <w:rPr>
          <w:rFonts w:hint="eastAsia" w:ascii="仿宋_GB2312" w:hAnsi="仿宋_GB2312" w:eastAsia="仿宋_GB2312" w:cs="仿宋_GB2312"/>
          <w:bCs/>
          <w:color w:val="auto"/>
          <w:kern w:val="0"/>
          <w:sz w:val="30"/>
          <w:szCs w:val="30"/>
          <w:highlight w:val="none"/>
          <w:lang w:val="en-US" w:eastAsia="zh-CN"/>
        </w:rPr>
        <w:t>询价</w:t>
      </w:r>
      <w:r>
        <w:rPr>
          <w:rFonts w:hint="eastAsia" w:ascii="仿宋_GB2312" w:hAnsi="仿宋_GB2312" w:eastAsia="仿宋_GB2312" w:cs="仿宋_GB2312"/>
          <w:bCs/>
          <w:color w:val="auto"/>
          <w:kern w:val="0"/>
          <w:sz w:val="30"/>
          <w:szCs w:val="30"/>
          <w:highlight w:val="none"/>
        </w:rPr>
        <w:t>通过线</w:t>
      </w:r>
      <w:r>
        <w:rPr>
          <w:rFonts w:hint="eastAsia" w:ascii="仿宋_GB2312" w:hAnsi="仿宋_GB2312" w:eastAsia="仿宋_GB2312" w:cs="仿宋_GB2312"/>
          <w:bCs/>
          <w:color w:val="auto"/>
          <w:kern w:val="0"/>
          <w:sz w:val="30"/>
          <w:szCs w:val="30"/>
          <w:highlight w:val="none"/>
          <w:lang w:val="en-US" w:eastAsia="zh-CN"/>
        </w:rPr>
        <w:t>上</w:t>
      </w:r>
      <w:r>
        <w:rPr>
          <w:rFonts w:hint="eastAsia" w:ascii="仿宋_GB2312" w:hAnsi="仿宋_GB2312" w:eastAsia="仿宋_GB2312" w:cs="仿宋_GB2312"/>
          <w:bCs/>
          <w:color w:val="auto"/>
          <w:kern w:val="0"/>
          <w:sz w:val="30"/>
          <w:szCs w:val="30"/>
          <w:highlight w:val="none"/>
        </w:rPr>
        <w:t>方式进行：</w:t>
      </w:r>
    </w:p>
    <w:p w14:paraId="15FB9722">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采用线</w:t>
      </w:r>
      <w:r>
        <w:rPr>
          <w:rFonts w:hint="eastAsia" w:ascii="仿宋_GB2312" w:hAnsi="仿宋_GB2312" w:eastAsia="仿宋_GB2312" w:cs="仿宋_GB2312"/>
          <w:bCs/>
          <w:color w:val="auto"/>
          <w:kern w:val="0"/>
          <w:sz w:val="30"/>
          <w:szCs w:val="30"/>
          <w:highlight w:val="none"/>
          <w:lang w:val="en-US" w:eastAsia="zh-CN"/>
        </w:rPr>
        <w:t>上询价</w:t>
      </w:r>
      <w:r>
        <w:rPr>
          <w:rFonts w:hint="eastAsia" w:ascii="仿宋_GB2312" w:hAnsi="仿宋_GB2312" w:eastAsia="仿宋_GB2312" w:cs="仿宋_GB2312"/>
          <w:bCs/>
          <w:color w:val="auto"/>
          <w:kern w:val="0"/>
          <w:sz w:val="30"/>
          <w:szCs w:val="30"/>
          <w:highlight w:val="none"/>
        </w:rPr>
        <w:t>应将报价书及相关资料以</w:t>
      </w:r>
      <w:r>
        <w:rPr>
          <w:rFonts w:hint="eastAsia" w:ascii="仿宋_GB2312" w:hAnsi="仿宋_GB2312" w:eastAsia="仿宋_GB2312" w:cs="仿宋_GB2312"/>
          <w:bCs/>
          <w:color w:val="auto"/>
          <w:kern w:val="0"/>
          <w:sz w:val="30"/>
          <w:szCs w:val="30"/>
          <w:highlight w:val="none"/>
          <w:lang w:val="en-US" w:eastAsia="zh-CN"/>
        </w:rPr>
        <w:t>报价</w:t>
      </w:r>
      <w:r>
        <w:rPr>
          <w:rFonts w:hint="eastAsia" w:ascii="仿宋_GB2312" w:hAnsi="仿宋_GB2312" w:eastAsia="仿宋_GB2312" w:cs="仿宋_GB2312"/>
          <w:bCs/>
          <w:color w:val="auto"/>
          <w:kern w:val="0"/>
          <w:sz w:val="30"/>
          <w:szCs w:val="30"/>
          <w:highlight w:val="none"/>
        </w:rPr>
        <w:t>袋形式送达，</w:t>
      </w:r>
      <w:r>
        <w:rPr>
          <w:rFonts w:hint="eastAsia" w:ascii="仿宋_GB2312" w:hAnsi="仿宋_GB2312" w:eastAsia="仿宋_GB2312" w:cs="仿宋_GB2312"/>
          <w:bCs/>
          <w:color w:val="auto"/>
          <w:kern w:val="0"/>
          <w:sz w:val="30"/>
          <w:szCs w:val="30"/>
          <w:highlight w:val="none"/>
          <w:lang w:val="en-US" w:eastAsia="zh-CN"/>
        </w:rPr>
        <w:t>报价</w:t>
      </w:r>
      <w:r>
        <w:rPr>
          <w:rFonts w:hint="eastAsia" w:ascii="仿宋_GB2312" w:hAnsi="仿宋_GB2312" w:eastAsia="仿宋_GB2312" w:cs="仿宋_GB2312"/>
          <w:bCs/>
          <w:color w:val="auto"/>
          <w:kern w:val="0"/>
          <w:sz w:val="30"/>
          <w:szCs w:val="30"/>
          <w:highlight w:val="none"/>
        </w:rPr>
        <w:t>袋外包装必须用“封条”密封，封条“格式自定”，另需加盖公章、法人章，填写密封日期；在</w:t>
      </w:r>
      <w:r>
        <w:rPr>
          <w:rFonts w:hint="eastAsia" w:ascii="仿宋_GB2312" w:hAnsi="仿宋_GB2312" w:eastAsia="仿宋_GB2312" w:cs="仿宋_GB2312"/>
          <w:bCs/>
          <w:color w:val="auto"/>
          <w:kern w:val="0"/>
          <w:sz w:val="30"/>
          <w:szCs w:val="30"/>
          <w:highlight w:val="none"/>
          <w:lang w:val="en-US" w:eastAsia="zh-CN"/>
        </w:rPr>
        <w:t>报价</w:t>
      </w:r>
      <w:r>
        <w:rPr>
          <w:rFonts w:hint="eastAsia" w:ascii="仿宋_GB2312" w:hAnsi="仿宋_GB2312" w:eastAsia="仿宋_GB2312" w:cs="仿宋_GB2312"/>
          <w:bCs/>
          <w:color w:val="auto"/>
          <w:kern w:val="0"/>
          <w:sz w:val="30"/>
          <w:szCs w:val="30"/>
          <w:highlight w:val="none"/>
        </w:rPr>
        <w:t>袋封面上需注明“</w:t>
      </w:r>
      <w:r>
        <w:rPr>
          <w:rFonts w:hint="eastAsia" w:ascii="仿宋_GB2312" w:hAnsi="仿宋_GB2312" w:eastAsia="仿宋_GB2312" w:cs="仿宋_GB2312"/>
          <w:bCs/>
          <w:color w:val="auto"/>
          <w:kern w:val="0"/>
          <w:sz w:val="30"/>
          <w:szCs w:val="30"/>
          <w:highlight w:val="none"/>
          <w:lang w:val="en-US" w:eastAsia="zh-CN"/>
        </w:rPr>
        <w:t>询价</w:t>
      </w:r>
      <w:r>
        <w:rPr>
          <w:rFonts w:hint="eastAsia" w:ascii="仿宋_GB2312" w:hAnsi="仿宋_GB2312" w:eastAsia="仿宋_GB2312" w:cs="仿宋_GB2312"/>
          <w:bCs/>
          <w:color w:val="auto"/>
          <w:kern w:val="0"/>
          <w:sz w:val="30"/>
          <w:szCs w:val="30"/>
          <w:highlight w:val="none"/>
        </w:rPr>
        <w:t>项目名称，</w:t>
      </w:r>
      <w:r>
        <w:rPr>
          <w:rFonts w:hint="eastAsia" w:ascii="仿宋_GB2312" w:hAnsi="仿宋_GB2312" w:eastAsia="仿宋_GB2312" w:cs="仿宋_GB2312"/>
          <w:bCs/>
          <w:color w:val="auto"/>
          <w:kern w:val="0"/>
          <w:sz w:val="30"/>
          <w:szCs w:val="30"/>
          <w:highlight w:val="none"/>
          <w:lang w:val="en-US" w:eastAsia="zh-CN"/>
        </w:rPr>
        <w:t>服务</w:t>
      </w:r>
      <w:r>
        <w:rPr>
          <w:rFonts w:hint="eastAsia" w:ascii="仿宋_GB2312" w:hAnsi="仿宋_GB2312" w:eastAsia="仿宋_GB2312" w:cs="仿宋_GB2312"/>
          <w:bCs/>
          <w:color w:val="auto"/>
          <w:kern w:val="0"/>
          <w:sz w:val="30"/>
          <w:szCs w:val="30"/>
          <w:highlight w:val="none"/>
        </w:rPr>
        <w:t>方名称、地址、联系人、联系电话”等，如快递邮件破损或封面无</w:t>
      </w:r>
      <w:r>
        <w:rPr>
          <w:rFonts w:hint="eastAsia" w:ascii="仿宋_GB2312" w:hAnsi="仿宋_GB2312" w:eastAsia="仿宋_GB2312" w:cs="仿宋_GB2312"/>
          <w:bCs/>
          <w:color w:val="auto"/>
          <w:kern w:val="0"/>
          <w:sz w:val="30"/>
          <w:szCs w:val="30"/>
          <w:highlight w:val="none"/>
          <w:lang w:val="en-US" w:eastAsia="zh-CN"/>
        </w:rPr>
        <w:t>报价</w:t>
      </w:r>
      <w:r>
        <w:rPr>
          <w:rFonts w:hint="eastAsia" w:ascii="仿宋_GB2312" w:hAnsi="仿宋_GB2312" w:eastAsia="仿宋_GB2312" w:cs="仿宋_GB2312"/>
          <w:bCs/>
          <w:color w:val="auto"/>
          <w:kern w:val="0"/>
          <w:sz w:val="30"/>
          <w:szCs w:val="30"/>
          <w:highlight w:val="none"/>
        </w:rPr>
        <w:t>注释被误拆，我方概不负责；且必须在</w:t>
      </w:r>
      <w:r>
        <w:rPr>
          <w:rFonts w:hint="eastAsia" w:ascii="仿宋_GB2312" w:hAnsi="仿宋_GB2312" w:eastAsia="仿宋_GB2312" w:cs="仿宋_GB2312"/>
          <w:bCs/>
          <w:color w:val="auto"/>
          <w:kern w:val="0"/>
          <w:sz w:val="30"/>
          <w:szCs w:val="30"/>
          <w:highlight w:val="none"/>
          <w:lang w:val="en-US" w:eastAsia="zh-CN"/>
        </w:rPr>
        <w:t>报价</w:t>
      </w:r>
      <w:r>
        <w:rPr>
          <w:rFonts w:hint="eastAsia" w:ascii="仿宋_GB2312" w:hAnsi="仿宋_GB2312" w:eastAsia="仿宋_GB2312" w:cs="仿宋_GB2312"/>
          <w:bCs/>
          <w:color w:val="auto"/>
          <w:kern w:val="0"/>
          <w:sz w:val="30"/>
          <w:szCs w:val="30"/>
          <w:highlight w:val="none"/>
        </w:rPr>
        <w:t>截止日之前送达，逾期将作为作</w:t>
      </w:r>
      <w:r>
        <w:rPr>
          <w:rFonts w:hint="eastAsia" w:ascii="仿宋_GB2312" w:hAnsi="仿宋_GB2312" w:eastAsia="仿宋_GB2312" w:cs="仿宋_GB2312"/>
          <w:bCs/>
          <w:color w:val="auto"/>
          <w:kern w:val="0"/>
          <w:sz w:val="30"/>
          <w:szCs w:val="30"/>
          <w:highlight w:val="none"/>
          <w:lang w:val="en-US" w:eastAsia="zh-CN"/>
        </w:rPr>
        <w:t>询价废止</w:t>
      </w:r>
      <w:r>
        <w:rPr>
          <w:rFonts w:hint="eastAsia" w:ascii="仿宋_GB2312" w:hAnsi="仿宋_GB2312" w:eastAsia="仿宋_GB2312" w:cs="仿宋_GB2312"/>
          <w:bCs/>
          <w:color w:val="auto"/>
          <w:kern w:val="0"/>
          <w:sz w:val="30"/>
          <w:szCs w:val="30"/>
          <w:highlight w:val="none"/>
        </w:rPr>
        <w:t>处理。</w:t>
      </w:r>
    </w:p>
    <w:p w14:paraId="0D0D8029">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（四）与本</w:t>
      </w:r>
      <w:r>
        <w:rPr>
          <w:rFonts w:hint="eastAsia" w:ascii="仿宋_GB2312" w:hAnsi="仿宋_GB2312" w:eastAsia="仿宋_GB2312" w:cs="仿宋_GB2312"/>
          <w:bCs/>
          <w:color w:val="auto"/>
          <w:kern w:val="0"/>
          <w:sz w:val="30"/>
          <w:szCs w:val="30"/>
          <w:highlight w:val="none"/>
          <w:lang w:val="en-US" w:eastAsia="zh-CN"/>
        </w:rPr>
        <w:t>次询价</w:t>
      </w:r>
      <w:r>
        <w:rPr>
          <w:rFonts w:hint="eastAsia" w:ascii="仿宋_GB2312" w:hAnsi="仿宋_GB2312" w:eastAsia="仿宋_GB2312" w:cs="仿宋_GB2312"/>
          <w:bCs/>
          <w:color w:val="auto"/>
          <w:kern w:val="0"/>
          <w:sz w:val="30"/>
          <w:szCs w:val="30"/>
          <w:highlight w:val="none"/>
        </w:rPr>
        <w:t>有关的一切往来通讯请密封寄：</w:t>
      </w:r>
    </w:p>
    <w:p w14:paraId="23FFC6CB">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公司：江苏索普化工股份有限公司安全环境部</w:t>
      </w:r>
    </w:p>
    <w:p w14:paraId="0D754B2D">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地址：江苏省镇江市京口区求索路</w:t>
      </w:r>
      <w:r>
        <w:rPr>
          <w:rFonts w:hint="eastAsia" w:ascii="仿宋_GB2312" w:hAnsi="仿宋_GB2312" w:eastAsia="仿宋_GB2312" w:cs="仿宋_GB2312"/>
          <w:bCs/>
          <w:color w:val="auto"/>
          <w:kern w:val="0"/>
          <w:sz w:val="30"/>
          <w:szCs w:val="30"/>
          <w:highlight w:val="none"/>
          <w:lang w:val="en-US" w:eastAsia="zh-CN"/>
        </w:rPr>
        <w:t>88</w:t>
      </w:r>
      <w:r>
        <w:rPr>
          <w:rFonts w:hint="eastAsia" w:ascii="仿宋_GB2312" w:hAnsi="仿宋_GB2312" w:eastAsia="仿宋_GB2312" w:cs="仿宋_GB2312"/>
          <w:bCs/>
          <w:color w:val="auto"/>
          <w:kern w:val="0"/>
          <w:sz w:val="30"/>
          <w:szCs w:val="30"/>
          <w:highlight w:val="none"/>
        </w:rPr>
        <w:t>号</w:t>
      </w:r>
    </w:p>
    <w:p w14:paraId="3BA148AE">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收件人：</w:t>
      </w:r>
      <w:r>
        <w:rPr>
          <w:rFonts w:hint="eastAsia" w:ascii="仿宋_GB2312" w:hAnsi="仿宋_GB2312" w:eastAsia="仿宋_GB2312" w:cs="仿宋_GB2312"/>
          <w:bCs/>
          <w:color w:val="auto"/>
          <w:kern w:val="0"/>
          <w:sz w:val="30"/>
          <w:szCs w:val="30"/>
          <w:highlight w:val="none"/>
          <w:lang w:val="en-US" w:eastAsia="zh-CN"/>
        </w:rPr>
        <w:t>周暾</w:t>
      </w:r>
    </w:p>
    <w:p w14:paraId="06ACF14B">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rPr>
        <w:t>联系电话：</w:t>
      </w:r>
      <w:r>
        <w:rPr>
          <w:rFonts w:hint="eastAsia" w:ascii="仿宋_GB2312" w:hAnsi="仿宋_GB2312" w:eastAsia="仿宋_GB2312" w:cs="仿宋_GB2312"/>
          <w:bCs/>
          <w:color w:val="auto"/>
          <w:kern w:val="0"/>
          <w:sz w:val="30"/>
          <w:szCs w:val="30"/>
          <w:highlight w:val="none"/>
          <w:lang w:val="en-US" w:eastAsia="zh-CN"/>
        </w:rPr>
        <w:t>13921596759/15805286960</w:t>
      </w:r>
    </w:p>
    <w:p w14:paraId="7E3704EB">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（五）凡对</w:t>
      </w:r>
      <w:r>
        <w:rPr>
          <w:rFonts w:hint="eastAsia" w:ascii="仿宋_GB2312" w:hAnsi="仿宋_GB2312" w:eastAsia="仿宋_GB2312" w:cs="仿宋_GB2312"/>
          <w:bCs/>
          <w:color w:val="auto"/>
          <w:kern w:val="0"/>
          <w:sz w:val="30"/>
          <w:szCs w:val="30"/>
          <w:highlight w:val="none"/>
          <w:lang w:val="en-US" w:eastAsia="zh-CN"/>
        </w:rPr>
        <w:t>询价</w:t>
      </w:r>
      <w:r>
        <w:rPr>
          <w:rFonts w:hint="eastAsia" w:ascii="仿宋_GB2312" w:hAnsi="仿宋_GB2312" w:eastAsia="仿宋_GB2312" w:cs="仿宋_GB2312"/>
          <w:bCs/>
          <w:color w:val="auto"/>
          <w:kern w:val="0"/>
          <w:sz w:val="30"/>
          <w:szCs w:val="30"/>
          <w:highlight w:val="none"/>
        </w:rPr>
        <w:t>文件条款有疑义的，请在</w:t>
      </w:r>
      <w:r>
        <w:rPr>
          <w:rFonts w:hint="eastAsia" w:ascii="仿宋_GB2312" w:hAnsi="仿宋_GB2312" w:eastAsia="仿宋_GB2312" w:cs="仿宋_GB2312"/>
          <w:bCs/>
          <w:color w:val="auto"/>
          <w:kern w:val="0"/>
          <w:sz w:val="30"/>
          <w:szCs w:val="30"/>
          <w:highlight w:val="none"/>
          <w:lang w:val="en-US" w:eastAsia="zh-CN"/>
        </w:rPr>
        <w:t>询价</w:t>
      </w:r>
      <w:r>
        <w:rPr>
          <w:rFonts w:hint="eastAsia" w:ascii="仿宋_GB2312" w:hAnsi="仿宋_GB2312" w:eastAsia="仿宋_GB2312" w:cs="仿宋_GB2312"/>
          <w:bCs/>
          <w:color w:val="auto"/>
          <w:kern w:val="0"/>
          <w:sz w:val="30"/>
          <w:szCs w:val="30"/>
          <w:highlight w:val="none"/>
        </w:rPr>
        <w:t>前按以下方式联系：</w:t>
      </w:r>
    </w:p>
    <w:p w14:paraId="11914F72">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lang w:val="en-US" w:eastAsia="zh-CN"/>
        </w:rPr>
        <w:t>1.</w:t>
      </w:r>
      <w:r>
        <w:rPr>
          <w:rFonts w:hint="eastAsia" w:ascii="仿宋_GB2312" w:hAnsi="仿宋_GB2312" w:eastAsia="仿宋_GB2312" w:cs="仿宋_GB2312"/>
          <w:bCs/>
          <w:color w:val="auto"/>
          <w:kern w:val="0"/>
          <w:sz w:val="30"/>
          <w:szCs w:val="30"/>
          <w:highlight w:val="none"/>
        </w:rPr>
        <w:t>联系单位：江苏索普化工股份有限公司安全环境部</w:t>
      </w:r>
    </w:p>
    <w:p w14:paraId="0ECCFF50">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地址：江苏省镇江市京口区求索路</w:t>
      </w:r>
      <w:r>
        <w:rPr>
          <w:rFonts w:hint="eastAsia" w:ascii="仿宋_GB2312" w:hAnsi="仿宋_GB2312" w:eastAsia="仿宋_GB2312" w:cs="仿宋_GB2312"/>
          <w:bCs/>
          <w:color w:val="auto"/>
          <w:kern w:val="0"/>
          <w:sz w:val="30"/>
          <w:szCs w:val="30"/>
          <w:highlight w:val="none"/>
          <w:lang w:val="en-US" w:eastAsia="zh-CN"/>
        </w:rPr>
        <w:t>88</w:t>
      </w:r>
      <w:r>
        <w:rPr>
          <w:rFonts w:hint="eastAsia" w:ascii="仿宋_GB2312" w:hAnsi="仿宋_GB2312" w:eastAsia="仿宋_GB2312" w:cs="仿宋_GB2312"/>
          <w:bCs/>
          <w:color w:val="auto"/>
          <w:kern w:val="0"/>
          <w:sz w:val="30"/>
          <w:szCs w:val="30"/>
          <w:highlight w:val="none"/>
        </w:rPr>
        <w:t>号，邮编：212006</w:t>
      </w:r>
    </w:p>
    <w:p w14:paraId="6FB5E698">
      <w:pPr>
        <w:numPr>
          <w:ilvl w:val="0"/>
          <w:numId w:val="0"/>
        </w:numPr>
        <w:adjustRightInd w:val="0"/>
        <w:snapToGrid w:val="0"/>
        <w:spacing w:line="360" w:lineRule="auto"/>
        <w:ind w:firstLine="600" w:firstLineChars="200"/>
        <w:jc w:val="left"/>
        <w:rPr>
          <w:rFonts w:hint="eastAsia" w:ascii="仿宋_GB2312" w:hAnsi="仿宋_GB2312" w:eastAsia="仿宋_GB2312" w:cs="仿宋_GB2312"/>
          <w:bCs/>
          <w:color w:val="auto"/>
          <w:kern w:val="0"/>
          <w:sz w:val="30"/>
          <w:szCs w:val="30"/>
          <w:highlight w:val="none"/>
          <w:lang w:val="en-US" w:eastAsia="zh-CN"/>
        </w:rPr>
      </w:pPr>
      <w:r>
        <w:rPr>
          <w:rFonts w:hint="eastAsia" w:ascii="仿宋_GB2312" w:hAnsi="仿宋_GB2312" w:eastAsia="仿宋_GB2312" w:cs="仿宋_GB2312"/>
          <w:bCs/>
          <w:color w:val="auto"/>
          <w:kern w:val="0"/>
          <w:sz w:val="30"/>
          <w:szCs w:val="30"/>
          <w:highlight w:val="none"/>
          <w:lang w:val="en-US" w:eastAsia="zh-CN"/>
        </w:rPr>
        <w:t>询价</w:t>
      </w:r>
      <w:r>
        <w:rPr>
          <w:rFonts w:hint="eastAsia" w:ascii="仿宋_GB2312" w:hAnsi="仿宋_GB2312" w:eastAsia="仿宋_GB2312" w:cs="仿宋_GB2312"/>
          <w:bCs/>
          <w:color w:val="auto"/>
          <w:kern w:val="0"/>
          <w:sz w:val="30"/>
          <w:szCs w:val="30"/>
          <w:highlight w:val="none"/>
        </w:rPr>
        <w:t>业务联系人：</w:t>
      </w:r>
      <w:r>
        <w:rPr>
          <w:rFonts w:hint="eastAsia" w:ascii="仿宋_GB2312" w:hAnsi="仿宋_GB2312" w:eastAsia="仿宋_GB2312" w:cs="仿宋_GB2312"/>
          <w:bCs/>
          <w:color w:val="auto"/>
          <w:kern w:val="0"/>
          <w:sz w:val="30"/>
          <w:szCs w:val="30"/>
          <w:highlight w:val="none"/>
          <w:lang w:val="en-US" w:eastAsia="zh-CN"/>
        </w:rPr>
        <w:t>周  暾 :13921596759/15805286960</w:t>
      </w:r>
    </w:p>
    <w:p w14:paraId="67F05A92">
      <w:pPr>
        <w:numPr>
          <w:ilvl w:val="0"/>
          <w:numId w:val="0"/>
        </w:num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_GB2312" w:eastAsia="仿宋_GB2312" w:cs="仿宋_GB2312"/>
          <w:bCs/>
          <w:color w:val="auto"/>
          <w:kern w:val="0"/>
          <w:sz w:val="30"/>
          <w:szCs w:val="30"/>
          <w:highlight w:val="none"/>
          <w:lang w:val="en-US" w:eastAsia="zh-CN"/>
        </w:rPr>
        <w:t>询价</w:t>
      </w:r>
      <w:r>
        <w:rPr>
          <w:rFonts w:hint="eastAsia" w:ascii="仿宋_GB2312" w:hAnsi="仿宋_GB2312" w:eastAsia="仿宋_GB2312" w:cs="仿宋_GB2312"/>
          <w:bCs/>
          <w:color w:val="auto"/>
          <w:kern w:val="0"/>
          <w:sz w:val="30"/>
          <w:szCs w:val="30"/>
          <w:highlight w:val="none"/>
        </w:rPr>
        <w:t>部门负责人：</w:t>
      </w:r>
      <w:r>
        <w:rPr>
          <w:rFonts w:hint="eastAsia" w:ascii="仿宋_GB2312" w:hAnsi="仿宋_GB2312" w:eastAsia="仿宋_GB2312" w:cs="仿宋_GB2312"/>
          <w:bCs/>
          <w:color w:val="auto"/>
          <w:kern w:val="0"/>
          <w:sz w:val="30"/>
          <w:szCs w:val="30"/>
          <w:highlight w:val="none"/>
          <w:lang w:val="en-US" w:eastAsia="zh-CN"/>
        </w:rPr>
        <w:t>丁雪梅 :</w:t>
      </w:r>
      <w:r>
        <w:rPr>
          <w:rFonts w:hint="eastAsia" w:ascii="仿宋_GB2312" w:hAnsi="仿宋_GB2312" w:eastAsia="仿宋_GB2312" w:cs="仿宋_GB2312"/>
          <w:bCs/>
          <w:color w:val="auto"/>
          <w:kern w:val="0"/>
          <w:sz w:val="30"/>
          <w:szCs w:val="30"/>
          <w:highlight w:val="none"/>
        </w:rPr>
        <w:t>13952871937</w:t>
      </w:r>
      <w:r>
        <w:rPr>
          <w:rFonts w:hint="eastAsia" w:ascii="仿宋_GB2312" w:hAnsi="仿宋_GB2312" w:eastAsia="仿宋_GB2312" w:cs="仿宋_GB2312"/>
          <w:bCs/>
          <w:color w:val="auto"/>
          <w:kern w:val="0"/>
          <w:sz w:val="30"/>
          <w:szCs w:val="30"/>
          <w:highlight w:val="none"/>
          <w:lang w:val="en-US" w:eastAsia="zh-CN"/>
        </w:rPr>
        <w:t>/15805288570</w:t>
      </w:r>
    </w:p>
    <w:p w14:paraId="02E1DE6C">
      <w:pPr>
        <w:adjustRightInd w:val="0"/>
        <w:snapToGrid w:val="0"/>
        <w:spacing w:line="360" w:lineRule="auto"/>
        <w:ind w:firstLine="602" w:firstLineChars="200"/>
        <w:jc w:val="left"/>
        <w:rPr>
          <w:rFonts w:ascii="仿宋_GB2312" w:hAnsi="仿宋" w:eastAsia="仿宋_GB2312" w:cs="仿宋"/>
          <w:b/>
          <w:kern w:val="1"/>
          <w:sz w:val="30"/>
          <w:szCs w:val="30"/>
        </w:rPr>
      </w:pPr>
      <w:r>
        <w:rPr>
          <w:rFonts w:hint="eastAsia" w:ascii="仿宋_GB2312" w:hAnsi="仿宋" w:eastAsia="仿宋_GB2312" w:cs="仿宋"/>
          <w:b/>
          <w:bCs/>
          <w:kern w:val="1"/>
          <w:sz w:val="30"/>
          <w:szCs w:val="30"/>
        </w:rPr>
        <w:t xml:space="preserve"> </w:t>
      </w:r>
      <w:r>
        <w:rPr>
          <w:rFonts w:hint="eastAsia" w:ascii="仿宋_GB2312" w:hAnsi="仿宋" w:eastAsia="仿宋_GB2312" w:cs="仿宋"/>
          <w:b/>
          <w:kern w:val="1"/>
          <w:sz w:val="30"/>
          <w:szCs w:val="30"/>
        </w:rPr>
        <w:t>五、</w:t>
      </w:r>
      <w:r>
        <w:rPr>
          <w:rFonts w:hint="eastAsia" w:ascii="仿宋_GB2312" w:hAnsi="仿宋" w:eastAsia="仿宋_GB2312" w:cs="仿宋"/>
          <w:b/>
          <w:kern w:val="1"/>
          <w:sz w:val="30"/>
          <w:szCs w:val="30"/>
          <w:lang w:val="en-US" w:eastAsia="zh-CN"/>
        </w:rPr>
        <w:t>评审</w:t>
      </w:r>
      <w:r>
        <w:rPr>
          <w:rFonts w:hint="eastAsia" w:ascii="仿宋_GB2312" w:hAnsi="仿宋" w:eastAsia="仿宋_GB2312" w:cs="仿宋"/>
          <w:b/>
          <w:kern w:val="1"/>
          <w:sz w:val="30"/>
          <w:szCs w:val="30"/>
        </w:rPr>
        <w:t>、评</w:t>
      </w:r>
      <w:r>
        <w:rPr>
          <w:rFonts w:hint="eastAsia" w:ascii="仿宋_GB2312" w:hAnsi="仿宋" w:eastAsia="仿宋_GB2312" w:cs="仿宋"/>
          <w:b/>
          <w:kern w:val="1"/>
          <w:sz w:val="30"/>
          <w:szCs w:val="30"/>
          <w:lang w:val="en-US" w:eastAsia="zh-CN"/>
        </w:rPr>
        <w:t>定</w:t>
      </w:r>
      <w:r>
        <w:rPr>
          <w:rFonts w:hint="eastAsia" w:ascii="仿宋_GB2312" w:hAnsi="仿宋" w:eastAsia="仿宋_GB2312" w:cs="仿宋"/>
          <w:b/>
          <w:kern w:val="1"/>
          <w:sz w:val="30"/>
          <w:szCs w:val="30"/>
        </w:rPr>
        <w:t>、</w:t>
      </w:r>
      <w:r>
        <w:rPr>
          <w:rFonts w:hint="eastAsia" w:ascii="仿宋_GB2312" w:hAnsi="仿宋" w:eastAsia="仿宋_GB2312" w:cs="仿宋"/>
          <w:b/>
          <w:kern w:val="1"/>
          <w:sz w:val="30"/>
          <w:szCs w:val="30"/>
          <w:lang w:val="en-US" w:eastAsia="zh-CN"/>
        </w:rPr>
        <w:t>询价废止</w:t>
      </w:r>
      <w:r>
        <w:rPr>
          <w:rFonts w:hint="eastAsia" w:ascii="仿宋_GB2312" w:hAnsi="仿宋" w:eastAsia="仿宋_GB2312" w:cs="仿宋"/>
          <w:b/>
          <w:kern w:val="1"/>
          <w:sz w:val="30"/>
          <w:szCs w:val="30"/>
        </w:rPr>
        <w:t>及</w:t>
      </w:r>
      <w:r>
        <w:rPr>
          <w:rFonts w:hint="eastAsia" w:ascii="仿宋_GB2312" w:hAnsi="仿宋" w:eastAsia="仿宋_GB2312" w:cs="仿宋"/>
          <w:b/>
          <w:kern w:val="1"/>
          <w:sz w:val="30"/>
          <w:szCs w:val="30"/>
          <w:lang w:val="en-US" w:eastAsia="zh-CN"/>
        </w:rPr>
        <w:t>无效报价</w:t>
      </w:r>
      <w:r>
        <w:rPr>
          <w:rFonts w:hint="eastAsia" w:ascii="仿宋_GB2312" w:hAnsi="仿宋" w:eastAsia="仿宋_GB2312" w:cs="仿宋"/>
          <w:b/>
          <w:kern w:val="1"/>
          <w:sz w:val="30"/>
          <w:szCs w:val="30"/>
        </w:rPr>
        <w:t>：</w:t>
      </w:r>
    </w:p>
    <w:p w14:paraId="494B535C">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rPr>
        <w:t>（一）</w:t>
      </w:r>
      <w:r>
        <w:rPr>
          <w:rFonts w:hint="eastAsia" w:ascii="仿宋_GB2312" w:hAnsi="仿宋" w:eastAsia="仿宋_GB2312" w:cs="仿宋"/>
          <w:bCs/>
          <w:kern w:val="1"/>
          <w:sz w:val="30"/>
          <w:szCs w:val="30"/>
          <w:lang w:val="en-US" w:eastAsia="zh-CN"/>
        </w:rPr>
        <w:t>评审</w:t>
      </w:r>
    </w:p>
    <w:p w14:paraId="3E4783AC">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本项目由</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人组织</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小组负责</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工作，对各</w:t>
      </w:r>
      <w:r>
        <w:rPr>
          <w:rFonts w:hint="eastAsia" w:ascii="仿宋_GB2312" w:hAnsi="仿宋" w:eastAsia="仿宋_GB2312" w:cs="仿宋"/>
          <w:bCs/>
          <w:kern w:val="1"/>
          <w:sz w:val="30"/>
          <w:szCs w:val="30"/>
          <w:lang w:val="en-US" w:eastAsia="zh-CN"/>
        </w:rPr>
        <w:t>供应商</w:t>
      </w:r>
      <w:r>
        <w:rPr>
          <w:rFonts w:hint="eastAsia" w:ascii="仿宋_GB2312" w:hAnsi="仿宋" w:eastAsia="仿宋_GB2312" w:cs="仿宋"/>
          <w:bCs/>
          <w:kern w:val="1"/>
          <w:sz w:val="30"/>
          <w:szCs w:val="30"/>
        </w:rPr>
        <w:t>报价进行</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，确定</w:t>
      </w:r>
      <w:r>
        <w:rPr>
          <w:rFonts w:hint="eastAsia" w:ascii="仿宋_GB2312" w:hAnsi="仿宋" w:eastAsia="仿宋_GB2312" w:cs="仿宋"/>
          <w:bCs/>
          <w:kern w:val="1"/>
          <w:sz w:val="30"/>
          <w:szCs w:val="30"/>
          <w:lang w:val="en-US" w:eastAsia="zh-CN"/>
        </w:rPr>
        <w:t>最终成交</w:t>
      </w:r>
      <w:r>
        <w:rPr>
          <w:rFonts w:hint="eastAsia" w:ascii="仿宋_GB2312" w:hAnsi="仿宋" w:eastAsia="仿宋_GB2312" w:cs="仿宋"/>
          <w:bCs/>
          <w:kern w:val="1"/>
          <w:sz w:val="30"/>
          <w:szCs w:val="30"/>
        </w:rPr>
        <w:t>人。</w:t>
      </w:r>
    </w:p>
    <w:p w14:paraId="213D714A">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1</w:t>
      </w: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rPr>
        <w:t>请各</w:t>
      </w:r>
      <w:r>
        <w:rPr>
          <w:rFonts w:hint="eastAsia" w:ascii="仿宋_GB2312" w:hAnsi="仿宋" w:eastAsia="仿宋_GB2312" w:cs="仿宋"/>
          <w:bCs/>
          <w:kern w:val="1"/>
          <w:sz w:val="30"/>
          <w:szCs w:val="30"/>
          <w:lang w:val="en-US" w:eastAsia="zh-CN"/>
        </w:rPr>
        <w:t>供应商</w:t>
      </w:r>
      <w:r>
        <w:rPr>
          <w:rFonts w:hint="eastAsia" w:ascii="仿宋_GB2312" w:hAnsi="仿宋" w:eastAsia="仿宋_GB2312" w:cs="仿宋"/>
          <w:bCs/>
          <w:kern w:val="1"/>
          <w:sz w:val="30"/>
          <w:szCs w:val="30"/>
        </w:rPr>
        <w:t>保持通讯畅通，便于</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小组在</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现场电话联系。</w:t>
      </w:r>
    </w:p>
    <w:p w14:paraId="5182C4A8">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2</w:t>
      </w: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小组不得泄露各</w:t>
      </w:r>
      <w:r>
        <w:rPr>
          <w:rFonts w:hint="eastAsia" w:ascii="仿宋_GB2312" w:hAnsi="仿宋" w:eastAsia="仿宋_GB2312" w:cs="仿宋"/>
          <w:bCs/>
          <w:kern w:val="1"/>
          <w:sz w:val="30"/>
          <w:szCs w:val="30"/>
          <w:lang w:val="en-US" w:eastAsia="zh-CN"/>
        </w:rPr>
        <w:t>供应商</w:t>
      </w:r>
      <w:r>
        <w:rPr>
          <w:rFonts w:hint="eastAsia" w:ascii="仿宋_GB2312" w:hAnsi="仿宋" w:eastAsia="仿宋_GB2312" w:cs="仿宋"/>
          <w:bCs/>
          <w:kern w:val="1"/>
          <w:sz w:val="30"/>
          <w:szCs w:val="30"/>
        </w:rPr>
        <w:t xml:space="preserve">的报价。  </w:t>
      </w:r>
    </w:p>
    <w:p w14:paraId="6A3D9B24">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rPr>
        <w:t>（二）</w:t>
      </w:r>
      <w:r>
        <w:rPr>
          <w:rFonts w:hint="eastAsia" w:ascii="仿宋_GB2312" w:hAnsi="仿宋" w:eastAsia="仿宋_GB2312" w:cs="仿宋"/>
          <w:bCs/>
          <w:kern w:val="1"/>
          <w:sz w:val="30"/>
          <w:szCs w:val="30"/>
          <w:lang w:val="en-US" w:eastAsia="zh-CN"/>
        </w:rPr>
        <w:t>评定</w:t>
      </w:r>
    </w:p>
    <w:p w14:paraId="060DB638">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1.在能够满足采购人技术要求及供货期要求的报价人中选择评定价最低（其他报价人的各分项报价作参考，需接受其他报价单位的分项最低价）的一家报价人作为成交候选人。</w:t>
      </w:r>
    </w:p>
    <w:p w14:paraId="0B942470">
      <w:pPr>
        <w:adjustRightInd w:val="0"/>
        <w:snapToGrid w:val="0"/>
        <w:spacing w:line="360" w:lineRule="auto"/>
        <w:ind w:firstLine="600" w:firstLineChars="200"/>
        <w:jc w:val="left"/>
        <w:rPr>
          <w:rFonts w:hint="eastAsia" w:ascii="仿宋_GB2312" w:hAnsi="仿宋" w:eastAsia="仿宋_GB2312" w:cs="仿宋"/>
          <w:bCs/>
          <w:kern w:val="1"/>
          <w:sz w:val="30"/>
          <w:szCs w:val="30"/>
          <w:lang w:eastAsia="zh-CN"/>
        </w:rPr>
      </w:pPr>
      <w:r>
        <w:rPr>
          <w:rFonts w:hint="eastAsia" w:ascii="仿宋_GB2312" w:hAnsi="仿宋" w:eastAsia="仿宋_GB2312" w:cs="仿宋"/>
          <w:bCs/>
          <w:kern w:val="1"/>
          <w:sz w:val="30"/>
          <w:szCs w:val="30"/>
        </w:rPr>
        <w:t>2.在相同报价的情况下，优先考虑曾服务过本公司的</w:t>
      </w:r>
      <w:r>
        <w:rPr>
          <w:rFonts w:hint="eastAsia" w:ascii="仿宋_GB2312" w:hAnsi="仿宋" w:eastAsia="仿宋_GB2312" w:cs="仿宋"/>
          <w:bCs/>
          <w:kern w:val="1"/>
          <w:sz w:val="30"/>
          <w:szCs w:val="30"/>
          <w:lang w:val="en-US" w:eastAsia="zh-CN"/>
        </w:rPr>
        <w:t>成交</w:t>
      </w:r>
      <w:r>
        <w:rPr>
          <w:rFonts w:hint="eastAsia" w:ascii="仿宋_GB2312" w:hAnsi="仿宋" w:eastAsia="仿宋_GB2312" w:cs="仿宋"/>
          <w:bCs/>
          <w:kern w:val="1"/>
          <w:sz w:val="30"/>
          <w:szCs w:val="30"/>
        </w:rPr>
        <w:t>人</w:t>
      </w:r>
      <w:r>
        <w:rPr>
          <w:rFonts w:hint="eastAsia" w:ascii="仿宋_GB2312" w:hAnsi="仿宋" w:eastAsia="仿宋_GB2312" w:cs="仿宋"/>
          <w:bCs/>
          <w:kern w:val="1"/>
          <w:sz w:val="30"/>
          <w:szCs w:val="30"/>
          <w:lang w:eastAsia="zh-CN"/>
        </w:rPr>
        <w:t>。</w:t>
      </w:r>
    </w:p>
    <w:p w14:paraId="1DDE6844">
      <w:pPr>
        <w:adjustRightInd w:val="0"/>
        <w:snapToGrid w:val="0"/>
        <w:spacing w:line="360" w:lineRule="auto"/>
        <w:ind w:firstLine="600" w:firstLineChars="200"/>
        <w:jc w:val="left"/>
        <w:rPr>
          <w:rFonts w:hint="default"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rPr>
        <w:t>（三）</w:t>
      </w:r>
      <w:r>
        <w:rPr>
          <w:rFonts w:hint="eastAsia" w:ascii="仿宋_GB2312" w:hAnsi="仿宋" w:eastAsia="仿宋_GB2312" w:cs="仿宋"/>
          <w:bCs/>
          <w:kern w:val="1"/>
          <w:sz w:val="30"/>
          <w:szCs w:val="30"/>
          <w:lang w:val="en-US" w:eastAsia="zh-CN"/>
        </w:rPr>
        <w:t>询价废止</w:t>
      </w:r>
    </w:p>
    <w:p w14:paraId="1289F749">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人如发现</w:t>
      </w:r>
      <w:r>
        <w:rPr>
          <w:rFonts w:hint="eastAsia" w:ascii="仿宋_GB2312" w:hAnsi="仿宋" w:eastAsia="仿宋_GB2312" w:cs="仿宋"/>
          <w:bCs/>
          <w:kern w:val="1"/>
          <w:sz w:val="30"/>
          <w:szCs w:val="30"/>
          <w:lang w:val="en-US" w:eastAsia="zh-CN"/>
        </w:rPr>
        <w:t>询比价</w:t>
      </w:r>
      <w:r>
        <w:rPr>
          <w:rFonts w:hint="eastAsia" w:ascii="仿宋_GB2312" w:hAnsi="仿宋" w:eastAsia="仿宋_GB2312" w:cs="仿宋"/>
          <w:bCs/>
          <w:kern w:val="1"/>
          <w:sz w:val="30"/>
          <w:szCs w:val="30"/>
        </w:rPr>
        <w:t>过程中有</w:t>
      </w:r>
      <w:r>
        <w:rPr>
          <w:rFonts w:hint="eastAsia" w:ascii="仿宋_GB2312" w:hAnsi="仿宋" w:eastAsia="仿宋_GB2312" w:cs="仿宋"/>
          <w:bCs/>
          <w:kern w:val="1"/>
          <w:sz w:val="30"/>
          <w:szCs w:val="30"/>
          <w:lang w:val="en-US" w:eastAsia="zh-CN"/>
        </w:rPr>
        <w:t>串通报价</w:t>
      </w:r>
      <w:r>
        <w:rPr>
          <w:rFonts w:hint="eastAsia" w:ascii="仿宋_GB2312" w:hAnsi="仿宋" w:eastAsia="仿宋_GB2312" w:cs="仿宋"/>
          <w:bCs/>
          <w:kern w:val="1"/>
          <w:sz w:val="30"/>
          <w:szCs w:val="30"/>
        </w:rPr>
        <w:t>、</w:t>
      </w:r>
      <w:r>
        <w:rPr>
          <w:rFonts w:hint="eastAsia" w:ascii="仿宋_GB2312" w:hAnsi="仿宋" w:eastAsia="仿宋_GB2312" w:cs="仿宋"/>
          <w:bCs/>
          <w:kern w:val="1"/>
          <w:sz w:val="30"/>
          <w:szCs w:val="30"/>
          <w:lang w:val="en-US" w:eastAsia="zh-CN"/>
        </w:rPr>
        <w:t>陪同报价</w:t>
      </w:r>
      <w:r>
        <w:rPr>
          <w:rFonts w:hint="eastAsia" w:ascii="仿宋_GB2312" w:hAnsi="仿宋" w:eastAsia="仿宋_GB2312" w:cs="仿宋"/>
          <w:bCs/>
          <w:kern w:val="1"/>
          <w:sz w:val="30"/>
          <w:szCs w:val="30"/>
        </w:rPr>
        <w:t>等扰乱</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人经营秩序的恶劣情况，经</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w:t>
      </w:r>
      <w:r>
        <w:rPr>
          <w:rFonts w:hint="eastAsia" w:ascii="仿宋_GB2312" w:hAnsi="仿宋" w:eastAsia="仿宋_GB2312" w:cs="仿宋"/>
          <w:bCs/>
          <w:kern w:val="1"/>
          <w:sz w:val="30"/>
          <w:szCs w:val="30"/>
          <w:lang w:val="en-US" w:eastAsia="zh-CN"/>
        </w:rPr>
        <w:t>评审</w:t>
      </w:r>
      <w:r>
        <w:rPr>
          <w:rFonts w:hint="eastAsia" w:ascii="仿宋_GB2312" w:hAnsi="仿宋" w:eastAsia="仿宋_GB2312" w:cs="仿宋"/>
          <w:bCs/>
          <w:kern w:val="1"/>
          <w:sz w:val="30"/>
          <w:szCs w:val="30"/>
        </w:rPr>
        <w:t>小组评定可作</w:t>
      </w:r>
      <w:r>
        <w:rPr>
          <w:rFonts w:hint="eastAsia" w:ascii="仿宋_GB2312" w:hAnsi="仿宋" w:eastAsia="仿宋_GB2312" w:cs="仿宋"/>
          <w:bCs/>
          <w:kern w:val="1"/>
          <w:sz w:val="30"/>
          <w:szCs w:val="30"/>
          <w:lang w:val="en-US" w:eastAsia="zh-CN"/>
        </w:rPr>
        <w:t>询价废止</w:t>
      </w:r>
      <w:r>
        <w:rPr>
          <w:rFonts w:hint="eastAsia" w:ascii="仿宋_GB2312" w:hAnsi="仿宋" w:eastAsia="仿宋_GB2312" w:cs="仿宋"/>
          <w:bCs/>
          <w:kern w:val="1"/>
          <w:sz w:val="30"/>
          <w:szCs w:val="30"/>
        </w:rPr>
        <w:t>处理，并可将相关</w:t>
      </w:r>
      <w:r>
        <w:rPr>
          <w:rFonts w:hint="eastAsia" w:ascii="仿宋_GB2312" w:hAnsi="仿宋" w:eastAsia="仿宋_GB2312" w:cs="仿宋"/>
          <w:bCs/>
          <w:kern w:val="1"/>
          <w:sz w:val="30"/>
          <w:szCs w:val="30"/>
          <w:lang w:val="en-US" w:eastAsia="zh-CN"/>
        </w:rPr>
        <w:t>报价人</w:t>
      </w:r>
      <w:r>
        <w:rPr>
          <w:rFonts w:hint="eastAsia" w:ascii="仿宋_GB2312" w:hAnsi="仿宋" w:eastAsia="仿宋_GB2312" w:cs="仿宋"/>
          <w:bCs/>
          <w:kern w:val="1"/>
          <w:sz w:val="30"/>
          <w:szCs w:val="30"/>
        </w:rPr>
        <w:t>列入供应商负面清单，一年内不再接受参与</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工作。</w:t>
      </w:r>
    </w:p>
    <w:p w14:paraId="2BF36734">
      <w:pPr>
        <w:adjustRightInd w:val="0"/>
        <w:snapToGrid w:val="0"/>
        <w:spacing w:line="360" w:lineRule="auto"/>
        <w:ind w:firstLine="600" w:firstLineChars="200"/>
        <w:jc w:val="left"/>
        <w:rPr>
          <w:rFonts w:hint="default"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rPr>
        <w:t>（四）</w:t>
      </w:r>
      <w:r>
        <w:rPr>
          <w:rFonts w:hint="eastAsia" w:ascii="仿宋_GB2312" w:hAnsi="仿宋" w:eastAsia="仿宋_GB2312" w:cs="仿宋"/>
          <w:bCs/>
          <w:kern w:val="1"/>
          <w:sz w:val="30"/>
          <w:szCs w:val="30"/>
          <w:lang w:val="en-US" w:eastAsia="zh-CN"/>
        </w:rPr>
        <w:t>无效报价</w:t>
      </w:r>
    </w:p>
    <w:p w14:paraId="34973FB9">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1.凡报价人不具备采购人明确要求资质的，或报价文件填写不完整、报价有空项的，或不符合技术要求条款的，或者存在其他不符合采购人有关要求的问题，经采购人评审小组评定，可作无效报价处理。</w:t>
      </w:r>
    </w:p>
    <w:p w14:paraId="1107A262">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2.报价人应如实提供符合市场规律和自身成本的合理报价。如果报价人的报价与市场价格明显偏离并因此影响了采购 活动的公正合理性，损害了采购人的正当利益，经采购人评审小组评定，可作无效报价处理。</w:t>
      </w:r>
    </w:p>
    <w:p w14:paraId="51492614">
      <w:pPr>
        <w:adjustRightInd w:val="0"/>
        <w:snapToGrid w:val="0"/>
        <w:spacing w:line="360" w:lineRule="auto"/>
        <w:ind w:firstLine="602" w:firstLineChars="200"/>
        <w:jc w:val="left"/>
        <w:rPr>
          <w:rFonts w:hint="eastAsia" w:ascii="仿宋_GB2312" w:hAnsi="仿宋" w:eastAsia="仿宋_GB2312" w:cs="仿宋"/>
          <w:b/>
          <w:bCs w:val="0"/>
          <w:kern w:val="1"/>
          <w:sz w:val="30"/>
          <w:szCs w:val="30"/>
        </w:rPr>
      </w:pPr>
      <w:r>
        <w:rPr>
          <w:rFonts w:hint="eastAsia" w:ascii="仿宋_GB2312" w:hAnsi="仿宋" w:eastAsia="仿宋_GB2312" w:cs="仿宋"/>
          <w:b/>
          <w:bCs w:val="0"/>
          <w:kern w:val="1"/>
          <w:sz w:val="30"/>
          <w:szCs w:val="30"/>
          <w:lang w:val="en-US" w:eastAsia="zh-CN"/>
        </w:rPr>
        <w:t>六</w:t>
      </w:r>
      <w:r>
        <w:rPr>
          <w:rFonts w:hint="eastAsia" w:ascii="仿宋_GB2312" w:hAnsi="仿宋" w:eastAsia="仿宋_GB2312" w:cs="仿宋"/>
          <w:b/>
          <w:bCs w:val="0"/>
          <w:kern w:val="1"/>
          <w:sz w:val="30"/>
          <w:szCs w:val="30"/>
        </w:rPr>
        <w:t>、运维要求：</w:t>
      </w:r>
    </w:p>
    <w:p w14:paraId="4AC7924A">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确保相关监测设备运行正常，监测数据与索普集团应急中心联网，数据按要求及时传输至市、省及国控平台，运维服务应符合国家、地方相关标准和规范。</w:t>
      </w:r>
    </w:p>
    <w:p w14:paraId="2EB56FEB">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（一）运维设备</w:t>
      </w:r>
    </w:p>
    <w:p w14:paraId="6FAA08B6">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 xml:space="preserve">索普股份乙酯老装置VOCs在线分析仪1套（厂家：西门子SYS-CE-VOC）、温压流一体监测仪1套、氧含量监测仪1套、湿度监测仪1套、 数采仪1套（含数据传输费用）运维服务。 </w:t>
      </w:r>
    </w:p>
    <w:p w14:paraId="1751969B">
      <w:pPr>
        <w:adjustRightInd w:val="0"/>
        <w:snapToGrid w:val="0"/>
        <w:spacing w:line="360" w:lineRule="auto"/>
        <w:ind w:firstLine="600" w:firstLineChars="200"/>
        <w:jc w:val="left"/>
        <w:rPr>
          <w:rFonts w:hint="default"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索普股份乙酯新装置VOC在线分析仪1套（厂家：横河GC8000）、温压流一体监测仪1套、氧含量监测仪1套、湿度监测仪1套、 数采仪1套（含数据传输费用）运维服务。</w:t>
      </w:r>
    </w:p>
    <w:p w14:paraId="69E210E8">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（二）专业化运营服务内容</w:t>
      </w:r>
    </w:p>
    <w:p w14:paraId="60F1157B">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按《固定污染源废气非甲烷总烃连续监测技术规范》（HJ 1286—2023）、《</w:t>
      </w:r>
      <w:bookmarkStart w:id="0" w:name="_Toc22894607"/>
      <w:bookmarkStart w:id="1" w:name="_Toc22894528"/>
      <w:bookmarkStart w:id="2" w:name="_Toc22893302"/>
      <w:r>
        <w:rPr>
          <w:rFonts w:hint="eastAsia" w:ascii="仿宋_GB2312" w:hAnsi="仿宋" w:eastAsia="仿宋_GB2312" w:cs="仿宋"/>
          <w:bCs/>
          <w:kern w:val="1"/>
          <w:sz w:val="30"/>
          <w:szCs w:val="30"/>
          <w:lang w:val="zh-CN"/>
        </w:rPr>
        <w:t>固定污染源废气非甲烷总烃连续监测技术规范</w:t>
      </w:r>
      <w:bookmarkEnd w:id="0"/>
      <w:bookmarkEnd w:id="1"/>
      <w:bookmarkEnd w:id="2"/>
      <w:r>
        <w:rPr>
          <w:rFonts w:hint="eastAsia" w:ascii="仿宋_GB2312" w:hAnsi="仿宋" w:eastAsia="仿宋_GB2312" w:cs="仿宋"/>
          <w:bCs/>
          <w:kern w:val="1"/>
          <w:sz w:val="30"/>
          <w:szCs w:val="30"/>
        </w:rPr>
        <w:t>》（DB32/T  3944-2020）等有关规范要求，对</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的设备进行专业化运营，包括但不限于：</w:t>
      </w:r>
    </w:p>
    <w:p w14:paraId="771118C4">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运维采用小包方式，运营期内</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方负责</w:t>
      </w:r>
      <w:r>
        <w:rPr>
          <w:rFonts w:hint="eastAsia" w:ascii="仿宋_GB2312" w:hAnsi="仿宋" w:eastAsia="仿宋_GB2312" w:cs="仿宋"/>
          <w:bCs/>
          <w:kern w:val="1"/>
          <w:sz w:val="30"/>
          <w:szCs w:val="30"/>
          <w:lang w:val="en-US" w:eastAsia="zh-CN"/>
        </w:rPr>
        <w:t>提供</w:t>
      </w:r>
      <w:r>
        <w:rPr>
          <w:rFonts w:hint="eastAsia" w:ascii="仿宋_GB2312" w:hAnsi="仿宋" w:eastAsia="仿宋_GB2312" w:cs="仿宋"/>
          <w:bCs/>
          <w:kern w:val="1"/>
          <w:sz w:val="30"/>
          <w:szCs w:val="30"/>
        </w:rPr>
        <w:t>在线仪器的易耗品免费更换、仪器的维护、保养、校准、校验及维修等工作，负责</w:t>
      </w:r>
      <w:r>
        <w:rPr>
          <w:rFonts w:hint="eastAsia" w:ascii="仿宋_GB2312" w:hAnsi="仿宋" w:eastAsia="仿宋_GB2312" w:cs="仿宋"/>
          <w:bCs/>
          <w:kern w:val="1"/>
          <w:sz w:val="30"/>
          <w:szCs w:val="30"/>
          <w:lang w:val="en-US" w:eastAsia="zh-CN"/>
        </w:rPr>
        <w:t>提供并</w:t>
      </w:r>
      <w:r>
        <w:rPr>
          <w:rFonts w:hint="eastAsia" w:ascii="仿宋_GB2312" w:hAnsi="仿宋" w:eastAsia="仿宋_GB2312" w:cs="仿宋"/>
          <w:bCs/>
          <w:kern w:val="1"/>
          <w:sz w:val="30"/>
          <w:szCs w:val="30"/>
        </w:rPr>
        <w:t>定期更换标准气体。</w:t>
      </w:r>
    </w:p>
    <w:p w14:paraId="27A62F0F">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1.运营机构组织，建立完善的技术档案管理制度，在污染源自动监控站房内将管理制度上墙公示。</w:t>
      </w:r>
    </w:p>
    <w:p w14:paraId="59995FBF">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2.提供符合要求的标准气体（零点气、量程标准气体、正常运行值的标准气体）（在有效期内），按规范要求对设备系统定期校准、校验，比对分析。定期更换系统耗材。</w:t>
      </w:r>
    </w:p>
    <w:p w14:paraId="572B56D9">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3.定期巡检系统通信、系统档案建设等，确保设备稳定运行，数据传输有效。</w:t>
      </w:r>
    </w:p>
    <w:p w14:paraId="3A1FC91E">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4.上级环保部门检查废气污染源在线监测系统时，配合</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方现场迎接检查。</w:t>
      </w:r>
    </w:p>
    <w:p w14:paraId="570762A2">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5.按要求做好仪器设备的日巡检，周、月、季度检查维护。按运行技术规范完善各项记录台账，并做好规范记录。</w:t>
      </w:r>
    </w:p>
    <w:p w14:paraId="45AEFAE9">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lang w:val="en-US" w:eastAsia="zh-CN"/>
        </w:rPr>
        <w:t>6.应急响应、</w:t>
      </w:r>
      <w:r>
        <w:rPr>
          <w:rFonts w:hint="eastAsia" w:ascii="仿宋_GB2312" w:hAnsi="仿宋" w:eastAsia="仿宋_GB2312" w:cs="仿宋"/>
          <w:bCs/>
          <w:kern w:val="1"/>
          <w:sz w:val="30"/>
          <w:szCs w:val="30"/>
        </w:rPr>
        <w:t>故障排除</w:t>
      </w:r>
    </w:p>
    <w:p w14:paraId="57EC6926">
      <w:pPr>
        <w:adjustRightInd w:val="0"/>
        <w:snapToGrid w:val="0"/>
        <w:spacing w:line="360" w:lineRule="auto"/>
        <w:ind w:firstLine="600" w:firstLineChars="200"/>
        <w:jc w:val="left"/>
      </w:pPr>
      <w:r>
        <w:rPr>
          <w:rFonts w:hint="eastAsia" w:ascii="仿宋_GB2312" w:hAnsi="仿宋" w:eastAsia="仿宋_GB2312" w:cs="仿宋"/>
          <w:bCs/>
          <w:kern w:val="1"/>
          <w:sz w:val="30"/>
          <w:szCs w:val="30"/>
        </w:rPr>
        <w:t>接到故障通知后，</w:t>
      </w:r>
      <w:r>
        <w:rPr>
          <w:rFonts w:hint="eastAsia" w:ascii="仿宋_GB2312" w:hAnsi="仿宋" w:eastAsia="仿宋_GB2312" w:cs="仿宋"/>
          <w:bCs/>
          <w:kern w:val="1"/>
          <w:sz w:val="30"/>
          <w:szCs w:val="30"/>
          <w:lang w:val="en-US" w:eastAsia="zh-CN"/>
        </w:rPr>
        <w:t>报价方</w:t>
      </w:r>
      <w:r>
        <w:rPr>
          <w:rFonts w:hint="eastAsia" w:ascii="仿宋_GB2312" w:hAnsi="仿宋" w:eastAsia="仿宋_GB2312" w:cs="仿宋"/>
          <w:bCs/>
          <w:kern w:val="1"/>
          <w:sz w:val="30"/>
          <w:szCs w:val="30"/>
        </w:rPr>
        <w:t>专业技术人员保证2小时内，夜间3小时内到达仪器安装现场进行处理；对于一些容易诊断的故障保证在当天进行维修；对不容易诊断和维修的故障，保证在3个工作日内完成维修或提供备件，并出具故障报告</w:t>
      </w: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rPr>
        <w:t>并做好维保记录。</w:t>
      </w:r>
    </w:p>
    <w:p w14:paraId="6E63285A">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lang w:val="en-US" w:eastAsia="zh-CN"/>
        </w:rPr>
        <w:t>7</w:t>
      </w:r>
      <w:r>
        <w:rPr>
          <w:rFonts w:hint="eastAsia" w:ascii="仿宋_GB2312" w:hAnsi="仿宋" w:eastAsia="仿宋_GB2312" w:cs="仿宋"/>
          <w:bCs/>
          <w:kern w:val="1"/>
          <w:sz w:val="30"/>
          <w:szCs w:val="30"/>
        </w:rPr>
        <w:t>.运维规范上的其他要求。</w:t>
      </w:r>
    </w:p>
    <w:p w14:paraId="42563202">
      <w:pPr>
        <w:adjustRightInd w:val="0"/>
        <w:snapToGrid w:val="0"/>
        <w:spacing w:line="360" w:lineRule="auto"/>
        <w:ind w:firstLine="600" w:firstLineChars="200"/>
        <w:jc w:val="left"/>
        <w:rPr>
          <w:rFonts w:ascii="楷体" w:hAnsi="楷体" w:eastAsia="楷体" w:cs="楷体"/>
          <w:bCs/>
          <w:kern w:val="1"/>
          <w:sz w:val="30"/>
          <w:szCs w:val="30"/>
        </w:rPr>
      </w:pPr>
      <w:r>
        <w:rPr>
          <w:rFonts w:hint="eastAsia" w:ascii="楷体" w:hAnsi="楷体" w:eastAsia="楷体" w:cs="楷体"/>
          <w:bCs/>
          <w:kern w:val="1"/>
          <w:sz w:val="30"/>
          <w:szCs w:val="30"/>
        </w:rPr>
        <w:t>（三）专业运营方案提交要求</w:t>
      </w:r>
    </w:p>
    <w:p w14:paraId="5E1E170F">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人必须提供专业化运营方案，详细说明本次</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的人员组织、运营标准、系统校验、日常管理等方案。专业化运营方案</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人自定格式书写，须包含以下内容：</w:t>
      </w:r>
    </w:p>
    <w:p w14:paraId="639492BF">
      <w:pPr>
        <w:numPr>
          <w:ilvl w:val="0"/>
          <w:numId w:val="1"/>
        </w:num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运营方案基本内容</w:t>
      </w:r>
    </w:p>
    <w:p w14:paraId="225BAB3D">
      <w:pPr>
        <w:pStyle w:val="2"/>
        <w:widowControl w:val="0"/>
        <w:numPr>
          <w:ilvl w:val="0"/>
          <w:numId w:val="0"/>
        </w:numPr>
        <w:spacing w:after="120"/>
        <w:jc w:val="both"/>
      </w:pPr>
    </w:p>
    <w:p w14:paraId="020279CA">
      <w:pPr>
        <w:pStyle w:val="3"/>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43"/>
        <w:gridCol w:w="5880"/>
      </w:tblGrid>
      <w:tr w14:paraId="480C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799" w:type="dxa"/>
            <w:shd w:val="clear" w:color="auto" w:fill="auto"/>
            <w:vAlign w:val="center"/>
          </w:tcPr>
          <w:p w14:paraId="1B6F7AD8">
            <w:pPr>
              <w:adjustRightInd w:val="0"/>
              <w:snapToGrid w:val="0"/>
              <w:spacing w:line="360" w:lineRule="auto"/>
              <w:jc w:val="center"/>
              <w:rPr>
                <w:rFonts w:ascii="仿宋_GB2312" w:hAnsi="仿宋" w:eastAsia="仿宋_GB2312" w:cs="仿宋"/>
                <w:bCs/>
                <w:kern w:val="1"/>
                <w:sz w:val="30"/>
                <w:szCs w:val="30"/>
              </w:rPr>
            </w:pPr>
            <w:r>
              <w:rPr>
                <w:rFonts w:hint="eastAsia" w:ascii="仿宋_GB2312" w:hAnsi="仿宋" w:eastAsia="仿宋_GB2312" w:cs="仿宋"/>
                <w:bCs/>
                <w:kern w:val="1"/>
                <w:sz w:val="30"/>
                <w:szCs w:val="30"/>
              </w:rPr>
              <w:t>序号</w:t>
            </w:r>
          </w:p>
        </w:tc>
        <w:tc>
          <w:tcPr>
            <w:tcW w:w="1843" w:type="dxa"/>
            <w:shd w:val="clear" w:color="auto" w:fill="auto"/>
            <w:vAlign w:val="center"/>
          </w:tcPr>
          <w:p w14:paraId="18BA5031">
            <w:pPr>
              <w:adjustRightInd w:val="0"/>
              <w:snapToGrid w:val="0"/>
              <w:spacing w:line="360" w:lineRule="auto"/>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服务机构</w:t>
            </w:r>
          </w:p>
        </w:tc>
        <w:tc>
          <w:tcPr>
            <w:tcW w:w="5880" w:type="dxa"/>
            <w:shd w:val="clear" w:color="auto" w:fill="auto"/>
            <w:vAlign w:val="center"/>
          </w:tcPr>
          <w:p w14:paraId="45DDC498">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运行维护机构</w:t>
            </w:r>
          </w:p>
        </w:tc>
      </w:tr>
      <w:tr w14:paraId="7776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99" w:type="dxa"/>
            <w:shd w:val="clear" w:color="auto" w:fill="auto"/>
            <w:vAlign w:val="center"/>
          </w:tcPr>
          <w:p w14:paraId="6B2B1AFC">
            <w:pPr>
              <w:adjustRightInd w:val="0"/>
              <w:snapToGrid w:val="0"/>
              <w:spacing w:line="360" w:lineRule="auto"/>
              <w:jc w:val="center"/>
              <w:rPr>
                <w:rFonts w:ascii="仿宋_GB2312" w:hAnsi="仿宋" w:eastAsia="仿宋_GB2312" w:cs="仿宋"/>
                <w:bCs/>
                <w:kern w:val="1"/>
                <w:sz w:val="30"/>
                <w:szCs w:val="30"/>
              </w:rPr>
            </w:pPr>
            <w:r>
              <w:rPr>
                <w:rFonts w:hint="eastAsia" w:ascii="仿宋_GB2312" w:hAnsi="仿宋" w:eastAsia="仿宋_GB2312" w:cs="仿宋"/>
                <w:bCs/>
                <w:kern w:val="1"/>
                <w:sz w:val="30"/>
                <w:szCs w:val="30"/>
              </w:rPr>
              <w:t>1</w:t>
            </w:r>
          </w:p>
        </w:tc>
        <w:tc>
          <w:tcPr>
            <w:tcW w:w="1843" w:type="dxa"/>
            <w:shd w:val="clear" w:color="auto" w:fill="auto"/>
            <w:vAlign w:val="center"/>
          </w:tcPr>
          <w:p w14:paraId="1BB3105F">
            <w:pPr>
              <w:adjustRightInd w:val="0"/>
              <w:snapToGrid w:val="0"/>
              <w:spacing w:line="360" w:lineRule="auto"/>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服务设施</w:t>
            </w:r>
          </w:p>
        </w:tc>
        <w:tc>
          <w:tcPr>
            <w:tcW w:w="5880" w:type="dxa"/>
            <w:shd w:val="clear" w:color="auto" w:fill="auto"/>
            <w:vAlign w:val="center"/>
          </w:tcPr>
          <w:p w14:paraId="7FBC33B9">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设有独立的办公场所、服务电话，并配置工程服务车辆。配备符合《江苏省污染源自动监控设施社会化运行管理暂行办法》所需运营人员 。</w:t>
            </w:r>
          </w:p>
        </w:tc>
      </w:tr>
      <w:tr w14:paraId="4667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9" w:type="dxa"/>
            <w:shd w:val="clear" w:color="auto" w:fill="auto"/>
            <w:vAlign w:val="center"/>
          </w:tcPr>
          <w:p w14:paraId="2244CBA6">
            <w:pPr>
              <w:adjustRightInd w:val="0"/>
              <w:snapToGrid w:val="0"/>
              <w:spacing w:line="360" w:lineRule="auto"/>
              <w:jc w:val="center"/>
              <w:rPr>
                <w:rFonts w:ascii="仿宋_GB2312" w:hAnsi="仿宋" w:eastAsia="仿宋_GB2312" w:cs="仿宋"/>
                <w:bCs/>
                <w:kern w:val="1"/>
                <w:sz w:val="30"/>
                <w:szCs w:val="30"/>
              </w:rPr>
            </w:pPr>
            <w:r>
              <w:rPr>
                <w:rFonts w:hint="eastAsia" w:ascii="仿宋_GB2312" w:hAnsi="仿宋" w:eastAsia="仿宋_GB2312" w:cs="仿宋"/>
                <w:bCs/>
                <w:kern w:val="1"/>
                <w:sz w:val="30"/>
                <w:szCs w:val="30"/>
              </w:rPr>
              <w:t>2</w:t>
            </w:r>
          </w:p>
        </w:tc>
        <w:tc>
          <w:tcPr>
            <w:tcW w:w="1843" w:type="dxa"/>
            <w:shd w:val="clear" w:color="auto" w:fill="auto"/>
            <w:vAlign w:val="center"/>
          </w:tcPr>
          <w:p w14:paraId="45A507A0">
            <w:pPr>
              <w:adjustRightInd w:val="0"/>
              <w:snapToGrid w:val="0"/>
              <w:spacing w:line="360" w:lineRule="auto"/>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运行维护方案</w:t>
            </w:r>
          </w:p>
        </w:tc>
        <w:tc>
          <w:tcPr>
            <w:tcW w:w="5880" w:type="dxa"/>
            <w:shd w:val="clear" w:color="auto" w:fill="auto"/>
            <w:vAlign w:val="center"/>
          </w:tcPr>
          <w:p w14:paraId="767A0539">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现场情况运行目标、运行职责、日常维护、系统检修（包括响应时间）、档案管理和考核方案等方面满足</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要求，提出切实可行的方案和样表</w:t>
            </w:r>
          </w:p>
        </w:tc>
      </w:tr>
    </w:tbl>
    <w:p w14:paraId="34EA1E07">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2、在满足本文件提供的技术和服务要求外，可提供其他</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人自行描述的服务承诺及</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人认为有必要承诺的其他服务承诺。包括质量保证承诺、运营机构、人员设置及故障响应时间承诺等。</w:t>
      </w:r>
    </w:p>
    <w:p w14:paraId="2A583028">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3、</w:t>
      </w:r>
      <w:r>
        <w:rPr>
          <w:rFonts w:hint="eastAsia" w:ascii="仿宋_GB2312" w:hAnsi="仿宋" w:eastAsia="仿宋_GB2312" w:cs="仿宋"/>
          <w:bCs/>
          <w:kern w:val="1"/>
          <w:sz w:val="30"/>
          <w:szCs w:val="30"/>
          <w:lang w:val="en-US" w:eastAsia="zh-CN"/>
        </w:rPr>
        <w:t>应急响应、</w:t>
      </w:r>
      <w:r>
        <w:rPr>
          <w:rFonts w:hint="eastAsia" w:ascii="仿宋_GB2312" w:hAnsi="仿宋" w:eastAsia="仿宋_GB2312" w:cs="仿宋"/>
          <w:bCs/>
          <w:kern w:val="1"/>
          <w:sz w:val="30"/>
          <w:szCs w:val="30"/>
        </w:rPr>
        <w:t>故障排除</w:t>
      </w:r>
    </w:p>
    <w:p w14:paraId="664C3267">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接到故障通知后，</w:t>
      </w:r>
      <w:r>
        <w:rPr>
          <w:rFonts w:hint="eastAsia" w:ascii="仿宋_GB2312" w:hAnsi="仿宋" w:eastAsia="仿宋_GB2312" w:cs="仿宋"/>
          <w:bCs/>
          <w:kern w:val="1"/>
          <w:sz w:val="30"/>
          <w:szCs w:val="30"/>
          <w:lang w:val="en-US" w:eastAsia="zh-CN"/>
        </w:rPr>
        <w:t>报价方</w:t>
      </w:r>
      <w:r>
        <w:rPr>
          <w:rFonts w:hint="eastAsia" w:ascii="仿宋_GB2312" w:hAnsi="仿宋" w:eastAsia="仿宋_GB2312" w:cs="仿宋"/>
          <w:bCs/>
          <w:kern w:val="1"/>
          <w:sz w:val="30"/>
          <w:szCs w:val="30"/>
        </w:rPr>
        <w:t>专业技术人员保证2小时内，夜间3小时内到达仪器安装现场进行处理；对于一些容易诊断的故障保证在当天进行维修；对不容易诊断和维修的故障，保证在3个工作日内完成维修或提供备件，并出具故障报告</w:t>
      </w: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rPr>
        <w:t>并做好维保记录。</w:t>
      </w:r>
    </w:p>
    <w:p w14:paraId="23A1E5DC">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4、履约条款</w:t>
      </w:r>
    </w:p>
    <w:p w14:paraId="4CA5B03C">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lang w:val="en-US" w:eastAsia="zh-CN"/>
        </w:rPr>
        <w:t>成交方</w:t>
      </w:r>
      <w:r>
        <w:rPr>
          <w:rFonts w:hint="eastAsia" w:ascii="仿宋_GB2312" w:hAnsi="仿宋" w:eastAsia="仿宋_GB2312" w:cs="仿宋"/>
          <w:bCs/>
          <w:kern w:val="1"/>
          <w:sz w:val="30"/>
          <w:szCs w:val="30"/>
        </w:rPr>
        <w:t>如出现以下情形，则判定</w:t>
      </w:r>
      <w:r>
        <w:rPr>
          <w:rFonts w:hint="eastAsia" w:ascii="仿宋_GB2312" w:hAnsi="仿宋" w:eastAsia="仿宋_GB2312" w:cs="仿宋"/>
          <w:bCs/>
          <w:kern w:val="1"/>
          <w:sz w:val="30"/>
          <w:szCs w:val="30"/>
          <w:lang w:val="en-US" w:eastAsia="zh-CN"/>
        </w:rPr>
        <w:t>成交</w:t>
      </w:r>
      <w:r>
        <w:rPr>
          <w:rFonts w:hint="eastAsia" w:ascii="仿宋_GB2312" w:hAnsi="仿宋" w:eastAsia="仿宋_GB2312" w:cs="仿宋"/>
          <w:bCs/>
          <w:kern w:val="1"/>
          <w:sz w:val="30"/>
          <w:szCs w:val="30"/>
        </w:rPr>
        <w:t>方为不合格运营单位，</w:t>
      </w:r>
      <w:r>
        <w:rPr>
          <w:rFonts w:hint="eastAsia" w:ascii="仿宋_GB2312" w:hAnsi="仿宋" w:eastAsia="仿宋_GB2312" w:cs="仿宋"/>
          <w:bCs/>
          <w:kern w:val="1"/>
          <w:sz w:val="30"/>
          <w:szCs w:val="30"/>
          <w:lang w:val="en-US" w:eastAsia="zh-CN"/>
        </w:rPr>
        <w:t>询价</w:t>
      </w:r>
      <w:r>
        <w:rPr>
          <w:rFonts w:hint="eastAsia" w:ascii="仿宋_GB2312" w:hAnsi="仿宋" w:eastAsia="仿宋_GB2312" w:cs="仿宋"/>
          <w:bCs/>
          <w:kern w:val="1"/>
          <w:sz w:val="30"/>
          <w:szCs w:val="30"/>
        </w:rPr>
        <w:t>方可单方终止合同并拒付当期运维费。</w:t>
      </w:r>
    </w:p>
    <w:p w14:paraId="113BDDF0">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4.1对于一些容易诊断的故障未能当天完成维修，对不容易诊断和维修的故障，7个工作日内</w:t>
      </w:r>
      <w:r>
        <w:rPr>
          <w:rFonts w:hint="eastAsia" w:ascii="仿宋_GB2312" w:hAnsi="仿宋" w:eastAsia="仿宋_GB2312" w:cs="仿宋"/>
          <w:bCs/>
          <w:kern w:val="1"/>
          <w:sz w:val="30"/>
          <w:szCs w:val="30"/>
          <w:lang w:val="en-US" w:eastAsia="zh-CN"/>
        </w:rPr>
        <w:t>未能完成</w:t>
      </w:r>
      <w:r>
        <w:rPr>
          <w:rFonts w:hint="eastAsia" w:ascii="仿宋_GB2312" w:hAnsi="仿宋" w:eastAsia="仿宋_GB2312" w:cs="仿宋"/>
          <w:bCs/>
          <w:kern w:val="1"/>
          <w:sz w:val="30"/>
          <w:szCs w:val="30"/>
        </w:rPr>
        <w:t>修复。</w:t>
      </w:r>
    </w:p>
    <w:p w14:paraId="60BAECD4">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4.2发现故障或接到</w:t>
      </w:r>
      <w:r>
        <w:rPr>
          <w:rFonts w:hint="eastAsia" w:ascii="仿宋_GB2312" w:hAnsi="仿宋" w:eastAsia="仿宋_GB2312" w:cs="仿宋"/>
          <w:bCs/>
          <w:kern w:val="1"/>
          <w:sz w:val="30"/>
          <w:szCs w:val="30"/>
          <w:lang w:val="en-US" w:eastAsia="zh-CN"/>
        </w:rPr>
        <w:t>询价方</w:t>
      </w:r>
      <w:r>
        <w:rPr>
          <w:rFonts w:hint="eastAsia" w:ascii="仿宋_GB2312" w:hAnsi="仿宋" w:eastAsia="仿宋_GB2312" w:cs="仿宋"/>
          <w:bCs/>
          <w:kern w:val="1"/>
          <w:sz w:val="30"/>
          <w:szCs w:val="30"/>
        </w:rPr>
        <w:t>故障报修后，</w:t>
      </w:r>
      <w:r>
        <w:rPr>
          <w:rFonts w:hint="eastAsia" w:ascii="仿宋_GB2312" w:hAnsi="仿宋" w:eastAsia="仿宋_GB2312" w:cs="仿宋"/>
          <w:bCs/>
          <w:kern w:val="1"/>
          <w:sz w:val="30"/>
          <w:szCs w:val="30"/>
          <w:lang w:val="en-US" w:eastAsia="zh-CN"/>
        </w:rPr>
        <w:t>成交</w:t>
      </w:r>
      <w:r>
        <w:rPr>
          <w:rFonts w:hint="eastAsia" w:ascii="仿宋_GB2312" w:hAnsi="仿宋" w:eastAsia="仿宋_GB2312" w:cs="仿宋"/>
          <w:bCs/>
          <w:kern w:val="1"/>
          <w:sz w:val="30"/>
          <w:szCs w:val="30"/>
        </w:rPr>
        <w:t>方一个月内3次及以上未能按上述约定时间（2小时内）到现场进行处理。</w:t>
      </w:r>
    </w:p>
    <w:p w14:paraId="09D9E8B6">
      <w:pPr>
        <w:adjustRightInd w:val="0"/>
        <w:snapToGrid w:val="0"/>
        <w:spacing w:line="360" w:lineRule="auto"/>
        <w:ind w:firstLine="600" w:firstLineChars="200"/>
        <w:jc w:val="left"/>
        <w:rPr>
          <w:rFonts w:ascii="仿宋_GB2312" w:hAnsi="仿宋" w:eastAsia="仿宋_GB2312" w:cs="仿宋"/>
          <w:bCs/>
          <w:kern w:val="1"/>
          <w:sz w:val="30"/>
          <w:szCs w:val="30"/>
        </w:rPr>
      </w:pPr>
      <w:r>
        <w:rPr>
          <w:rFonts w:hint="eastAsia" w:ascii="仿宋_GB2312" w:hAnsi="仿宋" w:eastAsia="仿宋_GB2312" w:cs="仿宋"/>
          <w:bCs/>
          <w:kern w:val="1"/>
          <w:sz w:val="30"/>
          <w:szCs w:val="30"/>
        </w:rPr>
        <w:t>4.3数据有效性不达标，自动监控设施数据传输率低于99%</w:t>
      </w:r>
      <w:r>
        <w:rPr>
          <w:rFonts w:hint="eastAsia" w:ascii="仿宋_GB2312" w:hAnsi="仿宋" w:eastAsia="仿宋_GB2312" w:cs="仿宋"/>
          <w:bCs/>
          <w:kern w:val="1"/>
          <w:sz w:val="30"/>
          <w:szCs w:val="30"/>
          <w:highlight w:val="none"/>
        </w:rPr>
        <w:t>或有效传输率低于98%。</w:t>
      </w:r>
    </w:p>
    <w:p w14:paraId="654CA71D">
      <w:pPr>
        <w:adjustRightInd w:val="0"/>
        <w:snapToGrid w:val="0"/>
        <w:spacing w:line="360" w:lineRule="auto"/>
        <w:jc w:val="left"/>
        <w:rPr>
          <w:rFonts w:ascii="仿宋_GB2312" w:eastAsia="仿宋_GB2312"/>
          <w:sz w:val="30"/>
          <w:szCs w:val="30"/>
        </w:rPr>
      </w:pPr>
      <w:r>
        <w:rPr>
          <w:rFonts w:hint="eastAsia" w:ascii="仿宋_GB2312" w:hAnsi="仿宋" w:eastAsia="仿宋_GB2312" w:cs="仿宋"/>
          <w:b/>
          <w:kern w:val="1"/>
          <w:sz w:val="30"/>
          <w:szCs w:val="30"/>
        </w:rPr>
        <w:t xml:space="preserve">   </w:t>
      </w:r>
      <w:r>
        <w:rPr>
          <w:rFonts w:hint="eastAsia" w:ascii="仿宋_GB2312" w:hAnsi="仿宋" w:eastAsia="仿宋_GB2312" w:cs="仿宋"/>
          <w:b/>
          <w:kern w:val="1"/>
          <w:sz w:val="30"/>
          <w:szCs w:val="30"/>
          <w:lang w:val="en-US" w:eastAsia="zh-CN"/>
        </w:rPr>
        <w:t>七</w:t>
      </w:r>
      <w:r>
        <w:rPr>
          <w:rFonts w:hint="eastAsia" w:ascii="仿宋_GB2312" w:hAnsi="仿宋" w:eastAsia="仿宋_GB2312" w:cs="仿宋"/>
          <w:b/>
          <w:kern w:val="1"/>
          <w:sz w:val="30"/>
          <w:szCs w:val="30"/>
        </w:rPr>
        <w:t>、其他注意事项：</w:t>
      </w:r>
      <w:r>
        <w:rPr>
          <w:rFonts w:hint="eastAsia" w:ascii="仿宋_GB2312" w:eastAsia="仿宋_GB2312"/>
          <w:sz w:val="30"/>
          <w:szCs w:val="30"/>
        </w:rPr>
        <w:t>　　</w:t>
      </w:r>
    </w:p>
    <w:p w14:paraId="43669E8C">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（一）违约责任：</w:t>
      </w:r>
    </w:p>
    <w:p w14:paraId="4C14CE07">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1.如</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人没有按照规定的时间交货或提供服务，</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人将支付违约金，违约金应从货款中扣除，迟交货物或未提供服务的违约金逾期每日应按</w:t>
      </w:r>
      <w:r>
        <w:rPr>
          <w:rFonts w:hint="eastAsia" w:ascii="仿宋_GB2312" w:hAnsi="仿宋" w:eastAsia="仿宋_GB2312" w:cs="仿宋"/>
          <w:bCs/>
          <w:kern w:val="1"/>
          <w:sz w:val="30"/>
          <w:szCs w:val="30"/>
          <w:lang w:val="en-US" w:eastAsia="zh-CN"/>
        </w:rPr>
        <w:t>年度</w:t>
      </w:r>
      <w:r>
        <w:rPr>
          <w:rFonts w:hint="eastAsia" w:ascii="仿宋_GB2312" w:hAnsi="仿宋" w:eastAsia="仿宋_GB2312" w:cs="仿宋"/>
          <w:bCs/>
          <w:kern w:val="1"/>
          <w:sz w:val="30"/>
          <w:szCs w:val="30"/>
        </w:rPr>
        <w:t>合同金额的0.5%计收。迟交货物或未提供服务超过20日，</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人有权解除合同,要求</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人五个工作日内返还</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w:t>
      </w:r>
      <w:r>
        <w:rPr>
          <w:rFonts w:hint="eastAsia" w:ascii="仿宋_GB2312" w:hAnsi="仿宋" w:eastAsia="仿宋_GB2312" w:cs="仿宋"/>
          <w:bCs/>
          <w:kern w:val="1"/>
          <w:sz w:val="30"/>
          <w:szCs w:val="30"/>
          <w:lang w:val="en-US" w:eastAsia="zh-CN"/>
        </w:rPr>
        <w:t>年度</w:t>
      </w:r>
      <w:r>
        <w:rPr>
          <w:rFonts w:hint="eastAsia" w:ascii="仿宋_GB2312" w:hAnsi="仿宋" w:eastAsia="仿宋_GB2312" w:cs="仿宋"/>
          <w:bCs/>
          <w:kern w:val="1"/>
          <w:sz w:val="30"/>
          <w:szCs w:val="30"/>
        </w:rPr>
        <w:t>合同货款并按</w:t>
      </w:r>
      <w:r>
        <w:rPr>
          <w:rFonts w:hint="eastAsia" w:ascii="仿宋_GB2312" w:hAnsi="仿宋" w:eastAsia="仿宋_GB2312" w:cs="仿宋"/>
          <w:bCs/>
          <w:kern w:val="1"/>
          <w:sz w:val="30"/>
          <w:szCs w:val="30"/>
          <w:lang w:val="en-US" w:eastAsia="zh-CN"/>
        </w:rPr>
        <w:t>年度</w:t>
      </w:r>
      <w:r>
        <w:rPr>
          <w:rFonts w:hint="eastAsia" w:ascii="仿宋_GB2312" w:hAnsi="仿宋" w:eastAsia="仿宋_GB2312" w:cs="仿宋"/>
          <w:bCs/>
          <w:kern w:val="1"/>
          <w:sz w:val="30"/>
          <w:szCs w:val="30"/>
        </w:rPr>
        <w:t>合同总额10%追究</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人违约责任。</w:t>
      </w:r>
    </w:p>
    <w:p w14:paraId="62A8ECFD">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2.</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人交货后，如果货物经检验不合格的，</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人可选择以下处理方式：</w:t>
      </w:r>
    </w:p>
    <w:p w14:paraId="1FA2BF6F">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lang w:val="en-US" w:eastAsia="zh-CN"/>
        </w:rPr>
        <w:t>1）</w:t>
      </w:r>
      <w:r>
        <w:rPr>
          <w:rFonts w:hint="eastAsia" w:ascii="仿宋_GB2312" w:hAnsi="仿宋" w:eastAsia="仿宋_GB2312" w:cs="仿宋"/>
          <w:bCs/>
          <w:kern w:val="1"/>
          <w:sz w:val="30"/>
          <w:szCs w:val="30"/>
        </w:rPr>
        <w:t>对不合格货品</w:t>
      </w:r>
      <w:r>
        <w:rPr>
          <w:rFonts w:hint="eastAsia" w:ascii="仿宋_GB2312" w:hAnsi="仿宋" w:eastAsia="仿宋_GB2312" w:cs="仿宋"/>
          <w:bCs/>
          <w:kern w:val="1"/>
          <w:sz w:val="30"/>
          <w:szCs w:val="30"/>
          <w:lang w:val="en-US" w:eastAsia="zh-CN"/>
        </w:rPr>
        <w:t>或服务出卖人</w:t>
      </w:r>
      <w:r>
        <w:rPr>
          <w:rFonts w:hint="eastAsia" w:ascii="仿宋_GB2312" w:hAnsi="仿宋" w:eastAsia="仿宋_GB2312" w:cs="仿宋"/>
          <w:bCs/>
          <w:kern w:val="1"/>
          <w:sz w:val="30"/>
          <w:szCs w:val="30"/>
        </w:rPr>
        <w:t>应及时通知</w:t>
      </w:r>
      <w:r>
        <w:rPr>
          <w:rFonts w:hint="eastAsia" w:ascii="仿宋_GB2312" w:hAnsi="仿宋" w:eastAsia="仿宋_GB2312" w:cs="仿宋"/>
          <w:bCs/>
          <w:kern w:val="1"/>
          <w:sz w:val="30"/>
          <w:szCs w:val="30"/>
          <w:lang w:val="en-US" w:eastAsia="zh-CN"/>
        </w:rPr>
        <w:t>买受人</w:t>
      </w:r>
      <w:r>
        <w:rPr>
          <w:rFonts w:hint="eastAsia" w:ascii="仿宋_GB2312" w:hAnsi="仿宋" w:eastAsia="仿宋_GB2312" w:cs="仿宋"/>
          <w:bCs/>
          <w:kern w:val="1"/>
          <w:sz w:val="30"/>
          <w:szCs w:val="30"/>
        </w:rPr>
        <w:t>，如有异议双方可协商解决；如需仲裁，应按合同约定在规定时间内按《产品质量仲裁检验和产品质量鉴定管理办法》执行。仲裁期间</w:t>
      </w:r>
      <w:r>
        <w:rPr>
          <w:rFonts w:hint="eastAsia" w:ascii="仿宋_GB2312" w:hAnsi="仿宋" w:eastAsia="仿宋_GB2312" w:cs="仿宋"/>
          <w:bCs/>
          <w:kern w:val="1"/>
          <w:sz w:val="30"/>
          <w:szCs w:val="30"/>
          <w:lang w:val="en-US" w:eastAsia="zh-CN"/>
        </w:rPr>
        <w:t>买受</w:t>
      </w:r>
      <w:r>
        <w:rPr>
          <w:rFonts w:hint="eastAsia" w:ascii="仿宋_GB2312" w:hAnsi="仿宋" w:eastAsia="仿宋_GB2312" w:cs="仿宋"/>
          <w:bCs/>
          <w:kern w:val="1"/>
          <w:sz w:val="30"/>
          <w:szCs w:val="30"/>
        </w:rPr>
        <w:t>人应保证</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供应，不影响</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正常生产运行。</w:t>
      </w:r>
    </w:p>
    <w:p w14:paraId="2393FA26">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w:t>
      </w:r>
      <w:r>
        <w:rPr>
          <w:rFonts w:hint="eastAsia" w:ascii="仿宋_GB2312" w:hAnsi="仿宋" w:eastAsia="仿宋_GB2312" w:cs="仿宋"/>
          <w:bCs/>
          <w:kern w:val="1"/>
          <w:sz w:val="30"/>
          <w:szCs w:val="30"/>
          <w:lang w:val="en-US" w:eastAsia="zh-CN"/>
        </w:rPr>
        <w:t>2</w:t>
      </w:r>
      <w:r>
        <w:rPr>
          <w:rFonts w:hint="eastAsia" w:ascii="仿宋_GB2312" w:hAnsi="仿宋" w:eastAsia="仿宋_GB2312" w:cs="仿宋"/>
          <w:bCs/>
          <w:kern w:val="1"/>
          <w:sz w:val="30"/>
          <w:szCs w:val="30"/>
        </w:rPr>
        <w:t>）买受人选择换货的，换货所产生的费用由出卖人承担。经买受人同意出卖人换货的，需在买受人第一次验收不合格之日起7日内供货，逾期供货的，违约责任参照第1款执行。</w:t>
      </w:r>
    </w:p>
    <w:p w14:paraId="052B7325">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w:t>
      </w:r>
      <w:r>
        <w:rPr>
          <w:rFonts w:hint="eastAsia" w:ascii="仿宋_GB2312" w:hAnsi="仿宋" w:eastAsia="仿宋_GB2312" w:cs="仿宋"/>
          <w:bCs/>
          <w:kern w:val="1"/>
          <w:sz w:val="30"/>
          <w:szCs w:val="30"/>
          <w:lang w:val="en-US" w:eastAsia="zh-CN"/>
        </w:rPr>
        <w:t>3</w:t>
      </w:r>
      <w:r>
        <w:rPr>
          <w:rFonts w:hint="eastAsia" w:ascii="仿宋_GB2312" w:hAnsi="仿宋" w:eastAsia="仿宋_GB2312" w:cs="仿宋"/>
          <w:bCs/>
          <w:kern w:val="1"/>
          <w:sz w:val="30"/>
          <w:szCs w:val="30"/>
        </w:rPr>
        <w:t>）如果出现两次经检验不合格的情况，买受人选择解除合同的，退货所产生的费用由出卖人承担。出卖人需在检验不合格之日起五个工作日内返还买受人合同货款，并赔偿合同总货款的10%违约金给买受人，买受人在出卖人返还货款之前，有权质押货物，质押期间如产生仓储费，仓储费由出卖人承担。</w:t>
      </w:r>
    </w:p>
    <w:p w14:paraId="10645E7B">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3.因出卖人的产品质量、逾期交货等原因给买受人造成直接和间接经济损失的，由出卖人承担的所有违约罚款不超过合同价的10%。</w:t>
      </w:r>
    </w:p>
    <w:p w14:paraId="66A1536B">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（二）</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w:t>
      </w:r>
      <w:r>
        <w:rPr>
          <w:rFonts w:hint="eastAsia" w:ascii="仿宋_GB2312" w:hAnsi="仿宋" w:eastAsia="仿宋_GB2312" w:cs="仿宋"/>
          <w:bCs/>
          <w:kern w:val="1"/>
          <w:sz w:val="30"/>
          <w:szCs w:val="30"/>
          <w:lang w:val="en-US" w:eastAsia="zh-CN"/>
        </w:rPr>
        <w:t>取得供应资质</w:t>
      </w:r>
      <w:r>
        <w:rPr>
          <w:rFonts w:hint="eastAsia" w:ascii="仿宋_GB2312" w:hAnsi="仿宋" w:eastAsia="仿宋_GB2312" w:cs="仿宋"/>
          <w:bCs/>
          <w:kern w:val="1"/>
          <w:sz w:val="30"/>
          <w:szCs w:val="30"/>
        </w:rPr>
        <w:t>以后应严格按照</w:t>
      </w:r>
      <w:r>
        <w:rPr>
          <w:rFonts w:hint="eastAsia" w:ascii="仿宋_GB2312" w:hAnsi="仿宋" w:eastAsia="仿宋_GB2312" w:cs="仿宋"/>
          <w:bCs/>
          <w:kern w:val="1"/>
          <w:sz w:val="30"/>
          <w:szCs w:val="30"/>
          <w:lang w:val="en-US" w:eastAsia="zh-CN"/>
        </w:rPr>
        <w:t>询价文件</w:t>
      </w:r>
      <w:r>
        <w:rPr>
          <w:rFonts w:hint="eastAsia" w:ascii="仿宋_GB2312" w:hAnsi="仿宋" w:eastAsia="仿宋_GB2312" w:cs="仿宋"/>
          <w:bCs/>
          <w:kern w:val="1"/>
          <w:sz w:val="30"/>
          <w:szCs w:val="30"/>
        </w:rPr>
        <w:t>约定与</w:t>
      </w:r>
      <w:r>
        <w:rPr>
          <w:rFonts w:hint="eastAsia" w:ascii="仿宋_GB2312" w:hAnsi="仿宋" w:eastAsia="仿宋_GB2312" w:cs="仿宋"/>
          <w:bCs/>
          <w:kern w:val="1"/>
          <w:sz w:val="30"/>
          <w:szCs w:val="30"/>
          <w:lang w:eastAsia="zh-CN"/>
        </w:rPr>
        <w:t>采购人</w:t>
      </w:r>
      <w:r>
        <w:rPr>
          <w:rFonts w:hint="eastAsia" w:ascii="仿宋_GB2312" w:hAnsi="仿宋" w:eastAsia="仿宋_GB2312" w:cs="仿宋"/>
          <w:bCs/>
          <w:kern w:val="1"/>
          <w:sz w:val="30"/>
          <w:szCs w:val="30"/>
        </w:rPr>
        <w:t>签定供需合同，并按合同约定做好物资供应和服务工作。对所有违背</w:t>
      </w:r>
      <w:r>
        <w:rPr>
          <w:rFonts w:hint="eastAsia" w:ascii="仿宋_GB2312" w:hAnsi="仿宋" w:eastAsia="仿宋_GB2312" w:cs="仿宋"/>
          <w:bCs/>
          <w:kern w:val="1"/>
          <w:sz w:val="30"/>
          <w:szCs w:val="30"/>
          <w:lang w:val="en-US" w:eastAsia="zh-CN"/>
        </w:rPr>
        <w:t>询价文件</w:t>
      </w:r>
      <w:r>
        <w:rPr>
          <w:rFonts w:hint="eastAsia" w:ascii="仿宋_GB2312" w:hAnsi="仿宋" w:eastAsia="仿宋_GB2312" w:cs="仿宋"/>
          <w:bCs/>
          <w:kern w:val="1"/>
          <w:sz w:val="30"/>
          <w:szCs w:val="30"/>
        </w:rPr>
        <w:t>及合同约定的行为，</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人均可持续保留与</w:t>
      </w:r>
      <w:r>
        <w:rPr>
          <w:rFonts w:hint="eastAsia" w:ascii="仿宋_GB2312" w:hAnsi="仿宋" w:eastAsia="仿宋_GB2312" w:cs="仿宋"/>
          <w:bCs/>
          <w:kern w:val="1"/>
          <w:sz w:val="30"/>
          <w:szCs w:val="30"/>
          <w:lang w:val="en-US" w:eastAsia="zh-CN"/>
        </w:rPr>
        <w:t>其</w:t>
      </w:r>
      <w:r>
        <w:rPr>
          <w:rFonts w:hint="eastAsia" w:ascii="仿宋_GB2312" w:hAnsi="仿宋" w:eastAsia="仿宋_GB2312" w:cs="仿宋"/>
          <w:bCs/>
          <w:kern w:val="1"/>
          <w:sz w:val="30"/>
          <w:szCs w:val="30"/>
        </w:rPr>
        <w:t>中止合作的一切权利。送货车辆必须符合并遵守中华人民共和国相关法律法规要求，送货途中注意安全，杜绝违章，发生异常情况时由</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人全权负责。进入厂区送货车辆要求达到“国五”排放标准，严禁超限超载（行驶证核定总质量）。　</w:t>
      </w:r>
    </w:p>
    <w:p w14:paraId="01AB38E8">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（三）对需检验的品种，经</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人检验部门检验合格后方能收货，否则做退、换货处理；长期合约的</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人如出现三次产品质量不合格的情况，视为无能力保障产品质量，</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人有权终止此次</w:t>
      </w:r>
      <w:r>
        <w:rPr>
          <w:rFonts w:hint="eastAsia" w:ascii="仿宋_GB2312" w:hAnsi="仿宋" w:eastAsia="仿宋_GB2312" w:cs="仿宋"/>
          <w:bCs/>
          <w:kern w:val="1"/>
          <w:sz w:val="30"/>
          <w:szCs w:val="30"/>
          <w:lang w:val="en-US" w:eastAsia="zh-CN"/>
        </w:rPr>
        <w:t>询价</w:t>
      </w:r>
      <w:r>
        <w:rPr>
          <w:rFonts w:hint="eastAsia" w:ascii="仿宋_GB2312" w:hAnsi="仿宋" w:eastAsia="仿宋_GB2312" w:cs="仿宋"/>
          <w:bCs/>
          <w:kern w:val="1"/>
          <w:sz w:val="30"/>
          <w:szCs w:val="30"/>
        </w:rPr>
        <w:t>合同的执行。</w:t>
      </w:r>
    </w:p>
    <w:p w14:paraId="2EF5E334">
      <w:pPr>
        <w:adjustRightInd w:val="0"/>
        <w:snapToGrid w:val="0"/>
        <w:spacing w:line="360" w:lineRule="auto"/>
        <w:ind w:firstLine="600" w:firstLineChars="200"/>
        <w:jc w:val="left"/>
        <w:rPr>
          <w:rFonts w:hint="eastAsia" w:ascii="仿宋_GB2312" w:hAnsi="仿宋" w:eastAsia="仿宋_GB2312" w:cs="仿宋"/>
          <w:bCs/>
          <w:kern w:val="1"/>
          <w:sz w:val="30"/>
          <w:szCs w:val="30"/>
          <w:lang w:eastAsia="zh-CN"/>
        </w:rPr>
      </w:pPr>
      <w:r>
        <w:rPr>
          <w:rFonts w:hint="eastAsia" w:ascii="仿宋_GB2312" w:hAnsi="仿宋" w:eastAsia="仿宋_GB2312" w:cs="仿宋"/>
          <w:bCs/>
          <w:kern w:val="1"/>
          <w:sz w:val="30"/>
          <w:szCs w:val="30"/>
        </w:rPr>
        <w:t>（四）对不合格货品</w:t>
      </w:r>
      <w:r>
        <w:rPr>
          <w:rFonts w:hint="eastAsia" w:ascii="仿宋_GB2312" w:hAnsi="仿宋" w:eastAsia="仿宋_GB2312" w:cs="仿宋"/>
          <w:bCs/>
          <w:kern w:val="1"/>
          <w:sz w:val="30"/>
          <w:szCs w:val="30"/>
          <w:lang w:val="en-US" w:eastAsia="zh-CN"/>
        </w:rPr>
        <w:t>或服务采购</w:t>
      </w:r>
      <w:r>
        <w:rPr>
          <w:rFonts w:hint="eastAsia" w:ascii="仿宋_GB2312" w:hAnsi="仿宋" w:eastAsia="仿宋_GB2312" w:cs="仿宋"/>
          <w:bCs/>
          <w:kern w:val="1"/>
          <w:sz w:val="30"/>
          <w:szCs w:val="30"/>
        </w:rPr>
        <w:t>人应及时通知</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人，如有异议双方可协商解决；如需仲裁，应按合同约定在规定时间内按《产品质量仲裁检验和产品质量鉴定管理办法》执行。仲裁期间</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人应保证</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人供应，不影响</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人正常生产运行</w:t>
      </w:r>
      <w:r>
        <w:rPr>
          <w:rFonts w:hint="eastAsia" w:ascii="仿宋_GB2312" w:hAnsi="仿宋" w:eastAsia="仿宋_GB2312" w:cs="仿宋"/>
          <w:bCs/>
          <w:kern w:val="1"/>
          <w:sz w:val="30"/>
          <w:szCs w:val="30"/>
          <w:lang w:eastAsia="zh-CN"/>
        </w:rPr>
        <w:t>。</w:t>
      </w:r>
    </w:p>
    <w:p w14:paraId="7AACEC61">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rPr>
        <w:t>五）如因</w:t>
      </w:r>
      <w:r>
        <w:rPr>
          <w:rFonts w:hint="eastAsia" w:ascii="仿宋_GB2312" w:hAnsi="仿宋" w:eastAsia="仿宋_GB2312" w:cs="仿宋"/>
          <w:bCs/>
          <w:kern w:val="1"/>
          <w:sz w:val="30"/>
          <w:szCs w:val="30"/>
          <w:lang w:val="en-US" w:eastAsia="zh-CN"/>
        </w:rPr>
        <w:t>买受</w:t>
      </w:r>
      <w:r>
        <w:rPr>
          <w:rFonts w:hint="eastAsia" w:ascii="仿宋_GB2312" w:hAnsi="仿宋" w:eastAsia="仿宋_GB2312" w:cs="仿宋"/>
          <w:bCs/>
          <w:kern w:val="1"/>
          <w:sz w:val="30"/>
          <w:szCs w:val="30"/>
        </w:rPr>
        <w:t>人不能正常履约，对</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生产造成影响的，</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可向阿里巴巴公司投诉；如影响严重的，</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将依法追究投标方法律责任。</w:t>
      </w:r>
    </w:p>
    <w:p w14:paraId="0456AE43">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lang w:eastAsia="zh-CN"/>
        </w:rPr>
        <w:t>（</w:t>
      </w:r>
      <w:r>
        <w:rPr>
          <w:rFonts w:hint="eastAsia" w:ascii="仿宋_GB2312" w:hAnsi="仿宋" w:eastAsia="仿宋_GB2312" w:cs="仿宋"/>
          <w:bCs/>
          <w:kern w:val="1"/>
          <w:sz w:val="30"/>
          <w:szCs w:val="30"/>
          <w:lang w:val="en-US" w:eastAsia="zh-CN"/>
        </w:rPr>
        <w:t>六</w:t>
      </w:r>
      <w:r>
        <w:rPr>
          <w:rFonts w:hint="eastAsia" w:ascii="仿宋_GB2312" w:hAnsi="仿宋" w:eastAsia="仿宋_GB2312" w:cs="仿宋"/>
          <w:bCs/>
          <w:kern w:val="1"/>
          <w:sz w:val="30"/>
          <w:szCs w:val="30"/>
        </w:rPr>
        <w:t>）如因</w:t>
      </w:r>
      <w:r>
        <w:rPr>
          <w:rFonts w:hint="eastAsia" w:ascii="仿宋_GB2312" w:hAnsi="仿宋" w:eastAsia="仿宋_GB2312" w:cs="仿宋"/>
          <w:bCs/>
          <w:kern w:val="1"/>
          <w:sz w:val="30"/>
          <w:szCs w:val="30"/>
          <w:lang w:val="en-US" w:eastAsia="zh-CN"/>
        </w:rPr>
        <w:t>买受</w:t>
      </w:r>
      <w:r>
        <w:rPr>
          <w:rFonts w:hint="eastAsia" w:ascii="仿宋_GB2312" w:hAnsi="仿宋" w:eastAsia="仿宋_GB2312" w:cs="仿宋"/>
          <w:bCs/>
          <w:kern w:val="1"/>
          <w:sz w:val="30"/>
          <w:szCs w:val="30"/>
        </w:rPr>
        <w:t>人不能正常履约，对</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生产造成影响的，</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可向阿里巴巴公司投诉；如影响严重的，</w:t>
      </w:r>
      <w:r>
        <w:rPr>
          <w:rFonts w:hint="eastAsia" w:ascii="仿宋_GB2312" w:hAnsi="仿宋" w:eastAsia="仿宋_GB2312" w:cs="仿宋"/>
          <w:bCs/>
          <w:kern w:val="1"/>
          <w:sz w:val="30"/>
          <w:szCs w:val="30"/>
          <w:lang w:val="en-US" w:eastAsia="zh-CN"/>
        </w:rPr>
        <w:t>出卖人</w:t>
      </w:r>
      <w:r>
        <w:rPr>
          <w:rFonts w:hint="eastAsia" w:ascii="仿宋_GB2312" w:hAnsi="仿宋" w:eastAsia="仿宋_GB2312" w:cs="仿宋"/>
          <w:bCs/>
          <w:kern w:val="1"/>
          <w:sz w:val="30"/>
          <w:szCs w:val="30"/>
        </w:rPr>
        <w:t>将依法追究投标方法律责任。</w:t>
      </w:r>
    </w:p>
    <w:p w14:paraId="6DB4955A">
      <w:pPr>
        <w:adjustRightInd w:val="0"/>
        <w:snapToGrid w:val="0"/>
        <w:spacing w:line="360" w:lineRule="auto"/>
        <w:ind w:firstLine="600" w:firstLineChars="200"/>
        <w:jc w:val="left"/>
        <w:rPr>
          <w:rFonts w:hint="eastAsia" w:ascii="仿宋_GB2312" w:hAnsi="仿宋" w:eastAsia="仿宋_GB2312" w:cs="仿宋"/>
          <w:bCs/>
          <w:kern w:val="1"/>
          <w:sz w:val="30"/>
          <w:szCs w:val="30"/>
        </w:rPr>
      </w:pPr>
      <w:r>
        <w:rPr>
          <w:rFonts w:hint="eastAsia" w:ascii="仿宋_GB2312" w:hAnsi="仿宋" w:eastAsia="仿宋_GB2312" w:cs="仿宋"/>
          <w:bCs/>
          <w:kern w:val="1"/>
          <w:sz w:val="30"/>
          <w:szCs w:val="30"/>
        </w:rPr>
        <w:t>（</w:t>
      </w:r>
      <w:r>
        <w:rPr>
          <w:rFonts w:hint="eastAsia" w:ascii="仿宋_GB2312" w:hAnsi="仿宋" w:eastAsia="仿宋_GB2312" w:cs="仿宋"/>
          <w:bCs/>
          <w:kern w:val="1"/>
          <w:sz w:val="30"/>
          <w:szCs w:val="30"/>
          <w:lang w:val="en-US" w:eastAsia="zh-CN"/>
        </w:rPr>
        <w:t>七</w:t>
      </w:r>
      <w:r>
        <w:rPr>
          <w:rFonts w:hint="eastAsia" w:ascii="仿宋_GB2312" w:hAnsi="仿宋" w:eastAsia="仿宋_GB2312" w:cs="仿宋"/>
          <w:bCs/>
          <w:kern w:val="1"/>
          <w:sz w:val="30"/>
          <w:szCs w:val="30"/>
        </w:rPr>
        <w:t>）</w:t>
      </w:r>
      <w:r>
        <w:rPr>
          <w:rFonts w:hint="eastAsia" w:ascii="仿宋_GB2312" w:hAnsi="仿宋" w:eastAsia="仿宋_GB2312" w:cs="仿宋"/>
          <w:bCs/>
          <w:kern w:val="1"/>
          <w:sz w:val="30"/>
          <w:szCs w:val="30"/>
          <w:lang w:val="en-US" w:eastAsia="zh-CN"/>
        </w:rPr>
        <w:t>报价</w:t>
      </w:r>
      <w:r>
        <w:rPr>
          <w:rFonts w:hint="eastAsia" w:ascii="仿宋_GB2312" w:hAnsi="仿宋" w:eastAsia="仿宋_GB2312" w:cs="仿宋"/>
          <w:bCs/>
          <w:kern w:val="1"/>
          <w:sz w:val="30"/>
          <w:szCs w:val="30"/>
        </w:rPr>
        <w:t>人无正当理由不与</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人签订合同的，将承担违约责任，列入</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人供应商负面清单，同时</w:t>
      </w:r>
      <w:r>
        <w:rPr>
          <w:rFonts w:hint="eastAsia" w:ascii="仿宋_GB2312" w:hAnsi="仿宋" w:eastAsia="仿宋_GB2312" w:cs="仿宋"/>
          <w:bCs/>
          <w:kern w:val="1"/>
          <w:sz w:val="30"/>
          <w:szCs w:val="30"/>
          <w:lang w:val="en-US" w:eastAsia="zh-CN"/>
        </w:rPr>
        <w:t>采购</w:t>
      </w:r>
      <w:r>
        <w:rPr>
          <w:rFonts w:hint="eastAsia" w:ascii="仿宋_GB2312" w:hAnsi="仿宋" w:eastAsia="仿宋_GB2312" w:cs="仿宋"/>
          <w:bCs/>
          <w:kern w:val="1"/>
          <w:sz w:val="30"/>
          <w:szCs w:val="30"/>
        </w:rPr>
        <w:t>人将向阿里巴巴进行投诉。</w:t>
      </w:r>
    </w:p>
    <w:p w14:paraId="70A2FF4E">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（八）投标人对所供产品所引起的知识产权方面的纠纷，由投标人承担一切后果，招标人不承担任何责任。</w:t>
      </w:r>
    </w:p>
    <w:p w14:paraId="1856C832">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（九）报价人应详细阅读本询价文件，参与报价即视为对本询价文件所列之条款均表示接受。</w:t>
      </w:r>
    </w:p>
    <w:p w14:paraId="569C60AE">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（十）采购人对违反约定的服务商或成交人将按《江苏索普化工股份有限公司服务商负面清单管理规定》进行管理考核（详见附件2）。</w:t>
      </w:r>
    </w:p>
    <w:p w14:paraId="6CAFE3E2">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（十一）本次询比价解释权归江苏索普化工股份有限公司安全环境部所有；风险控制部投诉电话：0511-88995150、88995690。</w:t>
      </w:r>
    </w:p>
    <w:p w14:paraId="6301919F">
      <w:pPr>
        <w:adjustRightInd w:val="0"/>
        <w:snapToGrid w:val="0"/>
        <w:spacing w:line="360" w:lineRule="auto"/>
        <w:ind w:firstLine="600" w:firstLineChars="200"/>
        <w:jc w:val="left"/>
        <w:rPr>
          <w:rFonts w:hint="eastAsia" w:ascii="仿宋_GB2312" w:hAnsi="仿宋" w:eastAsia="仿宋_GB2312" w:cs="仿宋"/>
          <w:bCs/>
          <w:kern w:val="1"/>
          <w:sz w:val="30"/>
          <w:szCs w:val="30"/>
          <w:lang w:val="en-US" w:eastAsia="zh-CN"/>
        </w:rPr>
      </w:pPr>
      <w:r>
        <w:rPr>
          <w:rFonts w:hint="eastAsia" w:ascii="仿宋_GB2312" w:hAnsi="仿宋" w:eastAsia="仿宋_GB2312" w:cs="仿宋"/>
          <w:bCs/>
          <w:kern w:val="1"/>
          <w:sz w:val="30"/>
          <w:szCs w:val="30"/>
          <w:lang w:val="en-US" w:eastAsia="zh-CN"/>
        </w:rPr>
        <w:t>(十二）成交信息将于评审、评定后在索普集团官网公示，请各报价人登录http://www.sopo.com.cn查询。</w:t>
      </w:r>
    </w:p>
    <w:p w14:paraId="59CEEDBE">
      <w:pPr>
        <w:pStyle w:val="2"/>
        <w:rPr>
          <w:rFonts w:eastAsia="仿宋"/>
          <w:sz w:val="30"/>
          <w:szCs w:val="30"/>
        </w:rPr>
      </w:pPr>
      <w:r>
        <w:rPr>
          <w:rFonts w:hint="eastAsia" w:ascii="仿宋" w:hAnsi="仿宋" w:eastAsia="仿宋" w:cs="仿宋"/>
          <w:bCs/>
          <w:kern w:val="1"/>
          <w:sz w:val="30"/>
          <w:szCs w:val="30"/>
        </w:rPr>
        <w:t>　　</w:t>
      </w:r>
    </w:p>
    <w:p w14:paraId="3B0473A5">
      <w:pPr>
        <w:pStyle w:val="4"/>
        <w:pageBreakBefore/>
        <w:spacing w:line="579" w:lineRule="auto"/>
        <w:jc w:val="center"/>
        <w:rPr>
          <w:rFonts w:hint="default" w:ascii="方正小标宋简体" w:hAnsi="黑体" w:eastAsia="方正小标宋简体" w:cs="黑体"/>
        </w:rPr>
      </w:pPr>
      <w:r>
        <w:rPr>
          <w:rFonts w:ascii="方正小标宋简体" w:hAnsi="黑体" w:eastAsia="方正小标宋简体" w:cs="黑体"/>
        </w:rPr>
        <w:t>报价函</w:t>
      </w:r>
    </w:p>
    <w:p w14:paraId="2D0CD0D5">
      <w:pPr>
        <w:tabs>
          <w:tab w:val="left" w:pos="180"/>
        </w:tabs>
        <w:spacing w:line="60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江苏索普化工股份有限公司：</w:t>
      </w:r>
    </w:p>
    <w:p w14:paraId="1F16EA59">
      <w:pPr>
        <w:spacing w:line="480" w:lineRule="exact"/>
        <w:ind w:firstLine="600" w:firstLineChars="200"/>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u w:val="single"/>
        </w:rPr>
        <w:t xml:space="preserve">                  （公司名称）</w:t>
      </w:r>
      <w:r>
        <w:rPr>
          <w:rFonts w:hint="eastAsia" w:ascii="仿宋_GB2312" w:hAnsi="仿宋_GB2312" w:eastAsia="仿宋_GB2312" w:cs="仿宋_GB2312"/>
          <w:color w:val="auto"/>
          <w:kern w:val="1"/>
          <w:sz w:val="30"/>
          <w:szCs w:val="30"/>
          <w:highlight w:val="none"/>
        </w:rPr>
        <w:t>授权</w:t>
      </w:r>
      <w:r>
        <w:rPr>
          <w:rFonts w:hint="eastAsia" w:ascii="仿宋_GB2312" w:hAnsi="仿宋_GB2312" w:eastAsia="仿宋_GB2312" w:cs="仿宋_GB2312"/>
          <w:color w:val="auto"/>
          <w:kern w:val="1"/>
          <w:sz w:val="30"/>
          <w:szCs w:val="30"/>
          <w:highlight w:val="none"/>
          <w:u w:val="single"/>
        </w:rPr>
        <w:t xml:space="preserve">              （全权代表姓名、职务、职称</w:t>
      </w:r>
      <w:r>
        <w:rPr>
          <w:rFonts w:ascii="仿宋_GB2312" w:hAnsi="仿宋_GB2312" w:eastAsia="仿宋_GB2312" w:cs="仿宋_GB2312"/>
          <w:color w:val="auto"/>
          <w:kern w:val="1"/>
          <w:sz w:val="30"/>
          <w:szCs w:val="30"/>
          <w:highlight w:val="none"/>
          <w:u w:val="single"/>
        </w:rPr>
        <w:t>）</w:t>
      </w:r>
      <w:r>
        <w:rPr>
          <w:rFonts w:hint="eastAsia" w:ascii="仿宋_GB2312" w:hAnsi="仿宋_GB2312" w:eastAsia="仿宋_GB2312" w:cs="仿宋_GB2312"/>
          <w:color w:val="auto"/>
          <w:kern w:val="1"/>
          <w:sz w:val="30"/>
          <w:szCs w:val="30"/>
          <w:highlight w:val="none"/>
        </w:rPr>
        <w:t>为全权代表，参加贵方组织的</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有关活动，并对</w:t>
      </w:r>
      <w:r>
        <w:rPr>
          <w:rFonts w:hint="eastAsia" w:ascii="仿宋_GB2312" w:hAnsi="仿宋_GB2312" w:eastAsia="仿宋_GB2312" w:cs="仿宋_GB2312"/>
          <w:color w:val="auto"/>
          <w:kern w:val="1"/>
          <w:sz w:val="30"/>
          <w:szCs w:val="30"/>
          <w:highlight w:val="none"/>
          <w:u w:val="single"/>
        </w:rPr>
        <w:t xml:space="preserve">                 （项目名称）</w:t>
      </w:r>
      <w:r>
        <w:rPr>
          <w:rFonts w:hint="eastAsia" w:ascii="仿宋_GB2312" w:hAnsi="仿宋_GB2312" w:eastAsia="仿宋_GB2312" w:cs="仿宋_GB2312"/>
          <w:color w:val="auto"/>
          <w:kern w:val="1"/>
          <w:sz w:val="30"/>
          <w:szCs w:val="30"/>
          <w:highlight w:val="none"/>
        </w:rPr>
        <w:t>进行</w:t>
      </w:r>
      <w:r>
        <w:rPr>
          <w:rFonts w:hint="eastAsia" w:ascii="仿宋_GB2312" w:hAnsi="仿宋_GB2312" w:eastAsia="仿宋_GB2312" w:cs="仿宋_GB2312"/>
          <w:color w:val="auto"/>
          <w:kern w:val="1"/>
          <w:sz w:val="30"/>
          <w:szCs w:val="30"/>
          <w:highlight w:val="none"/>
          <w:lang w:val="en-US" w:eastAsia="zh-CN"/>
        </w:rPr>
        <w:t>报价</w:t>
      </w:r>
      <w:r>
        <w:rPr>
          <w:rFonts w:hint="eastAsia" w:ascii="仿宋_GB2312" w:hAnsi="仿宋_GB2312" w:eastAsia="仿宋_GB2312" w:cs="仿宋_GB2312"/>
          <w:color w:val="auto"/>
          <w:kern w:val="1"/>
          <w:sz w:val="30"/>
          <w:szCs w:val="30"/>
          <w:highlight w:val="none"/>
        </w:rPr>
        <w:t>。</w:t>
      </w:r>
    </w:p>
    <w:p w14:paraId="3D5201DA">
      <w:pPr>
        <w:spacing w:line="600" w:lineRule="exact"/>
        <w:jc w:val="left"/>
      </w:pPr>
      <w:r>
        <w:rPr>
          <w:rFonts w:hint="eastAsia" w:ascii="仿宋_GB2312" w:hAnsi="仿宋_GB2312" w:eastAsia="仿宋_GB2312" w:cs="仿宋_GB2312"/>
          <w:kern w:val="1"/>
          <w:sz w:val="30"/>
          <w:szCs w:val="30"/>
        </w:rPr>
        <w:t xml:space="preserve">   </w:t>
      </w:r>
      <w:r>
        <w:rPr>
          <w:rFonts w:hint="eastAsia"/>
        </w:rPr>
        <w:t xml:space="preserve">      </w:t>
      </w:r>
    </w:p>
    <w:p w14:paraId="2CC79086">
      <w:pPr>
        <w:numPr>
          <w:ilvl w:val="0"/>
          <w:numId w:val="2"/>
        </w:numPr>
        <w:spacing w:line="440" w:lineRule="exact"/>
        <w:ind w:firstLine="600" w:firstLineChars="200"/>
        <w:jc w:val="left"/>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报价：</w:t>
      </w:r>
    </w:p>
    <w:p w14:paraId="289E8C8B">
      <w:pPr>
        <w:rPr>
          <w:rFonts w:hint="eastAsia" w:ascii="仿宋_GB2312" w:hAnsi="仿宋_GB2312" w:eastAsia="仿宋_GB2312" w:cs="仿宋_GB2312"/>
          <w:color w:val="auto"/>
          <w:kern w:val="1"/>
          <w:sz w:val="30"/>
          <w:szCs w:val="30"/>
          <w:highlight w:val="none"/>
        </w:rPr>
      </w:pPr>
      <w:r>
        <w:rPr>
          <w:rFonts w:hint="eastAsia" w:ascii="宋体" w:hAnsi="宋体" w:eastAsia="宋体" w:cs="Times New Roman"/>
          <w:sz w:val="24"/>
          <w:highlight w:val="none"/>
        </w:rPr>
        <w:t xml:space="preserve">    </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color w:val="auto"/>
          <w:kern w:val="1"/>
          <w:sz w:val="30"/>
          <w:szCs w:val="30"/>
          <w:highlight w:val="none"/>
          <w:lang w:val="en-US" w:eastAsia="zh-CN"/>
        </w:rPr>
        <w:t xml:space="preserve"> </w:t>
      </w:r>
      <w:r>
        <w:rPr>
          <w:rFonts w:hint="eastAsia" w:ascii="仿宋_GB2312" w:hAnsi="仿宋_GB2312" w:eastAsia="仿宋_GB2312" w:cs="仿宋_GB2312"/>
          <w:color w:val="auto"/>
          <w:kern w:val="1"/>
          <w:sz w:val="30"/>
          <w:szCs w:val="30"/>
          <w:highlight w:val="none"/>
        </w:rPr>
        <w:t>金额单位：万元(人民币)</w:t>
      </w:r>
    </w:p>
    <w:tbl>
      <w:tblPr>
        <w:tblStyle w:val="14"/>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3"/>
        <w:gridCol w:w="1512"/>
        <w:gridCol w:w="3255"/>
      </w:tblGrid>
      <w:tr w14:paraId="25FB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23" w:type="dxa"/>
            <w:noWrap w:val="0"/>
            <w:vAlign w:val="center"/>
          </w:tcPr>
          <w:p w14:paraId="37F2DD99">
            <w:pPr>
              <w:spacing w:line="480" w:lineRule="exact"/>
              <w:jc w:val="center"/>
              <w:rPr>
                <w:rFonts w:hint="eastAsia" w:ascii="仿宋_GB2312" w:hAnsi="仿宋_GB2312" w:eastAsia="仿宋_GB2312" w:cs="仿宋_GB2312"/>
                <w:color w:val="auto"/>
                <w:kern w:val="1"/>
                <w:sz w:val="30"/>
                <w:szCs w:val="30"/>
                <w:highlight w:val="none"/>
                <w:lang w:val="en-US" w:eastAsia="zh-CN"/>
              </w:rPr>
            </w:pPr>
            <w:r>
              <w:rPr>
                <w:rFonts w:hint="eastAsia" w:ascii="仿宋_GB2312" w:hAnsi="仿宋_GB2312" w:eastAsia="仿宋_GB2312" w:cs="仿宋_GB2312"/>
                <w:color w:val="auto"/>
                <w:kern w:val="1"/>
                <w:sz w:val="30"/>
                <w:szCs w:val="30"/>
                <w:highlight w:val="none"/>
              </w:rPr>
              <w:t>项目</w:t>
            </w:r>
            <w:r>
              <w:rPr>
                <w:rFonts w:hint="eastAsia" w:ascii="仿宋_GB2312" w:hAnsi="仿宋_GB2312" w:eastAsia="仿宋_GB2312" w:cs="仿宋_GB2312"/>
                <w:color w:val="auto"/>
                <w:kern w:val="1"/>
                <w:sz w:val="30"/>
                <w:szCs w:val="30"/>
                <w:highlight w:val="none"/>
                <w:lang w:val="en-US" w:eastAsia="zh-CN"/>
              </w:rPr>
              <w:t>内容</w:t>
            </w:r>
          </w:p>
        </w:tc>
        <w:tc>
          <w:tcPr>
            <w:tcW w:w="1512" w:type="dxa"/>
            <w:noWrap w:val="0"/>
            <w:vAlign w:val="center"/>
          </w:tcPr>
          <w:p w14:paraId="058A28BB">
            <w:pPr>
              <w:spacing w:line="480" w:lineRule="exact"/>
              <w:jc w:val="center"/>
              <w:rPr>
                <w:rFonts w:hint="eastAsia" w:ascii="仿宋_GB2312" w:hAnsi="仿宋_GB2312" w:eastAsia="仿宋_GB2312" w:cs="仿宋_GB2312"/>
                <w:color w:val="auto"/>
                <w:kern w:val="1"/>
                <w:sz w:val="30"/>
                <w:szCs w:val="30"/>
                <w:highlight w:val="none"/>
                <w:lang w:val="en-US" w:eastAsia="zh-CN"/>
              </w:rPr>
            </w:pPr>
            <w:r>
              <w:rPr>
                <w:rFonts w:hint="eastAsia" w:ascii="仿宋_GB2312" w:hAnsi="仿宋_GB2312" w:eastAsia="仿宋_GB2312" w:cs="仿宋_GB2312"/>
                <w:color w:val="auto"/>
                <w:kern w:val="1"/>
                <w:sz w:val="30"/>
                <w:szCs w:val="30"/>
                <w:highlight w:val="none"/>
                <w:lang w:val="en-US" w:eastAsia="zh-CN"/>
              </w:rPr>
              <w:t>税率</w:t>
            </w:r>
          </w:p>
        </w:tc>
        <w:tc>
          <w:tcPr>
            <w:tcW w:w="3255" w:type="dxa"/>
            <w:noWrap w:val="0"/>
            <w:vAlign w:val="center"/>
          </w:tcPr>
          <w:p w14:paraId="74EF0E05">
            <w:pPr>
              <w:spacing w:line="480" w:lineRule="exact"/>
              <w:jc w:val="center"/>
              <w:rPr>
                <w:rFonts w:hint="default" w:ascii="仿宋_GB2312" w:hAnsi="仿宋_GB2312" w:eastAsia="仿宋_GB2312" w:cs="仿宋_GB2312"/>
                <w:color w:val="auto"/>
                <w:kern w:val="1"/>
                <w:sz w:val="30"/>
                <w:szCs w:val="30"/>
                <w:highlight w:val="none"/>
                <w:lang w:val="en-US" w:eastAsia="zh-CN"/>
              </w:rPr>
            </w:pPr>
            <w:r>
              <w:rPr>
                <w:rFonts w:hint="eastAsia" w:ascii="仿宋_GB2312" w:hAnsi="仿宋_GB2312" w:eastAsia="仿宋_GB2312" w:cs="仿宋_GB2312"/>
                <w:b/>
                <w:bCs/>
                <w:color w:val="auto"/>
                <w:kern w:val="1"/>
                <w:sz w:val="30"/>
                <w:szCs w:val="30"/>
                <w:highlight w:val="none"/>
                <w:lang w:val="en-US" w:eastAsia="zh-CN"/>
              </w:rPr>
              <w:t>报价</w:t>
            </w:r>
            <w:r>
              <w:rPr>
                <w:rFonts w:hint="eastAsia" w:ascii="仿宋_GB2312" w:hAnsi="仿宋_GB2312" w:eastAsia="仿宋_GB2312" w:cs="仿宋_GB2312"/>
                <w:b/>
                <w:bCs/>
                <w:color w:val="auto"/>
                <w:kern w:val="1"/>
                <w:sz w:val="30"/>
                <w:szCs w:val="30"/>
                <w:highlight w:val="none"/>
                <w:lang w:eastAsia="zh-CN"/>
              </w:rPr>
              <w:t>（</w:t>
            </w:r>
            <w:r>
              <w:rPr>
                <w:rFonts w:hint="eastAsia" w:ascii="仿宋_GB2312" w:hAnsi="仿宋_GB2312" w:eastAsia="仿宋_GB2312" w:cs="仿宋_GB2312"/>
                <w:b/>
                <w:bCs/>
                <w:color w:val="auto"/>
                <w:kern w:val="1"/>
                <w:sz w:val="30"/>
                <w:szCs w:val="30"/>
                <w:highlight w:val="none"/>
                <w:lang w:val="en-US" w:eastAsia="zh-CN"/>
              </w:rPr>
              <w:t>含税）</w:t>
            </w:r>
          </w:p>
        </w:tc>
      </w:tr>
      <w:tr w14:paraId="2C85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023" w:type="dxa"/>
            <w:noWrap w:val="0"/>
            <w:vAlign w:val="center"/>
          </w:tcPr>
          <w:p w14:paraId="6E9D113B">
            <w:pPr>
              <w:jc w:val="center"/>
              <w:rPr>
                <w:rFonts w:hint="default" w:ascii="仿宋_GB2312" w:hAnsi="仿宋_GB2312" w:eastAsia="仿宋_GB2312" w:cs="仿宋_GB2312"/>
                <w:b/>
                <w:sz w:val="24"/>
                <w:highlight w:val="none"/>
                <w:u w:val="none"/>
                <w:lang w:val="en-US"/>
              </w:rPr>
            </w:pPr>
            <w:r>
              <w:rPr>
                <w:rFonts w:hint="eastAsia" w:ascii="仿宋_GB2312" w:hAnsi="仿宋_GB2312" w:eastAsia="仿宋_GB2312" w:cs="仿宋_GB2312"/>
                <w:bCs/>
                <w:color w:val="auto"/>
                <w:sz w:val="30"/>
                <w:szCs w:val="30"/>
                <w:highlight w:val="none"/>
                <w:u w:val="none"/>
                <w:lang w:val="en-US" w:eastAsia="zh-CN"/>
              </w:rPr>
              <w:t>索普股份</w:t>
            </w:r>
            <w:r>
              <w:rPr>
                <w:rFonts w:hint="eastAsia" w:ascii="仿宋_GB2312" w:hAnsi="仿宋" w:eastAsia="仿宋_GB2312" w:cs="仿宋"/>
                <w:bCs/>
                <w:sz w:val="30"/>
                <w:szCs w:val="30"/>
                <w:u w:val="none"/>
              </w:rPr>
              <w:t>乙酯</w:t>
            </w:r>
            <w:r>
              <w:rPr>
                <w:rFonts w:hint="eastAsia" w:ascii="仿宋_GB2312" w:hAnsi="仿宋" w:eastAsia="仿宋_GB2312" w:cs="仿宋"/>
                <w:b/>
                <w:bCs w:val="0"/>
                <w:sz w:val="30"/>
                <w:szCs w:val="30"/>
                <w:u w:val="none"/>
                <w:lang w:val="en-US" w:eastAsia="zh-CN"/>
              </w:rPr>
              <w:t>老</w:t>
            </w:r>
            <w:r>
              <w:rPr>
                <w:rFonts w:hint="eastAsia" w:ascii="仿宋_GB2312" w:hAnsi="仿宋" w:eastAsia="仿宋_GB2312" w:cs="仿宋"/>
                <w:bCs/>
                <w:sz w:val="30"/>
                <w:szCs w:val="30"/>
                <w:u w:val="none"/>
                <w:lang w:val="en-US" w:eastAsia="zh-CN"/>
              </w:rPr>
              <w:t>装置</w:t>
            </w:r>
            <w:r>
              <w:rPr>
                <w:rFonts w:hint="eastAsia" w:ascii="仿宋_GB2312" w:hAnsi="仿宋" w:eastAsia="仿宋_GB2312" w:cs="仿宋"/>
                <w:bCs/>
                <w:sz w:val="30"/>
                <w:szCs w:val="30"/>
                <w:u w:val="none"/>
              </w:rPr>
              <w:t>VOC</w:t>
            </w:r>
            <w:r>
              <w:rPr>
                <w:rFonts w:hint="eastAsia" w:ascii="仿宋_GB2312" w:hAnsi="仿宋" w:eastAsia="仿宋_GB2312" w:cs="仿宋"/>
                <w:bCs/>
                <w:sz w:val="30"/>
                <w:szCs w:val="30"/>
                <w:u w:val="none"/>
                <w:lang w:val="en-US" w:eastAsia="zh-CN"/>
              </w:rPr>
              <w:t>s</w:t>
            </w:r>
            <w:r>
              <w:rPr>
                <w:rFonts w:hint="eastAsia" w:ascii="仿宋_GB2312" w:hAnsi="仿宋" w:eastAsia="仿宋_GB2312" w:cs="仿宋"/>
                <w:bCs/>
                <w:sz w:val="30"/>
                <w:szCs w:val="30"/>
                <w:u w:val="none"/>
              </w:rPr>
              <w:t>自动监控设施第三方运维</w:t>
            </w:r>
            <w:r>
              <w:rPr>
                <w:rFonts w:hint="eastAsia" w:ascii="仿宋_GB2312" w:hAnsi="仿宋_GB2312" w:eastAsia="仿宋_GB2312" w:cs="仿宋_GB2312"/>
                <w:bCs/>
                <w:color w:val="auto"/>
                <w:sz w:val="30"/>
                <w:szCs w:val="30"/>
                <w:highlight w:val="none"/>
                <w:u w:val="none"/>
                <w:lang w:val="en-US" w:eastAsia="zh-CN"/>
              </w:rPr>
              <w:t>技术服务项目（2025年3月1日-2027年2月28日）</w:t>
            </w:r>
          </w:p>
        </w:tc>
        <w:tc>
          <w:tcPr>
            <w:tcW w:w="1512" w:type="dxa"/>
            <w:noWrap w:val="0"/>
            <w:vAlign w:val="center"/>
          </w:tcPr>
          <w:p w14:paraId="21AB6AC1">
            <w:pPr>
              <w:pStyle w:val="5"/>
              <w:rPr>
                <w:rFonts w:hint="eastAsia" w:ascii="仿宋_GB2312" w:hAnsi="仿宋_GB2312" w:eastAsia="仿宋_GB2312" w:cs="仿宋_GB2312"/>
                <w:highlight w:val="none"/>
              </w:rPr>
            </w:pPr>
          </w:p>
        </w:tc>
        <w:tc>
          <w:tcPr>
            <w:tcW w:w="3255" w:type="dxa"/>
            <w:noWrap w:val="0"/>
            <w:vAlign w:val="center"/>
          </w:tcPr>
          <w:p w14:paraId="1C06AE70">
            <w:pPr>
              <w:pStyle w:val="5"/>
              <w:rPr>
                <w:rFonts w:hint="eastAsia" w:ascii="仿宋_GB2312" w:hAnsi="仿宋_GB2312" w:eastAsia="仿宋_GB2312" w:cs="仿宋_GB2312"/>
                <w:highlight w:val="none"/>
              </w:rPr>
            </w:pPr>
          </w:p>
        </w:tc>
      </w:tr>
      <w:tr w14:paraId="3F62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023" w:type="dxa"/>
            <w:noWrap w:val="0"/>
            <w:vAlign w:val="center"/>
          </w:tcPr>
          <w:p w14:paraId="534CAD27">
            <w:pPr>
              <w:jc w:val="center"/>
              <w:rPr>
                <w:rFonts w:hint="eastAsia"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索普股份</w:t>
            </w:r>
            <w:r>
              <w:rPr>
                <w:rFonts w:hint="eastAsia" w:ascii="仿宋_GB2312" w:hAnsi="仿宋" w:eastAsia="仿宋_GB2312" w:cs="仿宋"/>
                <w:bCs/>
                <w:sz w:val="30"/>
                <w:szCs w:val="30"/>
                <w:u w:val="none"/>
              </w:rPr>
              <w:t>乙酯</w:t>
            </w:r>
            <w:r>
              <w:rPr>
                <w:rFonts w:hint="eastAsia" w:ascii="仿宋_GB2312" w:hAnsi="仿宋" w:eastAsia="仿宋_GB2312" w:cs="仿宋"/>
                <w:b/>
                <w:bCs w:val="0"/>
                <w:sz w:val="30"/>
                <w:szCs w:val="30"/>
                <w:u w:val="none"/>
                <w:lang w:val="en-US" w:eastAsia="zh-CN"/>
              </w:rPr>
              <w:t>新</w:t>
            </w:r>
            <w:r>
              <w:rPr>
                <w:rFonts w:hint="eastAsia" w:ascii="仿宋_GB2312" w:hAnsi="仿宋" w:eastAsia="仿宋_GB2312" w:cs="仿宋"/>
                <w:bCs/>
                <w:sz w:val="30"/>
                <w:szCs w:val="30"/>
                <w:u w:val="none"/>
                <w:lang w:val="en-US" w:eastAsia="zh-CN"/>
              </w:rPr>
              <w:t>装置</w:t>
            </w:r>
            <w:r>
              <w:rPr>
                <w:rFonts w:hint="eastAsia" w:ascii="仿宋_GB2312" w:hAnsi="仿宋" w:eastAsia="仿宋_GB2312" w:cs="仿宋"/>
                <w:bCs/>
                <w:sz w:val="30"/>
                <w:szCs w:val="30"/>
                <w:u w:val="none"/>
              </w:rPr>
              <w:t>VOC</w:t>
            </w:r>
            <w:r>
              <w:rPr>
                <w:rFonts w:hint="eastAsia" w:ascii="仿宋_GB2312" w:hAnsi="仿宋" w:eastAsia="仿宋_GB2312" w:cs="仿宋"/>
                <w:bCs/>
                <w:sz w:val="30"/>
                <w:szCs w:val="30"/>
                <w:u w:val="none"/>
                <w:lang w:val="en-US" w:eastAsia="zh-CN"/>
              </w:rPr>
              <w:t>s</w:t>
            </w:r>
            <w:r>
              <w:rPr>
                <w:rFonts w:hint="eastAsia" w:ascii="仿宋_GB2312" w:hAnsi="仿宋" w:eastAsia="仿宋_GB2312" w:cs="仿宋"/>
                <w:bCs/>
                <w:sz w:val="30"/>
                <w:szCs w:val="30"/>
                <w:u w:val="none"/>
              </w:rPr>
              <w:t>自动监控设施第三方运维</w:t>
            </w:r>
            <w:r>
              <w:rPr>
                <w:rFonts w:hint="eastAsia" w:ascii="仿宋_GB2312" w:hAnsi="仿宋_GB2312" w:eastAsia="仿宋_GB2312" w:cs="仿宋_GB2312"/>
                <w:bCs/>
                <w:color w:val="auto"/>
                <w:sz w:val="30"/>
                <w:szCs w:val="30"/>
                <w:highlight w:val="none"/>
                <w:u w:val="none"/>
                <w:lang w:val="en-US" w:eastAsia="zh-CN"/>
              </w:rPr>
              <w:t>技术服务项目（2025年6月30日-2027年2月28日）</w:t>
            </w:r>
          </w:p>
        </w:tc>
        <w:tc>
          <w:tcPr>
            <w:tcW w:w="1512" w:type="dxa"/>
            <w:noWrap w:val="0"/>
            <w:vAlign w:val="center"/>
          </w:tcPr>
          <w:p w14:paraId="1A79285A">
            <w:pPr>
              <w:pStyle w:val="5"/>
              <w:rPr>
                <w:rFonts w:hint="eastAsia" w:ascii="仿宋_GB2312" w:hAnsi="仿宋_GB2312" w:eastAsia="仿宋_GB2312" w:cs="仿宋_GB2312"/>
                <w:highlight w:val="none"/>
              </w:rPr>
            </w:pPr>
          </w:p>
        </w:tc>
        <w:tc>
          <w:tcPr>
            <w:tcW w:w="3255" w:type="dxa"/>
            <w:noWrap w:val="0"/>
            <w:vAlign w:val="center"/>
          </w:tcPr>
          <w:p w14:paraId="23804573">
            <w:pPr>
              <w:pStyle w:val="5"/>
              <w:rPr>
                <w:rFonts w:hint="eastAsia" w:ascii="仿宋_GB2312" w:hAnsi="仿宋_GB2312" w:eastAsia="仿宋_GB2312" w:cs="仿宋_GB2312"/>
                <w:highlight w:val="none"/>
              </w:rPr>
            </w:pPr>
          </w:p>
        </w:tc>
      </w:tr>
      <w:tr w14:paraId="4F3D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023" w:type="dxa"/>
            <w:noWrap w:val="0"/>
            <w:vAlign w:val="center"/>
          </w:tcPr>
          <w:p w14:paraId="6E71C4D3">
            <w:pPr>
              <w:jc w:val="center"/>
              <w:rPr>
                <w:rFonts w:hint="default"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合计</w:t>
            </w:r>
          </w:p>
        </w:tc>
        <w:tc>
          <w:tcPr>
            <w:tcW w:w="1512" w:type="dxa"/>
            <w:noWrap w:val="0"/>
            <w:vAlign w:val="center"/>
          </w:tcPr>
          <w:p w14:paraId="464559F1">
            <w:pPr>
              <w:pStyle w:val="5"/>
              <w:rPr>
                <w:rFonts w:hint="eastAsia" w:ascii="仿宋_GB2312" w:hAnsi="仿宋_GB2312" w:eastAsia="仿宋_GB2312" w:cs="仿宋_GB2312"/>
                <w:highlight w:val="none"/>
              </w:rPr>
            </w:pPr>
          </w:p>
        </w:tc>
        <w:tc>
          <w:tcPr>
            <w:tcW w:w="3255" w:type="dxa"/>
            <w:noWrap w:val="0"/>
            <w:vAlign w:val="center"/>
          </w:tcPr>
          <w:p w14:paraId="3FDC35EB">
            <w:pPr>
              <w:pStyle w:val="5"/>
              <w:rPr>
                <w:rFonts w:hint="eastAsia" w:ascii="仿宋_GB2312" w:hAnsi="仿宋_GB2312" w:eastAsia="仿宋_GB2312" w:cs="仿宋_GB2312"/>
                <w:highlight w:val="none"/>
              </w:rPr>
            </w:pPr>
          </w:p>
        </w:tc>
      </w:tr>
    </w:tbl>
    <w:p w14:paraId="47C6159F">
      <w:pPr>
        <w:pStyle w:val="2"/>
      </w:pPr>
    </w:p>
    <w:p w14:paraId="118A94B0">
      <w:pPr>
        <w:ind w:firstLine="600" w:firstLineChars="200"/>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2.我方承诺遵守文件中的全部规定；</w:t>
      </w:r>
    </w:p>
    <w:p w14:paraId="120B5C05">
      <w:pPr>
        <w:spacing w:line="600" w:lineRule="exact"/>
        <w:ind w:firstLine="600" w:firstLineChars="200"/>
        <w:jc w:val="left"/>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3.我方承诺</w:t>
      </w:r>
      <w:r>
        <w:rPr>
          <w:rFonts w:hint="eastAsia" w:ascii="仿宋_GB2312" w:hAnsi="仿宋_GB2312" w:eastAsia="仿宋_GB2312" w:cs="仿宋_GB2312"/>
          <w:color w:val="auto"/>
          <w:kern w:val="1"/>
          <w:sz w:val="30"/>
          <w:szCs w:val="30"/>
          <w:highlight w:val="none"/>
          <w:lang w:val="en-US" w:eastAsia="zh-CN"/>
        </w:rPr>
        <w:t>取得供应资质</w:t>
      </w:r>
      <w:r>
        <w:rPr>
          <w:rFonts w:hint="eastAsia" w:ascii="仿宋_GB2312" w:hAnsi="仿宋_GB2312" w:eastAsia="仿宋_GB2312" w:cs="仿宋_GB2312"/>
          <w:color w:val="auto"/>
          <w:kern w:val="1"/>
          <w:sz w:val="30"/>
          <w:szCs w:val="30"/>
          <w:highlight w:val="none"/>
        </w:rPr>
        <w:t>后双方签订合同,并承担合同规定的责任义务；</w:t>
      </w:r>
    </w:p>
    <w:p w14:paraId="7D612C50">
      <w:pPr>
        <w:spacing w:line="600" w:lineRule="exact"/>
        <w:ind w:firstLine="600" w:firstLineChars="200"/>
        <w:jc w:val="left"/>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4.我方已详细审查全部</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文件，包括</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文件的补充文件（如有）。我方完全理解并同意放弃对这方面有不明及误解的权力，同时完全接受</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文件所有条款。如果</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文件有相互矛盾之处，我方同意按</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方的解释处理；</w:t>
      </w:r>
    </w:p>
    <w:p w14:paraId="7A61DF1E">
      <w:pPr>
        <w:spacing w:line="600" w:lineRule="exact"/>
        <w:ind w:firstLine="600" w:firstLineChars="200"/>
        <w:jc w:val="left"/>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5.愿意向贵方提供任何与该项</w:t>
      </w:r>
      <w:r>
        <w:rPr>
          <w:rFonts w:hint="eastAsia" w:ascii="仿宋_GB2312" w:hAnsi="仿宋_GB2312" w:eastAsia="仿宋_GB2312" w:cs="仿宋_GB2312"/>
          <w:color w:val="auto"/>
          <w:kern w:val="1"/>
          <w:sz w:val="30"/>
          <w:szCs w:val="30"/>
          <w:highlight w:val="none"/>
          <w:lang w:val="en-US" w:eastAsia="zh-CN"/>
        </w:rPr>
        <w:t>采购</w:t>
      </w:r>
      <w:r>
        <w:rPr>
          <w:rFonts w:hint="eastAsia" w:ascii="仿宋_GB2312" w:hAnsi="仿宋_GB2312" w:eastAsia="仿宋_GB2312" w:cs="仿宋_GB2312"/>
          <w:color w:val="auto"/>
          <w:kern w:val="1"/>
          <w:sz w:val="30"/>
          <w:szCs w:val="30"/>
          <w:highlight w:val="none"/>
        </w:rPr>
        <w:t>有关的数据、情况和技术资料，完全理解贵方不一定接受最低价的报价或收到的任何报价。</w:t>
      </w:r>
    </w:p>
    <w:p w14:paraId="18D1EC14">
      <w:pPr>
        <w:spacing w:line="600" w:lineRule="exact"/>
        <w:ind w:firstLine="600" w:firstLineChars="200"/>
        <w:jc w:val="left"/>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6.对</w:t>
      </w:r>
      <w:r>
        <w:rPr>
          <w:rFonts w:hint="eastAsia" w:ascii="仿宋_GB2312" w:hAnsi="仿宋_GB2312" w:eastAsia="仿宋_GB2312" w:cs="仿宋_GB2312"/>
          <w:color w:val="auto"/>
          <w:kern w:val="1"/>
          <w:sz w:val="30"/>
          <w:szCs w:val="30"/>
          <w:highlight w:val="none"/>
          <w:lang w:val="en-US" w:eastAsia="zh-CN"/>
        </w:rPr>
        <w:t>采购文件</w:t>
      </w:r>
      <w:r>
        <w:rPr>
          <w:rFonts w:hint="eastAsia" w:ascii="仿宋_GB2312" w:hAnsi="仿宋_GB2312" w:eastAsia="仿宋_GB2312" w:cs="仿宋_GB2312"/>
          <w:color w:val="auto"/>
          <w:kern w:val="1"/>
          <w:sz w:val="30"/>
          <w:szCs w:val="30"/>
          <w:highlight w:val="none"/>
        </w:rPr>
        <w:t>的不接受项：</w:t>
      </w:r>
      <w:r>
        <w:rPr>
          <w:rFonts w:hint="eastAsia" w:ascii="仿宋_GB2312" w:hAnsi="仿宋_GB2312" w:eastAsia="仿宋_GB2312" w:cs="仿宋_GB2312"/>
          <w:color w:val="auto"/>
          <w:kern w:val="1"/>
          <w:sz w:val="30"/>
          <w:szCs w:val="30"/>
          <w:highlight w:val="none"/>
          <w:u w:val="single"/>
        </w:rPr>
        <w:t xml:space="preserve">                                  </w:t>
      </w:r>
    </w:p>
    <w:p w14:paraId="6056F694">
      <w:pPr>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color w:val="auto"/>
          <w:kern w:val="1"/>
          <w:sz w:val="30"/>
          <w:szCs w:val="30"/>
          <w:highlight w:val="none"/>
        </w:rPr>
        <w:t>我公司郑重承诺：遵守江苏索普化工股份有限公司自主公开</w:t>
      </w:r>
      <w:r>
        <w:rPr>
          <w:rFonts w:hint="eastAsia" w:ascii="仿宋_GB2312" w:hAnsi="仿宋_GB2312" w:eastAsia="仿宋_GB2312" w:cs="仿宋_GB2312"/>
          <w:color w:val="auto"/>
          <w:kern w:val="1"/>
          <w:sz w:val="30"/>
          <w:szCs w:val="30"/>
          <w:highlight w:val="none"/>
          <w:lang w:val="en-US" w:eastAsia="zh-CN"/>
        </w:rPr>
        <w:t>询比价</w:t>
      </w:r>
      <w:r>
        <w:rPr>
          <w:rFonts w:hint="eastAsia" w:ascii="仿宋_GB2312" w:hAnsi="仿宋_GB2312" w:eastAsia="仿宋_GB2312" w:cs="仿宋_GB2312"/>
          <w:color w:val="auto"/>
          <w:sz w:val="30"/>
          <w:szCs w:val="30"/>
          <w:highlight w:val="none"/>
          <w:shd w:val="clear" w:color="auto" w:fill="FFFFFF"/>
        </w:rPr>
        <w:t>文件</w:t>
      </w:r>
      <w:r>
        <w:rPr>
          <w:rFonts w:hint="eastAsia" w:ascii="仿宋_GB2312" w:hAnsi="仿宋_GB2312" w:eastAsia="仿宋_GB2312" w:cs="仿宋_GB2312"/>
          <w:color w:val="auto"/>
          <w:kern w:val="1"/>
          <w:sz w:val="30"/>
          <w:szCs w:val="30"/>
          <w:highlight w:val="none"/>
        </w:rPr>
        <w:t>中的全部规定，</w:t>
      </w:r>
      <w:r>
        <w:rPr>
          <w:rFonts w:hint="eastAsia" w:ascii="仿宋_GB2312" w:hAnsi="仿宋_GB2312" w:eastAsia="仿宋_GB2312" w:cs="仿宋_GB2312"/>
          <w:bCs/>
          <w:color w:val="auto"/>
          <w:kern w:val="1"/>
          <w:sz w:val="30"/>
          <w:szCs w:val="30"/>
          <w:highlight w:val="none"/>
          <w:lang w:val="en-US" w:eastAsia="zh-CN"/>
        </w:rPr>
        <w:t>取得供应资质</w:t>
      </w:r>
      <w:r>
        <w:rPr>
          <w:rFonts w:hint="eastAsia" w:ascii="仿宋_GB2312" w:hAnsi="仿宋_GB2312" w:eastAsia="仿宋_GB2312" w:cs="仿宋_GB2312"/>
          <w:bCs/>
          <w:color w:val="auto"/>
          <w:kern w:val="1"/>
          <w:sz w:val="30"/>
          <w:szCs w:val="30"/>
          <w:highlight w:val="none"/>
        </w:rPr>
        <w:t>后及时签订合同,并承担合同规定的责任和义务；在报价过程中将严格遵守江苏索普化工股份有限公司自主公开</w:t>
      </w:r>
      <w:r>
        <w:rPr>
          <w:rFonts w:hint="eastAsia" w:ascii="仿宋_GB2312" w:hAnsi="仿宋_GB2312" w:eastAsia="仿宋_GB2312" w:cs="仿宋_GB2312"/>
          <w:bCs/>
          <w:color w:val="auto"/>
          <w:kern w:val="1"/>
          <w:sz w:val="30"/>
          <w:szCs w:val="30"/>
          <w:highlight w:val="none"/>
          <w:lang w:val="en-US" w:eastAsia="zh-CN"/>
        </w:rPr>
        <w:t>询比价</w:t>
      </w:r>
      <w:r>
        <w:rPr>
          <w:rFonts w:hint="eastAsia" w:ascii="仿宋_GB2312" w:hAnsi="仿宋_GB2312" w:eastAsia="仿宋_GB2312" w:cs="仿宋_GB2312"/>
          <w:bCs/>
          <w:color w:val="auto"/>
          <w:kern w:val="1"/>
          <w:sz w:val="30"/>
          <w:szCs w:val="30"/>
          <w:highlight w:val="none"/>
        </w:rPr>
        <w:t>的各项管理要求；不发生与关联公司共同参与报价竞争情况，不发生</w:t>
      </w:r>
      <w:r>
        <w:rPr>
          <w:rFonts w:hint="eastAsia" w:ascii="仿宋_GB2312" w:hAnsi="仿宋_GB2312" w:eastAsia="仿宋_GB2312" w:cs="仿宋_GB2312"/>
          <w:bCs/>
          <w:color w:val="auto"/>
          <w:kern w:val="1"/>
          <w:sz w:val="30"/>
          <w:szCs w:val="30"/>
          <w:highlight w:val="none"/>
          <w:lang w:val="en-US" w:eastAsia="zh-CN"/>
        </w:rPr>
        <w:t>陪同报价</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串通报价</w:t>
      </w:r>
      <w:r>
        <w:rPr>
          <w:rFonts w:hint="eastAsia" w:ascii="仿宋_GB2312" w:hAnsi="仿宋_GB2312" w:eastAsia="仿宋_GB2312" w:cs="仿宋_GB2312"/>
          <w:bCs/>
          <w:color w:val="auto"/>
          <w:kern w:val="1"/>
          <w:sz w:val="30"/>
          <w:szCs w:val="30"/>
          <w:highlight w:val="none"/>
        </w:rPr>
        <w:t>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14:paraId="2CAFF85E">
      <w:pPr>
        <w:widowControl w:val="0"/>
        <w:jc w:val="both"/>
        <w:rPr>
          <w:rFonts w:hint="eastAsia" w:ascii="宋体" w:hAnsi="Courier New" w:eastAsia="仿宋_GB2312" w:cs="Times New Roman"/>
          <w:color w:val="000000"/>
          <w:kern w:val="0"/>
          <w:sz w:val="20"/>
          <w:szCs w:val="20"/>
          <w:highlight w:val="none"/>
          <w:lang w:val="en-US" w:eastAsia="zh-CN" w:bidi="ar-SA"/>
        </w:rPr>
      </w:pPr>
    </w:p>
    <w:p w14:paraId="0FB549F2">
      <w:pPr>
        <w:spacing w:before="156" w:beforeLines="50" w:line="440" w:lineRule="exact"/>
        <w:jc w:val="left"/>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全权代表（签字）：</w:t>
      </w:r>
    </w:p>
    <w:p w14:paraId="47A15A37">
      <w:pPr>
        <w:spacing w:before="156" w:beforeLines="50" w:line="440" w:lineRule="exact"/>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rPr>
        <w:t>联系电话：</w:t>
      </w:r>
    </w:p>
    <w:p w14:paraId="1E978ECF">
      <w:pPr>
        <w:spacing w:before="156" w:beforeLines="50" w:line="440" w:lineRule="exact"/>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color w:val="auto"/>
          <w:kern w:val="1"/>
          <w:sz w:val="30"/>
          <w:szCs w:val="30"/>
          <w:highlight w:val="none"/>
          <w:lang w:val="en-US" w:eastAsia="zh-CN"/>
        </w:rPr>
        <w:t>报价</w:t>
      </w:r>
      <w:r>
        <w:rPr>
          <w:rFonts w:hint="eastAsia" w:ascii="仿宋_GB2312" w:hAnsi="仿宋_GB2312" w:eastAsia="仿宋_GB2312" w:cs="仿宋_GB2312"/>
          <w:color w:val="auto"/>
          <w:kern w:val="1"/>
          <w:sz w:val="30"/>
          <w:szCs w:val="30"/>
          <w:highlight w:val="none"/>
        </w:rPr>
        <w:t>单位（盖章）：</w:t>
      </w:r>
    </w:p>
    <w:p w14:paraId="239EBC8C">
      <w:pPr>
        <w:spacing w:before="156" w:beforeLines="50" w:line="440" w:lineRule="exact"/>
        <w:jc w:val="left"/>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color w:val="auto"/>
          <w:kern w:val="1"/>
          <w:sz w:val="30"/>
          <w:szCs w:val="30"/>
          <w:highlight w:val="none"/>
        </w:rPr>
        <w:t>日期：</w:t>
      </w:r>
    </w:p>
    <w:p w14:paraId="5FD1665B">
      <w:pPr>
        <w:pStyle w:val="2"/>
        <w:rPr>
          <w:rFonts w:hint="eastAsia"/>
        </w:rPr>
      </w:pPr>
    </w:p>
    <w:p w14:paraId="10C9F1A9">
      <w:pPr>
        <w:pStyle w:val="2"/>
        <w:rPr>
          <w:rFonts w:hint="eastAsia" w:ascii="仿宋" w:hAnsi="仿宋" w:eastAsia="仿宋" w:cs="仿宋"/>
          <w:bCs/>
          <w:kern w:val="1"/>
          <w:sz w:val="30"/>
          <w:szCs w:val="30"/>
        </w:rPr>
      </w:pPr>
      <w:r>
        <w:rPr>
          <w:rFonts w:hint="eastAsia" w:ascii="仿宋" w:hAnsi="仿宋" w:eastAsia="仿宋" w:cs="仿宋"/>
          <w:bCs/>
          <w:kern w:val="1"/>
          <w:sz w:val="30"/>
          <w:szCs w:val="30"/>
        </w:rPr>
        <w:t>　　</w:t>
      </w:r>
    </w:p>
    <w:p w14:paraId="007A37AA">
      <w:pPr>
        <w:pageBreakBefore/>
        <w:spacing w:line="360" w:lineRule="auto"/>
        <w:jc w:val="left"/>
        <w:rPr>
          <w:rFonts w:ascii="仿宋_GB2312" w:eastAsia="仿宋_GB2312" w:cs="‹ÎSå"/>
          <w:bCs/>
          <w:kern w:val="1"/>
          <w:sz w:val="30"/>
          <w:szCs w:val="30"/>
        </w:rPr>
      </w:pPr>
      <w:r>
        <w:rPr>
          <w:rFonts w:hint="eastAsia" w:ascii="仿宋_GB2312" w:eastAsia="仿宋_GB2312" w:cs="‹ÎSå"/>
          <w:bCs/>
          <w:kern w:val="1"/>
          <w:sz w:val="30"/>
          <w:szCs w:val="30"/>
        </w:rPr>
        <w:t>附件</w:t>
      </w:r>
      <w:r>
        <w:rPr>
          <w:rFonts w:hint="eastAsia" w:ascii="仿宋_GB2312" w:eastAsia="仿宋_GB2312" w:cs="‹ÎSå"/>
          <w:bCs/>
          <w:kern w:val="1"/>
          <w:sz w:val="30"/>
          <w:szCs w:val="30"/>
          <w:lang w:val="en-US" w:eastAsia="zh-CN"/>
        </w:rPr>
        <w:t>1</w:t>
      </w:r>
      <w:r>
        <w:rPr>
          <w:rFonts w:hint="eastAsia" w:ascii="仿宋_GB2312" w:eastAsia="仿宋_GB2312" w:cs="‹ÎSå"/>
          <w:bCs/>
          <w:kern w:val="1"/>
          <w:sz w:val="30"/>
          <w:szCs w:val="30"/>
        </w:rPr>
        <w:t>：</w:t>
      </w:r>
    </w:p>
    <w:p w14:paraId="531C7093">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简体" w:hAnsi="方正小标宋简体" w:eastAsia="方正小标宋简体" w:cs="方正小标宋简体"/>
          <w:color w:val="auto"/>
          <w:kern w:val="0"/>
          <w:sz w:val="34"/>
          <w:szCs w:val="34"/>
          <w:highlight w:val="none"/>
          <w:u w:val="none"/>
          <w:lang w:val="en-US" w:eastAsia="zh-CN"/>
        </w:rPr>
      </w:pPr>
      <w:r>
        <w:rPr>
          <w:rFonts w:hint="eastAsia" w:ascii="方正小标宋简体" w:hAnsi="方正小标宋简体" w:eastAsia="方正小标宋简体" w:cs="方正小标宋简体"/>
          <w:color w:val="auto"/>
          <w:kern w:val="0"/>
          <w:sz w:val="44"/>
          <w:szCs w:val="44"/>
          <w:highlight w:val="none"/>
          <w:u w:val="none"/>
          <w:lang w:val="en-US" w:eastAsia="zh-CN"/>
        </w:rPr>
        <w:t>服务商管理</w:t>
      </w:r>
    </w:p>
    <w:p w14:paraId="066B2E83">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 w:eastAsia="仿宋_GB2312"/>
          <w:color w:val="auto"/>
          <w:sz w:val="30"/>
          <w:szCs w:val="30"/>
          <w:highlight w:val="none"/>
          <w:u w:val="none"/>
          <w:lang w:val="en-US" w:eastAsia="zh-CN"/>
        </w:rPr>
      </w:pPr>
      <w:r>
        <w:rPr>
          <w:rFonts w:hint="eastAsia" w:ascii="仿宋_GB2312" w:hAnsi="仿宋" w:eastAsia="仿宋_GB2312"/>
          <w:b/>
          <w:bCs/>
          <w:color w:val="auto"/>
          <w:sz w:val="30"/>
          <w:szCs w:val="30"/>
          <w:highlight w:val="none"/>
          <w:u w:val="none"/>
          <w:lang w:val="en-US" w:eastAsia="zh-CN"/>
        </w:rPr>
        <w:t>第一条</w:t>
      </w:r>
      <w:r>
        <w:rPr>
          <w:rFonts w:hint="eastAsia" w:ascii="仿宋_GB2312" w:hAnsi="仿宋" w:eastAsia="仿宋_GB2312"/>
          <w:color w:val="auto"/>
          <w:sz w:val="30"/>
          <w:szCs w:val="30"/>
          <w:highlight w:val="none"/>
          <w:u w:val="none"/>
          <w:lang w:val="en-US" w:eastAsia="zh-CN"/>
        </w:rPr>
        <w:t xml:space="preserve"> 依照国家标准及相关准则或规定组织生产销售的原辅材料、备品备件、劳保用品、服务、施工、运输等服务商，其资质证照齐全且满足公司采购要求的，均视为合格服务商有权参与公司组织的采购商务活动。</w:t>
      </w:r>
    </w:p>
    <w:p w14:paraId="136D2673">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 w:eastAsia="仿宋_GB2312" w:cs="Times New Roman"/>
          <w:color w:val="auto"/>
          <w:sz w:val="30"/>
          <w:szCs w:val="30"/>
          <w:highlight w:val="none"/>
          <w:u w:val="none"/>
          <w:lang w:val="en-US" w:eastAsia="zh-CN"/>
        </w:rPr>
      </w:pPr>
      <w:r>
        <w:rPr>
          <w:rFonts w:hint="eastAsia" w:ascii="仿宋_GB2312" w:hAnsi="仿宋" w:eastAsia="仿宋_GB2312"/>
          <w:b/>
          <w:bCs/>
          <w:color w:val="auto"/>
          <w:sz w:val="30"/>
          <w:szCs w:val="30"/>
          <w:highlight w:val="none"/>
          <w:u w:val="none"/>
          <w:lang w:val="en-US" w:eastAsia="zh-CN"/>
        </w:rPr>
        <w:t>第二条</w:t>
      </w:r>
      <w:r>
        <w:rPr>
          <w:rFonts w:hint="eastAsia" w:ascii="仿宋_GB2312" w:hAnsi="仿宋" w:eastAsia="仿宋_GB2312"/>
          <w:color w:val="auto"/>
          <w:sz w:val="30"/>
          <w:szCs w:val="30"/>
          <w:highlight w:val="none"/>
          <w:u w:val="none"/>
          <w:lang w:val="en-US" w:eastAsia="zh-CN"/>
        </w:rPr>
        <w:t xml:space="preserve"> </w:t>
      </w:r>
      <w:r>
        <w:rPr>
          <w:rFonts w:hint="eastAsia" w:ascii="仿宋_GB2312" w:hAnsi="仿宋" w:eastAsia="仿宋_GB2312" w:cs="Times New Roman"/>
          <w:color w:val="auto"/>
          <w:sz w:val="30"/>
          <w:szCs w:val="30"/>
          <w:highlight w:val="none"/>
          <w:u w:val="none"/>
          <w:lang w:val="en-US" w:eastAsia="zh-CN"/>
        </w:rPr>
        <w:t>为强化服务商管理，提升供应链的整体质量和效率，实施服务商负面清单管理办法。目的在于确保采购质量与安全、维护公平竞争的市场环境、提高采购效率与效果、强化风险管理以及提升企业声誉与形象。为所有符合要求的服务商提供一个公开透明的竞争平台，有效防范供应链风险，促进服务商之间的良性竞争，推动供应链持续优化升级，为公司的持续稳定发展提供有力保障。</w:t>
      </w:r>
    </w:p>
    <w:p w14:paraId="5B28470D">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cs="楷体"/>
          <w:color w:val="auto"/>
          <w:sz w:val="30"/>
          <w:szCs w:val="30"/>
          <w:highlight w:val="none"/>
          <w:u w:val="none"/>
          <w:lang w:val="en-US" w:eastAsia="zh-CN"/>
        </w:rPr>
      </w:pPr>
      <w:r>
        <w:rPr>
          <w:rFonts w:hint="eastAsia" w:ascii="楷体" w:hAnsi="楷体" w:eastAsia="楷体" w:cs="楷体"/>
          <w:color w:val="auto"/>
          <w:sz w:val="30"/>
          <w:szCs w:val="30"/>
          <w:highlight w:val="none"/>
          <w:u w:val="none"/>
          <w:lang w:val="en-US" w:eastAsia="zh-CN"/>
        </w:rPr>
        <w:t>（一）管理职责</w:t>
      </w:r>
    </w:p>
    <w:p w14:paraId="2BA8F41B">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 w:eastAsia="仿宋_GB2312"/>
          <w:color w:val="auto"/>
          <w:sz w:val="30"/>
          <w:szCs w:val="30"/>
          <w:highlight w:val="none"/>
          <w:u w:val="none"/>
          <w:lang w:val="en-US" w:eastAsia="zh-CN"/>
        </w:rPr>
      </w:pPr>
      <w:r>
        <w:rPr>
          <w:rFonts w:hint="eastAsia" w:ascii="仿宋_GB2312" w:hAnsi="仿宋" w:eastAsia="仿宋_GB2312"/>
          <w:color w:val="auto"/>
          <w:sz w:val="30"/>
          <w:szCs w:val="30"/>
          <w:highlight w:val="none"/>
          <w:u w:val="none"/>
          <w:lang w:val="en-US" w:eastAsia="zh-CN"/>
        </w:rPr>
        <w:t>服务商负面清单管理由供应保障部负责，其他职能部门在</w:t>
      </w:r>
      <w:r>
        <w:rPr>
          <w:rFonts w:hint="eastAsia" w:ascii="仿宋_GB2312" w:hAnsi="仿宋" w:eastAsia="仿宋_GB2312"/>
          <w:strike w:val="0"/>
          <w:dstrike w:val="0"/>
          <w:color w:val="auto"/>
          <w:sz w:val="30"/>
          <w:szCs w:val="30"/>
          <w:highlight w:val="none"/>
          <w:u w:val="none"/>
          <w:lang w:val="en-US" w:eastAsia="zh-CN"/>
        </w:rPr>
        <w:t>采购</w:t>
      </w:r>
      <w:r>
        <w:rPr>
          <w:rFonts w:hint="eastAsia" w:ascii="仿宋_GB2312" w:hAnsi="仿宋" w:eastAsia="仿宋_GB2312"/>
          <w:color w:val="auto"/>
          <w:sz w:val="30"/>
          <w:szCs w:val="30"/>
          <w:highlight w:val="none"/>
          <w:u w:val="none"/>
          <w:lang w:val="en-US" w:eastAsia="zh-CN"/>
        </w:rPr>
        <w:t>、合同、使用等过程中产生的服务商考核意见应报送供应保障部进行统一管理。</w:t>
      </w:r>
    </w:p>
    <w:p w14:paraId="046FC27C">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cs="楷体"/>
          <w:bCs/>
          <w:color w:val="auto"/>
          <w:sz w:val="30"/>
          <w:szCs w:val="30"/>
          <w:highlight w:val="none"/>
          <w:u w:val="none"/>
          <w:lang w:eastAsia="zh-CN"/>
        </w:rPr>
      </w:pPr>
      <w:r>
        <w:rPr>
          <w:rFonts w:hint="eastAsia" w:ascii="楷体" w:hAnsi="楷体" w:eastAsia="楷体" w:cs="楷体"/>
          <w:bCs/>
          <w:color w:val="auto"/>
          <w:sz w:val="30"/>
          <w:szCs w:val="30"/>
          <w:highlight w:val="none"/>
          <w:u w:val="none"/>
          <w:lang w:eastAsia="zh-CN"/>
        </w:rPr>
        <w:t>（</w:t>
      </w:r>
      <w:r>
        <w:rPr>
          <w:rFonts w:hint="eastAsia" w:ascii="楷体" w:hAnsi="楷体" w:eastAsia="楷体" w:cs="楷体"/>
          <w:bCs/>
          <w:color w:val="auto"/>
          <w:sz w:val="30"/>
          <w:szCs w:val="30"/>
          <w:highlight w:val="none"/>
          <w:u w:val="none"/>
          <w:lang w:val="en-US" w:eastAsia="zh-CN"/>
        </w:rPr>
        <w:t>二</w:t>
      </w:r>
      <w:r>
        <w:rPr>
          <w:rFonts w:hint="eastAsia" w:ascii="楷体" w:hAnsi="楷体" w:eastAsia="楷体" w:cs="楷体"/>
          <w:bCs/>
          <w:color w:val="auto"/>
          <w:sz w:val="30"/>
          <w:szCs w:val="30"/>
          <w:highlight w:val="none"/>
          <w:u w:val="none"/>
          <w:lang w:eastAsia="zh-CN"/>
        </w:rPr>
        <w:t>）服务商积分考核</w:t>
      </w:r>
    </w:p>
    <w:p w14:paraId="5C60CA73">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服务商的积分考核围绕供货质量、交货周期、售后服务以及资质信誉</w:t>
      </w:r>
      <w:r>
        <w:rPr>
          <w:rFonts w:hint="eastAsia" w:ascii="仿宋_GB2312" w:hAnsi="仿宋_GB2312" w:eastAsia="仿宋_GB2312" w:cs="仿宋_GB2312"/>
          <w:bCs/>
          <w:color w:val="auto"/>
          <w:sz w:val="30"/>
          <w:szCs w:val="30"/>
          <w:highlight w:val="none"/>
          <w:u w:val="none"/>
          <w:lang w:val="en-US" w:eastAsia="zh-CN"/>
        </w:rPr>
        <w:t>四个方面实施</w:t>
      </w:r>
      <w:r>
        <w:rPr>
          <w:rFonts w:hint="eastAsia" w:ascii="仿宋_GB2312" w:hAnsi="仿宋_GB2312" w:eastAsia="仿宋_GB2312" w:cs="仿宋_GB2312"/>
          <w:bCs/>
          <w:color w:val="auto"/>
          <w:sz w:val="30"/>
          <w:szCs w:val="30"/>
          <w:highlight w:val="none"/>
          <w:u w:val="none"/>
          <w:lang w:eastAsia="zh-CN"/>
        </w:rPr>
        <w:t>。根据考核结果对服务商进行积分累计，并采取相应的处理措施。使用部门和供应保障部均有</w:t>
      </w:r>
      <w:r>
        <w:rPr>
          <w:rFonts w:hint="eastAsia" w:ascii="仿宋_GB2312" w:hAnsi="仿宋_GB2312" w:eastAsia="仿宋_GB2312" w:cs="仿宋_GB2312"/>
          <w:bCs/>
          <w:color w:val="auto"/>
          <w:sz w:val="30"/>
          <w:szCs w:val="30"/>
          <w:highlight w:val="none"/>
          <w:u w:val="none"/>
          <w:lang w:val="en-US" w:eastAsia="zh-CN"/>
        </w:rPr>
        <w:t>以</w:t>
      </w:r>
      <w:r>
        <w:rPr>
          <w:rFonts w:hint="eastAsia" w:ascii="仿宋_GB2312" w:hAnsi="仿宋_GB2312" w:eastAsia="仿宋_GB2312" w:cs="仿宋_GB2312"/>
          <w:bCs/>
          <w:color w:val="auto"/>
          <w:sz w:val="30"/>
          <w:szCs w:val="30"/>
          <w:highlight w:val="none"/>
          <w:u w:val="none"/>
          <w:lang w:eastAsia="zh-CN"/>
        </w:rPr>
        <w:t>权书面形式提出考核意见。供应保障部</w:t>
      </w:r>
      <w:r>
        <w:rPr>
          <w:rFonts w:hint="eastAsia" w:ascii="仿宋_GB2312" w:hAnsi="仿宋_GB2312" w:eastAsia="仿宋_GB2312" w:cs="仿宋_GB2312"/>
          <w:bCs/>
          <w:color w:val="auto"/>
          <w:sz w:val="30"/>
          <w:szCs w:val="30"/>
          <w:highlight w:val="none"/>
          <w:u w:val="none"/>
          <w:lang w:val="en-US" w:eastAsia="zh-CN"/>
        </w:rPr>
        <w:t>负责</w:t>
      </w:r>
      <w:r>
        <w:rPr>
          <w:rFonts w:hint="eastAsia" w:ascii="仿宋_GB2312" w:hAnsi="仿宋_GB2312" w:eastAsia="仿宋_GB2312" w:cs="仿宋_GB2312"/>
          <w:bCs/>
          <w:color w:val="auto"/>
          <w:sz w:val="30"/>
          <w:szCs w:val="30"/>
          <w:highlight w:val="none"/>
          <w:u w:val="none"/>
          <w:lang w:eastAsia="zh-CN"/>
        </w:rPr>
        <w:t>组织参与评审部门，对服务商进行</w:t>
      </w:r>
      <w:r>
        <w:rPr>
          <w:rFonts w:hint="eastAsia" w:ascii="仿宋_GB2312" w:hAnsi="仿宋_GB2312" w:eastAsia="仿宋_GB2312" w:cs="仿宋_GB2312"/>
          <w:bCs/>
          <w:color w:val="auto"/>
          <w:sz w:val="30"/>
          <w:szCs w:val="30"/>
          <w:highlight w:val="none"/>
          <w:u w:val="none"/>
          <w:lang w:val="en-US" w:eastAsia="zh-CN"/>
        </w:rPr>
        <w:t>积分</w:t>
      </w:r>
      <w:r>
        <w:rPr>
          <w:rFonts w:hint="eastAsia" w:ascii="仿宋_GB2312" w:hAnsi="仿宋_GB2312" w:eastAsia="仿宋_GB2312" w:cs="仿宋_GB2312"/>
          <w:bCs/>
          <w:color w:val="auto"/>
          <w:sz w:val="30"/>
          <w:szCs w:val="30"/>
          <w:highlight w:val="none"/>
          <w:u w:val="none"/>
          <w:lang w:eastAsia="zh-CN"/>
        </w:rPr>
        <w:t>考核，并建立《服务商考核情况登记表》。</w:t>
      </w:r>
    </w:p>
    <w:p w14:paraId="000EB43D">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根据扣分情况</w:t>
      </w:r>
      <w:r>
        <w:rPr>
          <w:rFonts w:hint="eastAsia" w:ascii="仿宋_GB2312" w:hAnsi="仿宋_GB2312" w:eastAsia="仿宋_GB2312" w:cs="仿宋_GB2312"/>
          <w:bCs/>
          <w:color w:val="auto"/>
          <w:sz w:val="30"/>
          <w:szCs w:val="30"/>
          <w:highlight w:val="none"/>
          <w:u w:val="none"/>
          <w:lang w:val="en-US" w:eastAsia="zh-CN"/>
        </w:rPr>
        <w:t>被考核</w:t>
      </w:r>
      <w:r>
        <w:rPr>
          <w:rFonts w:hint="eastAsia" w:ascii="仿宋_GB2312" w:hAnsi="仿宋_GB2312" w:eastAsia="仿宋_GB2312" w:cs="仿宋_GB2312"/>
          <w:bCs/>
          <w:color w:val="auto"/>
          <w:sz w:val="30"/>
          <w:szCs w:val="30"/>
          <w:highlight w:val="none"/>
          <w:u w:val="none"/>
          <w:lang w:eastAsia="zh-CN"/>
        </w:rPr>
        <w:t>服务商</w:t>
      </w:r>
      <w:r>
        <w:rPr>
          <w:rFonts w:hint="eastAsia" w:ascii="仿宋_GB2312" w:hAnsi="仿宋_GB2312" w:eastAsia="仿宋_GB2312" w:cs="仿宋_GB2312"/>
          <w:bCs/>
          <w:color w:val="auto"/>
          <w:sz w:val="30"/>
          <w:szCs w:val="30"/>
          <w:highlight w:val="none"/>
          <w:u w:val="none"/>
          <w:lang w:val="en-US" w:eastAsia="zh-CN"/>
        </w:rPr>
        <w:t>可</w:t>
      </w:r>
      <w:r>
        <w:rPr>
          <w:rFonts w:hint="eastAsia" w:ascii="仿宋_GB2312" w:hAnsi="仿宋_GB2312" w:eastAsia="仿宋_GB2312" w:cs="仿宋_GB2312"/>
          <w:bCs/>
          <w:color w:val="auto"/>
          <w:sz w:val="30"/>
          <w:szCs w:val="30"/>
          <w:highlight w:val="none"/>
          <w:u w:val="none"/>
          <w:lang w:eastAsia="zh-CN"/>
        </w:rPr>
        <w:t>分为两类：继续合作服务商和列入负面清单服务商。考核记分周期为</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lang w:eastAsia="zh-CN"/>
        </w:rPr>
        <w:t>年，自首次考核当日起算，</w:t>
      </w:r>
      <w:r>
        <w:rPr>
          <w:rFonts w:hint="eastAsia" w:ascii="仿宋_GB2312" w:hAnsi="仿宋_GB2312" w:eastAsia="仿宋_GB2312" w:cs="仿宋_GB2312"/>
          <w:bCs/>
          <w:color w:val="auto"/>
          <w:sz w:val="30"/>
          <w:szCs w:val="30"/>
          <w:highlight w:val="none"/>
          <w:u w:val="none"/>
          <w:lang w:val="en-US" w:eastAsia="zh-CN"/>
        </w:rPr>
        <w:t>未列入</w:t>
      </w:r>
      <w:r>
        <w:rPr>
          <w:rFonts w:hint="eastAsia" w:ascii="仿宋_GB2312" w:hAnsi="仿宋_GB2312" w:eastAsia="仿宋_GB2312" w:cs="仿宋_GB2312"/>
          <w:bCs/>
          <w:color w:val="auto"/>
          <w:sz w:val="30"/>
          <w:szCs w:val="30"/>
          <w:highlight w:val="none"/>
          <w:u w:val="none"/>
          <w:lang w:eastAsia="zh-CN"/>
        </w:rPr>
        <w:t>负面清单服务商满</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lang w:eastAsia="zh-CN"/>
        </w:rPr>
        <w:t>年后，考核期内的积分自动清零。</w:t>
      </w:r>
    </w:p>
    <w:p w14:paraId="07369B06">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1.继续合作服务商：考核记分周期</w:t>
      </w:r>
      <w:r>
        <w:rPr>
          <w:rFonts w:hint="eastAsia" w:ascii="仿宋_GB2312" w:hAnsi="仿宋_GB2312" w:eastAsia="仿宋_GB2312" w:cs="仿宋_GB2312"/>
          <w:bCs/>
          <w:color w:val="auto"/>
          <w:sz w:val="30"/>
          <w:szCs w:val="30"/>
          <w:highlight w:val="none"/>
          <w:u w:val="none"/>
          <w:lang w:val="en-US" w:eastAsia="zh-CN"/>
        </w:rPr>
        <w:t>内</w:t>
      </w:r>
      <w:r>
        <w:rPr>
          <w:rFonts w:hint="eastAsia" w:ascii="仿宋_GB2312" w:hAnsi="仿宋_GB2312" w:eastAsia="仿宋_GB2312" w:cs="仿宋_GB2312"/>
          <w:bCs/>
          <w:color w:val="auto"/>
          <w:sz w:val="30"/>
          <w:szCs w:val="30"/>
          <w:highlight w:val="none"/>
          <w:u w:val="none"/>
          <w:lang w:eastAsia="zh-CN"/>
        </w:rPr>
        <w:t>扣分在0～9分的服务商。</w:t>
      </w:r>
    </w:p>
    <w:p w14:paraId="673818B5">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2.列入负面清单服务商：</w:t>
      </w:r>
    </w:p>
    <w:p w14:paraId="40EF56AD">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lang w:eastAsia="zh-CN"/>
        </w:rPr>
        <w:t>）考核记分周期</w:t>
      </w:r>
      <w:r>
        <w:rPr>
          <w:rFonts w:hint="eastAsia" w:ascii="仿宋_GB2312" w:hAnsi="仿宋_GB2312" w:eastAsia="仿宋_GB2312" w:cs="仿宋_GB2312"/>
          <w:bCs/>
          <w:color w:val="auto"/>
          <w:sz w:val="30"/>
          <w:szCs w:val="30"/>
          <w:highlight w:val="none"/>
          <w:u w:val="none"/>
          <w:lang w:val="en-US" w:eastAsia="zh-CN"/>
        </w:rPr>
        <w:t>内</w:t>
      </w:r>
      <w:r>
        <w:rPr>
          <w:rFonts w:hint="eastAsia" w:ascii="仿宋_GB2312" w:hAnsi="仿宋_GB2312" w:eastAsia="仿宋_GB2312" w:cs="仿宋_GB2312"/>
          <w:bCs/>
          <w:color w:val="auto"/>
          <w:sz w:val="30"/>
          <w:szCs w:val="30"/>
          <w:highlight w:val="none"/>
          <w:u w:val="none"/>
          <w:lang w:eastAsia="zh-CN"/>
        </w:rPr>
        <w:t>扣分达到10分</w:t>
      </w:r>
      <w:r>
        <w:rPr>
          <w:rFonts w:hint="eastAsia" w:ascii="仿宋_GB2312" w:hAnsi="仿宋_GB2312" w:eastAsia="仿宋_GB2312" w:cs="仿宋_GB2312"/>
          <w:bCs/>
          <w:color w:val="auto"/>
          <w:sz w:val="30"/>
          <w:szCs w:val="30"/>
          <w:highlight w:val="none"/>
          <w:u w:val="none"/>
          <w:lang w:val="en-US" w:eastAsia="zh-CN"/>
        </w:rPr>
        <w:t>及以上</w:t>
      </w:r>
      <w:r>
        <w:rPr>
          <w:rFonts w:hint="eastAsia" w:ascii="仿宋_GB2312" w:hAnsi="仿宋_GB2312" w:eastAsia="仿宋_GB2312" w:cs="仿宋_GB2312"/>
          <w:bCs/>
          <w:color w:val="auto"/>
          <w:sz w:val="30"/>
          <w:szCs w:val="30"/>
          <w:highlight w:val="none"/>
          <w:u w:val="none"/>
          <w:lang w:eastAsia="zh-CN"/>
        </w:rPr>
        <w:t>的服务商；</w:t>
      </w:r>
    </w:p>
    <w:p w14:paraId="1666A557">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lang w:eastAsia="zh-CN"/>
        </w:rPr>
        <w:t>考核记分周期</w:t>
      </w:r>
      <w:r>
        <w:rPr>
          <w:rFonts w:hint="eastAsia" w:ascii="仿宋_GB2312" w:hAnsi="仿宋_GB2312" w:eastAsia="仿宋_GB2312" w:cs="仿宋_GB2312"/>
          <w:bCs/>
          <w:color w:val="auto"/>
          <w:sz w:val="30"/>
          <w:szCs w:val="30"/>
          <w:highlight w:val="none"/>
          <w:u w:val="none"/>
          <w:lang w:val="en-US" w:eastAsia="zh-CN"/>
        </w:rPr>
        <w:t>内被索普集团汇总累计扣分列入负面清单的服务商</w:t>
      </w:r>
      <w:r>
        <w:rPr>
          <w:rFonts w:hint="eastAsia" w:ascii="仿宋_GB2312" w:hAnsi="仿宋_GB2312" w:eastAsia="仿宋_GB2312" w:cs="仿宋_GB2312"/>
          <w:bCs/>
          <w:color w:val="auto"/>
          <w:sz w:val="30"/>
          <w:szCs w:val="30"/>
          <w:highlight w:val="none"/>
          <w:u w:val="none"/>
          <w:lang w:eastAsia="zh-CN"/>
        </w:rPr>
        <w:t>。</w:t>
      </w:r>
    </w:p>
    <w:p w14:paraId="3992CF0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列入负面清单服务商不再接受其</w:t>
      </w:r>
      <w:r>
        <w:rPr>
          <w:rFonts w:hint="eastAsia" w:ascii="仿宋_GB2312" w:hAnsi="仿宋_GB2312" w:eastAsia="仿宋_GB2312" w:cs="仿宋_GB2312"/>
          <w:bCs/>
          <w:color w:val="auto"/>
          <w:sz w:val="30"/>
          <w:szCs w:val="30"/>
          <w:highlight w:val="none"/>
          <w:u w:val="none"/>
          <w:lang w:val="en-US" w:eastAsia="zh-CN"/>
        </w:rPr>
        <w:t>参与</w:t>
      </w:r>
      <w:r>
        <w:rPr>
          <w:rFonts w:hint="eastAsia" w:ascii="仿宋_GB2312" w:hAnsi="仿宋" w:eastAsia="仿宋_GB2312"/>
          <w:color w:val="auto"/>
          <w:sz w:val="30"/>
          <w:szCs w:val="30"/>
          <w:highlight w:val="none"/>
          <w:u w:val="none"/>
          <w:lang w:val="en-US" w:eastAsia="zh-CN"/>
        </w:rPr>
        <w:t>采购商务活动。</w:t>
      </w:r>
    </w:p>
    <w:p w14:paraId="197785DF">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bCs/>
          <w:color w:val="auto"/>
          <w:sz w:val="30"/>
          <w:szCs w:val="30"/>
          <w:highlight w:val="none"/>
          <w:u w:val="none"/>
          <w:lang w:eastAsia="zh-CN"/>
        </w:rPr>
      </w:pPr>
      <w:r>
        <w:rPr>
          <w:rFonts w:hint="eastAsia" w:ascii="楷体" w:hAnsi="楷体" w:eastAsia="楷体"/>
          <w:bCs/>
          <w:color w:val="auto"/>
          <w:sz w:val="30"/>
          <w:szCs w:val="30"/>
          <w:highlight w:val="none"/>
          <w:u w:val="none"/>
        </w:rPr>
        <w:t>（</w:t>
      </w:r>
      <w:r>
        <w:rPr>
          <w:rFonts w:hint="eastAsia" w:ascii="楷体" w:hAnsi="楷体" w:eastAsia="楷体"/>
          <w:bCs/>
          <w:color w:val="auto"/>
          <w:sz w:val="30"/>
          <w:szCs w:val="30"/>
          <w:highlight w:val="none"/>
          <w:u w:val="none"/>
          <w:lang w:val="en-US" w:eastAsia="zh-CN"/>
        </w:rPr>
        <w:t>三</w:t>
      </w:r>
      <w:r>
        <w:rPr>
          <w:rFonts w:hint="eastAsia" w:ascii="楷体" w:hAnsi="楷体" w:eastAsia="楷体"/>
          <w:bCs/>
          <w:color w:val="auto"/>
          <w:sz w:val="30"/>
          <w:szCs w:val="30"/>
          <w:highlight w:val="none"/>
          <w:u w:val="none"/>
        </w:rPr>
        <w:t>）</w:t>
      </w:r>
      <w:r>
        <w:rPr>
          <w:rFonts w:hint="eastAsia" w:ascii="楷体" w:hAnsi="楷体" w:eastAsia="楷体"/>
          <w:bCs/>
          <w:color w:val="auto"/>
          <w:sz w:val="30"/>
          <w:szCs w:val="30"/>
          <w:highlight w:val="none"/>
          <w:u w:val="none"/>
          <w:lang w:val="en-US" w:eastAsia="zh-CN"/>
        </w:rPr>
        <w:t>积分</w:t>
      </w:r>
      <w:r>
        <w:rPr>
          <w:rFonts w:hint="eastAsia" w:ascii="楷体" w:hAnsi="楷体" w:eastAsia="楷体"/>
          <w:bCs/>
          <w:color w:val="auto"/>
          <w:sz w:val="30"/>
          <w:szCs w:val="30"/>
          <w:highlight w:val="none"/>
          <w:u w:val="none"/>
        </w:rPr>
        <w:t>考核</w:t>
      </w:r>
      <w:r>
        <w:rPr>
          <w:rFonts w:hint="eastAsia" w:ascii="楷体" w:hAnsi="楷体" w:eastAsia="楷体"/>
          <w:bCs/>
          <w:color w:val="auto"/>
          <w:sz w:val="30"/>
          <w:szCs w:val="30"/>
          <w:highlight w:val="none"/>
          <w:u w:val="none"/>
          <w:lang w:val="en-US" w:eastAsia="zh-CN"/>
        </w:rPr>
        <w:t>细则</w:t>
      </w:r>
    </w:p>
    <w:p w14:paraId="47206DAF">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1.质量方面</w:t>
      </w:r>
    </w:p>
    <w:p w14:paraId="72BA7FBF">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（1）所供产品出现质量问题，未对生产造成影响，扣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2A04A18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（2）所供产品出现质量问题</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产品质量等影响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26CD2F6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）所供产品</w:t>
      </w:r>
      <w:r>
        <w:rPr>
          <w:rFonts w:hint="eastAsia" w:ascii="仿宋_GB2312" w:hAnsi="仿宋_GB2312" w:eastAsia="仿宋_GB2312" w:cs="仿宋_GB2312"/>
          <w:bCs/>
          <w:color w:val="auto"/>
          <w:sz w:val="30"/>
          <w:szCs w:val="30"/>
          <w:highlight w:val="none"/>
          <w:u w:val="none"/>
          <w:lang w:val="en-US" w:eastAsia="zh-CN"/>
        </w:rPr>
        <w:t>故意</w:t>
      </w:r>
      <w:r>
        <w:rPr>
          <w:rFonts w:hint="eastAsia" w:ascii="仿宋_GB2312" w:hAnsi="仿宋_GB2312" w:eastAsia="仿宋_GB2312" w:cs="仿宋_GB2312"/>
          <w:bCs/>
          <w:color w:val="auto"/>
          <w:sz w:val="30"/>
          <w:szCs w:val="30"/>
          <w:highlight w:val="none"/>
          <w:u w:val="none"/>
        </w:rPr>
        <w:t>隐瞒质量缺陷或以次充好，扣10分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703E5E33">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2.交货方面</w:t>
      </w:r>
    </w:p>
    <w:p w14:paraId="6561804E">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（1）交货时</w:t>
      </w:r>
      <w:r>
        <w:rPr>
          <w:rFonts w:hint="eastAsia" w:ascii="仿宋_GB2312" w:hAnsi="仿宋_GB2312" w:eastAsia="仿宋_GB2312" w:cs="仿宋_GB2312"/>
          <w:bCs/>
          <w:color w:val="auto"/>
          <w:sz w:val="30"/>
          <w:szCs w:val="30"/>
          <w:highlight w:val="none"/>
          <w:u w:val="none"/>
          <w:lang w:val="en-US" w:eastAsia="zh-CN"/>
        </w:rPr>
        <w:t>未及时提供</w:t>
      </w:r>
      <w:r>
        <w:rPr>
          <w:rFonts w:hint="eastAsia" w:ascii="仿宋_GB2312" w:hAnsi="仿宋_GB2312" w:eastAsia="仿宋_GB2312" w:cs="仿宋_GB2312"/>
          <w:bCs/>
          <w:color w:val="auto"/>
          <w:sz w:val="30"/>
          <w:szCs w:val="30"/>
          <w:highlight w:val="none"/>
          <w:u w:val="none"/>
        </w:rPr>
        <w:t>质检报告或合格证等必要</w:t>
      </w:r>
      <w:r>
        <w:rPr>
          <w:rFonts w:hint="eastAsia" w:ascii="仿宋_GB2312" w:hAnsi="仿宋_GB2312" w:eastAsia="仿宋_GB2312" w:cs="仿宋_GB2312"/>
          <w:bCs/>
          <w:color w:val="auto"/>
          <w:sz w:val="30"/>
          <w:szCs w:val="30"/>
          <w:highlight w:val="none"/>
          <w:u w:val="none"/>
          <w:lang w:val="en-US" w:eastAsia="zh-CN"/>
        </w:rPr>
        <w:t>随货</w:t>
      </w:r>
      <w:r>
        <w:rPr>
          <w:rFonts w:hint="eastAsia" w:ascii="仿宋_GB2312" w:hAnsi="仿宋_GB2312" w:eastAsia="仿宋_GB2312" w:cs="仿宋_GB2312"/>
          <w:bCs/>
          <w:color w:val="auto"/>
          <w:sz w:val="30"/>
          <w:szCs w:val="30"/>
          <w:highlight w:val="none"/>
          <w:u w:val="none"/>
        </w:rPr>
        <w:t>资料，扣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4AC89536">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（2）交货时未</w:t>
      </w:r>
      <w:r>
        <w:rPr>
          <w:rFonts w:hint="eastAsia" w:ascii="仿宋_GB2312" w:hAnsi="仿宋_GB2312" w:eastAsia="仿宋_GB2312" w:cs="仿宋_GB2312"/>
          <w:bCs/>
          <w:color w:val="auto"/>
          <w:sz w:val="30"/>
          <w:szCs w:val="30"/>
          <w:highlight w:val="none"/>
          <w:u w:val="none"/>
          <w:lang w:val="en-US" w:eastAsia="zh-CN"/>
        </w:rPr>
        <w:t>按国家标准对货物提供有效出厂防护包装</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2DF59ED">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（3）交货延期</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造成</w:t>
      </w:r>
      <w:r>
        <w:rPr>
          <w:rFonts w:hint="eastAsia" w:ascii="仿宋_GB2312" w:hAnsi="仿宋_GB2312" w:eastAsia="仿宋_GB2312" w:cs="仿宋_GB2312"/>
          <w:bCs/>
          <w:color w:val="auto"/>
          <w:sz w:val="30"/>
          <w:szCs w:val="30"/>
          <w:highlight w:val="none"/>
          <w:u w:val="none"/>
          <w:lang w:val="en-US" w:eastAsia="zh-CN"/>
        </w:rPr>
        <w:t>任何</w:t>
      </w:r>
      <w:r>
        <w:rPr>
          <w:rFonts w:hint="eastAsia" w:ascii="仿宋_GB2312" w:hAnsi="仿宋_GB2312" w:eastAsia="仿宋_GB2312" w:cs="仿宋_GB2312"/>
          <w:bCs/>
          <w:color w:val="auto"/>
          <w:sz w:val="30"/>
          <w:szCs w:val="30"/>
          <w:highlight w:val="none"/>
          <w:u w:val="none"/>
        </w:rPr>
        <w:t>影响，扣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val="en-US" w:eastAsia="zh-CN"/>
        </w:rPr>
        <w:t>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11E5627">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3.售后方面</w:t>
      </w:r>
    </w:p>
    <w:p w14:paraId="0B0DADB1">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（1）售后服务要求</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及时响应，</w:t>
      </w:r>
      <w:r>
        <w:rPr>
          <w:rFonts w:hint="eastAsia" w:ascii="仿宋_GB2312" w:hAnsi="仿宋_GB2312" w:eastAsia="仿宋_GB2312" w:cs="仿宋_GB2312"/>
          <w:bCs/>
          <w:color w:val="auto"/>
          <w:sz w:val="30"/>
          <w:szCs w:val="30"/>
          <w:highlight w:val="none"/>
          <w:u w:val="none"/>
          <w:lang w:val="en-US" w:eastAsia="zh-CN"/>
        </w:rPr>
        <w:t>扣1～3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产品质量等影响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5D2BFC81">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rPr>
        <w:t>）售后人员</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及时解决问题，</w:t>
      </w:r>
      <w:r>
        <w:rPr>
          <w:rFonts w:hint="eastAsia" w:ascii="仿宋_GB2312" w:hAnsi="仿宋_GB2312" w:eastAsia="仿宋_GB2312" w:cs="仿宋_GB2312"/>
          <w:bCs/>
          <w:color w:val="auto"/>
          <w:sz w:val="30"/>
          <w:szCs w:val="30"/>
          <w:highlight w:val="none"/>
          <w:u w:val="none"/>
          <w:lang w:val="en-US" w:eastAsia="zh-CN"/>
        </w:rPr>
        <w:t>扣1～3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DBB3874">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）质保期内，拒绝按合同提供售后服务，扣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9192029">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
          <w:color w:val="auto"/>
          <w:sz w:val="30"/>
          <w:szCs w:val="30"/>
          <w:highlight w:val="none"/>
          <w:u w:val="none"/>
        </w:rPr>
        <w:t>4.资信方面</w:t>
      </w:r>
    </w:p>
    <w:p w14:paraId="67D01672">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lang w:val="en-US" w:eastAsia="zh-CN"/>
        </w:rPr>
        <w:t>（1）服务商未提供询价书要求的资质文件、不满足询价书资质要求、报价与技术要求不符等，</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B541789">
      <w:pPr>
        <w:keepNext w:val="0"/>
        <w:keepLines w:val="0"/>
        <w:pageBreakBefore w:val="0"/>
        <w:kinsoku/>
        <w:wordWrap/>
        <w:overflowPunct/>
        <w:topLinePunct w:val="0"/>
        <w:autoSpaceDE/>
        <w:autoSpaceDN/>
        <w:bidi w:val="0"/>
        <w:spacing w:line="600" w:lineRule="exact"/>
        <w:ind w:left="0" w:firstLine="600" w:firstLineChars="200"/>
        <w:textAlignment w:val="auto"/>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因报价、参数错误等原因</w:t>
      </w:r>
      <w:r>
        <w:rPr>
          <w:rFonts w:hint="eastAsia" w:ascii="仿宋_GB2312" w:hAnsi="仿宋_GB2312" w:eastAsia="仿宋_GB2312" w:cs="仿宋_GB2312"/>
          <w:bCs/>
          <w:color w:val="auto"/>
          <w:sz w:val="30"/>
          <w:szCs w:val="30"/>
          <w:highlight w:val="none"/>
          <w:u w:val="none"/>
          <w:lang w:val="en-US" w:eastAsia="zh-CN"/>
        </w:rPr>
        <w:t>放弃成交</w:t>
      </w:r>
      <w:r>
        <w:rPr>
          <w:rFonts w:hint="eastAsia" w:ascii="仿宋_GB2312" w:hAnsi="仿宋_GB2312" w:eastAsia="仿宋_GB2312" w:cs="仿宋_GB2312"/>
          <w:bCs/>
          <w:color w:val="auto"/>
          <w:sz w:val="30"/>
          <w:szCs w:val="30"/>
          <w:highlight w:val="none"/>
          <w:u w:val="none"/>
        </w:rPr>
        <w:t>，扣3分</w:t>
      </w:r>
      <w:r>
        <w:rPr>
          <w:rFonts w:hint="eastAsia" w:ascii="仿宋_GB2312" w:hAnsi="仿宋_GB2312" w:eastAsia="仿宋_GB2312" w:cs="仿宋_GB2312"/>
          <w:bCs/>
          <w:color w:val="auto"/>
          <w:sz w:val="30"/>
          <w:szCs w:val="30"/>
          <w:highlight w:val="none"/>
          <w:u w:val="none"/>
          <w:lang w:val="en-US" w:eastAsia="zh-CN"/>
        </w:rPr>
        <w:t>/次；成交人</w:t>
      </w:r>
      <w:r>
        <w:rPr>
          <w:rFonts w:hint="eastAsia" w:ascii="仿宋_GB2312" w:hAnsi="仿宋_GB2312" w:eastAsia="仿宋_GB2312" w:cs="仿宋_GB2312"/>
          <w:bCs/>
          <w:color w:val="auto"/>
          <w:sz w:val="30"/>
          <w:szCs w:val="30"/>
          <w:highlight w:val="none"/>
          <w:u w:val="none"/>
        </w:rPr>
        <w:t>拒绝签订合同</w:t>
      </w:r>
      <w:r>
        <w:rPr>
          <w:rFonts w:hint="eastAsia" w:ascii="仿宋_GB2312" w:hAnsi="仿宋_GB2312" w:eastAsia="仿宋_GB2312" w:cs="仿宋_GB2312"/>
          <w:bCs/>
          <w:color w:val="auto"/>
          <w:sz w:val="30"/>
          <w:szCs w:val="30"/>
          <w:highlight w:val="none"/>
          <w:u w:val="none"/>
          <w:lang w:val="en-US" w:eastAsia="zh-CN"/>
        </w:rPr>
        <w:t>或15个自然日内无法联系成交人</w:t>
      </w:r>
      <w:r>
        <w:rPr>
          <w:rFonts w:hint="eastAsia" w:ascii="仿宋_GB2312" w:hAnsi="仿宋_GB2312" w:eastAsia="仿宋_GB2312" w:cs="仿宋_GB2312"/>
          <w:bCs/>
          <w:color w:val="auto"/>
          <w:sz w:val="30"/>
          <w:szCs w:val="30"/>
          <w:highlight w:val="none"/>
          <w:u w:val="none"/>
        </w:rPr>
        <w:t>或</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拒绝履行合同，扣</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2E9B469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未</w:t>
      </w:r>
      <w:r>
        <w:rPr>
          <w:rFonts w:hint="eastAsia" w:ascii="仿宋_GB2312" w:hAnsi="仿宋_GB2312" w:eastAsia="仿宋_GB2312" w:cs="仿宋_GB2312"/>
          <w:bCs/>
          <w:color w:val="auto"/>
          <w:sz w:val="30"/>
          <w:szCs w:val="30"/>
          <w:highlight w:val="none"/>
          <w:u w:val="none"/>
          <w:lang w:val="en-US" w:eastAsia="zh-CN"/>
        </w:rPr>
        <w:t>按合同约定</w:t>
      </w:r>
      <w:r>
        <w:rPr>
          <w:rFonts w:hint="eastAsia" w:ascii="仿宋_GB2312" w:hAnsi="仿宋_GB2312" w:eastAsia="仿宋_GB2312" w:cs="仿宋_GB2312"/>
          <w:bCs/>
          <w:color w:val="auto"/>
          <w:sz w:val="30"/>
          <w:szCs w:val="30"/>
          <w:highlight w:val="none"/>
          <w:u w:val="none"/>
        </w:rPr>
        <w:t>及时开具</w:t>
      </w:r>
      <w:r>
        <w:rPr>
          <w:rFonts w:hint="eastAsia" w:ascii="仿宋_GB2312" w:hAnsi="仿宋_GB2312" w:eastAsia="仿宋_GB2312" w:cs="仿宋_GB2312"/>
          <w:bCs/>
          <w:color w:val="auto"/>
          <w:sz w:val="30"/>
          <w:szCs w:val="30"/>
          <w:highlight w:val="none"/>
          <w:u w:val="none"/>
          <w:lang w:val="en-US" w:eastAsia="zh-CN"/>
        </w:rPr>
        <w:t>销售</w:t>
      </w:r>
      <w:r>
        <w:rPr>
          <w:rFonts w:hint="eastAsia" w:ascii="仿宋_GB2312" w:hAnsi="仿宋_GB2312" w:eastAsia="仿宋_GB2312" w:cs="仿宋_GB2312"/>
          <w:bCs/>
          <w:color w:val="auto"/>
          <w:sz w:val="30"/>
          <w:szCs w:val="30"/>
          <w:highlight w:val="none"/>
          <w:u w:val="none"/>
        </w:rPr>
        <w:t>发票</w:t>
      </w:r>
      <w:r>
        <w:rPr>
          <w:rFonts w:hint="eastAsia" w:ascii="仿宋_GB2312" w:hAnsi="仿宋_GB2312" w:eastAsia="仿宋_GB2312" w:cs="仿宋_GB2312"/>
          <w:bCs/>
          <w:color w:val="auto"/>
          <w:sz w:val="30"/>
          <w:szCs w:val="30"/>
          <w:highlight w:val="none"/>
          <w:u w:val="none"/>
          <w:lang w:val="en-US" w:eastAsia="zh-CN"/>
        </w:rPr>
        <w:t>或</w:t>
      </w:r>
      <w:r>
        <w:rPr>
          <w:rFonts w:hint="eastAsia" w:ascii="仿宋_GB2312" w:hAnsi="仿宋_GB2312" w:eastAsia="仿宋_GB2312" w:cs="仿宋_GB2312"/>
          <w:bCs/>
          <w:color w:val="auto"/>
          <w:sz w:val="30"/>
          <w:szCs w:val="30"/>
          <w:highlight w:val="none"/>
          <w:u w:val="none"/>
        </w:rPr>
        <w:t>未按</w:t>
      </w:r>
      <w:r>
        <w:rPr>
          <w:rFonts w:hint="eastAsia" w:ascii="仿宋_GB2312" w:hAnsi="仿宋_GB2312" w:eastAsia="仿宋_GB2312" w:cs="仿宋_GB2312"/>
          <w:bCs/>
          <w:color w:val="auto"/>
          <w:sz w:val="30"/>
          <w:szCs w:val="30"/>
          <w:highlight w:val="none"/>
          <w:u w:val="none"/>
          <w:lang w:val="en-US" w:eastAsia="zh-CN"/>
        </w:rPr>
        <w:t>合同约定</w:t>
      </w:r>
      <w:r>
        <w:rPr>
          <w:rFonts w:hint="eastAsia" w:ascii="仿宋_GB2312" w:hAnsi="仿宋_GB2312" w:eastAsia="仿宋_GB2312" w:cs="仿宋_GB2312"/>
          <w:bCs/>
          <w:color w:val="auto"/>
          <w:sz w:val="30"/>
          <w:szCs w:val="30"/>
          <w:highlight w:val="none"/>
          <w:u w:val="none"/>
        </w:rPr>
        <w:t>价格开具</w:t>
      </w:r>
      <w:r>
        <w:rPr>
          <w:rFonts w:hint="eastAsia" w:ascii="仿宋_GB2312" w:hAnsi="仿宋_GB2312" w:eastAsia="仿宋_GB2312" w:cs="仿宋_GB2312"/>
          <w:bCs/>
          <w:color w:val="auto"/>
          <w:sz w:val="30"/>
          <w:szCs w:val="30"/>
          <w:highlight w:val="none"/>
          <w:u w:val="none"/>
          <w:lang w:val="en-US" w:eastAsia="zh-CN"/>
        </w:rPr>
        <w:t>销售</w:t>
      </w:r>
      <w:r>
        <w:rPr>
          <w:rFonts w:hint="eastAsia" w:ascii="仿宋_GB2312" w:hAnsi="仿宋_GB2312" w:eastAsia="仿宋_GB2312" w:cs="仿宋_GB2312"/>
          <w:bCs/>
          <w:color w:val="auto"/>
          <w:sz w:val="30"/>
          <w:szCs w:val="30"/>
          <w:highlight w:val="none"/>
          <w:u w:val="none"/>
        </w:rPr>
        <w:t>发票，扣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1D5F114">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4</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成交人经核实</w:t>
      </w:r>
      <w:r>
        <w:rPr>
          <w:rFonts w:hint="eastAsia" w:ascii="仿宋_GB2312" w:hAnsi="仿宋_GB2312" w:eastAsia="仿宋_GB2312" w:cs="仿宋_GB2312"/>
          <w:bCs/>
          <w:color w:val="auto"/>
          <w:sz w:val="30"/>
          <w:szCs w:val="30"/>
          <w:highlight w:val="none"/>
          <w:u w:val="none"/>
        </w:rPr>
        <w:t>资质</w:t>
      </w:r>
      <w:r>
        <w:rPr>
          <w:rFonts w:hint="eastAsia" w:ascii="仿宋_GB2312" w:hAnsi="仿宋_GB2312" w:eastAsia="仿宋_GB2312" w:cs="仿宋_GB2312"/>
          <w:bCs/>
          <w:color w:val="auto"/>
          <w:sz w:val="30"/>
          <w:szCs w:val="30"/>
          <w:highlight w:val="none"/>
          <w:u w:val="none"/>
          <w:lang w:val="en-US" w:eastAsia="zh-CN"/>
        </w:rPr>
        <w:t>造假或</w:t>
      </w:r>
      <w:r>
        <w:rPr>
          <w:rFonts w:hint="eastAsia" w:ascii="仿宋_GB2312" w:hAnsi="仿宋_GB2312" w:eastAsia="仿宋_GB2312" w:cs="仿宋_GB2312"/>
          <w:bCs/>
          <w:color w:val="auto"/>
          <w:sz w:val="30"/>
          <w:szCs w:val="30"/>
          <w:highlight w:val="none"/>
          <w:u w:val="none"/>
        </w:rPr>
        <w:t>因知识产权引起纠纷，</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2F9D6D3E">
      <w:pPr>
        <w:keepNext w:val="0"/>
        <w:keepLines w:val="0"/>
        <w:pageBreakBefore w:val="0"/>
        <w:kinsoku/>
        <w:wordWrap/>
        <w:overflowPunct/>
        <w:topLinePunct w:val="0"/>
        <w:autoSpaceDE/>
        <w:autoSpaceDN/>
        <w:bidi w:val="0"/>
        <w:spacing w:line="600" w:lineRule="exact"/>
        <w:ind w:left="0" w:firstLine="600" w:firstLineChars="200"/>
        <w:textAlignment w:val="auto"/>
        <w:rPr>
          <w:rFonts w:hint="default"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（5）成交人恶意报价扰乱采购秩序,</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9AEC1A7">
      <w:pPr>
        <w:keepNext w:val="0"/>
        <w:keepLines w:val="0"/>
        <w:pageBreakBefore w:val="0"/>
        <w:widowControl/>
        <w:kinsoku/>
        <w:wordWrap/>
        <w:overflowPunct/>
        <w:topLinePunct w:val="0"/>
        <w:autoSpaceDE/>
        <w:autoSpaceDN/>
        <w:bidi w:val="0"/>
        <w:spacing w:line="600" w:lineRule="exact"/>
        <w:ind w:left="0" w:firstLine="602" w:firstLineChars="200"/>
        <w:textAlignment w:val="auto"/>
        <w:outlineLvl w:val="9"/>
        <w:rPr>
          <w:rFonts w:hint="eastAsia" w:ascii="仿宋_GB2312" w:hAnsi="仿宋" w:eastAsia="仿宋_GB2312" w:cs="Times New Roman"/>
          <w:b/>
          <w:bCs w:val="0"/>
          <w:color w:val="auto"/>
          <w:sz w:val="30"/>
          <w:szCs w:val="30"/>
          <w:highlight w:val="none"/>
          <w:u w:val="none"/>
          <w:lang w:eastAsia="zh-CN"/>
        </w:rPr>
      </w:pPr>
      <w:r>
        <w:rPr>
          <w:rFonts w:hint="eastAsia" w:ascii="仿宋_GB2312" w:hAnsi="仿宋_GB2312" w:eastAsia="仿宋_GB2312" w:cs="仿宋_GB2312"/>
          <w:b/>
          <w:bCs w:val="0"/>
          <w:color w:val="auto"/>
          <w:sz w:val="30"/>
          <w:szCs w:val="30"/>
          <w:highlight w:val="none"/>
          <w:u w:val="none"/>
          <w:lang w:val="en-US" w:eastAsia="zh-CN"/>
        </w:rPr>
        <w:t>5.</w:t>
      </w:r>
      <w:r>
        <w:rPr>
          <w:rFonts w:hint="eastAsia" w:ascii="仿宋_GB2312" w:hAnsi="仿宋" w:eastAsia="仿宋_GB2312" w:cs="Times New Roman"/>
          <w:b/>
          <w:bCs w:val="0"/>
          <w:color w:val="auto"/>
          <w:sz w:val="30"/>
          <w:szCs w:val="30"/>
          <w:highlight w:val="none"/>
          <w:u w:val="none"/>
          <w:lang w:val="en-US" w:eastAsia="zh-CN"/>
        </w:rPr>
        <w:t>服务</w:t>
      </w:r>
      <w:r>
        <w:rPr>
          <w:rFonts w:hint="eastAsia" w:ascii="仿宋_GB2312" w:hAnsi="仿宋" w:eastAsia="仿宋_GB2312" w:cs="Times New Roman"/>
          <w:b/>
          <w:bCs w:val="0"/>
          <w:color w:val="auto"/>
          <w:sz w:val="30"/>
          <w:szCs w:val="30"/>
          <w:highlight w:val="none"/>
          <w:u w:val="none"/>
          <w:lang w:eastAsia="zh-CN"/>
        </w:rPr>
        <w:t>商发生以下情况</w:t>
      </w:r>
      <w:r>
        <w:rPr>
          <w:rFonts w:hint="eastAsia" w:ascii="仿宋_GB2312" w:hAnsi="仿宋" w:eastAsia="仿宋_GB2312" w:cs="Times New Roman"/>
          <w:b/>
          <w:bCs w:val="0"/>
          <w:color w:val="auto"/>
          <w:sz w:val="30"/>
          <w:szCs w:val="30"/>
          <w:highlight w:val="none"/>
          <w:u w:val="none"/>
          <w:lang w:val="en-US" w:eastAsia="zh-CN"/>
        </w:rPr>
        <w:t>之一</w:t>
      </w:r>
      <w:r>
        <w:rPr>
          <w:rFonts w:hint="eastAsia" w:ascii="仿宋_GB2312" w:hAnsi="仿宋" w:eastAsia="仿宋_GB2312" w:cs="Times New Roman"/>
          <w:b/>
          <w:bCs w:val="0"/>
          <w:color w:val="auto"/>
          <w:sz w:val="30"/>
          <w:szCs w:val="30"/>
          <w:highlight w:val="none"/>
          <w:u w:val="none"/>
          <w:lang w:eastAsia="zh-CN"/>
        </w:rPr>
        <w:t>，直接列入负面清单，情节严重的永久性停止合作：</w:t>
      </w:r>
    </w:p>
    <w:p w14:paraId="79CB9F9D">
      <w:pPr>
        <w:keepNext w:val="0"/>
        <w:keepLines w:val="0"/>
        <w:pageBreakBefore w:val="0"/>
        <w:widowControl/>
        <w:kinsoku/>
        <w:wordWrap/>
        <w:overflowPunct/>
        <w:topLinePunct w:val="0"/>
        <w:autoSpaceDE/>
        <w:autoSpaceDN/>
        <w:bidi w:val="0"/>
        <w:adjustRightInd/>
        <w:snapToGrid/>
        <w:spacing w:line="600" w:lineRule="exact"/>
        <w:ind w:left="0" w:firstLine="600" w:firstLineChars="200"/>
        <w:jc w:val="left"/>
        <w:textAlignment w:val="auto"/>
        <w:outlineLvl w:val="9"/>
        <w:rPr>
          <w:rFonts w:hint="eastAsia" w:ascii="仿宋_GB2312" w:hAnsi="仿宋" w:eastAsia="仿宋_GB2312" w:cs="Times New Roman"/>
          <w:b w:val="0"/>
          <w:bCs/>
          <w:color w:val="auto"/>
          <w:sz w:val="30"/>
          <w:szCs w:val="30"/>
          <w:highlight w:val="none"/>
          <w:u w:val="none"/>
          <w:lang w:eastAsia="zh-CN"/>
        </w:rPr>
      </w:pPr>
      <w:r>
        <w:rPr>
          <w:rFonts w:hint="eastAsia" w:ascii="仿宋_GB2312" w:hAnsi="仿宋" w:eastAsia="仿宋_GB2312" w:cs="Times New Roman"/>
          <w:b w:val="0"/>
          <w:bCs/>
          <w:color w:val="auto"/>
          <w:sz w:val="30"/>
          <w:szCs w:val="30"/>
          <w:highlight w:val="none"/>
          <w:u w:val="none"/>
          <w:lang w:val="en-US" w:eastAsia="zh-CN"/>
        </w:rPr>
        <w:t>（1）</w:t>
      </w:r>
      <w:r>
        <w:rPr>
          <w:rFonts w:hint="eastAsia" w:ascii="仿宋_GB2312" w:hAnsi="仿宋" w:eastAsia="仿宋_GB2312" w:cs="Times New Roman"/>
          <w:b w:val="0"/>
          <w:bCs/>
          <w:color w:val="auto"/>
          <w:sz w:val="30"/>
          <w:szCs w:val="30"/>
          <w:highlight w:val="none"/>
          <w:u w:val="none"/>
          <w:lang w:eastAsia="zh-CN"/>
        </w:rPr>
        <w:t>涉及弄虚作假、欺诈、故意隐瞒、冒名顶替等行为。</w:t>
      </w:r>
    </w:p>
    <w:p w14:paraId="013B75D8">
      <w:pPr>
        <w:keepNext w:val="0"/>
        <w:keepLines w:val="0"/>
        <w:pageBreakBefore w:val="0"/>
        <w:widowControl/>
        <w:kinsoku/>
        <w:wordWrap/>
        <w:overflowPunct/>
        <w:topLinePunct w:val="0"/>
        <w:autoSpaceDE/>
        <w:autoSpaceDN/>
        <w:bidi w:val="0"/>
        <w:spacing w:line="600" w:lineRule="exact"/>
        <w:ind w:left="0" w:leftChars="0" w:firstLine="642" w:firstLine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（2）涉及串通报价、合围报价、陪同报价或以损害其他诚信竞争者利益行为谋求取得成交。</w:t>
      </w:r>
    </w:p>
    <w:p w14:paraId="667DCD1B">
      <w:pPr>
        <w:keepNext w:val="0"/>
        <w:keepLines w:val="0"/>
        <w:pageBreakBefore w:val="0"/>
        <w:widowControl/>
        <w:kinsoku/>
        <w:wordWrap/>
        <w:overflowPunct/>
        <w:topLinePunct w:val="0"/>
        <w:autoSpaceDE/>
        <w:autoSpaceDN/>
        <w:bidi w:val="0"/>
        <w:spacing w:line="600" w:lineRule="exact"/>
        <w:ind w:left="0" w:left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 xml:space="preserve">    （3）服务商通过恶意法律诉讼起诉我公司，最终被法院裁定为败诉。</w:t>
      </w:r>
    </w:p>
    <w:p w14:paraId="0AD0934C">
      <w:pPr>
        <w:keepNext w:val="0"/>
        <w:keepLines w:val="0"/>
        <w:pageBreakBefore w:val="0"/>
        <w:widowControl/>
        <w:kinsoku/>
        <w:wordWrap/>
        <w:overflowPunct/>
        <w:topLinePunct w:val="0"/>
        <w:autoSpaceDE/>
        <w:autoSpaceDN/>
        <w:bidi w:val="0"/>
        <w:spacing w:line="600" w:lineRule="exact"/>
        <w:ind w:left="0" w:leftChars="0" w:firstLine="0" w:firstLine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 xml:space="preserve">    （4）服务商</w:t>
      </w:r>
      <w:r>
        <w:rPr>
          <w:rFonts w:hint="eastAsia" w:ascii="仿宋_GB2312" w:hAnsi="仿宋" w:eastAsia="仿宋_GB2312" w:cs="Times New Roman"/>
          <w:b w:val="0"/>
          <w:bCs/>
          <w:color w:val="auto"/>
          <w:sz w:val="30"/>
          <w:szCs w:val="30"/>
          <w:highlight w:val="none"/>
          <w:u w:val="none"/>
        </w:rPr>
        <w:t>违反廉</w:t>
      </w:r>
      <w:r>
        <w:rPr>
          <w:rFonts w:hint="eastAsia" w:ascii="仿宋_GB2312" w:hAnsi="仿宋" w:eastAsia="仿宋_GB2312" w:cs="Times New Roman"/>
          <w:b w:val="0"/>
          <w:bCs/>
          <w:color w:val="auto"/>
          <w:sz w:val="30"/>
          <w:szCs w:val="30"/>
          <w:highlight w:val="none"/>
          <w:u w:val="none"/>
          <w:lang w:eastAsia="zh-CN"/>
        </w:rPr>
        <w:t>政</w:t>
      </w:r>
      <w:r>
        <w:rPr>
          <w:rFonts w:hint="eastAsia" w:ascii="仿宋_GB2312" w:hAnsi="仿宋" w:eastAsia="仿宋_GB2312" w:cs="Times New Roman"/>
          <w:b w:val="0"/>
          <w:bCs/>
          <w:color w:val="auto"/>
          <w:sz w:val="30"/>
          <w:szCs w:val="30"/>
          <w:highlight w:val="none"/>
          <w:u w:val="none"/>
        </w:rPr>
        <w:t>协议。</w:t>
      </w:r>
    </w:p>
    <w:p w14:paraId="1D69D9E2">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lang w:val="en-US" w:eastAsia="zh-CN"/>
        </w:rPr>
      </w:pPr>
      <w:r>
        <w:rPr>
          <w:rFonts w:hint="eastAsia" w:ascii="仿宋_GB2312" w:hAnsi="仿宋_GB2312" w:eastAsia="仿宋_GB2312" w:cs="仿宋_GB2312"/>
          <w:b/>
          <w:color w:val="auto"/>
          <w:sz w:val="30"/>
          <w:szCs w:val="30"/>
          <w:highlight w:val="none"/>
          <w:u w:val="none"/>
          <w:lang w:val="en-US" w:eastAsia="zh-CN"/>
        </w:rPr>
        <w:t>6.申诉</w:t>
      </w:r>
    </w:p>
    <w:p w14:paraId="4411A44E">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highlight w:val="none"/>
          <w:u w:val="none"/>
          <w:lang w:val="en-US" w:eastAsia="zh-CN" w:bidi="ar-SA"/>
        </w:rPr>
      </w:pPr>
      <w:r>
        <w:rPr>
          <w:rFonts w:hint="eastAsia" w:ascii="仿宋_GB2312" w:hAnsi="宋体" w:eastAsia="仿宋_GB2312" w:cs="Times New Roman"/>
          <w:b w:val="0"/>
          <w:bCs w:val="0"/>
          <w:color w:val="auto"/>
          <w:kern w:val="2"/>
          <w:sz w:val="30"/>
          <w:szCs w:val="30"/>
          <w:highlight w:val="none"/>
          <w:u w:val="none"/>
          <w:lang w:val="en-US" w:eastAsia="zh-CN" w:bidi="ar-SA"/>
        </w:rPr>
        <w:t>为确保采购的公正性，服务商若对评审结果持有异议，有权向风险控制部提出申诉。风险控制部将负责核实申诉内容，并代表公司向服务商给予书面回复。</w:t>
      </w:r>
    </w:p>
    <w:p w14:paraId="7DAFDB65">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highlight w:val="none"/>
          <w:u w:val="none"/>
          <w:lang w:val="en-US" w:eastAsia="zh-CN" w:bidi="ar-SA"/>
        </w:rPr>
      </w:pPr>
      <w:r>
        <w:rPr>
          <w:rFonts w:hint="eastAsia" w:ascii="仿宋_GB2312" w:hAnsi="宋体" w:eastAsia="仿宋_GB2312" w:cs="Times New Roman"/>
          <w:b w:val="0"/>
          <w:bCs w:val="0"/>
          <w:color w:val="auto"/>
          <w:kern w:val="2"/>
          <w:sz w:val="30"/>
          <w:szCs w:val="30"/>
          <w:highlight w:val="none"/>
          <w:u w:val="none"/>
          <w:lang w:val="en-US" w:eastAsia="zh-CN" w:bidi="ar-SA"/>
        </w:rPr>
        <w:t>若经核实申诉理由不成立，且服务商采取重复申诉的方式扰乱我公司的采购秩序，</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宋体" w:eastAsia="仿宋_GB2312" w:cs="Times New Roman"/>
          <w:b w:val="0"/>
          <w:bCs w:val="0"/>
          <w:color w:val="auto"/>
          <w:kern w:val="2"/>
          <w:sz w:val="30"/>
          <w:szCs w:val="30"/>
          <w:highlight w:val="none"/>
          <w:u w:val="none"/>
          <w:lang w:val="en-US" w:eastAsia="zh-CN" w:bidi="ar-SA"/>
        </w:rPr>
        <w:t>。</w:t>
      </w:r>
    </w:p>
    <w:p w14:paraId="6C7440C0">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highlight w:val="none"/>
          <w:u w:val="none"/>
          <w:lang w:val="en-US" w:eastAsia="zh-CN" w:bidi="ar-SA"/>
        </w:rPr>
      </w:pPr>
      <w:r>
        <w:rPr>
          <w:rFonts w:hint="eastAsia" w:ascii="仿宋_GB2312" w:hAnsi="宋体" w:eastAsia="仿宋_GB2312" w:cs="Times New Roman"/>
          <w:b w:val="0"/>
          <w:bCs w:val="0"/>
          <w:color w:val="auto"/>
          <w:kern w:val="2"/>
          <w:sz w:val="30"/>
          <w:szCs w:val="30"/>
          <w:highlight w:val="none"/>
          <w:u w:val="none"/>
          <w:lang w:val="en-US" w:eastAsia="zh-CN" w:bidi="ar-SA"/>
        </w:rPr>
        <w:t>若申诉理由依然不成立，且服务商拒绝接受合理解释，转而采取无理取闹、人身攻击、捏造事实、恶意投诉、制造舆情、聚众围堵等违法手段，该服务商将被直接列入负面清单，禁止与我公司进行合作。同时，我公司保留对服务商上述违法行为依法追究法律责任的权利。</w:t>
      </w:r>
    </w:p>
    <w:p w14:paraId="0E388ADE">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宋体" w:eastAsia="仿宋_GB2312" w:cs="Times New Roman"/>
          <w:b w:val="0"/>
          <w:bCs w:val="0"/>
          <w:color w:val="auto"/>
          <w:kern w:val="2"/>
          <w:sz w:val="30"/>
          <w:szCs w:val="30"/>
          <w:highlight w:val="none"/>
          <w:u w:val="none"/>
          <w:lang w:val="en-US" w:eastAsia="zh-CN" w:bidi="ar-SA"/>
        </w:rPr>
      </w:pPr>
      <w:r>
        <w:rPr>
          <w:rFonts w:hint="eastAsia" w:ascii="仿宋_GB2312" w:hAnsi="宋体" w:eastAsia="仿宋_GB2312" w:cs="Times New Roman"/>
          <w:b/>
          <w:bCs/>
          <w:color w:val="auto"/>
          <w:sz w:val="30"/>
          <w:szCs w:val="30"/>
          <w:highlight w:val="none"/>
          <w:u w:val="none"/>
          <w:lang w:val="en-US" w:eastAsia="zh-CN"/>
        </w:rPr>
        <w:t>第三条</w:t>
      </w:r>
      <w:r>
        <w:rPr>
          <w:rFonts w:hint="eastAsia" w:ascii="仿宋_GB2312" w:hAnsi="宋体" w:eastAsia="仿宋_GB2312" w:cs="Times New Roman"/>
          <w:color w:val="auto"/>
          <w:sz w:val="30"/>
          <w:szCs w:val="30"/>
          <w:highlight w:val="none"/>
          <w:u w:val="none"/>
          <w:lang w:val="en-US" w:eastAsia="zh-CN"/>
        </w:rPr>
        <w:t xml:space="preserve"> </w:t>
      </w:r>
      <w:r>
        <w:rPr>
          <w:rFonts w:hint="eastAsia" w:ascii="仿宋_GB2312" w:hAnsi="宋体" w:eastAsia="仿宋_GB2312" w:cs="Times New Roman"/>
          <w:b w:val="0"/>
          <w:bCs w:val="0"/>
          <w:color w:val="auto"/>
          <w:kern w:val="2"/>
          <w:sz w:val="30"/>
          <w:szCs w:val="30"/>
          <w:highlight w:val="none"/>
          <w:u w:val="none"/>
          <w:lang w:val="en-US" w:eastAsia="zh-CN" w:bidi="ar-SA"/>
        </w:rPr>
        <w:t>针对已被纳入负面清单的服务商，通过积极采取自我完善、整改等有效措施，若其产品或服务质量能够提升至符合我公司所设定的标准与要求，原则上在达到此标准满1年后，该服务商有权向我方正式提交恢复报价资格的书面申请。此申请将严格遵循服务商合作能力确认流程的既定程序进行审核，一旦审核通过，该服务商将从负面清单中予以移除。</w:t>
      </w:r>
    </w:p>
    <w:p w14:paraId="5EF52D54">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highlight w:val="none"/>
          <w:u w:val="none"/>
          <w:lang w:val="en-US" w:eastAsia="zh-CN"/>
        </w:rPr>
      </w:pPr>
      <w:r>
        <w:rPr>
          <w:rFonts w:hint="eastAsia" w:ascii="仿宋_GB2312" w:hAnsi="宋体" w:eastAsia="仿宋_GB2312" w:cs="Times New Roman"/>
          <w:color w:val="auto"/>
          <w:sz w:val="30"/>
          <w:szCs w:val="30"/>
          <w:highlight w:val="none"/>
          <w:u w:val="none"/>
          <w:lang w:val="en-US" w:eastAsia="zh-CN"/>
        </w:rPr>
        <w:t>具体流程如下：</w:t>
      </w:r>
    </w:p>
    <w:p w14:paraId="06713AEE">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highlight w:val="none"/>
          <w:u w:val="none"/>
          <w:lang w:val="en-US" w:eastAsia="zh-CN"/>
        </w:rPr>
      </w:pPr>
      <w:r>
        <w:rPr>
          <w:rFonts w:hint="eastAsia" w:ascii="仿宋_GB2312" w:hAnsi="宋体" w:eastAsia="仿宋_GB2312" w:cs="Times New Roman"/>
          <w:color w:val="auto"/>
          <w:sz w:val="30"/>
          <w:szCs w:val="30"/>
          <w:highlight w:val="none"/>
          <w:u w:val="none"/>
          <w:lang w:val="en-US" w:eastAsia="zh-CN"/>
        </w:rPr>
        <w:t>（一）服务商提交恢复</w:t>
      </w:r>
      <w:r>
        <w:rPr>
          <w:rFonts w:hint="eastAsia" w:ascii="仿宋_GB2312" w:hAnsi="宋体" w:eastAsia="仿宋_GB2312" w:cs="Times New Roman"/>
          <w:strike w:val="0"/>
          <w:dstrike w:val="0"/>
          <w:color w:val="auto"/>
          <w:sz w:val="30"/>
          <w:szCs w:val="30"/>
          <w:highlight w:val="none"/>
          <w:u w:val="none"/>
          <w:lang w:val="en-US" w:eastAsia="zh-CN"/>
        </w:rPr>
        <w:t>报价</w:t>
      </w:r>
      <w:r>
        <w:rPr>
          <w:rFonts w:hint="eastAsia" w:ascii="仿宋_GB2312" w:hAnsi="宋体" w:eastAsia="仿宋_GB2312" w:cs="Times New Roman"/>
          <w:color w:val="auto"/>
          <w:sz w:val="30"/>
          <w:szCs w:val="30"/>
          <w:highlight w:val="none"/>
          <w:u w:val="none"/>
          <w:lang w:val="en-US" w:eastAsia="zh-CN"/>
        </w:rPr>
        <w:t>资质书面申请，以及相关的整改措施和效果文件；</w:t>
      </w:r>
    </w:p>
    <w:p w14:paraId="5CDF4A98">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highlight w:val="none"/>
          <w:u w:val="none"/>
          <w:lang w:val="en-US" w:eastAsia="zh-CN"/>
        </w:rPr>
      </w:pPr>
      <w:r>
        <w:rPr>
          <w:rFonts w:hint="eastAsia" w:ascii="仿宋_GB2312" w:hAnsi="宋体" w:eastAsia="仿宋_GB2312" w:cs="Times New Roman"/>
          <w:color w:val="auto"/>
          <w:sz w:val="30"/>
          <w:szCs w:val="30"/>
          <w:highlight w:val="none"/>
          <w:u w:val="none"/>
          <w:lang w:val="en-US" w:eastAsia="zh-CN"/>
        </w:rPr>
        <w:t>（二）供应保障部组织相关职能部门对提交的文件进行审查，必要时进行现场实地考察；</w:t>
      </w:r>
    </w:p>
    <w:p w14:paraId="3F65D831">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highlight w:val="none"/>
          <w:u w:val="none"/>
          <w:lang w:val="en-US" w:eastAsia="zh-CN"/>
        </w:rPr>
      </w:pPr>
      <w:r>
        <w:rPr>
          <w:rFonts w:hint="eastAsia" w:ascii="仿宋_GB2312" w:hAnsi="宋体" w:eastAsia="仿宋_GB2312" w:cs="Times New Roman"/>
          <w:color w:val="auto"/>
          <w:kern w:val="2"/>
          <w:sz w:val="30"/>
          <w:szCs w:val="30"/>
          <w:highlight w:val="none"/>
          <w:u w:val="none"/>
          <w:lang w:val="en-US" w:eastAsia="zh-CN" w:bidi="ar-SA"/>
        </w:rPr>
        <w:t>（三）</w:t>
      </w:r>
      <w:r>
        <w:rPr>
          <w:rFonts w:hint="eastAsia" w:ascii="仿宋_GB2312" w:hAnsi="宋体" w:eastAsia="仿宋_GB2312" w:cs="Times New Roman"/>
          <w:color w:val="auto"/>
          <w:sz w:val="30"/>
          <w:szCs w:val="30"/>
          <w:highlight w:val="none"/>
          <w:u w:val="none"/>
          <w:lang w:val="en-US" w:eastAsia="zh-CN"/>
        </w:rPr>
        <w:t>供应保障部根据审查及考察意见提出建议，经供应保障部、风险控制部、公司分管领导及公司总经理审批后，可从负面清单中消除。</w:t>
      </w:r>
    </w:p>
    <w:p w14:paraId="49C53F4C">
      <w:pPr>
        <w:spacing w:line="600" w:lineRule="exact"/>
        <w:ind w:firstLine="600" w:firstLineChars="200"/>
        <w:jc w:val="left"/>
        <w:rPr>
          <w:rFonts w:hint="eastAsia"/>
          <w:color w:val="auto"/>
          <w:kern w:val="0"/>
          <w:highlight w:val="none"/>
        </w:rPr>
      </w:pPr>
      <w:r>
        <w:rPr>
          <w:rFonts w:hint="eastAsia" w:ascii="仿宋_GB2312" w:hAnsi="仿宋_GB2312" w:eastAsia="仿宋_GB2312" w:cs="仿宋_GB2312"/>
          <w:bCs/>
          <w:color w:val="auto"/>
          <w:kern w:val="1"/>
          <w:sz w:val="30"/>
          <w:szCs w:val="30"/>
          <w:highlight w:val="none"/>
        </w:rPr>
        <w:br w:type="page"/>
      </w:r>
      <w:r>
        <w:rPr>
          <w:rFonts w:hint="eastAsia" w:ascii="仿宋_GB2312" w:hAnsi="仿宋" w:eastAsia="仿宋_GB2312"/>
          <w:bCs/>
          <w:color w:val="auto"/>
          <w:kern w:val="0"/>
          <w:sz w:val="34"/>
          <w:szCs w:val="34"/>
          <w:highlight w:val="none"/>
        </w:rPr>
        <w:t>附件2：</w:t>
      </w:r>
    </w:p>
    <w:p w14:paraId="13E65401">
      <w:pPr>
        <w:widowControl w:val="0"/>
        <w:jc w:val="both"/>
        <w:rPr>
          <w:rFonts w:hint="eastAsia" w:ascii="宋体" w:hAnsi="Courier New" w:eastAsia="宋体" w:cs="Times New Roman"/>
          <w:color w:val="auto"/>
          <w:kern w:val="0"/>
          <w:sz w:val="20"/>
          <w:szCs w:val="20"/>
          <w:highlight w:val="none"/>
          <w:lang w:val="en-US" w:eastAsia="zh-CN" w:bidi="ar-SA"/>
        </w:rPr>
      </w:pPr>
    </w:p>
    <w:p w14:paraId="7912C303">
      <w:pPr>
        <w:spacing w:line="600" w:lineRule="exact"/>
        <w:jc w:val="center"/>
        <w:rPr>
          <w:rFonts w:hint="eastAsia" w:ascii="仿宋_GB2312" w:hAnsi="仿宋_GB2312" w:eastAsia="仿宋_GB2312" w:cs="仿宋_GB2312"/>
          <w:color w:val="auto"/>
          <w:kern w:val="0"/>
          <w:sz w:val="44"/>
          <w:szCs w:val="44"/>
          <w:highlight w:val="none"/>
        </w:rPr>
      </w:pPr>
      <w:r>
        <w:rPr>
          <w:rFonts w:hint="eastAsia" w:ascii="仿宋_GB2312" w:hAnsi="仿宋_GB2312" w:eastAsia="仿宋_GB2312" w:cs="仿宋_GB2312"/>
          <w:b/>
          <w:color w:val="auto"/>
          <w:kern w:val="0"/>
          <w:sz w:val="44"/>
          <w:szCs w:val="44"/>
          <w:highlight w:val="none"/>
        </w:rPr>
        <w:t>索普股份外来装卸货人员安全告知书</w:t>
      </w:r>
    </w:p>
    <w:p w14:paraId="0FD7580A">
      <w:pPr>
        <w:spacing w:line="600" w:lineRule="exact"/>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尊敬的客户：</w:t>
      </w:r>
    </w:p>
    <w:p w14:paraId="4D2D1AB8">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lang w:val="en-US" w:eastAsia="zh-CN"/>
        </w:rPr>
        <w:t>报价</w:t>
      </w:r>
      <w:r>
        <w:rPr>
          <w:rFonts w:hint="eastAsia" w:ascii="仿宋_GB2312" w:hAnsi="仿宋" w:eastAsia="仿宋_GB2312"/>
          <w:color w:val="auto"/>
          <w:kern w:val="0"/>
          <w:sz w:val="30"/>
          <w:szCs w:val="30"/>
          <w:highlight w:val="none"/>
        </w:rPr>
        <w:t>前请认真阅读学习和理解此告知书，</w:t>
      </w:r>
      <w:r>
        <w:rPr>
          <w:rFonts w:hint="eastAsia" w:ascii="仿宋_GB2312" w:hAnsi="仿宋" w:eastAsia="仿宋_GB2312"/>
          <w:color w:val="auto"/>
          <w:kern w:val="0"/>
          <w:sz w:val="30"/>
          <w:szCs w:val="30"/>
          <w:highlight w:val="none"/>
          <w:lang w:val="en-US" w:eastAsia="zh-CN"/>
        </w:rPr>
        <w:t>成交</w:t>
      </w:r>
      <w:r>
        <w:rPr>
          <w:rFonts w:hint="eastAsia" w:ascii="仿宋_GB2312" w:hAnsi="仿宋" w:eastAsia="仿宋_GB2312"/>
          <w:color w:val="auto"/>
          <w:kern w:val="0"/>
          <w:sz w:val="30"/>
          <w:szCs w:val="30"/>
          <w:highlight w:val="none"/>
        </w:rPr>
        <w:t>后请转发给您的承运方，进入我公司厂区请严格按告知书要求执行。</w:t>
      </w:r>
    </w:p>
    <w:p w14:paraId="4CBBBFD6">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一、危化品危险危害因素：</w:t>
      </w:r>
    </w:p>
    <w:p w14:paraId="2EC21033">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我公司厂区生产过程中具有高温高压、易燃易爆、有毒有害和腐蚀等危险危害特性，主要危险化学品包括醋酸、甲醇、醋酸乙酯、乙醇、一氧化碳等，进入厂区，请严格遵守工厂安全规定，确保装卸作业安全。</w:t>
      </w:r>
    </w:p>
    <w:p w14:paraId="304425B5">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二、应当遵守的安全规定：</w:t>
      </w:r>
    </w:p>
    <w:p w14:paraId="57A5A598">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1、进入厂区，严禁烟火，严禁携带火种。</w:t>
      </w:r>
    </w:p>
    <w:p w14:paraId="2F6E65C5">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2、危险化学品车辆必须配备GPS定位系统。</w:t>
      </w:r>
    </w:p>
    <w:p w14:paraId="544314D1">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3、车辆必须配备阻火器，确保车况完好，随车配有相应的消防器材。危化品运输车辆须持“危险品运输证”等相关证件，并悬挂“危险品”标志，进入厂区内严禁超速等（厂区最高行驶速度30KM/H），必须遵守厂内交通安全管理制度。</w:t>
      </w:r>
    </w:p>
    <w:p w14:paraId="30FCF53B">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4、车辆进入公司前，须在门口办理进门登记手续，领取车辆和人员定位卡。并按指定线路行驶。</w:t>
      </w:r>
    </w:p>
    <w:p w14:paraId="4E2911A5">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5、车辆进入厂区，应在指定区域等待，服从岗位人员管理，定点停放，车辆有防溜车措施。</w:t>
      </w:r>
    </w:p>
    <w:p w14:paraId="7B0F5C4E">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6、驾驶人员和押运人员进入生产装置区域的，必须随车配好安全帽，下车即必须按规定带好安全帽，方可进入生产区域。</w:t>
      </w:r>
    </w:p>
    <w:p w14:paraId="51A4AF37">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7、进入生产区域严禁擅自动用岗位任何设施和用品。</w:t>
      </w:r>
    </w:p>
    <w:p w14:paraId="4B5F376A">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8、生产区域内，需要叉车配合作业的，随车人员严禁擅自作业，应服从岗位人员的指挥和管理，以确保装卸作业的安全，如需要装卸操作的，必须按规定穿戴好劳动防护用品方可操作。</w:t>
      </w:r>
    </w:p>
    <w:p w14:paraId="4F78A632">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9、生产区域，必须注意各种安全标识，禁止穿化纤服装，禁止穿钉鞋，禁止在易燃易爆区域内使用手机等通讯工具。</w:t>
      </w:r>
    </w:p>
    <w:p w14:paraId="4909162B">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10、夏季醋酸乙酯灌装应避开高温时间段。</w:t>
      </w:r>
    </w:p>
    <w:p w14:paraId="7E12B555">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11、提货人员在进行装卸货作业准备工作前，必须进行人体静电释放，放下车辆的接地带，对车辆进行检查确认完好后至岗位交出车钥匙，做好装卸货的准备工作。</w:t>
      </w:r>
    </w:p>
    <w:p w14:paraId="78CB17AE">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12、装卸危化品的车辆必须按装卸作业检查票的规定进行装卸作业，同时要配合好岗位人员做好装卸前安全检查、装卸过程安全检查以及装卸作业结束后的安全确认。</w:t>
      </w:r>
    </w:p>
    <w:p w14:paraId="27EB244E">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13、车辆入厂前须自行检查车辆的人孔、阀门、接缘等静密封点有无泄漏，快速接头、胶管等配件是否完好，接头密封圈、脚垫是否老化。装卸前须与岗位人员一起再次检查装卸作业接口连接可靠性。</w:t>
      </w:r>
    </w:p>
    <w:p w14:paraId="500E2C16">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14、车辆在进行装卸货过程中严禁物料“跑、冒、滴、漏”，严禁启动车辆，易燃易爆区域严禁使用非防爆灯具。</w:t>
      </w:r>
    </w:p>
    <w:p w14:paraId="08F9D84F">
      <w:pPr>
        <w:spacing w:line="600" w:lineRule="exact"/>
        <w:ind w:firstLine="600" w:firstLineChars="200"/>
        <w:rPr>
          <w:rFonts w:hint="eastAsia" w:ascii="仿宋_GB2312" w:hAnsi="仿宋" w:eastAsia="仿宋_GB2312"/>
          <w:color w:val="auto"/>
          <w:kern w:val="0"/>
          <w:sz w:val="30"/>
          <w:szCs w:val="30"/>
          <w:highlight w:val="none"/>
        </w:rPr>
      </w:pPr>
      <w:r>
        <w:rPr>
          <w:rFonts w:hint="eastAsia" w:ascii="仿宋_GB2312" w:hAnsi="仿宋" w:eastAsia="仿宋_GB2312"/>
          <w:color w:val="auto"/>
          <w:kern w:val="0"/>
          <w:sz w:val="30"/>
          <w:szCs w:val="30"/>
          <w:highlight w:val="none"/>
        </w:rPr>
        <w:t>15、在装卸货过程中，若出现异常，应立即停止装卸货作业，并采取相应的措施。</w:t>
      </w:r>
    </w:p>
    <w:p w14:paraId="3DCED848">
      <w:pPr>
        <w:snapToGrid w:val="0"/>
        <w:ind w:firstLine="600" w:firstLineChars="200"/>
      </w:pPr>
      <w:r>
        <w:rPr>
          <w:rFonts w:hint="eastAsia" w:ascii="仿宋_GB2312" w:hAnsi="仿宋" w:eastAsia="仿宋_GB2312"/>
          <w:color w:val="auto"/>
          <w:kern w:val="0"/>
          <w:sz w:val="30"/>
          <w:szCs w:val="30"/>
          <w:highlight w:val="none"/>
        </w:rPr>
        <w:t>16、当发生紧急危险情况时，应在岗位人员的指挥下，迅速绕过泄漏点，向上风向安全地点撤离和疏散。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6062">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path/>
          <v:fill on="f" focussize="0,0"/>
          <v:stroke on="f" weight="0.5pt" joinstyle="miter"/>
          <v:imagedata o:title=""/>
          <o:lock v:ext="edit"/>
          <v:textbox inset="0mm,0mm,0mm,0mm" style="mso-fit-shape-to-text:t;">
            <w:txbxContent>
              <w:p w14:paraId="1E8856ED">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A7216"/>
    <w:multiLevelType w:val="singleLevel"/>
    <w:tmpl w:val="A27A7216"/>
    <w:lvl w:ilvl="0" w:tentative="0">
      <w:start w:val="1"/>
      <w:numFmt w:val="decimal"/>
      <w:suff w:val="nothing"/>
      <w:lvlText w:val="%1、"/>
      <w:lvlJc w:val="left"/>
    </w:lvl>
  </w:abstractNum>
  <w:abstractNum w:abstractNumId="1">
    <w:nsid w:val="643CA8FE"/>
    <w:multiLevelType w:val="singleLevel"/>
    <w:tmpl w:val="643CA8F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3YTgyYzg3NDc3YWY1YTMzN2U1NTMxMTQ4N2Q0N2MifQ=="/>
  </w:docVars>
  <w:rsids>
    <w:rsidRoot w:val="004C6308"/>
    <w:rsid w:val="000612F3"/>
    <w:rsid w:val="00071830"/>
    <w:rsid w:val="00217763"/>
    <w:rsid w:val="00351773"/>
    <w:rsid w:val="00396F40"/>
    <w:rsid w:val="003B5A94"/>
    <w:rsid w:val="004A00A0"/>
    <w:rsid w:val="004C6308"/>
    <w:rsid w:val="00510F18"/>
    <w:rsid w:val="005371F6"/>
    <w:rsid w:val="00584138"/>
    <w:rsid w:val="006658AA"/>
    <w:rsid w:val="00690C5F"/>
    <w:rsid w:val="006D6AE2"/>
    <w:rsid w:val="006E4398"/>
    <w:rsid w:val="007A4A32"/>
    <w:rsid w:val="007A6F7E"/>
    <w:rsid w:val="007D14E7"/>
    <w:rsid w:val="007D4339"/>
    <w:rsid w:val="00851AF5"/>
    <w:rsid w:val="00876EE7"/>
    <w:rsid w:val="00877669"/>
    <w:rsid w:val="008E0C56"/>
    <w:rsid w:val="00943DB4"/>
    <w:rsid w:val="00A33C88"/>
    <w:rsid w:val="00A94D58"/>
    <w:rsid w:val="00AD35CB"/>
    <w:rsid w:val="00AF00C0"/>
    <w:rsid w:val="00B93F7A"/>
    <w:rsid w:val="00BC464E"/>
    <w:rsid w:val="00C76396"/>
    <w:rsid w:val="00DA44B4"/>
    <w:rsid w:val="00DB2CAD"/>
    <w:rsid w:val="00DD50BB"/>
    <w:rsid w:val="00F45F39"/>
    <w:rsid w:val="00F63DBF"/>
    <w:rsid w:val="00F8708D"/>
    <w:rsid w:val="010C5A8C"/>
    <w:rsid w:val="0184692C"/>
    <w:rsid w:val="022B13BD"/>
    <w:rsid w:val="02AA3AA1"/>
    <w:rsid w:val="0301095C"/>
    <w:rsid w:val="033A65EC"/>
    <w:rsid w:val="03561F09"/>
    <w:rsid w:val="03AA2482"/>
    <w:rsid w:val="03DC5C2A"/>
    <w:rsid w:val="03F6285A"/>
    <w:rsid w:val="041C45B1"/>
    <w:rsid w:val="0426735F"/>
    <w:rsid w:val="04986F9C"/>
    <w:rsid w:val="04A309E8"/>
    <w:rsid w:val="04D92811"/>
    <w:rsid w:val="052904A3"/>
    <w:rsid w:val="05300756"/>
    <w:rsid w:val="054A36FC"/>
    <w:rsid w:val="060F4AB9"/>
    <w:rsid w:val="06212711"/>
    <w:rsid w:val="067725CE"/>
    <w:rsid w:val="069D68A7"/>
    <w:rsid w:val="070E79A6"/>
    <w:rsid w:val="073C2D4C"/>
    <w:rsid w:val="0769580D"/>
    <w:rsid w:val="07F2679B"/>
    <w:rsid w:val="08160394"/>
    <w:rsid w:val="087B51BB"/>
    <w:rsid w:val="09017DE4"/>
    <w:rsid w:val="09115148"/>
    <w:rsid w:val="09117642"/>
    <w:rsid w:val="093A0E15"/>
    <w:rsid w:val="098825C4"/>
    <w:rsid w:val="09B84E3F"/>
    <w:rsid w:val="0A0B0B33"/>
    <w:rsid w:val="0B79725F"/>
    <w:rsid w:val="0B811A28"/>
    <w:rsid w:val="0B9F004B"/>
    <w:rsid w:val="0BCD0F28"/>
    <w:rsid w:val="0BF1294D"/>
    <w:rsid w:val="0C203EB1"/>
    <w:rsid w:val="0C6A547E"/>
    <w:rsid w:val="0C6B623E"/>
    <w:rsid w:val="0CA46994"/>
    <w:rsid w:val="0CE56B98"/>
    <w:rsid w:val="0CFB72D5"/>
    <w:rsid w:val="0D7937A5"/>
    <w:rsid w:val="0DCC640E"/>
    <w:rsid w:val="0DE677EB"/>
    <w:rsid w:val="0E122B16"/>
    <w:rsid w:val="0E266204"/>
    <w:rsid w:val="0E877647"/>
    <w:rsid w:val="0E883192"/>
    <w:rsid w:val="0FE15424"/>
    <w:rsid w:val="0FEA442D"/>
    <w:rsid w:val="10CD52E9"/>
    <w:rsid w:val="112D59B3"/>
    <w:rsid w:val="117373B4"/>
    <w:rsid w:val="12580F88"/>
    <w:rsid w:val="12B3779D"/>
    <w:rsid w:val="12B37BBC"/>
    <w:rsid w:val="130528B3"/>
    <w:rsid w:val="1331419D"/>
    <w:rsid w:val="139E1588"/>
    <w:rsid w:val="13BD2A41"/>
    <w:rsid w:val="14245641"/>
    <w:rsid w:val="14337367"/>
    <w:rsid w:val="143C791F"/>
    <w:rsid w:val="14561ACB"/>
    <w:rsid w:val="1467369D"/>
    <w:rsid w:val="14A95AEB"/>
    <w:rsid w:val="14AF5E71"/>
    <w:rsid w:val="162D3145"/>
    <w:rsid w:val="17200740"/>
    <w:rsid w:val="17585E3F"/>
    <w:rsid w:val="175C69C5"/>
    <w:rsid w:val="176851EF"/>
    <w:rsid w:val="177E01B3"/>
    <w:rsid w:val="17C16F3B"/>
    <w:rsid w:val="17F1732D"/>
    <w:rsid w:val="18641F60"/>
    <w:rsid w:val="19A55B5F"/>
    <w:rsid w:val="19B715B3"/>
    <w:rsid w:val="19D33517"/>
    <w:rsid w:val="1B7324FC"/>
    <w:rsid w:val="1BE83C29"/>
    <w:rsid w:val="1C00468C"/>
    <w:rsid w:val="1C4B1564"/>
    <w:rsid w:val="1D376B35"/>
    <w:rsid w:val="1D615B47"/>
    <w:rsid w:val="1E1A483C"/>
    <w:rsid w:val="1E42768E"/>
    <w:rsid w:val="1E4341FC"/>
    <w:rsid w:val="1E73371F"/>
    <w:rsid w:val="1ECF4407"/>
    <w:rsid w:val="1EE4767F"/>
    <w:rsid w:val="1F120D82"/>
    <w:rsid w:val="1F1617AE"/>
    <w:rsid w:val="1F295EC7"/>
    <w:rsid w:val="1F466CF8"/>
    <w:rsid w:val="1F4D0877"/>
    <w:rsid w:val="1F52477E"/>
    <w:rsid w:val="1F6178DC"/>
    <w:rsid w:val="1F712936"/>
    <w:rsid w:val="1FE44D9A"/>
    <w:rsid w:val="201037C1"/>
    <w:rsid w:val="204D7C49"/>
    <w:rsid w:val="206F7F9E"/>
    <w:rsid w:val="20CF138D"/>
    <w:rsid w:val="21001F65"/>
    <w:rsid w:val="210845E4"/>
    <w:rsid w:val="21115DAD"/>
    <w:rsid w:val="21452F71"/>
    <w:rsid w:val="225A103B"/>
    <w:rsid w:val="23571461"/>
    <w:rsid w:val="23CD0CFF"/>
    <w:rsid w:val="241970C3"/>
    <w:rsid w:val="2488334A"/>
    <w:rsid w:val="25003FCA"/>
    <w:rsid w:val="25105295"/>
    <w:rsid w:val="251212FB"/>
    <w:rsid w:val="25145490"/>
    <w:rsid w:val="25B41340"/>
    <w:rsid w:val="26081BF4"/>
    <w:rsid w:val="26430695"/>
    <w:rsid w:val="26A40AE2"/>
    <w:rsid w:val="270F454A"/>
    <w:rsid w:val="277548B9"/>
    <w:rsid w:val="27801F33"/>
    <w:rsid w:val="28224D67"/>
    <w:rsid w:val="28AD4434"/>
    <w:rsid w:val="28F04CD4"/>
    <w:rsid w:val="2930138C"/>
    <w:rsid w:val="29375AD3"/>
    <w:rsid w:val="29C50B57"/>
    <w:rsid w:val="2A295CFB"/>
    <w:rsid w:val="2A4F248D"/>
    <w:rsid w:val="2A784B03"/>
    <w:rsid w:val="2A941C46"/>
    <w:rsid w:val="2B1232DA"/>
    <w:rsid w:val="2B380908"/>
    <w:rsid w:val="2BF3521E"/>
    <w:rsid w:val="2C1023CB"/>
    <w:rsid w:val="2C7D33E1"/>
    <w:rsid w:val="2C9D53F1"/>
    <w:rsid w:val="2EBB3D32"/>
    <w:rsid w:val="2FB84212"/>
    <w:rsid w:val="2FC10F14"/>
    <w:rsid w:val="30101BDA"/>
    <w:rsid w:val="30A37245"/>
    <w:rsid w:val="30CF2FB4"/>
    <w:rsid w:val="30E6349B"/>
    <w:rsid w:val="31275097"/>
    <w:rsid w:val="3165755D"/>
    <w:rsid w:val="31AC110D"/>
    <w:rsid w:val="324F0FF8"/>
    <w:rsid w:val="328D7204"/>
    <w:rsid w:val="329A54A7"/>
    <w:rsid w:val="32FB1A54"/>
    <w:rsid w:val="3309791B"/>
    <w:rsid w:val="33574E44"/>
    <w:rsid w:val="34071E8B"/>
    <w:rsid w:val="34270EC0"/>
    <w:rsid w:val="34526027"/>
    <w:rsid w:val="34BD1F7D"/>
    <w:rsid w:val="34C07EFE"/>
    <w:rsid w:val="34C22779"/>
    <w:rsid w:val="35374403"/>
    <w:rsid w:val="353D7D34"/>
    <w:rsid w:val="3548578E"/>
    <w:rsid w:val="3624513D"/>
    <w:rsid w:val="36A6135C"/>
    <w:rsid w:val="36B51639"/>
    <w:rsid w:val="37492446"/>
    <w:rsid w:val="37CB0E30"/>
    <w:rsid w:val="37CD7F5B"/>
    <w:rsid w:val="383B0245"/>
    <w:rsid w:val="38AC11CA"/>
    <w:rsid w:val="38B44083"/>
    <w:rsid w:val="38E75BD9"/>
    <w:rsid w:val="390B3E0F"/>
    <w:rsid w:val="393B0E78"/>
    <w:rsid w:val="39810187"/>
    <w:rsid w:val="3A794F1F"/>
    <w:rsid w:val="3ADB01A2"/>
    <w:rsid w:val="3B5F08E3"/>
    <w:rsid w:val="3B7B4BD8"/>
    <w:rsid w:val="3B9063A1"/>
    <w:rsid w:val="3B934050"/>
    <w:rsid w:val="3B992B4D"/>
    <w:rsid w:val="3BDF5D21"/>
    <w:rsid w:val="3BFD4725"/>
    <w:rsid w:val="3C451B50"/>
    <w:rsid w:val="3DBB44EE"/>
    <w:rsid w:val="3EA20FB7"/>
    <w:rsid w:val="3ECE422C"/>
    <w:rsid w:val="3ECF3F8A"/>
    <w:rsid w:val="3F3F098F"/>
    <w:rsid w:val="3FC67BA1"/>
    <w:rsid w:val="40916C66"/>
    <w:rsid w:val="40941191"/>
    <w:rsid w:val="42114C71"/>
    <w:rsid w:val="42366486"/>
    <w:rsid w:val="42A0048B"/>
    <w:rsid w:val="42C57868"/>
    <w:rsid w:val="432B0E99"/>
    <w:rsid w:val="433B003D"/>
    <w:rsid w:val="435A115A"/>
    <w:rsid w:val="43AF46EA"/>
    <w:rsid w:val="44315402"/>
    <w:rsid w:val="4441078F"/>
    <w:rsid w:val="454924E9"/>
    <w:rsid w:val="455B064E"/>
    <w:rsid w:val="45B2671F"/>
    <w:rsid w:val="460766ED"/>
    <w:rsid w:val="461A6EEE"/>
    <w:rsid w:val="46A5303B"/>
    <w:rsid w:val="46E231A5"/>
    <w:rsid w:val="470E4375"/>
    <w:rsid w:val="4712611F"/>
    <w:rsid w:val="473C314F"/>
    <w:rsid w:val="47854F63"/>
    <w:rsid w:val="47AC74CE"/>
    <w:rsid w:val="47FA1758"/>
    <w:rsid w:val="482F397C"/>
    <w:rsid w:val="48980923"/>
    <w:rsid w:val="48B85D17"/>
    <w:rsid w:val="49370C43"/>
    <w:rsid w:val="49F472A5"/>
    <w:rsid w:val="4A49503A"/>
    <w:rsid w:val="4A8E3303"/>
    <w:rsid w:val="4AAA606B"/>
    <w:rsid w:val="4AE14D09"/>
    <w:rsid w:val="4AFD5069"/>
    <w:rsid w:val="4B21296B"/>
    <w:rsid w:val="4B3C12C3"/>
    <w:rsid w:val="4B5075C8"/>
    <w:rsid w:val="4B7958EA"/>
    <w:rsid w:val="4B855FC6"/>
    <w:rsid w:val="4B8B4FE0"/>
    <w:rsid w:val="4BAA2020"/>
    <w:rsid w:val="4BAB26A9"/>
    <w:rsid w:val="4BD46FFB"/>
    <w:rsid w:val="4BE10325"/>
    <w:rsid w:val="4C036341"/>
    <w:rsid w:val="4C0A0DA4"/>
    <w:rsid w:val="4C41726D"/>
    <w:rsid w:val="4CE2057A"/>
    <w:rsid w:val="4DCC795A"/>
    <w:rsid w:val="4E252F24"/>
    <w:rsid w:val="4E4E1AC0"/>
    <w:rsid w:val="4EE10184"/>
    <w:rsid w:val="4F172005"/>
    <w:rsid w:val="4F821A19"/>
    <w:rsid w:val="4FE61616"/>
    <w:rsid w:val="506463D7"/>
    <w:rsid w:val="50792A44"/>
    <w:rsid w:val="50D5147B"/>
    <w:rsid w:val="5163084D"/>
    <w:rsid w:val="51722133"/>
    <w:rsid w:val="52425DC7"/>
    <w:rsid w:val="528B3E04"/>
    <w:rsid w:val="53526A68"/>
    <w:rsid w:val="53CA53D1"/>
    <w:rsid w:val="541A7202"/>
    <w:rsid w:val="54EB12D4"/>
    <w:rsid w:val="552836BD"/>
    <w:rsid w:val="55327DAD"/>
    <w:rsid w:val="55930552"/>
    <w:rsid w:val="559371C8"/>
    <w:rsid w:val="55E77D6B"/>
    <w:rsid w:val="56925BDF"/>
    <w:rsid w:val="56990AAE"/>
    <w:rsid w:val="56A420B6"/>
    <w:rsid w:val="56F276C0"/>
    <w:rsid w:val="56FD0301"/>
    <w:rsid w:val="576A6C51"/>
    <w:rsid w:val="57B23B07"/>
    <w:rsid w:val="57E63C24"/>
    <w:rsid w:val="585443E0"/>
    <w:rsid w:val="58581BA3"/>
    <w:rsid w:val="58621FE5"/>
    <w:rsid w:val="591D2EBD"/>
    <w:rsid w:val="59A25DA7"/>
    <w:rsid w:val="59C74D77"/>
    <w:rsid w:val="5A531113"/>
    <w:rsid w:val="5ABC528E"/>
    <w:rsid w:val="5AC512C7"/>
    <w:rsid w:val="5ACB55CD"/>
    <w:rsid w:val="5B2535A4"/>
    <w:rsid w:val="5B4A731D"/>
    <w:rsid w:val="5BD50CCC"/>
    <w:rsid w:val="5C010F91"/>
    <w:rsid w:val="5CA6285F"/>
    <w:rsid w:val="5CAC34CF"/>
    <w:rsid w:val="5CB34E71"/>
    <w:rsid w:val="5D1E5F71"/>
    <w:rsid w:val="5D98425F"/>
    <w:rsid w:val="5DA14579"/>
    <w:rsid w:val="5DD220CE"/>
    <w:rsid w:val="5E03745E"/>
    <w:rsid w:val="5E287869"/>
    <w:rsid w:val="5E547075"/>
    <w:rsid w:val="5EA9004E"/>
    <w:rsid w:val="5EC32CF4"/>
    <w:rsid w:val="5F1E4E3E"/>
    <w:rsid w:val="5F21411C"/>
    <w:rsid w:val="5F9C1F26"/>
    <w:rsid w:val="5FB336D6"/>
    <w:rsid w:val="5FE706C3"/>
    <w:rsid w:val="603B301D"/>
    <w:rsid w:val="60636C0E"/>
    <w:rsid w:val="608162D8"/>
    <w:rsid w:val="60E12EB6"/>
    <w:rsid w:val="611E1C18"/>
    <w:rsid w:val="61707DCC"/>
    <w:rsid w:val="61C96CF3"/>
    <w:rsid w:val="62033CEC"/>
    <w:rsid w:val="62183CFA"/>
    <w:rsid w:val="627661E8"/>
    <w:rsid w:val="62F0260B"/>
    <w:rsid w:val="63030697"/>
    <w:rsid w:val="631025C1"/>
    <w:rsid w:val="632C36EC"/>
    <w:rsid w:val="63675446"/>
    <w:rsid w:val="64143454"/>
    <w:rsid w:val="6468233A"/>
    <w:rsid w:val="64CE559D"/>
    <w:rsid w:val="64EC22AB"/>
    <w:rsid w:val="64F72A17"/>
    <w:rsid w:val="653571F6"/>
    <w:rsid w:val="655B69F7"/>
    <w:rsid w:val="65F93072"/>
    <w:rsid w:val="665D608C"/>
    <w:rsid w:val="667079B2"/>
    <w:rsid w:val="66FD4289"/>
    <w:rsid w:val="673A249D"/>
    <w:rsid w:val="677D59B1"/>
    <w:rsid w:val="689D6CE9"/>
    <w:rsid w:val="692B02A6"/>
    <w:rsid w:val="69667F92"/>
    <w:rsid w:val="697E04BE"/>
    <w:rsid w:val="69BF53B0"/>
    <w:rsid w:val="69C37A60"/>
    <w:rsid w:val="69D61EE1"/>
    <w:rsid w:val="69DF4C10"/>
    <w:rsid w:val="6AD8007E"/>
    <w:rsid w:val="6AF6032C"/>
    <w:rsid w:val="6B376B48"/>
    <w:rsid w:val="6B6F0193"/>
    <w:rsid w:val="6B7B7D94"/>
    <w:rsid w:val="6B7F3945"/>
    <w:rsid w:val="6BF21784"/>
    <w:rsid w:val="6C742E3A"/>
    <w:rsid w:val="6C9D1C17"/>
    <w:rsid w:val="6CF91393"/>
    <w:rsid w:val="6E4D7A98"/>
    <w:rsid w:val="6E744220"/>
    <w:rsid w:val="6E8B47DA"/>
    <w:rsid w:val="6EAD0F3E"/>
    <w:rsid w:val="6EF02EFD"/>
    <w:rsid w:val="6F67039A"/>
    <w:rsid w:val="70915137"/>
    <w:rsid w:val="713419BC"/>
    <w:rsid w:val="71A52C90"/>
    <w:rsid w:val="728C6923"/>
    <w:rsid w:val="730D7644"/>
    <w:rsid w:val="734F028E"/>
    <w:rsid w:val="74675EA7"/>
    <w:rsid w:val="74771DCE"/>
    <w:rsid w:val="74A560AE"/>
    <w:rsid w:val="74EA45B0"/>
    <w:rsid w:val="754518E6"/>
    <w:rsid w:val="762318BE"/>
    <w:rsid w:val="76701B52"/>
    <w:rsid w:val="767E5535"/>
    <w:rsid w:val="770B33BD"/>
    <w:rsid w:val="77101DE6"/>
    <w:rsid w:val="77133819"/>
    <w:rsid w:val="77350563"/>
    <w:rsid w:val="77F3045E"/>
    <w:rsid w:val="78170004"/>
    <w:rsid w:val="78C54714"/>
    <w:rsid w:val="791B6CBC"/>
    <w:rsid w:val="793612CB"/>
    <w:rsid w:val="793F099B"/>
    <w:rsid w:val="79405837"/>
    <w:rsid w:val="7953490E"/>
    <w:rsid w:val="7A3C1EB9"/>
    <w:rsid w:val="7A3D59AE"/>
    <w:rsid w:val="7A9233DA"/>
    <w:rsid w:val="7ACB014C"/>
    <w:rsid w:val="7AD1734E"/>
    <w:rsid w:val="7AE94F12"/>
    <w:rsid w:val="7AEF0BCE"/>
    <w:rsid w:val="7B3C716D"/>
    <w:rsid w:val="7B8727E9"/>
    <w:rsid w:val="7B8F2765"/>
    <w:rsid w:val="7BC979BE"/>
    <w:rsid w:val="7BE50BAA"/>
    <w:rsid w:val="7C3328F0"/>
    <w:rsid w:val="7C8D0131"/>
    <w:rsid w:val="7CF91697"/>
    <w:rsid w:val="7D2642C8"/>
    <w:rsid w:val="7D3B25C7"/>
    <w:rsid w:val="7D46515E"/>
    <w:rsid w:val="7D5F5E3C"/>
    <w:rsid w:val="7D984F7A"/>
    <w:rsid w:val="7DCF5238"/>
    <w:rsid w:val="7E45680A"/>
    <w:rsid w:val="7E4B0ECD"/>
    <w:rsid w:val="7E910991"/>
    <w:rsid w:val="7F15351C"/>
    <w:rsid w:val="7F723CEA"/>
    <w:rsid w:val="7FAE704A"/>
    <w:rsid w:val="7FB162DE"/>
    <w:rsid w:val="7FD0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unhideWhenUsed/>
    <w:qFormat/>
    <w:uiPriority w:val="9"/>
    <w:pPr>
      <w:spacing w:beforeAutospacing="1" w:afterAutospacing="1"/>
      <w:jc w:val="left"/>
      <w:outlineLvl w:val="1"/>
    </w:pPr>
    <w:rPr>
      <w:rFonts w:hint="eastAsia" w:ascii="宋体" w:hAnsi="宋体"/>
      <w:b/>
      <w:bCs/>
      <w:kern w:val="0"/>
      <w:sz w:val="36"/>
      <w:szCs w:val="36"/>
    </w:rPr>
  </w:style>
  <w:style w:type="paragraph" w:styleId="6">
    <w:name w:val="heading 3"/>
    <w:basedOn w:val="1"/>
    <w:next w:val="1"/>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annotation text"/>
    <w:basedOn w:val="1"/>
    <w:link w:val="30"/>
    <w:unhideWhenUsed/>
    <w:qFormat/>
    <w:uiPriority w:val="99"/>
    <w:pPr>
      <w:jc w:val="left"/>
    </w:pPr>
  </w:style>
  <w:style w:type="paragraph" w:styleId="8">
    <w:name w:val="Body Text Indent 2"/>
    <w:basedOn w:val="1"/>
    <w:link w:val="27"/>
    <w:qFormat/>
    <w:uiPriority w:val="0"/>
    <w:pPr>
      <w:spacing w:after="120" w:line="480" w:lineRule="auto"/>
      <w:ind w:left="420" w:leftChars="200"/>
    </w:pPr>
    <w:rPr>
      <w:rFonts w:ascii="Abadi MT Condensed Light" w:hAnsi="Abadi MT Condensed Light" w:eastAsia="仿宋_GB2312"/>
      <w:sz w:val="10"/>
      <w:szCs w:val="20"/>
    </w:rPr>
  </w:style>
  <w:style w:type="paragraph" w:styleId="9">
    <w:name w:val="Balloon Text"/>
    <w:basedOn w:val="1"/>
    <w:link w:val="29"/>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4"/>
    <w:qFormat/>
    <w:uiPriority w:val="0"/>
    <w:pPr>
      <w:spacing w:before="240" w:after="60" w:line="312" w:lineRule="auto"/>
      <w:jc w:val="center"/>
      <w:outlineLvl w:val="1"/>
    </w:pPr>
    <w:rPr>
      <w:rFonts w:ascii="Cambria" w:hAnsi="Cambria"/>
      <w:b/>
      <w:bCs/>
      <w:kern w:val="28"/>
      <w:sz w:val="32"/>
      <w:szCs w:val="32"/>
    </w:rPr>
  </w:style>
  <w:style w:type="paragraph" w:styleId="13">
    <w:name w:val="annotation subject"/>
    <w:basedOn w:val="7"/>
    <w:next w:val="7"/>
    <w:link w:val="31"/>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qFormat/>
    <w:uiPriority w:val="0"/>
    <w:rPr>
      <w:i/>
      <w:iCs/>
    </w:rPr>
  </w:style>
  <w:style w:type="character" w:styleId="18">
    <w:name w:val="annotation reference"/>
    <w:basedOn w:val="16"/>
    <w:unhideWhenUsed/>
    <w:qFormat/>
    <w:uiPriority w:val="99"/>
    <w:rPr>
      <w:sz w:val="21"/>
      <w:szCs w:val="21"/>
    </w:rPr>
  </w:style>
  <w:style w:type="paragraph" w:customStyle="1" w:styleId="19">
    <w:name w:val="列出段落1"/>
    <w:basedOn w:val="1"/>
    <w:link w:val="21"/>
    <w:qFormat/>
    <w:uiPriority w:val="0"/>
    <w:pPr>
      <w:ind w:firstLine="420" w:firstLineChars="200"/>
    </w:pPr>
    <w:rPr>
      <w:lang w:val="zh-CN"/>
    </w:rPr>
  </w:style>
  <w:style w:type="paragraph" w:customStyle="1" w:styleId="20">
    <w:name w:val="列出段落11"/>
    <w:basedOn w:val="1"/>
    <w:qFormat/>
    <w:uiPriority w:val="0"/>
    <w:pPr>
      <w:autoSpaceDE w:val="0"/>
      <w:autoSpaceDN w:val="0"/>
      <w:adjustRightInd w:val="0"/>
      <w:ind w:firstLine="420" w:firstLineChars="200"/>
      <w:jc w:val="left"/>
    </w:pPr>
    <w:rPr>
      <w:kern w:val="0"/>
      <w:sz w:val="24"/>
    </w:rPr>
  </w:style>
  <w:style w:type="character" w:customStyle="1" w:styleId="21">
    <w:name w:val="列出段落 Char"/>
    <w:link w:val="19"/>
    <w:qFormat/>
    <w:locked/>
    <w:uiPriority w:val="0"/>
    <w:rPr>
      <w:rFonts w:ascii="Times New Roman" w:hAnsi="Times New Roman" w:eastAsia="宋体" w:cs="Times New Roman"/>
      <w:szCs w:val="24"/>
      <w:lang w:val="zh-CN" w:eastAsia="zh-CN"/>
    </w:rPr>
  </w:style>
  <w:style w:type="character" w:customStyle="1" w:styleId="22">
    <w:name w:val="页眉 Char"/>
    <w:basedOn w:val="16"/>
    <w:link w:val="11"/>
    <w:qFormat/>
    <w:uiPriority w:val="99"/>
    <w:rPr>
      <w:rFonts w:ascii="Times New Roman" w:hAnsi="Times New Roman" w:eastAsia="宋体" w:cs="Times New Roman"/>
      <w:sz w:val="18"/>
      <w:szCs w:val="18"/>
    </w:rPr>
  </w:style>
  <w:style w:type="character" w:customStyle="1" w:styleId="23">
    <w:name w:val="页脚 Char"/>
    <w:basedOn w:val="16"/>
    <w:link w:val="10"/>
    <w:qFormat/>
    <w:uiPriority w:val="99"/>
    <w:rPr>
      <w:rFonts w:ascii="Times New Roman" w:hAnsi="Times New Roman" w:eastAsia="宋体" w:cs="Times New Roman"/>
      <w:sz w:val="18"/>
      <w:szCs w:val="18"/>
    </w:rPr>
  </w:style>
  <w:style w:type="character" w:customStyle="1" w:styleId="24">
    <w:name w:val="副标题 Char"/>
    <w:basedOn w:val="16"/>
    <w:link w:val="12"/>
    <w:qFormat/>
    <w:uiPriority w:val="0"/>
    <w:rPr>
      <w:rFonts w:ascii="Cambria" w:hAnsi="Cambria" w:eastAsia="宋体" w:cs="Times New Roman"/>
      <w:b/>
      <w:bCs/>
      <w:kern w:val="28"/>
      <w:sz w:val="32"/>
      <w:szCs w:val="32"/>
    </w:rPr>
  </w:style>
  <w:style w:type="paragraph" w:customStyle="1" w:styleId="25">
    <w:name w:val="_正文段落"/>
    <w:basedOn w:val="1"/>
    <w:link w:val="26"/>
    <w:qFormat/>
    <w:uiPriority w:val="0"/>
    <w:pPr>
      <w:spacing w:beforeLines="15" w:afterLines="15" w:line="360" w:lineRule="auto"/>
      <w:ind w:firstLine="480" w:firstLineChars="200"/>
    </w:pPr>
    <w:rPr>
      <w:rFonts w:ascii="宋体" w:hAnsi="宋体"/>
      <w:sz w:val="24"/>
      <w:szCs w:val="28"/>
      <w:lang w:val="zh-CN"/>
    </w:rPr>
  </w:style>
  <w:style w:type="character" w:customStyle="1" w:styleId="26">
    <w:name w:val="_正文段落 Char"/>
    <w:link w:val="25"/>
    <w:qFormat/>
    <w:uiPriority w:val="0"/>
    <w:rPr>
      <w:rFonts w:ascii="宋体" w:hAnsi="宋体" w:eastAsia="宋体" w:cs="Times New Roman"/>
      <w:sz w:val="24"/>
      <w:szCs w:val="28"/>
      <w:lang w:val="zh-CN" w:eastAsia="zh-CN"/>
    </w:rPr>
  </w:style>
  <w:style w:type="character" w:customStyle="1" w:styleId="27">
    <w:name w:val="正文文本缩进 2 Char"/>
    <w:basedOn w:val="16"/>
    <w:link w:val="8"/>
    <w:qFormat/>
    <w:uiPriority w:val="0"/>
    <w:rPr>
      <w:rFonts w:ascii="Abadi MT Condensed Light" w:hAnsi="Abadi MT Condensed Light" w:eastAsia="仿宋_GB2312" w:cs="Times New Roman"/>
      <w:sz w:val="10"/>
      <w:szCs w:val="20"/>
    </w:rPr>
  </w:style>
  <w:style w:type="character" w:customStyle="1" w:styleId="28">
    <w:name w:val="apple-converted-space"/>
    <w:basedOn w:val="16"/>
    <w:qFormat/>
    <w:uiPriority w:val="0"/>
  </w:style>
  <w:style w:type="character" w:customStyle="1" w:styleId="29">
    <w:name w:val="批注框文本 Char"/>
    <w:basedOn w:val="16"/>
    <w:link w:val="9"/>
    <w:semiHidden/>
    <w:qFormat/>
    <w:uiPriority w:val="99"/>
    <w:rPr>
      <w:kern w:val="2"/>
      <w:sz w:val="18"/>
      <w:szCs w:val="18"/>
    </w:rPr>
  </w:style>
  <w:style w:type="character" w:customStyle="1" w:styleId="30">
    <w:name w:val="批注文字 Char"/>
    <w:basedOn w:val="16"/>
    <w:link w:val="7"/>
    <w:semiHidden/>
    <w:qFormat/>
    <w:uiPriority w:val="99"/>
    <w:rPr>
      <w:kern w:val="2"/>
      <w:sz w:val="21"/>
      <w:szCs w:val="24"/>
    </w:rPr>
  </w:style>
  <w:style w:type="character" w:customStyle="1" w:styleId="31">
    <w:name w:val="批注主题 Char"/>
    <w:basedOn w:val="30"/>
    <w:link w:val="13"/>
    <w:semiHidden/>
    <w:qFormat/>
    <w:uiPriority w:val="99"/>
    <w:rPr>
      <w:b/>
      <w:bCs/>
      <w:kern w:val="2"/>
      <w:sz w:val="21"/>
      <w:szCs w:val="24"/>
    </w:rPr>
  </w:style>
  <w:style w:type="paragraph" w:customStyle="1" w:styleId="32">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5420</Words>
  <Characters>5824</Characters>
  <Lines>45</Lines>
  <Paragraphs>12</Paragraphs>
  <TotalTime>25</TotalTime>
  <ScaleCrop>false</ScaleCrop>
  <LinksUpToDate>false</LinksUpToDate>
  <CharactersWithSpaces>5965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2019-05-20T01:02:00Z</dcterms:created>
  <dc:creator>吉芹</dc:creator>
  <cp:lastModifiedBy>土嗨丞</cp:lastModifiedBy>
  <cp:lastPrinted>2019-06-21T07:21:00Z</cp:lastPrinted>
  <dcterms:modified xsi:type="dcterms:W3CDTF">2025-02-13T07:28:52Z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E684128E8B284752B4FBD3716E2FDAFC</vt:lpwstr>
  </property>
  <property fmtid="{D5CDD505-2E9C-101B-9397-08002B2CF9AE}" pid="4" name="KSOTemplateDocerSaveRecord">
    <vt:lpwstr>eyJoZGlkIjoiYmYxZjUwZjEwNDQxZTQxOWVhMDU4MTFmMTBkODlmZGMiLCJ1c2VySWQiOiIzMzg5MDU5NjUifQ==</vt:lpwstr>
  </property>
</Properties>
</file>