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1B6168">
      <w:pPr>
        <w:pStyle w:val="2"/>
        <w:adjustRightInd/>
        <w:spacing w:before="0" w:line="600" w:lineRule="exact"/>
        <w:jc w:val="center"/>
        <w:textAlignment w:val="auto"/>
        <w:rPr>
          <w:rFonts w:ascii="方正小标宋简体" w:hAnsi="宋体" w:eastAsia="方正小标宋简体" w:cs="宋体"/>
          <w:b w:val="0"/>
          <w:sz w:val="44"/>
        </w:rPr>
      </w:pPr>
      <w:r>
        <w:rPr>
          <w:rFonts w:hint="eastAsia" w:ascii="方正小标宋简体" w:hAnsi="宋体" w:eastAsia="方正小标宋简体" w:cs="宋体"/>
          <w:b w:val="0"/>
          <w:sz w:val="44"/>
        </w:rPr>
        <w:t>镇江海纳川物流产业发展有限责任公司</w:t>
      </w:r>
    </w:p>
    <w:p w14:paraId="10842F8F">
      <w:pPr>
        <w:pStyle w:val="2"/>
        <w:adjustRightInd/>
        <w:spacing w:before="0" w:line="600" w:lineRule="exact"/>
        <w:jc w:val="center"/>
        <w:textAlignment w:val="auto"/>
        <w:rPr>
          <w:rFonts w:ascii="方正小标宋简体" w:hAnsi="宋体" w:eastAsia="方正小标宋简体" w:cs="宋体"/>
          <w:b w:val="0"/>
          <w:sz w:val="44"/>
        </w:rPr>
      </w:pPr>
      <w:r>
        <w:rPr>
          <w:rFonts w:hint="eastAsia" w:ascii="方正小标宋简体" w:hAnsi="宋体" w:eastAsia="方正小标宋简体" w:cs="宋体"/>
          <w:b w:val="0"/>
          <w:sz w:val="44"/>
        </w:rPr>
        <w:t>招标文件</w:t>
      </w:r>
    </w:p>
    <w:p w14:paraId="54985C17"/>
    <w:p w14:paraId="37270582">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我公司现</w:t>
      </w:r>
      <w:r>
        <w:rPr>
          <w:rFonts w:hint="eastAsia" w:ascii="方正仿宋简体" w:hAnsi="方正仿宋简体" w:eastAsia="方正仿宋简体" w:cs="方正仿宋简体"/>
          <w:sz w:val="32"/>
          <w:szCs w:val="32"/>
          <w:lang w:val="zh-CN"/>
        </w:rPr>
        <w:t>采用自主公开招标的方式选定供应商，</w:t>
      </w:r>
      <w:r>
        <w:rPr>
          <w:rFonts w:hint="eastAsia" w:ascii="方正仿宋简体" w:hAnsi="方正仿宋简体" w:eastAsia="方正仿宋简体" w:cs="方正仿宋简体"/>
          <w:sz w:val="32"/>
          <w:szCs w:val="32"/>
        </w:rPr>
        <w:t>欢迎具有相关资质的厂商单位前来投标。</w:t>
      </w:r>
    </w:p>
    <w:p w14:paraId="72A96C3B">
      <w:pPr>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一、招标概况</w:t>
      </w:r>
    </w:p>
    <w:p w14:paraId="2573B0A4">
      <w:pPr>
        <w:pStyle w:val="19"/>
        <w:spacing w:line="600" w:lineRule="exact"/>
        <w:ind w:firstLine="640" w:firstLineChars="200"/>
        <w:rPr>
          <w:rFonts w:ascii="方正仿宋_GBK" w:hAnsi="方正仿宋_GBK" w:eastAsia="方正仿宋_GBK" w:cs="方正仿宋_GBK"/>
          <w:sz w:val="32"/>
          <w:szCs w:val="32"/>
          <w:u w:val="single"/>
        </w:rPr>
      </w:pPr>
      <w:r>
        <w:rPr>
          <w:rFonts w:hint="eastAsia" w:ascii="方正楷体_GBK" w:hAnsi="方正楷体_GBK" w:eastAsia="方正楷体_GBK" w:cs="方正楷体_GBK"/>
          <w:sz w:val="32"/>
          <w:szCs w:val="32"/>
        </w:rPr>
        <w:t>（一）项目名称</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u w:val="single"/>
        </w:rPr>
        <w:t>消防提升改造</w:t>
      </w:r>
      <w:r>
        <w:rPr>
          <w:rFonts w:hint="eastAsia" w:ascii="方正仿宋_GBK" w:hAnsi="方正仿宋_GBK" w:eastAsia="方正仿宋_GBK" w:cs="方正仿宋_GBK"/>
          <w:sz w:val="32"/>
          <w:szCs w:val="32"/>
          <w:u w:val="single"/>
          <w:lang w:val="zh-CN"/>
        </w:rPr>
        <w:t>项目—</w:t>
      </w:r>
      <w:r>
        <w:rPr>
          <w:rFonts w:hint="eastAsia" w:ascii="方正仿宋_GBK" w:hAnsi="方正仿宋_GBK" w:eastAsia="方正仿宋_GBK" w:cs="方正仿宋_GBK"/>
          <w:sz w:val="32"/>
          <w:szCs w:val="32"/>
          <w:u w:val="single"/>
        </w:rPr>
        <w:t>土建施工；</w:t>
      </w:r>
    </w:p>
    <w:p w14:paraId="1523799A">
      <w:pPr>
        <w:pStyle w:val="19"/>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（二）施工时间</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u w:val="single"/>
        </w:rPr>
        <w:t>合同签订且招标人具备施工条件</w:t>
      </w:r>
      <w:r>
        <w:rPr>
          <w:rFonts w:hint="eastAsia" w:ascii="方正仿宋_GBK" w:hAnsi="方正仿宋_GBK" w:eastAsia="方正仿宋_GBK" w:cs="方正仿宋_GBK"/>
          <w:sz w:val="32"/>
          <w:szCs w:val="32"/>
          <w:highlight w:val="none"/>
          <w:u w:val="single"/>
        </w:rPr>
        <w:t>后</w:t>
      </w:r>
      <w:r>
        <w:rPr>
          <w:rFonts w:hint="eastAsia" w:ascii="方正仿宋_GBK" w:hAnsi="方正仿宋_GBK" w:eastAsia="方正仿宋_GBK" w:cs="方正仿宋_GBK"/>
          <w:sz w:val="32"/>
          <w:szCs w:val="32"/>
          <w:highlight w:val="none"/>
          <w:u w:val="single"/>
          <w:lang w:val="en-US" w:eastAsia="zh-CN"/>
        </w:rPr>
        <w:t>100天</w:t>
      </w:r>
      <w:r>
        <w:rPr>
          <w:rFonts w:hint="eastAsia" w:ascii="方正仿宋_GBK" w:hAnsi="方正仿宋_GBK" w:eastAsia="方正仿宋_GBK" w:cs="方正仿宋_GBK"/>
          <w:sz w:val="32"/>
          <w:szCs w:val="32"/>
          <w:u w:val="single"/>
        </w:rPr>
        <w:t>（自然日）内完成</w:t>
      </w:r>
      <w:r>
        <w:rPr>
          <w:rFonts w:hint="eastAsia" w:ascii="方正仿宋_GBK" w:hAnsi="方正仿宋_GBK" w:eastAsia="方正仿宋_GBK" w:cs="方正仿宋_GBK"/>
          <w:sz w:val="32"/>
          <w:szCs w:val="32"/>
        </w:rPr>
        <w:t>；</w:t>
      </w:r>
    </w:p>
    <w:p w14:paraId="71B97687">
      <w:pPr>
        <w:pStyle w:val="2"/>
        <w:adjustRightInd/>
        <w:spacing w:line="600" w:lineRule="exact"/>
        <w:ind w:firstLine="640" w:firstLineChars="200"/>
        <w:textAlignment w:val="auto"/>
        <w:rPr>
          <w:rFonts w:ascii="方正仿宋简体" w:hAnsi="方正仿宋简体" w:eastAsia="方正仿宋简体" w:cs="方正仿宋简体"/>
          <w:b w:val="0"/>
          <w:kern w:val="2"/>
          <w:sz w:val="32"/>
          <w:szCs w:val="32"/>
          <w:u w:val="single"/>
        </w:rPr>
      </w:pPr>
      <w:r>
        <w:rPr>
          <w:rFonts w:hint="eastAsia" w:ascii="方正楷体_GBK" w:hAnsi="方正楷体_GBK" w:eastAsia="方正楷体_GBK" w:cs="方正楷体_GBK"/>
          <w:b w:val="0"/>
          <w:kern w:val="2"/>
          <w:sz w:val="32"/>
          <w:szCs w:val="32"/>
        </w:rPr>
        <w:t>（三）施工地点</w:t>
      </w:r>
      <w:r>
        <w:rPr>
          <w:rFonts w:hint="eastAsia" w:ascii="方正仿宋_GBK" w:hAnsi="方正仿宋_GBK" w:eastAsia="方正仿宋_GBK" w:cs="方正仿宋_GBK"/>
          <w:b w:val="0"/>
          <w:kern w:val="2"/>
          <w:sz w:val="32"/>
          <w:szCs w:val="32"/>
        </w:rPr>
        <w:t>：</w:t>
      </w:r>
      <w:r>
        <w:rPr>
          <w:rFonts w:hint="eastAsia" w:ascii="方正仿宋_GBK" w:hAnsi="方正仿宋_GBK" w:eastAsia="方正仿宋_GBK" w:cs="方正仿宋_GBK"/>
          <w:b w:val="0"/>
          <w:kern w:val="2"/>
          <w:sz w:val="32"/>
          <w:szCs w:val="32"/>
          <w:u w:val="single"/>
        </w:rPr>
        <w:t>海纳川港口运营公司内；</w:t>
      </w:r>
    </w:p>
    <w:p w14:paraId="574EE072">
      <w:pPr>
        <w:spacing w:line="600" w:lineRule="exact"/>
        <w:ind w:firstLine="640" w:firstLineChars="200"/>
        <w:jc w:val="left"/>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（四）投标截止时间</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u w:val="single"/>
          <w:lang w:val="en-US" w:eastAsia="zh-CN"/>
        </w:rPr>
        <w:t>2025年1月24日14:00</w:t>
      </w:r>
      <w:r>
        <w:rPr>
          <w:rFonts w:hint="eastAsia" w:ascii="方正仿宋_GBK" w:hAnsi="方正仿宋_GBK" w:eastAsia="方正仿宋_GBK" w:cs="方正仿宋_GBK"/>
          <w:sz w:val="32"/>
          <w:szCs w:val="32"/>
          <w:u w:val="single"/>
        </w:rPr>
        <w:t>；</w:t>
      </w:r>
    </w:p>
    <w:p w14:paraId="256FC596">
      <w:pPr>
        <w:spacing w:line="600" w:lineRule="exact"/>
        <w:ind w:firstLine="640" w:firstLineChars="200"/>
        <w:jc w:val="left"/>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（五）初定开标时间</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u w:val="single"/>
          <w:lang w:val="en-US" w:eastAsia="zh-CN"/>
        </w:rPr>
        <w:t>2025年1月24日14:00</w:t>
      </w:r>
      <w:r>
        <w:rPr>
          <w:rFonts w:hint="eastAsia" w:ascii="方正仿宋_GBK" w:hAnsi="方正仿宋_GBK" w:eastAsia="方正仿宋_GBK" w:cs="方正仿宋_GBK"/>
          <w:sz w:val="32"/>
          <w:szCs w:val="32"/>
          <w:u w:val="single"/>
        </w:rPr>
        <w:t>；</w:t>
      </w:r>
    </w:p>
    <w:p w14:paraId="39BE08F4">
      <w:pPr>
        <w:spacing w:line="600" w:lineRule="exact"/>
        <w:ind w:firstLine="640" w:firstLineChars="200"/>
        <w:jc w:val="left"/>
        <w:rPr>
          <w:rFonts w:hint="eastAsia" w:ascii="方正仿宋_GBK" w:hAnsi="方正仿宋_GBK" w:eastAsia="方正仿宋_GBK" w:cs="方正仿宋_GBK"/>
          <w:b/>
          <w:bCs/>
          <w:sz w:val="32"/>
          <w:szCs w:val="32"/>
          <w:lang w:eastAsia="zh-CN"/>
        </w:rPr>
      </w:pPr>
      <w:r>
        <w:rPr>
          <w:rFonts w:hint="eastAsia" w:ascii="方正楷体_GBK" w:hAnsi="方正楷体_GBK" w:eastAsia="方正楷体_GBK" w:cs="方正楷体_GBK"/>
          <w:sz w:val="32"/>
          <w:szCs w:val="32"/>
        </w:rPr>
        <w:t>（六）招标控制价：</w:t>
      </w:r>
      <w:r>
        <w:rPr>
          <w:rFonts w:hint="eastAsia" w:ascii="方正仿宋_GBK" w:hAnsi="方正仿宋_GBK" w:eastAsia="方正仿宋_GBK" w:cs="方正仿宋_GBK"/>
          <w:sz w:val="32"/>
          <w:szCs w:val="32"/>
          <w:highlight w:val="none"/>
          <w:lang w:val="en-US" w:eastAsia="zh-CN"/>
        </w:rPr>
        <w:t>318.12</w:t>
      </w:r>
      <w:r>
        <w:rPr>
          <w:rFonts w:hint="eastAsia" w:ascii="方正仿宋_GBK" w:hAnsi="方正仿宋_GBK" w:eastAsia="方正仿宋_GBK" w:cs="方正仿宋_GBK"/>
          <w:sz w:val="32"/>
          <w:szCs w:val="32"/>
          <w:highlight w:val="none"/>
        </w:rPr>
        <w:t>万元</w:t>
      </w:r>
      <w:r>
        <w:rPr>
          <w:rFonts w:hint="eastAsia" w:ascii="方正仿宋_GBK" w:hAnsi="方正仿宋_GBK" w:eastAsia="方正仿宋_GBK" w:cs="方正仿宋_GBK"/>
          <w:b/>
          <w:bCs/>
          <w:sz w:val="32"/>
          <w:szCs w:val="32"/>
          <w:highlight w:val="none"/>
        </w:rPr>
        <w:t>（报价</w:t>
      </w:r>
      <w:r>
        <w:rPr>
          <w:rFonts w:hint="eastAsia" w:ascii="方正仿宋_GBK" w:hAnsi="方正仿宋_GBK" w:eastAsia="方正仿宋_GBK" w:cs="方正仿宋_GBK"/>
          <w:b/>
          <w:bCs/>
          <w:sz w:val="32"/>
          <w:szCs w:val="32"/>
        </w:rPr>
        <w:t>高于控制价报价，判为无效投标）</w:t>
      </w:r>
      <w:r>
        <w:rPr>
          <w:rFonts w:hint="eastAsia" w:ascii="方正仿宋_GBK" w:hAnsi="方正仿宋_GBK" w:eastAsia="方正仿宋_GBK" w:cs="方正仿宋_GBK"/>
          <w:b/>
          <w:bCs/>
          <w:sz w:val="32"/>
          <w:szCs w:val="32"/>
          <w:lang w:eastAsia="zh-CN"/>
        </w:rPr>
        <w:t>；</w:t>
      </w:r>
    </w:p>
    <w:p w14:paraId="60F77676">
      <w:pPr>
        <w:spacing w:line="600" w:lineRule="exact"/>
        <w:ind w:firstLine="640" w:firstLineChars="200"/>
        <w:jc w:val="left"/>
        <w:rPr>
          <w:rFonts w:ascii="方正仿宋_GBK" w:hAnsi="方正仿宋_GBK" w:eastAsia="方正仿宋_GBK" w:cs="方正仿宋_GBK"/>
          <w:sz w:val="32"/>
          <w:szCs w:val="32"/>
          <w:u w:val="single"/>
        </w:rPr>
      </w:pPr>
      <w:r>
        <w:rPr>
          <w:rFonts w:hint="eastAsia" w:ascii="方正楷体_GBK" w:hAnsi="方正楷体_GBK" w:eastAsia="方正楷体_GBK" w:cs="方正楷体_GBK"/>
          <w:sz w:val="32"/>
          <w:szCs w:val="32"/>
        </w:rPr>
        <w:t>（七）开标地点</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u w:val="single"/>
        </w:rPr>
        <w:t>镇江海纳川物流产业发展有限责任公司210会议室；</w:t>
      </w:r>
    </w:p>
    <w:p w14:paraId="493455DF">
      <w:pPr>
        <w:pStyle w:val="19"/>
        <w:spacing w:line="600" w:lineRule="exact"/>
        <w:ind w:firstLine="640" w:firstLineChars="200"/>
        <w:rPr>
          <w:rFonts w:ascii="方正仿宋_GBK" w:hAnsi="方正仿宋_GBK" w:eastAsia="方正仿宋_GBK" w:cs="方正仿宋_GBK"/>
          <w:sz w:val="32"/>
          <w:szCs w:val="32"/>
          <w:u w:val="single"/>
        </w:rPr>
      </w:pPr>
      <w:r>
        <w:rPr>
          <w:rFonts w:hint="eastAsia" w:ascii="方正楷体_GBK" w:hAnsi="方正楷体_GBK" w:eastAsia="方正楷体_GBK" w:cs="方正楷体_GBK"/>
          <w:sz w:val="32"/>
          <w:szCs w:val="32"/>
        </w:rPr>
        <w:t>（八）中标公示</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u w:val="single"/>
        </w:rPr>
        <w:t>中标信息将于开标后在江苏索普集团官网公示，请各投标人登录http://www.sopo.com.cn/查询。</w:t>
      </w:r>
    </w:p>
    <w:p w14:paraId="1186A63E">
      <w:pPr>
        <w:wordWrap w:val="0"/>
        <w:spacing w:line="600" w:lineRule="exact"/>
        <w:ind w:firstLine="640" w:firstLineChars="200"/>
        <w:jc w:val="left"/>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二、招标内容</w:t>
      </w:r>
    </w:p>
    <w:p w14:paraId="3EFAC9A5">
      <w:pPr>
        <w:adjustRightInd w:val="0"/>
        <w:snapToGrid w:val="0"/>
        <w:spacing w:line="600" w:lineRule="exact"/>
        <w:ind w:firstLine="640" w:firstLineChars="200"/>
        <w:rPr>
          <w:rFonts w:ascii="方正楷体_GBK" w:hAnsi="方正楷体_GBK" w:eastAsia="方正楷体_GBK" w:cs="方正楷体_GBK"/>
          <w:kern w:val="1"/>
          <w:sz w:val="30"/>
          <w:szCs w:val="30"/>
        </w:rPr>
      </w:pPr>
      <w:r>
        <w:rPr>
          <w:rFonts w:hint="eastAsia" w:ascii="方正楷体_GBK" w:hAnsi="方正楷体_GBK" w:eastAsia="方正楷体_GBK" w:cs="方正楷体_GBK"/>
          <w:sz w:val="32"/>
          <w:szCs w:val="32"/>
        </w:rPr>
        <w:t>（一）标的物内容</w:t>
      </w:r>
    </w:p>
    <w:p w14:paraId="06BC895E">
      <w:pPr>
        <w:pStyle w:val="19"/>
        <w:spacing w:line="60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zh-CN"/>
        </w:rPr>
        <w:t>消防提升改造项目—土建施工</w:t>
      </w:r>
      <w:r>
        <w:rPr>
          <w:rFonts w:hint="eastAsia" w:ascii="方正仿宋_GBK" w:hAnsi="方正仿宋_GBK" w:eastAsia="方正仿宋_GBK" w:cs="方正仿宋_GBK"/>
          <w:sz w:val="32"/>
          <w:szCs w:val="32"/>
        </w:rPr>
        <w:t>建设内容包含如下（具体详见图纸及清单）：</w:t>
      </w:r>
    </w:p>
    <w:p w14:paraId="4ED9DAF9">
      <w:pPr>
        <w:pStyle w:val="19"/>
        <w:spacing w:line="600" w:lineRule="exac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1.消防泵房建设（含基础</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接地</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eastAsia="zh-CN"/>
        </w:rPr>
        <w:t>。</w:t>
      </w:r>
    </w:p>
    <w:p w14:paraId="31C047A6">
      <w:pPr>
        <w:pStyle w:val="19"/>
        <w:spacing w:line="600" w:lineRule="exac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2.</w:t>
      </w:r>
      <w:r>
        <w:rPr>
          <w:rFonts w:hint="eastAsia" w:ascii="方正仿宋_GBK" w:hAnsi="方正仿宋_GBK" w:eastAsia="方正仿宋_GBK" w:cs="方正仿宋_GBK"/>
          <w:sz w:val="32"/>
          <w:szCs w:val="32"/>
          <w:lang w:val="en-US" w:eastAsia="zh-CN"/>
        </w:rPr>
        <w:t>两</w:t>
      </w:r>
      <w:r>
        <w:rPr>
          <w:rFonts w:hint="eastAsia" w:ascii="方正仿宋_GBK" w:hAnsi="方正仿宋_GBK" w:eastAsia="方正仿宋_GBK" w:cs="方正仿宋_GBK"/>
          <w:sz w:val="32"/>
          <w:szCs w:val="32"/>
        </w:rPr>
        <w:t>个消防水罐桩基础施工</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含接地</w:t>
      </w:r>
      <w:r>
        <w:rPr>
          <w:rFonts w:hint="eastAsia" w:ascii="方正仿宋_GBK" w:hAnsi="方正仿宋_GBK" w:eastAsia="方正仿宋_GBK" w:cs="方正仿宋_GBK"/>
          <w:sz w:val="32"/>
          <w:szCs w:val="32"/>
          <w:lang w:eastAsia="zh-CN"/>
        </w:rPr>
        <w:t>）。</w:t>
      </w:r>
    </w:p>
    <w:p w14:paraId="638021B8">
      <w:pPr>
        <w:pStyle w:val="19"/>
        <w:spacing w:line="600" w:lineRule="exac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3.消控室内部改造</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含接地</w:t>
      </w:r>
      <w:r>
        <w:rPr>
          <w:rFonts w:hint="eastAsia" w:ascii="方正仿宋_GBK" w:hAnsi="方正仿宋_GBK" w:eastAsia="方正仿宋_GBK" w:cs="方正仿宋_GBK"/>
          <w:sz w:val="32"/>
          <w:szCs w:val="32"/>
          <w:lang w:eastAsia="zh-CN"/>
        </w:rPr>
        <w:t>）。</w:t>
      </w:r>
    </w:p>
    <w:p w14:paraId="2626D9D1">
      <w:pPr>
        <w:adjustRightInd w:val="0"/>
        <w:snapToGrid w:val="0"/>
        <w:spacing w:line="600" w:lineRule="exact"/>
        <w:ind w:firstLine="640" w:firstLineChars="200"/>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（二）技术要求</w:t>
      </w:r>
    </w:p>
    <w:p w14:paraId="279E5E49">
      <w:pPr>
        <w:pStyle w:val="19"/>
        <w:spacing w:line="600" w:lineRule="exact"/>
        <w:ind w:firstLine="640" w:firstLineChars="200"/>
        <w:rPr>
          <w:rFonts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1.工作量清单：投标人根据招标人提供的设计图纸、工程量清单</w:t>
      </w:r>
      <w:r>
        <w:rPr>
          <w:rFonts w:hint="eastAsia" w:ascii="方正仿宋_GBK" w:hAnsi="方正仿宋_GBK" w:eastAsia="方正仿宋_GBK" w:cs="方正仿宋_GBK"/>
          <w:sz w:val="32"/>
          <w:szCs w:val="32"/>
        </w:rPr>
        <w:t>并结合现场踏勘，进行投标报价</w:t>
      </w:r>
      <w:r>
        <w:rPr>
          <w:rFonts w:hint="eastAsia" w:ascii="方正仿宋_GBK" w:hAnsi="方正仿宋_GBK" w:eastAsia="方正仿宋_GBK" w:cs="方正仿宋_GBK"/>
          <w:sz w:val="32"/>
          <w:szCs w:val="32"/>
          <w:lang w:val="zh-CN"/>
        </w:rPr>
        <w:t>（</w:t>
      </w:r>
      <w:r>
        <w:rPr>
          <w:rFonts w:hint="eastAsia" w:ascii="方正仿宋_GBK" w:hAnsi="方正仿宋_GBK" w:eastAsia="方正仿宋_GBK" w:cs="方正仿宋_GBK"/>
          <w:b/>
          <w:bCs/>
          <w:sz w:val="32"/>
          <w:szCs w:val="32"/>
        </w:rPr>
        <w:t>设计图纸与工程量清单互为补充</w:t>
      </w:r>
      <w:r>
        <w:rPr>
          <w:rFonts w:hint="eastAsia" w:ascii="方正仿宋_GBK" w:hAnsi="方正仿宋_GBK" w:eastAsia="方正仿宋_GBK" w:cs="方正仿宋_GBK"/>
          <w:sz w:val="32"/>
          <w:szCs w:val="32"/>
          <w:lang w:val="zh-CN"/>
        </w:rPr>
        <w:t>）。</w:t>
      </w:r>
    </w:p>
    <w:p w14:paraId="5FFF066F">
      <w:pPr>
        <w:pStyle w:val="19"/>
        <w:spacing w:line="600" w:lineRule="exact"/>
        <w:ind w:firstLine="640" w:firstLineChars="200"/>
        <w:rPr>
          <w:rFonts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2.本施工场地位于危化品仓储，施工涉及到动火作业、登高、吊装、动土作业等，须审批危险作业票证，提醒投标人认真计算，合理报价。</w:t>
      </w:r>
    </w:p>
    <w:p w14:paraId="5EC55A57">
      <w:pPr>
        <w:pStyle w:val="19"/>
        <w:spacing w:line="600" w:lineRule="exact"/>
        <w:ind w:firstLine="640" w:firstLineChars="200"/>
        <w:rPr>
          <w:rFonts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3.施工所需吊车、叉车及其它机械辅助设施须在符合安全规范及安全性能的前提下由中标人自行解决，其它在施工中任何可能发生的费用，如拆除费、赶工加班费、设备材料保管费、短途运输搬运费、施工垃圾清理费、围挡搭设费等都应包含在投标价格中。</w:t>
      </w:r>
    </w:p>
    <w:p w14:paraId="5888B6AA">
      <w:pPr>
        <w:pStyle w:val="19"/>
        <w:spacing w:line="600" w:lineRule="exact"/>
        <w:ind w:firstLine="640" w:firstLineChars="200"/>
        <w:rPr>
          <w:rFonts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4.如涉及防爆区域作业，中标人应使用具备防爆功能的工器具。</w:t>
      </w:r>
    </w:p>
    <w:p w14:paraId="0414FFDF">
      <w:pPr>
        <w:pStyle w:val="45"/>
        <w:widowControl/>
        <w:shd w:val="clear" w:color="auto" w:fill="FFFFFF"/>
        <w:spacing w:line="600" w:lineRule="exact"/>
        <w:ind w:firstLine="640" w:firstLineChars="200"/>
        <w:jc w:val="both"/>
        <w:rPr>
          <w:rFonts w:hint="default" w:ascii="方正仿宋简体" w:hAnsi="方正仿宋简体" w:eastAsia="方正仿宋简体" w:cs="方正仿宋简体"/>
          <w:kern w:val="2"/>
          <w:sz w:val="32"/>
          <w:szCs w:val="32"/>
        </w:rPr>
      </w:pPr>
      <w:r>
        <w:rPr>
          <w:rFonts w:ascii="方正仿宋简体" w:hAnsi="方正仿宋简体" w:eastAsia="方正仿宋简体" w:cs="方正仿宋简体"/>
          <w:kern w:val="2"/>
          <w:sz w:val="32"/>
          <w:szCs w:val="32"/>
        </w:rPr>
        <w:t>5.工程报价为含税价，请注明税率。</w:t>
      </w:r>
    </w:p>
    <w:p w14:paraId="0F7D21D3">
      <w:pPr>
        <w:pStyle w:val="45"/>
        <w:widowControl/>
        <w:shd w:val="clear" w:color="auto" w:fill="FFFFFF"/>
        <w:spacing w:line="600" w:lineRule="exact"/>
        <w:ind w:firstLine="640" w:firstLineChars="200"/>
        <w:jc w:val="both"/>
        <w:rPr>
          <w:rFonts w:hint="default" w:ascii="方正黑体_GBK" w:hAnsi="方正黑体_GBK" w:eastAsia="方正黑体_GBK" w:cs="方正黑体_GBK"/>
          <w:sz w:val="32"/>
          <w:szCs w:val="32"/>
        </w:rPr>
      </w:pPr>
      <w:r>
        <w:rPr>
          <w:rFonts w:ascii="方正仿宋简体" w:hAnsi="方正仿宋简体" w:eastAsia="方正仿宋简体" w:cs="方正仿宋简体"/>
          <w:kern w:val="2"/>
          <w:sz w:val="32"/>
          <w:szCs w:val="32"/>
        </w:rPr>
        <w:t>6.质保期，本项目验收合格之日</w:t>
      </w:r>
      <w:r>
        <w:rPr>
          <w:rFonts w:ascii="方正仿宋简体" w:hAnsi="方正仿宋简体" w:eastAsia="方正仿宋简体" w:cs="方正仿宋简体"/>
          <w:b/>
          <w:bCs/>
          <w:kern w:val="2"/>
          <w:sz w:val="32"/>
          <w:szCs w:val="32"/>
        </w:rPr>
        <w:t>起</w:t>
      </w:r>
      <w:r>
        <w:rPr>
          <w:rFonts w:ascii="方正仿宋简体" w:hAnsi="方正仿宋简体" w:eastAsia="方正仿宋简体" w:cs="方正仿宋简体"/>
          <w:b/>
          <w:bCs/>
          <w:sz w:val="32"/>
          <w:szCs w:val="32"/>
          <w:u w:val="single"/>
        </w:rPr>
        <w:t xml:space="preserve"> 1 </w:t>
      </w:r>
      <w:r>
        <w:rPr>
          <w:rFonts w:ascii="方正仿宋简体" w:hAnsi="方正仿宋简体" w:eastAsia="方正仿宋简体" w:cs="方正仿宋简体"/>
          <w:b/>
          <w:bCs/>
          <w:kern w:val="2"/>
          <w:sz w:val="32"/>
          <w:szCs w:val="32"/>
        </w:rPr>
        <w:t>年</w:t>
      </w:r>
      <w:r>
        <w:rPr>
          <w:rFonts w:ascii="方正仿宋简体" w:hAnsi="方正仿宋简体" w:eastAsia="方正仿宋简体" w:cs="方正仿宋简体"/>
          <w:kern w:val="2"/>
          <w:sz w:val="32"/>
          <w:szCs w:val="32"/>
        </w:rPr>
        <w:t>。</w:t>
      </w:r>
    </w:p>
    <w:p w14:paraId="64F5B611">
      <w:pPr>
        <w:wordWrap w:val="0"/>
        <w:spacing w:line="600" w:lineRule="exact"/>
        <w:ind w:firstLine="640" w:firstLineChars="200"/>
        <w:jc w:val="left"/>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三、投标资格条件与要求：</w:t>
      </w:r>
    </w:p>
    <w:p w14:paraId="1409FAA0">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（一）</w:t>
      </w:r>
      <w:r>
        <w:rPr>
          <w:rFonts w:hint="eastAsia" w:ascii="方正仿宋简体" w:hAnsi="方正仿宋简体" w:eastAsia="方正仿宋简体" w:cs="方正仿宋简体"/>
          <w:sz w:val="32"/>
          <w:szCs w:val="32"/>
        </w:rPr>
        <w:t>投标人必须具备中华人民共和国境内生产或经营应具备的合法资质。</w:t>
      </w:r>
    </w:p>
    <w:p w14:paraId="24E9A11A">
      <w:pPr>
        <w:spacing w:line="600" w:lineRule="exact"/>
        <w:ind w:firstLine="640" w:firstLineChars="200"/>
        <w:jc w:val="left"/>
        <w:rPr>
          <w:rFonts w:ascii="方正楷体_GBK" w:hAnsi="方正楷体_GBK" w:eastAsia="方正楷体_GBK" w:cs="方正楷体_GBK"/>
          <w:sz w:val="32"/>
          <w:szCs w:val="32"/>
        </w:rPr>
      </w:pPr>
      <w:r>
        <w:rPr>
          <w:rFonts w:hint="eastAsia" w:ascii="方正仿宋简体" w:hAnsi="方正仿宋简体" w:eastAsia="方正仿宋简体" w:cs="方正仿宋简体"/>
          <w:bCs/>
          <w:sz w:val="32"/>
          <w:szCs w:val="32"/>
          <w:lang w:val="zh-CN"/>
        </w:rPr>
        <w:t>投标人应具备的资质：</w:t>
      </w:r>
      <w:r>
        <w:rPr>
          <w:rFonts w:hint="eastAsia" w:ascii="方正仿宋_GBK" w:hAnsi="方正仿宋_GBK" w:eastAsia="方正仿宋_GBK" w:cs="方正仿宋_GBK"/>
          <w:b/>
          <w:bCs/>
          <w:sz w:val="32"/>
          <w:szCs w:val="32"/>
        </w:rPr>
        <w:t>建筑工程施工总承包贰级（含）以上资质、地基基础工程专业承包贰级（含）以上资质</w:t>
      </w:r>
      <w:r>
        <w:rPr>
          <w:rFonts w:hint="eastAsia" w:ascii="方正仿宋简体" w:eastAsia="方正仿宋简体" w:cs="仿宋_GB2312"/>
          <w:sz w:val="32"/>
          <w:szCs w:val="32"/>
        </w:rPr>
        <w:t>。</w:t>
      </w:r>
    </w:p>
    <w:p w14:paraId="3B545EE9">
      <w:pPr>
        <w:spacing w:line="600" w:lineRule="exact"/>
        <w:ind w:firstLine="640" w:firstLineChars="200"/>
        <w:jc w:val="left"/>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（二）其他要求</w:t>
      </w:r>
    </w:p>
    <w:p w14:paraId="5B2EF685">
      <w:pPr>
        <w:spacing w:line="600" w:lineRule="exact"/>
        <w:ind w:firstLine="640" w:firstLineChars="200"/>
        <w:jc w:val="left"/>
        <w:rPr>
          <w:rFonts w:ascii="方正仿宋简体" w:hAnsi="方正仿宋简体" w:eastAsia="方正仿宋简体" w:cs="方正仿宋简体"/>
          <w:sz w:val="32"/>
          <w:szCs w:val="32"/>
          <w:lang w:val="zh-CN"/>
        </w:rPr>
      </w:pPr>
      <w:r>
        <w:rPr>
          <w:rFonts w:hint="eastAsia" w:ascii="方正仿宋简体" w:hAnsi="方正仿宋简体" w:eastAsia="方正仿宋简体" w:cs="方正仿宋简体"/>
          <w:sz w:val="32"/>
          <w:szCs w:val="32"/>
          <w:lang w:val="zh-CN"/>
        </w:rPr>
        <w:t>1.投标人必须是在中华人民共和国境内依照《中华人民共和国公司法》注册的、具有法人和安全生产资格的企业，投标人实缴注册资金应不低于人民币</w:t>
      </w:r>
      <w:r>
        <w:rPr>
          <w:rFonts w:hint="eastAsia" w:ascii="方正仿宋简体" w:hAnsi="方正仿宋简体" w:eastAsia="方正仿宋简体" w:cs="方正仿宋简体"/>
          <w:b/>
          <w:bCs/>
          <w:sz w:val="32"/>
          <w:szCs w:val="32"/>
          <w:lang w:val="zh-CN"/>
        </w:rPr>
        <w:t>1000万元</w:t>
      </w:r>
      <w:r>
        <w:rPr>
          <w:rFonts w:hint="eastAsia" w:ascii="方正仿宋简体" w:hAnsi="方正仿宋简体" w:eastAsia="方正仿宋简体" w:cs="方正仿宋简体"/>
          <w:sz w:val="32"/>
          <w:szCs w:val="32"/>
          <w:lang w:val="zh-CN"/>
        </w:rPr>
        <w:t>（天眼查或提供实缴注册资金证明）</w:t>
      </w:r>
      <w:r>
        <w:rPr>
          <w:rFonts w:hint="eastAsia" w:ascii="方正仿宋简体" w:hAnsi="方正仿宋简体" w:eastAsia="方正仿宋简体" w:cs="方正仿宋简体"/>
          <w:b/>
          <w:bCs/>
          <w:sz w:val="32"/>
          <w:szCs w:val="32"/>
          <w:lang w:val="zh-CN"/>
        </w:rPr>
        <w:t>（提供投标人有效的营业执照复印件加盖公章）</w:t>
      </w:r>
      <w:r>
        <w:rPr>
          <w:rFonts w:hint="eastAsia" w:ascii="方正仿宋简体" w:hAnsi="方正仿宋简体" w:eastAsia="方正仿宋简体" w:cs="方正仿宋简体"/>
          <w:sz w:val="32"/>
          <w:szCs w:val="32"/>
          <w:lang w:val="zh-CN"/>
        </w:rPr>
        <w:t>。</w:t>
      </w:r>
    </w:p>
    <w:p w14:paraId="724EDE0C">
      <w:pPr>
        <w:spacing w:line="600" w:lineRule="exact"/>
        <w:ind w:firstLine="640" w:firstLineChars="200"/>
        <w:jc w:val="left"/>
        <w:rPr>
          <w:rFonts w:hint="eastAsia" w:ascii="方正仿宋简体" w:eastAsia="方正仿宋简体" w:cs="仿宋_GB2312"/>
          <w:sz w:val="32"/>
          <w:szCs w:val="32"/>
          <w:highlight w:val="none"/>
          <w:lang w:eastAsia="zh-CN"/>
        </w:rPr>
      </w:pPr>
      <w:r>
        <w:rPr>
          <w:rFonts w:hint="eastAsia" w:ascii="方正仿宋简体" w:eastAsia="方正仿宋简体" w:cs="仿宋_GB2312"/>
          <w:sz w:val="32"/>
          <w:szCs w:val="32"/>
          <w:highlight w:val="none"/>
        </w:rPr>
        <w:t>2.202</w:t>
      </w:r>
      <w:r>
        <w:rPr>
          <w:rFonts w:hint="eastAsia" w:ascii="方正仿宋简体" w:eastAsia="方正仿宋简体" w:cs="仿宋_GB2312"/>
          <w:sz w:val="32"/>
          <w:szCs w:val="32"/>
          <w:highlight w:val="none"/>
          <w:lang w:val="en-US" w:eastAsia="zh-CN"/>
        </w:rPr>
        <w:t>2</w:t>
      </w:r>
      <w:r>
        <w:rPr>
          <w:rFonts w:hint="eastAsia" w:ascii="方正仿宋简体" w:eastAsia="方正仿宋简体" w:cs="仿宋_GB2312"/>
          <w:sz w:val="32"/>
          <w:szCs w:val="32"/>
          <w:highlight w:val="none"/>
        </w:rPr>
        <w:t>年1月1日至投标日</w:t>
      </w:r>
      <w:r>
        <w:rPr>
          <w:rFonts w:hint="eastAsia" w:ascii="方正仿宋简体" w:hAnsi="方正仿宋简体" w:eastAsia="方正仿宋简体" w:cs="方正仿宋简体"/>
          <w:sz w:val="32"/>
          <w:szCs w:val="32"/>
          <w:highlight w:val="none"/>
        </w:rPr>
        <w:t>止</w:t>
      </w:r>
      <w:r>
        <w:rPr>
          <w:rFonts w:hint="eastAsia" w:ascii="方正仿宋简体" w:hAnsi="方正仿宋简体" w:eastAsia="方正仿宋简体" w:cs="方正仿宋简体"/>
          <w:b/>
          <w:bCs/>
          <w:sz w:val="32"/>
          <w:szCs w:val="32"/>
          <w:highlight w:val="none"/>
        </w:rPr>
        <w:t>无违约历史</w:t>
      </w:r>
      <w:r>
        <w:rPr>
          <w:rFonts w:hint="eastAsia" w:ascii="方正仿宋简体" w:eastAsia="方正仿宋简体" w:cs="仿宋_GB2312"/>
          <w:sz w:val="32"/>
          <w:szCs w:val="32"/>
          <w:highlight w:val="none"/>
        </w:rPr>
        <w:t>（投标人需提供声明，格式自拟，加盖公章）</w:t>
      </w:r>
      <w:r>
        <w:rPr>
          <w:rFonts w:hint="eastAsia" w:ascii="方正仿宋简体" w:eastAsia="方正仿宋简体" w:cs="仿宋_GB2312"/>
          <w:sz w:val="32"/>
          <w:szCs w:val="32"/>
          <w:highlight w:val="none"/>
          <w:lang w:eastAsia="zh-CN"/>
        </w:rPr>
        <w:t>。</w:t>
      </w:r>
    </w:p>
    <w:p w14:paraId="133E8DA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方正仿宋简体" w:eastAsia="方正仿宋简体" w:cs="仿宋_GB2312"/>
          <w:sz w:val="32"/>
          <w:szCs w:val="32"/>
          <w:lang w:eastAsia="zh-CN"/>
        </w:rPr>
      </w:pPr>
      <w:r>
        <w:rPr>
          <w:rFonts w:hint="eastAsia" w:ascii="方正仿宋简体" w:eastAsia="方正仿宋简体" w:cs="仿宋_GB2312"/>
          <w:sz w:val="32"/>
          <w:szCs w:val="32"/>
          <w:highlight w:val="none"/>
        </w:rPr>
        <w:t>3.202</w:t>
      </w:r>
      <w:r>
        <w:rPr>
          <w:rFonts w:hint="eastAsia" w:ascii="方正仿宋简体" w:eastAsia="方正仿宋简体" w:cs="仿宋_GB2312"/>
          <w:sz w:val="32"/>
          <w:szCs w:val="32"/>
          <w:highlight w:val="none"/>
          <w:lang w:val="en-US" w:eastAsia="zh-CN"/>
        </w:rPr>
        <w:t>2</w:t>
      </w:r>
      <w:r>
        <w:rPr>
          <w:rFonts w:hint="eastAsia" w:ascii="方正仿宋简体" w:eastAsia="方正仿宋简体" w:cs="仿宋_GB2312"/>
          <w:sz w:val="32"/>
          <w:szCs w:val="32"/>
          <w:highlight w:val="none"/>
        </w:rPr>
        <w:t>年1月1日至投标日止在经营活动中没有重大违法记录（投标人需提供声明</w:t>
      </w:r>
      <w:r>
        <w:rPr>
          <w:rFonts w:hint="eastAsia" w:ascii="方正仿宋简体" w:eastAsia="方正仿宋简体" w:cs="仿宋_GB2312"/>
          <w:sz w:val="32"/>
          <w:szCs w:val="32"/>
        </w:rPr>
        <w:t>或证明，加盖公章）</w:t>
      </w:r>
      <w:r>
        <w:rPr>
          <w:rFonts w:hint="eastAsia" w:ascii="方正仿宋简体" w:eastAsia="方正仿宋简体" w:cs="仿宋_GB2312"/>
          <w:sz w:val="32"/>
          <w:szCs w:val="32"/>
          <w:lang w:eastAsia="zh-CN"/>
        </w:rPr>
        <w:t>。</w:t>
      </w:r>
    </w:p>
    <w:p w14:paraId="305DFF3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方正仿宋简体" w:eastAsia="方正仿宋简体" w:cs="仿宋_GB2312"/>
          <w:sz w:val="32"/>
          <w:szCs w:val="32"/>
          <w:highlight w:val="none"/>
          <w:lang w:val="zh-CN" w:eastAsia="zh-CN"/>
        </w:rPr>
      </w:pPr>
      <w:r>
        <w:rPr>
          <w:rFonts w:hint="eastAsia" w:ascii="方正仿宋简体" w:hAnsi="方正仿宋简体" w:eastAsia="方正仿宋简体" w:cs="方正仿宋简体"/>
          <w:bCs/>
          <w:sz w:val="32"/>
          <w:szCs w:val="32"/>
          <w:lang w:val="en-US" w:eastAsia="zh-CN"/>
        </w:rPr>
        <w:t>4.</w:t>
      </w:r>
      <w:r>
        <w:rPr>
          <w:rFonts w:hint="eastAsia" w:ascii="方正仿宋简体" w:hAnsi="方正仿宋简体" w:eastAsia="方正仿宋简体" w:cs="方正仿宋简体"/>
          <w:bCs/>
          <w:sz w:val="32"/>
          <w:szCs w:val="32"/>
          <w:lang w:val="zh-CN"/>
        </w:rPr>
        <w:t>投标人需提供</w:t>
      </w:r>
      <w:r>
        <w:rPr>
          <w:rFonts w:hint="eastAsia" w:ascii="方正仿宋简体" w:hAnsi="方正仿宋简体" w:eastAsia="方正仿宋简体" w:cs="方正仿宋简体"/>
          <w:b/>
          <w:sz w:val="32"/>
          <w:szCs w:val="32"/>
        </w:rPr>
        <w:t>3份（含）以上</w:t>
      </w:r>
      <w:r>
        <w:rPr>
          <w:rFonts w:hint="eastAsia" w:ascii="方正仿宋简体" w:hAnsi="方正仿宋简体" w:eastAsia="方正仿宋简体" w:cs="方正仿宋简体"/>
          <w:bCs/>
          <w:sz w:val="32"/>
          <w:szCs w:val="32"/>
          <w:lang w:val="en-US" w:eastAsia="zh-CN"/>
        </w:rPr>
        <w:t>建筑工程</w:t>
      </w:r>
      <w:r>
        <w:rPr>
          <w:rFonts w:hint="eastAsia" w:ascii="方正仿宋简体" w:hAnsi="方正仿宋简体" w:eastAsia="方正仿宋简体" w:cs="方正仿宋简体"/>
          <w:bCs/>
          <w:sz w:val="32"/>
          <w:szCs w:val="32"/>
          <w:lang w:val="zh-CN"/>
        </w:rPr>
        <w:t>施工业绩</w:t>
      </w:r>
      <w:r>
        <w:rPr>
          <w:rFonts w:hint="eastAsia" w:ascii="方正仿宋简体" w:hAnsi="方正仿宋简体" w:eastAsia="方正仿宋简体" w:cs="方正仿宋简体"/>
          <w:bCs/>
          <w:sz w:val="32"/>
          <w:szCs w:val="32"/>
          <w:lang w:val="en-US" w:eastAsia="zh-CN"/>
        </w:rPr>
        <w:t>合同</w:t>
      </w:r>
      <w:r>
        <w:rPr>
          <w:rFonts w:hint="eastAsia" w:ascii="方正仿宋简体" w:hAnsi="方正仿宋简体" w:eastAsia="方正仿宋简体" w:cs="方正仿宋简体"/>
          <w:bCs/>
          <w:sz w:val="32"/>
          <w:szCs w:val="32"/>
          <w:lang w:val="zh-CN"/>
        </w:rPr>
        <w:t>，</w:t>
      </w:r>
      <w:r>
        <w:rPr>
          <w:rFonts w:hint="eastAsia" w:ascii="方正仿宋简体" w:hAnsi="方正仿宋简体" w:eastAsia="方正仿宋简体" w:cs="方正仿宋简体"/>
          <w:b/>
          <w:bCs w:val="0"/>
          <w:sz w:val="32"/>
          <w:szCs w:val="32"/>
          <w:lang w:val="zh-CN"/>
        </w:rPr>
        <w:t>每份业绩合同金额</w:t>
      </w:r>
      <w:r>
        <w:rPr>
          <w:rFonts w:hint="eastAsia" w:ascii="方正仿宋简体" w:hAnsi="方正仿宋简体" w:eastAsia="方正仿宋简体" w:cs="方正仿宋简体"/>
          <w:b/>
          <w:bCs w:val="0"/>
          <w:sz w:val="32"/>
          <w:szCs w:val="32"/>
        </w:rPr>
        <w:t>大于15</w:t>
      </w:r>
      <w:r>
        <w:rPr>
          <w:rFonts w:hint="eastAsia" w:ascii="方正仿宋简体" w:hAnsi="方正仿宋简体" w:eastAsia="方正仿宋简体" w:cs="方正仿宋简体"/>
          <w:b/>
          <w:bCs w:val="0"/>
          <w:sz w:val="32"/>
          <w:szCs w:val="32"/>
          <w:lang w:val="zh-CN"/>
        </w:rPr>
        <w:t>0万元（</w:t>
      </w:r>
      <w:r>
        <w:rPr>
          <w:rFonts w:hint="eastAsia" w:ascii="方正仿宋简体" w:hAnsi="方正仿宋简体" w:eastAsia="方正仿宋简体" w:cs="方正仿宋简体"/>
          <w:b/>
          <w:bCs w:val="0"/>
          <w:sz w:val="32"/>
          <w:szCs w:val="32"/>
          <w:lang w:val="en-US" w:eastAsia="zh-CN"/>
        </w:rPr>
        <w:t>含</w:t>
      </w:r>
      <w:r>
        <w:rPr>
          <w:rFonts w:hint="eastAsia" w:ascii="方正仿宋简体" w:hAnsi="方正仿宋简体" w:eastAsia="方正仿宋简体" w:cs="方正仿宋简体"/>
          <w:b/>
          <w:bCs w:val="0"/>
          <w:sz w:val="32"/>
          <w:szCs w:val="32"/>
          <w:lang w:val="zh-CN"/>
        </w:rPr>
        <w:t>）</w:t>
      </w:r>
      <w:r>
        <w:rPr>
          <w:rFonts w:hint="eastAsia" w:ascii="方正仿宋简体" w:hAnsi="方正仿宋简体" w:eastAsia="方正仿宋简体" w:cs="方正仿宋简体"/>
          <w:bCs/>
          <w:sz w:val="32"/>
          <w:szCs w:val="32"/>
          <w:lang w:val="zh-CN"/>
        </w:rPr>
        <w:t>，</w:t>
      </w:r>
      <w:r>
        <w:rPr>
          <w:rFonts w:hint="eastAsia" w:ascii="方正仿宋简体" w:hAnsi="方正仿宋简体" w:eastAsia="方正仿宋简体" w:cs="方正仿宋简体"/>
          <w:bCs/>
          <w:sz w:val="32"/>
          <w:szCs w:val="32"/>
          <w:highlight w:val="none"/>
          <w:lang w:val="zh-CN"/>
        </w:rPr>
        <w:t>时间从202</w:t>
      </w:r>
      <w:r>
        <w:rPr>
          <w:rFonts w:hint="eastAsia" w:ascii="方正仿宋简体" w:hAnsi="方正仿宋简体" w:eastAsia="方正仿宋简体" w:cs="方正仿宋简体"/>
          <w:bCs/>
          <w:sz w:val="32"/>
          <w:szCs w:val="32"/>
          <w:highlight w:val="none"/>
          <w:lang w:val="en-US" w:eastAsia="zh-CN"/>
        </w:rPr>
        <w:t>1</w:t>
      </w:r>
      <w:r>
        <w:rPr>
          <w:rFonts w:hint="eastAsia" w:ascii="方正仿宋简体" w:hAnsi="方正仿宋简体" w:eastAsia="方正仿宋简体" w:cs="方正仿宋简体"/>
          <w:bCs/>
          <w:sz w:val="32"/>
          <w:szCs w:val="32"/>
          <w:highlight w:val="none"/>
          <w:lang w:val="zh-CN"/>
        </w:rPr>
        <w:t>年1月1</w:t>
      </w:r>
      <w:r>
        <w:rPr>
          <w:rFonts w:hint="eastAsia" w:ascii="方正仿宋简体" w:hAnsi="方正仿宋简体" w:eastAsia="方正仿宋简体" w:cs="方正仿宋简体"/>
          <w:bCs/>
          <w:sz w:val="32"/>
          <w:szCs w:val="32"/>
          <w:lang w:val="zh-CN"/>
        </w:rPr>
        <w:t>日至投标截止日，相关业绩</w:t>
      </w:r>
      <w:r>
        <w:rPr>
          <w:rFonts w:hint="eastAsia" w:ascii="方正仿宋简体" w:hAnsi="方正仿宋简体" w:eastAsia="方正仿宋简体" w:cs="方正仿宋简体"/>
          <w:bCs/>
          <w:sz w:val="32"/>
          <w:szCs w:val="32"/>
        </w:rPr>
        <w:t>证明包括但不限于</w:t>
      </w:r>
      <w:r>
        <w:rPr>
          <w:rFonts w:hint="eastAsia" w:ascii="方正仿宋简体" w:hAnsi="方正仿宋简体" w:eastAsia="方正仿宋简体" w:cs="方正仿宋简体"/>
          <w:bCs/>
          <w:sz w:val="32"/>
          <w:szCs w:val="32"/>
          <w:lang w:val="zh-CN"/>
        </w:rPr>
        <w:t>项目合同首末页、合同价、</w:t>
      </w:r>
      <w:r>
        <w:rPr>
          <w:rFonts w:hint="eastAsia" w:ascii="方正仿宋简体" w:hAnsi="方正仿宋简体" w:eastAsia="方正仿宋简体" w:cs="方正仿宋简体"/>
          <w:bCs/>
          <w:sz w:val="32"/>
          <w:szCs w:val="32"/>
        </w:rPr>
        <w:t>合同内容、</w:t>
      </w:r>
      <w:r>
        <w:rPr>
          <w:rFonts w:hint="eastAsia" w:ascii="方正仿宋简体" w:hAnsi="方正仿宋简体" w:eastAsia="方正仿宋简体" w:cs="方正仿宋简体"/>
          <w:bCs/>
          <w:sz w:val="32"/>
          <w:szCs w:val="32"/>
          <w:lang w:val="zh-CN"/>
        </w:rPr>
        <w:t>合同期限，</w:t>
      </w:r>
      <w:r>
        <w:rPr>
          <w:rFonts w:hint="eastAsia" w:ascii="方正仿宋简体" w:hAnsi="方正仿宋简体" w:eastAsia="方正仿宋简体" w:cs="方正仿宋简体"/>
          <w:b/>
          <w:bCs w:val="0"/>
          <w:sz w:val="32"/>
          <w:szCs w:val="32"/>
          <w:lang w:val="zh-CN"/>
        </w:rPr>
        <w:t>同时须提供与合同相对应竣工验收证明</w:t>
      </w:r>
      <w:r>
        <w:rPr>
          <w:rFonts w:hint="eastAsia" w:ascii="方正仿宋简体" w:hAnsi="方正仿宋简体" w:eastAsia="方正仿宋简体" w:cs="方正仿宋简体"/>
          <w:bCs/>
          <w:sz w:val="32"/>
          <w:szCs w:val="32"/>
          <w:lang w:val="zh-CN"/>
        </w:rPr>
        <w:t>（包含但不限于单位工程竣工验收单、共检单）</w:t>
      </w:r>
      <w:r>
        <w:rPr>
          <w:rFonts w:hint="eastAsia" w:ascii="方正仿宋简体" w:eastAsia="方正仿宋简体" w:cs="仿宋_GB2312"/>
          <w:sz w:val="32"/>
          <w:szCs w:val="32"/>
          <w:highlight w:val="none"/>
          <w:lang w:val="zh-CN"/>
        </w:rPr>
        <w:t>(投标人需提供</w:t>
      </w:r>
      <w:r>
        <w:rPr>
          <w:rFonts w:hint="eastAsia" w:ascii="方正仿宋简体" w:eastAsia="方正仿宋简体" w:cs="仿宋_GB2312"/>
          <w:sz w:val="32"/>
          <w:szCs w:val="32"/>
          <w:highlight w:val="none"/>
        </w:rPr>
        <w:t>相关材料</w:t>
      </w:r>
      <w:r>
        <w:rPr>
          <w:rFonts w:hint="eastAsia" w:ascii="方正仿宋简体" w:eastAsia="方正仿宋简体" w:cs="仿宋_GB2312"/>
          <w:sz w:val="32"/>
          <w:szCs w:val="32"/>
          <w:highlight w:val="none"/>
          <w:lang w:val="zh-CN"/>
        </w:rPr>
        <w:t>复印件并加盖公章)，</w:t>
      </w:r>
      <w:r>
        <w:rPr>
          <w:rFonts w:hint="eastAsia" w:ascii="方正仿宋简体" w:eastAsia="方正仿宋简体" w:cs="仿宋_GB2312"/>
          <w:sz w:val="32"/>
          <w:szCs w:val="32"/>
          <w:highlight w:val="none"/>
        </w:rPr>
        <w:t>提供材料须完整、清晰、整洁</w:t>
      </w:r>
      <w:r>
        <w:rPr>
          <w:rFonts w:hint="eastAsia" w:ascii="方正仿宋简体" w:eastAsia="方正仿宋简体" w:cs="仿宋_GB2312"/>
          <w:b/>
          <w:bCs/>
          <w:sz w:val="32"/>
          <w:szCs w:val="32"/>
          <w:highlight w:val="none"/>
        </w:rPr>
        <w:t>（若经发现证明材料弄虚作假，按废标处理）</w:t>
      </w:r>
      <w:r>
        <w:rPr>
          <w:rFonts w:hint="eastAsia" w:ascii="方正仿宋简体" w:eastAsia="方正仿宋简体" w:cs="仿宋_GB2312"/>
          <w:sz w:val="32"/>
          <w:szCs w:val="32"/>
          <w:highlight w:val="none"/>
          <w:lang w:eastAsia="zh-CN"/>
        </w:rPr>
        <w:t>。</w:t>
      </w:r>
    </w:p>
    <w:p w14:paraId="5B0D4673">
      <w:pPr>
        <w:pStyle w:val="18"/>
        <w:spacing w:line="600" w:lineRule="exact"/>
        <w:ind w:firstLine="640" w:firstLineChars="200"/>
        <w:rPr>
          <w:rFonts w:hint="eastAsia" w:ascii="方正仿宋简体" w:hAnsi="方正仿宋简体" w:eastAsia="方正仿宋简体" w:cs="方正仿宋简体"/>
          <w:b w:val="0"/>
          <w:bCs/>
          <w:spacing w:val="0"/>
          <w:sz w:val="32"/>
          <w:szCs w:val="32"/>
          <w:lang w:eastAsia="zh-CN"/>
        </w:rPr>
      </w:pPr>
      <w:r>
        <w:rPr>
          <w:rFonts w:hint="eastAsia" w:ascii="方正仿宋简体" w:hAnsi="方正仿宋简体" w:eastAsia="方正仿宋简体" w:cs="方正仿宋简体"/>
          <w:b w:val="0"/>
          <w:bCs/>
          <w:spacing w:val="0"/>
          <w:sz w:val="32"/>
          <w:szCs w:val="32"/>
        </w:rPr>
        <w:t>5.需提供该公司安全管理机构设置说明；安全生产许可证（以上资格证明文件均可提供复印件，但需加盖公章）</w:t>
      </w:r>
      <w:r>
        <w:rPr>
          <w:rFonts w:hint="eastAsia" w:ascii="方正仿宋简体" w:hAnsi="方正仿宋简体" w:eastAsia="方正仿宋简体" w:cs="方正仿宋简体"/>
          <w:b w:val="0"/>
          <w:bCs/>
          <w:spacing w:val="0"/>
          <w:sz w:val="32"/>
          <w:szCs w:val="32"/>
          <w:lang w:eastAsia="zh-CN"/>
        </w:rPr>
        <w:t>。</w:t>
      </w:r>
    </w:p>
    <w:p w14:paraId="5884777E">
      <w:pPr>
        <w:pStyle w:val="18"/>
        <w:spacing w:line="600" w:lineRule="exact"/>
        <w:ind w:firstLine="640" w:firstLineChars="200"/>
        <w:rPr>
          <w:rFonts w:ascii="方正仿宋简体" w:hAnsi="方正仿宋简体" w:eastAsia="方正仿宋简体" w:cs="方正仿宋简体"/>
          <w:b w:val="0"/>
          <w:bCs/>
          <w:spacing w:val="0"/>
          <w:sz w:val="32"/>
          <w:szCs w:val="32"/>
        </w:rPr>
      </w:pPr>
      <w:r>
        <w:rPr>
          <w:rFonts w:hint="eastAsia" w:ascii="方正仿宋简体" w:hAnsi="方正仿宋简体" w:eastAsia="方正仿宋简体" w:cs="方正仿宋简体"/>
          <w:b w:val="0"/>
          <w:bCs/>
          <w:spacing w:val="0"/>
          <w:sz w:val="32"/>
          <w:szCs w:val="32"/>
        </w:rPr>
        <w:t>6.</w:t>
      </w:r>
      <w:r>
        <w:rPr>
          <w:rFonts w:hint="eastAsia" w:ascii="方正仿宋简体" w:hAnsi="方正仿宋简体" w:eastAsia="方正仿宋简体" w:cs="方正仿宋简体"/>
          <w:b w:val="0"/>
          <w:bCs/>
          <w:spacing w:val="0"/>
          <w:sz w:val="32"/>
          <w:szCs w:val="32"/>
          <w:lang w:val="zh-CN"/>
        </w:rPr>
        <w:t>提供开标前3个月内中国人民银行征信中心出具的企业信用报告并加盖企业公章。</w:t>
      </w:r>
    </w:p>
    <w:p w14:paraId="588327F7">
      <w:pPr>
        <w:pStyle w:val="18"/>
        <w:spacing w:line="600" w:lineRule="exact"/>
        <w:ind w:firstLine="640" w:firstLineChars="200"/>
        <w:rPr>
          <w:rFonts w:hint="eastAsia" w:ascii="方正仿宋_GBK" w:hAnsi="方正仿宋_GBK" w:eastAsia="方正仿宋简体" w:cs="方正仿宋_GBK"/>
          <w:kern w:val="1"/>
          <w:sz w:val="32"/>
          <w:szCs w:val="32"/>
          <w:lang w:eastAsia="zh-CN"/>
        </w:rPr>
      </w:pPr>
      <w:r>
        <w:rPr>
          <w:rFonts w:hint="eastAsia" w:ascii="方正仿宋简体" w:hAnsi="方正仿宋简体" w:eastAsia="方正仿宋简体" w:cs="方正仿宋简体"/>
          <w:b w:val="0"/>
          <w:bCs/>
          <w:spacing w:val="0"/>
          <w:sz w:val="32"/>
          <w:szCs w:val="32"/>
        </w:rPr>
        <w:t>7.不接受被列入失信被执行人、重大违法案件当事人投标</w:t>
      </w:r>
      <w:r>
        <w:rPr>
          <w:rFonts w:hint="eastAsia" w:ascii="方正仿宋简体" w:hAnsi="方正仿宋简体" w:eastAsia="方正仿宋简体" w:cs="方正仿宋简体"/>
          <w:b w:val="0"/>
          <w:bCs/>
          <w:spacing w:val="0"/>
          <w:sz w:val="32"/>
          <w:szCs w:val="32"/>
          <w:lang w:eastAsia="zh-CN"/>
        </w:rPr>
        <w:t>。</w:t>
      </w:r>
    </w:p>
    <w:p w14:paraId="66DCFA41">
      <w:pPr>
        <w:pStyle w:val="18"/>
        <w:spacing w:line="600" w:lineRule="exact"/>
        <w:ind w:firstLine="640" w:firstLineChars="200"/>
        <w:rPr>
          <w:rFonts w:ascii="方正仿宋简体" w:hAnsi="方正仿宋简体" w:eastAsia="方正仿宋简体" w:cs="方正仿宋简体"/>
          <w:b w:val="0"/>
          <w:bCs/>
          <w:spacing w:val="0"/>
          <w:sz w:val="32"/>
          <w:szCs w:val="32"/>
        </w:rPr>
      </w:pPr>
      <w:r>
        <w:rPr>
          <w:rFonts w:hint="eastAsia" w:ascii="方正仿宋简体" w:hAnsi="方正仿宋简体" w:eastAsia="方正仿宋简体" w:cs="方正仿宋简体"/>
          <w:b w:val="0"/>
          <w:bCs/>
          <w:spacing w:val="0"/>
          <w:sz w:val="32"/>
          <w:szCs w:val="32"/>
        </w:rPr>
        <w:t>8.本项目投标保证金</w:t>
      </w:r>
      <w:r>
        <w:rPr>
          <w:rFonts w:hint="eastAsia" w:ascii="方正仿宋简体" w:hAnsi="方正仿宋简体" w:eastAsia="方正仿宋简体" w:cs="方正仿宋简体"/>
          <w:bCs/>
          <w:spacing w:val="0"/>
          <w:sz w:val="32"/>
          <w:szCs w:val="32"/>
          <w:lang w:val="en-US" w:eastAsia="zh-CN"/>
        </w:rPr>
        <w:t>3</w:t>
      </w:r>
      <w:r>
        <w:rPr>
          <w:rFonts w:hint="eastAsia" w:ascii="方正仿宋简体" w:hAnsi="方正仿宋简体" w:eastAsia="方正仿宋简体" w:cs="方正仿宋简体"/>
          <w:bCs/>
          <w:spacing w:val="0"/>
          <w:sz w:val="32"/>
          <w:szCs w:val="32"/>
        </w:rPr>
        <w:t>万元</w:t>
      </w:r>
      <w:r>
        <w:rPr>
          <w:rFonts w:hint="eastAsia" w:ascii="方正仿宋简体" w:hAnsi="方正仿宋简体" w:eastAsia="方正仿宋简体" w:cs="方正仿宋简体"/>
          <w:b w:val="0"/>
          <w:bCs/>
          <w:spacing w:val="0"/>
          <w:sz w:val="32"/>
          <w:szCs w:val="32"/>
        </w:rPr>
        <w:t>整，请</w:t>
      </w:r>
      <w:r>
        <w:rPr>
          <w:rFonts w:hint="eastAsia" w:ascii="方正仿宋简体" w:hAnsi="方正仿宋简体" w:eastAsia="方正仿宋简体" w:cs="方正仿宋简体"/>
          <w:b w:val="0"/>
          <w:bCs/>
          <w:spacing w:val="0"/>
          <w:sz w:val="32"/>
          <w:szCs w:val="32"/>
          <w:lang w:eastAsia="zh-CN"/>
        </w:rPr>
        <w:t>投标人</w:t>
      </w:r>
      <w:r>
        <w:rPr>
          <w:rFonts w:hint="eastAsia" w:ascii="方正仿宋简体" w:hAnsi="方正仿宋简体" w:eastAsia="方正仿宋简体" w:cs="方正仿宋简体"/>
          <w:b w:val="0"/>
          <w:bCs/>
          <w:spacing w:val="0"/>
          <w:sz w:val="32"/>
          <w:szCs w:val="32"/>
        </w:rPr>
        <w:t>按以下方式及时缴纳投标保证金，作为其投标文件的组成部分：</w:t>
      </w:r>
    </w:p>
    <w:p w14:paraId="759FE187">
      <w:pPr>
        <w:pStyle w:val="18"/>
        <w:spacing w:line="600" w:lineRule="exact"/>
        <w:ind w:firstLine="640" w:firstLineChars="200"/>
        <w:rPr>
          <w:rFonts w:ascii="方正仿宋简体" w:hAnsi="方正仿宋简体" w:eastAsia="方正仿宋简体" w:cs="方正仿宋简体"/>
          <w:b w:val="0"/>
          <w:bCs/>
          <w:spacing w:val="0"/>
          <w:sz w:val="32"/>
          <w:szCs w:val="32"/>
        </w:rPr>
      </w:pPr>
      <w:r>
        <w:rPr>
          <w:rFonts w:hint="eastAsia" w:ascii="方正仿宋简体" w:hAnsi="方正仿宋简体" w:eastAsia="方正仿宋简体" w:cs="方正仿宋简体"/>
          <w:b w:val="0"/>
          <w:bCs/>
          <w:spacing w:val="0"/>
          <w:sz w:val="32"/>
          <w:szCs w:val="32"/>
        </w:rPr>
        <w:t>（1）投标保证金的形式：银行汇票、网银转账、电汇等。</w:t>
      </w:r>
    </w:p>
    <w:p w14:paraId="5880D767">
      <w:pPr>
        <w:pStyle w:val="18"/>
        <w:spacing w:line="600" w:lineRule="exact"/>
        <w:ind w:firstLine="640" w:firstLineChars="200"/>
        <w:rPr>
          <w:rFonts w:ascii="方正仿宋简体" w:hAnsi="方正仿宋简体" w:eastAsia="方正仿宋简体" w:cs="方正仿宋简体"/>
          <w:b w:val="0"/>
          <w:bCs/>
          <w:spacing w:val="0"/>
          <w:sz w:val="32"/>
          <w:szCs w:val="32"/>
        </w:rPr>
      </w:pPr>
      <w:r>
        <w:rPr>
          <w:rFonts w:hint="eastAsia" w:ascii="方正仿宋简体" w:hAnsi="方正仿宋简体" w:eastAsia="方正仿宋简体" w:cs="方正仿宋简体"/>
          <w:b w:val="0"/>
          <w:bCs/>
          <w:spacing w:val="0"/>
          <w:sz w:val="32"/>
          <w:szCs w:val="32"/>
        </w:rPr>
        <w:t>（2）投标保证金的递交截止时间：投标文件递交截止时间前，以到账时间为准。</w:t>
      </w:r>
    </w:p>
    <w:p w14:paraId="69EB6C2C">
      <w:pPr>
        <w:pStyle w:val="18"/>
        <w:spacing w:line="600" w:lineRule="exact"/>
        <w:ind w:firstLine="640" w:firstLineChars="200"/>
        <w:rPr>
          <w:rFonts w:ascii="方正仿宋简体" w:hAnsi="方正仿宋简体" w:eastAsia="方正仿宋简体" w:cs="方正仿宋简体"/>
          <w:b w:val="0"/>
          <w:bCs/>
          <w:spacing w:val="0"/>
          <w:sz w:val="32"/>
          <w:szCs w:val="32"/>
        </w:rPr>
      </w:pPr>
      <w:r>
        <w:rPr>
          <w:rFonts w:hint="eastAsia" w:ascii="方正仿宋简体" w:hAnsi="方正仿宋简体" w:eastAsia="方正仿宋简体" w:cs="方正仿宋简体"/>
          <w:b w:val="0"/>
          <w:bCs/>
          <w:spacing w:val="0"/>
          <w:sz w:val="32"/>
          <w:szCs w:val="32"/>
        </w:rPr>
        <w:t>（3）投标保证金帐户信息（提交时注明项目名称及单位名称）：</w:t>
      </w:r>
    </w:p>
    <w:p w14:paraId="2FF8E3F0">
      <w:pPr>
        <w:pStyle w:val="18"/>
        <w:spacing w:line="600" w:lineRule="exact"/>
        <w:ind w:firstLine="640" w:firstLineChars="200"/>
        <w:rPr>
          <w:rFonts w:ascii="方正仿宋简体" w:hAnsi="方正仿宋简体" w:eastAsia="方正仿宋简体" w:cs="方正仿宋简体"/>
          <w:b w:val="0"/>
          <w:bCs/>
          <w:spacing w:val="0"/>
          <w:sz w:val="32"/>
          <w:szCs w:val="32"/>
        </w:rPr>
      </w:pPr>
      <w:r>
        <w:rPr>
          <w:rFonts w:hint="eastAsia" w:ascii="方正仿宋简体" w:hAnsi="方正仿宋简体" w:eastAsia="方正仿宋简体" w:cs="方正仿宋简体"/>
          <w:b w:val="0"/>
          <w:bCs/>
          <w:spacing w:val="0"/>
          <w:sz w:val="32"/>
          <w:szCs w:val="32"/>
        </w:rPr>
        <w:t>单位名称：镇江海纳川物流产业发展有限责任公司</w:t>
      </w:r>
    </w:p>
    <w:p w14:paraId="6E58779C">
      <w:pPr>
        <w:pStyle w:val="18"/>
        <w:spacing w:line="600" w:lineRule="exact"/>
        <w:ind w:firstLine="640" w:firstLineChars="200"/>
        <w:rPr>
          <w:rFonts w:ascii="方正仿宋简体" w:hAnsi="方正仿宋简体" w:eastAsia="方正仿宋简体" w:cs="方正仿宋简体"/>
          <w:b w:val="0"/>
          <w:bCs/>
          <w:spacing w:val="0"/>
          <w:sz w:val="32"/>
          <w:szCs w:val="32"/>
        </w:rPr>
      </w:pPr>
      <w:r>
        <w:rPr>
          <w:rFonts w:hint="eastAsia" w:ascii="方正仿宋简体" w:hAnsi="方正仿宋简体" w:eastAsia="方正仿宋简体" w:cs="方正仿宋简体"/>
          <w:b w:val="0"/>
          <w:bCs/>
          <w:spacing w:val="0"/>
          <w:sz w:val="32"/>
          <w:szCs w:val="32"/>
        </w:rPr>
        <w:t>开户银行：镇江市工商银行谏壁支行</w:t>
      </w:r>
    </w:p>
    <w:p w14:paraId="35033CE2">
      <w:pPr>
        <w:pStyle w:val="18"/>
        <w:spacing w:line="600" w:lineRule="exact"/>
        <w:ind w:firstLine="640" w:firstLineChars="200"/>
        <w:rPr>
          <w:rFonts w:ascii="方正仿宋简体" w:hAnsi="方正仿宋简体" w:eastAsia="方正仿宋简体" w:cs="方正仿宋简体"/>
          <w:b w:val="0"/>
          <w:bCs/>
          <w:spacing w:val="0"/>
          <w:sz w:val="32"/>
          <w:szCs w:val="32"/>
        </w:rPr>
      </w:pPr>
      <w:r>
        <w:rPr>
          <w:rFonts w:hint="eastAsia" w:ascii="方正仿宋简体" w:hAnsi="方正仿宋简体" w:eastAsia="方正仿宋简体" w:cs="方正仿宋简体"/>
          <w:b w:val="0"/>
          <w:bCs/>
          <w:spacing w:val="0"/>
          <w:sz w:val="32"/>
          <w:szCs w:val="32"/>
        </w:rPr>
        <w:t>帐    号：1104070309000001648</w:t>
      </w:r>
    </w:p>
    <w:p w14:paraId="0AF88794">
      <w:pPr>
        <w:pStyle w:val="18"/>
        <w:spacing w:line="600" w:lineRule="exact"/>
        <w:ind w:firstLine="640" w:firstLineChars="200"/>
        <w:rPr>
          <w:rFonts w:ascii="方正仿宋简体" w:hAnsi="方正仿宋简体" w:eastAsia="方正仿宋简体" w:cs="方正仿宋简体"/>
          <w:b w:val="0"/>
          <w:bCs/>
          <w:spacing w:val="0"/>
          <w:sz w:val="32"/>
          <w:szCs w:val="32"/>
        </w:rPr>
      </w:pPr>
      <w:r>
        <w:rPr>
          <w:rFonts w:hint="eastAsia" w:ascii="方正仿宋简体" w:hAnsi="方正仿宋简体" w:eastAsia="方正仿宋简体" w:cs="方正仿宋简体"/>
          <w:b w:val="0"/>
          <w:bCs/>
          <w:spacing w:val="0"/>
          <w:sz w:val="32"/>
          <w:szCs w:val="32"/>
        </w:rPr>
        <w:t>特别提醒：请各投标人注意银行转账时间差，及时缴纳投标保证金。银行汇款方式的汇款附言（或银行摘要）中标明项目名称及单位名称。因附言信息有误导致保证金无法查询的，由投标人自行承担后果。</w:t>
      </w:r>
    </w:p>
    <w:p w14:paraId="1212C0FD">
      <w:pPr>
        <w:pStyle w:val="18"/>
        <w:spacing w:line="600" w:lineRule="exact"/>
        <w:ind w:firstLine="640" w:firstLineChars="200"/>
        <w:rPr>
          <w:rFonts w:ascii="方正仿宋简体" w:hAnsi="方正仿宋简体" w:eastAsia="方正仿宋简体" w:cs="方正仿宋简体"/>
          <w:b w:val="0"/>
          <w:bCs/>
          <w:spacing w:val="0"/>
          <w:sz w:val="32"/>
          <w:szCs w:val="32"/>
        </w:rPr>
      </w:pPr>
      <w:r>
        <w:rPr>
          <w:rFonts w:hint="eastAsia" w:ascii="方正仿宋简体" w:hAnsi="方正仿宋简体" w:eastAsia="方正仿宋简体" w:cs="方正仿宋简体"/>
          <w:b w:val="0"/>
          <w:bCs/>
          <w:spacing w:val="0"/>
          <w:sz w:val="32"/>
          <w:szCs w:val="32"/>
        </w:rPr>
        <w:t>8.1投标人不按以上要求提交投标保证金的，其投标文件作废标处理。</w:t>
      </w:r>
    </w:p>
    <w:p w14:paraId="45B78CA6">
      <w:pPr>
        <w:pStyle w:val="18"/>
        <w:spacing w:line="600" w:lineRule="exact"/>
        <w:ind w:firstLine="640" w:firstLineChars="200"/>
        <w:rPr>
          <w:rFonts w:ascii="方正仿宋简体" w:hAnsi="方正仿宋简体" w:eastAsia="方正仿宋简体" w:cs="方正仿宋简体"/>
          <w:b w:val="0"/>
          <w:bCs/>
          <w:spacing w:val="0"/>
          <w:sz w:val="32"/>
          <w:szCs w:val="32"/>
        </w:rPr>
      </w:pPr>
      <w:r>
        <w:rPr>
          <w:rFonts w:hint="eastAsia" w:ascii="方正仿宋简体" w:hAnsi="方正仿宋简体" w:eastAsia="方正仿宋简体" w:cs="方正仿宋简体"/>
          <w:b w:val="0"/>
          <w:bCs/>
          <w:spacing w:val="0"/>
          <w:sz w:val="32"/>
          <w:szCs w:val="32"/>
        </w:rPr>
        <w:t>8.2中标通知书发出后30日内，向未中标的投标人退还保证金；</w:t>
      </w:r>
      <w:r>
        <w:rPr>
          <w:rFonts w:hint="eastAsia" w:ascii="方正仿宋简体" w:hAnsi="方正仿宋简体" w:eastAsia="方正仿宋简体" w:cs="方正仿宋简体"/>
          <w:b w:val="0"/>
          <w:bCs/>
          <w:spacing w:val="0"/>
          <w:sz w:val="32"/>
          <w:szCs w:val="32"/>
          <w:lang w:eastAsia="zh-CN"/>
        </w:rPr>
        <w:t>招标人</w:t>
      </w:r>
      <w:r>
        <w:rPr>
          <w:rFonts w:hint="eastAsia" w:ascii="方正仿宋简体" w:hAnsi="方正仿宋简体" w:eastAsia="方正仿宋简体" w:cs="方正仿宋简体"/>
          <w:b w:val="0"/>
          <w:bCs/>
          <w:spacing w:val="0"/>
          <w:sz w:val="32"/>
          <w:szCs w:val="32"/>
        </w:rPr>
        <w:t>与中标方签订合同并缴纳安全风险抵押</w:t>
      </w:r>
      <w:r>
        <w:rPr>
          <w:rFonts w:hint="eastAsia" w:ascii="方正仿宋简体" w:hAnsi="方正仿宋简体" w:eastAsia="方正仿宋简体" w:cs="方正仿宋简体"/>
          <w:b w:val="0"/>
          <w:bCs/>
          <w:spacing w:val="0"/>
          <w:sz w:val="32"/>
          <w:szCs w:val="32"/>
          <w:highlight w:val="none"/>
        </w:rPr>
        <w:t>金</w:t>
      </w:r>
      <w:r>
        <w:rPr>
          <w:rFonts w:hint="eastAsia" w:ascii="方正仿宋简体" w:hAnsi="方正仿宋简体" w:eastAsia="方正仿宋简体" w:cs="方正仿宋简体"/>
          <w:b w:val="0"/>
          <w:bCs/>
          <w:spacing w:val="0"/>
          <w:sz w:val="32"/>
          <w:szCs w:val="32"/>
        </w:rPr>
        <w:t>后30日内，向中标人退还投标保证金。投标人逾期未来退还投标保证金的，招标人将不支付资金占用费。</w:t>
      </w:r>
    </w:p>
    <w:p w14:paraId="62071380">
      <w:pPr>
        <w:pStyle w:val="18"/>
        <w:spacing w:line="600" w:lineRule="exact"/>
        <w:ind w:firstLine="640" w:firstLineChars="200"/>
        <w:rPr>
          <w:rFonts w:ascii="方正仿宋简体" w:hAnsi="方正仿宋简体" w:eastAsia="方正仿宋简体" w:cs="方正仿宋简体"/>
          <w:b w:val="0"/>
          <w:bCs/>
          <w:spacing w:val="0"/>
          <w:sz w:val="32"/>
          <w:szCs w:val="32"/>
        </w:rPr>
      </w:pPr>
      <w:r>
        <w:rPr>
          <w:rFonts w:hint="eastAsia" w:ascii="方正仿宋简体" w:hAnsi="方正仿宋简体" w:eastAsia="方正仿宋简体" w:cs="方正仿宋简体"/>
          <w:b w:val="0"/>
          <w:bCs/>
          <w:spacing w:val="0"/>
          <w:sz w:val="32"/>
          <w:szCs w:val="32"/>
        </w:rPr>
        <w:t>8.3有下列情形之一的，投标保证金将不予退还：</w:t>
      </w:r>
    </w:p>
    <w:p w14:paraId="43020C96">
      <w:pPr>
        <w:pStyle w:val="18"/>
        <w:spacing w:line="600" w:lineRule="exact"/>
        <w:ind w:firstLine="640" w:firstLineChars="200"/>
        <w:rPr>
          <w:rFonts w:hint="eastAsia" w:ascii="方正仿宋简体" w:hAnsi="方正仿宋简体" w:eastAsia="方正仿宋简体" w:cs="方正仿宋简体"/>
          <w:b w:val="0"/>
          <w:bCs/>
          <w:spacing w:val="0"/>
          <w:sz w:val="32"/>
          <w:szCs w:val="32"/>
          <w:lang w:eastAsia="zh-CN"/>
        </w:rPr>
      </w:pPr>
      <w:r>
        <w:rPr>
          <w:rFonts w:hint="eastAsia" w:ascii="方正仿宋简体" w:hAnsi="方正仿宋简体" w:eastAsia="方正仿宋简体" w:cs="方正仿宋简体"/>
          <w:b w:val="0"/>
          <w:bCs/>
          <w:spacing w:val="0"/>
          <w:sz w:val="32"/>
          <w:szCs w:val="32"/>
        </w:rPr>
        <w:t>（1）投标人在规定的投标有效期内撤销投标文件或中途退出投标活动</w:t>
      </w:r>
      <w:r>
        <w:rPr>
          <w:rFonts w:hint="eastAsia" w:ascii="方正仿宋简体" w:hAnsi="方正仿宋简体" w:eastAsia="方正仿宋简体" w:cs="方正仿宋简体"/>
          <w:b w:val="0"/>
          <w:bCs/>
          <w:spacing w:val="0"/>
          <w:sz w:val="32"/>
          <w:szCs w:val="32"/>
          <w:lang w:eastAsia="zh-CN"/>
        </w:rPr>
        <w:t>。</w:t>
      </w:r>
    </w:p>
    <w:p w14:paraId="2C508FE1">
      <w:pPr>
        <w:pStyle w:val="18"/>
        <w:spacing w:line="600" w:lineRule="exact"/>
        <w:ind w:firstLine="640" w:firstLineChars="200"/>
        <w:rPr>
          <w:rFonts w:hint="eastAsia" w:ascii="方正仿宋简体" w:hAnsi="方正仿宋简体" w:eastAsia="方正仿宋简体" w:cs="方正仿宋简体"/>
          <w:b w:val="0"/>
          <w:bCs/>
          <w:spacing w:val="0"/>
          <w:sz w:val="32"/>
          <w:szCs w:val="32"/>
          <w:lang w:eastAsia="zh-CN"/>
        </w:rPr>
      </w:pPr>
      <w:r>
        <w:rPr>
          <w:rFonts w:hint="eastAsia" w:ascii="方正仿宋简体" w:hAnsi="方正仿宋简体" w:eastAsia="方正仿宋简体" w:cs="方正仿宋简体"/>
          <w:b w:val="0"/>
          <w:bCs/>
          <w:spacing w:val="0"/>
          <w:sz w:val="32"/>
          <w:szCs w:val="32"/>
        </w:rPr>
        <w:t>（2）中标人在收到中标通知书后，无正当理由拒签合同协议书或在签订合同时提出附加条件的</w:t>
      </w:r>
      <w:r>
        <w:rPr>
          <w:rFonts w:hint="eastAsia" w:ascii="方正仿宋简体" w:hAnsi="方正仿宋简体" w:eastAsia="方正仿宋简体" w:cs="方正仿宋简体"/>
          <w:b w:val="0"/>
          <w:bCs/>
          <w:spacing w:val="0"/>
          <w:sz w:val="32"/>
          <w:szCs w:val="32"/>
          <w:lang w:eastAsia="zh-CN"/>
        </w:rPr>
        <w:t>。</w:t>
      </w:r>
    </w:p>
    <w:p w14:paraId="72673FF9">
      <w:pPr>
        <w:pStyle w:val="18"/>
        <w:spacing w:line="600" w:lineRule="exact"/>
        <w:ind w:firstLine="640" w:firstLineChars="200"/>
        <w:rPr>
          <w:rFonts w:ascii="方正仿宋简体" w:hAnsi="方正仿宋简体" w:eastAsia="方正仿宋简体" w:cs="方正仿宋简体"/>
          <w:b w:val="0"/>
          <w:bCs/>
          <w:spacing w:val="0"/>
          <w:sz w:val="32"/>
          <w:szCs w:val="32"/>
        </w:rPr>
      </w:pPr>
      <w:r>
        <w:rPr>
          <w:rFonts w:hint="eastAsia" w:ascii="方正仿宋简体" w:hAnsi="方正仿宋简体" w:eastAsia="方正仿宋简体" w:cs="方正仿宋简体"/>
          <w:b w:val="0"/>
          <w:bCs/>
          <w:spacing w:val="0"/>
          <w:sz w:val="32"/>
          <w:szCs w:val="32"/>
        </w:rPr>
        <w:t>（3）投标人以他人名义投标、串通投标、提交虚假材料、以行贿手段或其他弄虚作假方式谋取中标的。</w:t>
      </w:r>
    </w:p>
    <w:p w14:paraId="0E655741">
      <w:pPr>
        <w:pStyle w:val="18"/>
        <w:spacing w:line="600" w:lineRule="exact"/>
        <w:ind w:firstLine="640" w:firstLineChars="200"/>
        <w:rPr>
          <w:rFonts w:hint="eastAsia" w:ascii="方正仿宋简体" w:hAnsi="方正仿宋简体" w:eastAsia="方正仿宋简体" w:cs="方正仿宋简体"/>
          <w:b w:val="0"/>
          <w:bCs/>
          <w:spacing w:val="0"/>
          <w:sz w:val="32"/>
          <w:szCs w:val="32"/>
          <w:lang w:eastAsia="zh-CN"/>
        </w:rPr>
      </w:pPr>
      <w:r>
        <w:rPr>
          <w:rFonts w:hint="eastAsia" w:ascii="方正仿宋简体" w:hAnsi="方正仿宋简体" w:eastAsia="方正仿宋简体" w:cs="方正仿宋简体"/>
          <w:b w:val="0"/>
          <w:bCs/>
          <w:spacing w:val="0"/>
          <w:sz w:val="32"/>
          <w:szCs w:val="32"/>
        </w:rPr>
        <w:t>9.投标人必须</w:t>
      </w:r>
      <w:r>
        <w:rPr>
          <w:rFonts w:hint="eastAsia" w:ascii="方正仿宋简体" w:hAnsi="方正仿宋简体" w:eastAsia="方正仿宋简体" w:cs="方正仿宋简体"/>
          <w:b/>
          <w:bCs w:val="0"/>
          <w:spacing w:val="0"/>
          <w:sz w:val="32"/>
          <w:szCs w:val="32"/>
        </w:rPr>
        <w:t>参加</w:t>
      </w:r>
      <w:r>
        <w:rPr>
          <w:rFonts w:hint="eastAsia" w:ascii="方正仿宋简体" w:hAnsi="方正仿宋简体" w:eastAsia="方正仿宋简体" w:cs="方正仿宋简体"/>
          <w:b/>
          <w:bCs w:val="0"/>
          <w:spacing w:val="0"/>
          <w:sz w:val="32"/>
          <w:szCs w:val="32"/>
          <w:lang w:val="en-US" w:eastAsia="zh-CN"/>
        </w:rPr>
        <w:t>招标人统一组织的</w:t>
      </w:r>
      <w:r>
        <w:rPr>
          <w:rFonts w:hint="eastAsia" w:ascii="方正仿宋简体" w:hAnsi="方正仿宋简体" w:eastAsia="方正仿宋简体" w:cs="方正仿宋简体"/>
          <w:b/>
          <w:bCs w:val="0"/>
          <w:spacing w:val="0"/>
          <w:sz w:val="32"/>
          <w:szCs w:val="32"/>
        </w:rPr>
        <w:t>现场踏勘</w:t>
      </w:r>
      <w:r>
        <w:rPr>
          <w:rFonts w:hint="eastAsia" w:ascii="方正仿宋简体" w:hAnsi="方正仿宋简体" w:eastAsia="方正仿宋简体" w:cs="方正仿宋简体"/>
          <w:b w:val="0"/>
          <w:bCs/>
          <w:spacing w:val="0"/>
          <w:sz w:val="32"/>
          <w:szCs w:val="32"/>
        </w:rPr>
        <w:t>，否则判为无效投标，组织时间等详见（四、现场踏勘）</w:t>
      </w:r>
      <w:r>
        <w:rPr>
          <w:rFonts w:hint="eastAsia" w:ascii="方正仿宋简体" w:hAnsi="方正仿宋简体" w:eastAsia="方正仿宋简体" w:cs="方正仿宋简体"/>
          <w:b w:val="0"/>
          <w:bCs/>
          <w:spacing w:val="0"/>
          <w:sz w:val="32"/>
          <w:szCs w:val="32"/>
          <w:lang w:eastAsia="zh-CN"/>
        </w:rPr>
        <w:t>。</w:t>
      </w:r>
    </w:p>
    <w:p w14:paraId="141C6265">
      <w:pPr>
        <w:adjustRightInd w:val="0"/>
        <w:snapToGrid w:val="0"/>
        <w:spacing w:line="600" w:lineRule="exact"/>
        <w:ind w:firstLine="640" w:firstLineChars="200"/>
        <w:jc w:val="left"/>
        <w:rPr>
          <w:rFonts w:ascii="方正黑体_GBK" w:hAnsi="方正黑体_GBK" w:eastAsia="方正黑体_GBK" w:cs="方正黑体_GBK"/>
          <w:sz w:val="32"/>
          <w:szCs w:val="32"/>
        </w:rPr>
      </w:pPr>
      <w:r>
        <w:rPr>
          <w:rFonts w:hint="eastAsia" w:ascii="方正仿宋_GBK" w:hAnsi="方正仿宋_GBK" w:eastAsia="方正仿宋_GBK" w:cs="方正仿宋_GBK"/>
          <w:sz w:val="32"/>
          <w:szCs w:val="32"/>
        </w:rPr>
        <w:t>10.</w:t>
      </w:r>
      <w:r>
        <w:rPr>
          <w:rFonts w:hint="eastAsia" w:ascii="方正仿宋_GBK" w:hAnsi="方正仿宋_GBK" w:eastAsia="方正仿宋_GBK" w:cs="方正仿宋_GBK"/>
          <w:b/>
          <w:kern w:val="1"/>
          <w:sz w:val="30"/>
          <w:szCs w:val="30"/>
        </w:rPr>
        <w:t>本次招标不接受联合体、合作体投标。</w:t>
      </w:r>
    </w:p>
    <w:p w14:paraId="258C5BDA">
      <w:pPr>
        <w:pStyle w:val="19"/>
        <w:spacing w:line="60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四、现场踏勘</w:t>
      </w:r>
    </w:p>
    <w:p w14:paraId="46339796">
      <w:pPr>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kern w:val="1"/>
          <w:sz w:val="32"/>
          <w:szCs w:val="32"/>
        </w:rPr>
        <w:t>（一）</w:t>
      </w:r>
      <w:r>
        <w:rPr>
          <w:rFonts w:hint="eastAsia" w:ascii="方正仿宋简体" w:hAnsi="方正仿宋简体" w:eastAsia="方正仿宋简体" w:cs="方正仿宋简体"/>
          <w:kern w:val="1"/>
          <w:sz w:val="32"/>
          <w:szCs w:val="32"/>
        </w:rPr>
        <w:t>对实地踏勘的投标人，招标人将做好踏勘记录（详见附件1：现场踏勘证明书）。</w:t>
      </w:r>
    </w:p>
    <w:p w14:paraId="46B3C34B">
      <w:pPr>
        <w:spacing w:line="600" w:lineRule="exact"/>
        <w:ind w:firstLine="640" w:firstLineChars="200"/>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kern w:val="1"/>
          <w:sz w:val="32"/>
          <w:szCs w:val="32"/>
        </w:rPr>
        <w:t>（二）</w:t>
      </w:r>
      <w:r>
        <w:rPr>
          <w:rFonts w:hint="eastAsia" w:ascii="方正仿宋简体" w:hAnsi="方正仿宋简体" w:eastAsia="方正仿宋简体" w:cs="方正仿宋简体"/>
          <w:kern w:val="1"/>
          <w:sz w:val="32"/>
          <w:szCs w:val="32"/>
        </w:rPr>
        <w:t>现场踏勘后对投标人所提问题的澄清（如果有），招标人在投标截止时间前1天，通知所有报名的投标人。该澄清内容为招标文件的组成部分。本项目由于施工环境的复杂性，投标人应认真踏勘并承担踏勘不实所产生的一切后果。</w:t>
      </w:r>
    </w:p>
    <w:p w14:paraId="00B8AECF">
      <w:pPr>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kern w:val="1"/>
          <w:sz w:val="32"/>
          <w:szCs w:val="32"/>
        </w:rPr>
        <w:t>（三）</w:t>
      </w:r>
      <w:r>
        <w:rPr>
          <w:rFonts w:hint="eastAsia" w:ascii="方正仿宋简体" w:hAnsi="方正仿宋简体" w:eastAsia="方正仿宋简体" w:cs="方正仿宋简体"/>
          <w:kern w:val="1"/>
          <w:sz w:val="32"/>
          <w:szCs w:val="32"/>
        </w:rPr>
        <w:t>凡来我公司现场踏勘人员需按照我公司的相关规定进行有关安全规定及安全注意事项的培训教育。</w:t>
      </w:r>
    </w:p>
    <w:p w14:paraId="401C16A0">
      <w:pPr>
        <w:pStyle w:val="19"/>
        <w:spacing w:line="600" w:lineRule="exact"/>
        <w:ind w:firstLine="643" w:firstLineChars="200"/>
        <w:rPr>
          <w:rFonts w:hint="default" w:ascii="方正黑体_GBK" w:hAnsi="方正黑体_GBK" w:eastAsia="方正仿宋简体" w:cs="方正黑体_GBK"/>
          <w:b/>
          <w:bCs/>
          <w:kern w:val="1"/>
          <w:sz w:val="32"/>
          <w:szCs w:val="32"/>
          <w:highlight w:val="yellow"/>
          <w:lang w:val="en-US" w:eastAsia="zh-CN"/>
        </w:rPr>
      </w:pPr>
      <w:r>
        <w:rPr>
          <w:rFonts w:hint="eastAsia" w:ascii="方正楷体_GBK" w:hAnsi="方正楷体_GBK" w:eastAsia="方正楷体_GBK" w:cs="方正楷体_GBK"/>
          <w:b/>
          <w:bCs/>
          <w:kern w:val="1"/>
          <w:sz w:val="32"/>
          <w:szCs w:val="32"/>
          <w:highlight w:val="yellow"/>
        </w:rPr>
        <w:t>（四）</w:t>
      </w:r>
      <w:r>
        <w:rPr>
          <w:rFonts w:hint="eastAsia" w:ascii="方正仿宋简体" w:hAnsi="方正仿宋简体" w:eastAsia="方正仿宋简体" w:cs="方正仿宋简体"/>
          <w:b/>
          <w:bCs/>
          <w:kern w:val="1"/>
          <w:sz w:val="32"/>
          <w:szCs w:val="32"/>
          <w:highlight w:val="yellow"/>
        </w:rPr>
        <w:t>踏勘时间：2025年1月2</w:t>
      </w:r>
      <w:r>
        <w:rPr>
          <w:rFonts w:hint="eastAsia" w:ascii="方正仿宋简体" w:hAnsi="方正仿宋简体" w:eastAsia="方正仿宋简体" w:cs="方正仿宋简体"/>
          <w:b/>
          <w:bCs/>
          <w:kern w:val="1"/>
          <w:sz w:val="32"/>
          <w:szCs w:val="32"/>
          <w:highlight w:val="yellow"/>
          <w:lang w:val="en-US" w:eastAsia="zh-CN"/>
        </w:rPr>
        <w:t>2</w:t>
      </w:r>
      <w:r>
        <w:rPr>
          <w:rFonts w:hint="eastAsia" w:ascii="方正仿宋简体" w:hAnsi="方正仿宋简体" w:eastAsia="方正仿宋简体" w:cs="方正仿宋简体"/>
          <w:b/>
          <w:bCs/>
          <w:kern w:val="1"/>
          <w:sz w:val="32"/>
          <w:szCs w:val="32"/>
          <w:highlight w:val="yellow"/>
        </w:rPr>
        <w:t>日</w:t>
      </w:r>
      <w:r>
        <w:rPr>
          <w:rFonts w:hint="eastAsia" w:ascii="方正仿宋简体" w:hAnsi="方正仿宋简体" w:eastAsia="方正仿宋简体" w:cs="方正仿宋简体"/>
          <w:b/>
          <w:bCs/>
          <w:kern w:val="1"/>
          <w:sz w:val="32"/>
          <w:szCs w:val="32"/>
          <w:highlight w:val="yellow"/>
          <w:lang w:val="en-US" w:eastAsia="zh-CN"/>
        </w:rPr>
        <w:t>13：30</w:t>
      </w:r>
    </w:p>
    <w:p w14:paraId="78B31B35">
      <w:pPr>
        <w:pStyle w:val="19"/>
        <w:spacing w:line="60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五、开标、评标及废标：</w:t>
      </w:r>
    </w:p>
    <w:p w14:paraId="7E2C4A1C">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（一）</w:t>
      </w:r>
      <w:r>
        <w:rPr>
          <w:rFonts w:hint="eastAsia" w:ascii="方正仿宋简体" w:hAnsi="方正仿宋简体" w:eastAsia="方正仿宋简体" w:cs="方正仿宋简体"/>
          <w:bCs/>
          <w:kern w:val="1"/>
          <w:sz w:val="32"/>
          <w:szCs w:val="32"/>
        </w:rPr>
        <w:t>开标</w:t>
      </w:r>
    </w:p>
    <w:p w14:paraId="74D1D27F">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本项目由招标人组织评标小组负责开标工作，对各投标人报价进行评标，确定最终中标人。</w:t>
      </w:r>
    </w:p>
    <w:p w14:paraId="4547BF00">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1.请各投标人保持通讯畅通，便于</w:t>
      </w:r>
      <w:r>
        <w:rPr>
          <w:rFonts w:hint="eastAsia" w:ascii="方正仿宋简体" w:hAnsi="方正仿宋简体" w:eastAsia="方正仿宋简体" w:cs="方正仿宋简体"/>
          <w:kern w:val="1"/>
          <w:sz w:val="32"/>
          <w:szCs w:val="32"/>
        </w:rPr>
        <w:t>评标小组在开标现场电话联系</w:t>
      </w:r>
      <w:r>
        <w:rPr>
          <w:rFonts w:hint="eastAsia" w:ascii="方正仿宋简体" w:hAnsi="方正仿宋简体" w:eastAsia="方正仿宋简体" w:cs="方正仿宋简体"/>
          <w:bCs/>
          <w:kern w:val="1"/>
          <w:sz w:val="32"/>
          <w:szCs w:val="32"/>
        </w:rPr>
        <w:t>。</w:t>
      </w:r>
      <w:r>
        <w:rPr>
          <w:rFonts w:hint="eastAsia" w:ascii="方正仿宋简体" w:hAnsi="方正仿宋简体" w:eastAsia="方正仿宋简体" w:cs="方正仿宋简体"/>
          <w:sz w:val="32"/>
          <w:szCs w:val="32"/>
        </w:rPr>
        <w:t>确认标书中的相关信息，投标人必须及时回复开标过程中招标人提出的问题，合理解释投标文件与招标文件的偏离。如评标小组开标现场10分钟内电话联系不上投标人，且投标文件与招标文件的偏离影响定标结果，则视为投标人主动放弃本项目投标，开标结束后不再接受投标人的任何解释。</w:t>
      </w:r>
    </w:p>
    <w:p w14:paraId="6BFF36B9">
      <w:pPr>
        <w:pStyle w:val="18"/>
        <w:spacing w:line="600" w:lineRule="exact"/>
        <w:ind w:firstLine="608"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bCs/>
          <w:kern w:val="1"/>
          <w:sz w:val="32"/>
          <w:szCs w:val="32"/>
        </w:rPr>
        <w:t>2.评标小组不得泄露各投标人的报价。</w:t>
      </w:r>
    </w:p>
    <w:p w14:paraId="6C5A489C">
      <w:pPr>
        <w:spacing w:line="360" w:lineRule="auto"/>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bCs/>
          <w:kern w:val="1"/>
          <w:sz w:val="32"/>
          <w:szCs w:val="32"/>
        </w:rPr>
        <w:t>（二）</w:t>
      </w:r>
      <w:r>
        <w:rPr>
          <w:rFonts w:hint="eastAsia" w:ascii="方正仿宋简体" w:hAnsi="方正仿宋简体" w:eastAsia="方正仿宋简体" w:cs="方正仿宋简体"/>
          <w:bCs/>
          <w:kern w:val="1"/>
          <w:sz w:val="32"/>
          <w:szCs w:val="32"/>
        </w:rPr>
        <w:t>评标</w:t>
      </w:r>
    </w:p>
    <w:p w14:paraId="72C17FD8">
      <w:pPr>
        <w:spacing w:line="360" w:lineRule="auto"/>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1.综合</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color w:val="FF0000"/>
          <w:sz w:val="32"/>
          <w:szCs w:val="32"/>
        </w:rPr>
        <w:t>本次采用该种评标方式</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b/>
          <w:bCs/>
          <w:sz w:val="32"/>
          <w:szCs w:val="32"/>
        </w:rPr>
        <w:t>（评标规则详见附件</w:t>
      </w:r>
      <w:r>
        <w:rPr>
          <w:rFonts w:hint="eastAsia" w:ascii="方正仿宋简体" w:hAnsi="方正仿宋简体" w:eastAsia="方正仿宋简体" w:cs="方正仿宋简体"/>
          <w:b/>
          <w:bCs/>
          <w:sz w:val="32"/>
          <w:szCs w:val="32"/>
          <w:lang w:val="en-US" w:eastAsia="zh-CN"/>
        </w:rPr>
        <w:t>4</w:t>
      </w:r>
      <w:r>
        <w:rPr>
          <w:rFonts w:hint="eastAsia" w:ascii="方正仿宋简体" w:hAnsi="方正仿宋简体" w:eastAsia="方正仿宋简体" w:cs="方正仿宋简体"/>
          <w:b/>
          <w:bCs/>
          <w:sz w:val="32"/>
          <w:szCs w:val="32"/>
        </w:rPr>
        <w:t>）</w:t>
      </w:r>
    </w:p>
    <w:p w14:paraId="2F014AF8">
      <w:pPr>
        <w:spacing w:line="360" w:lineRule="auto"/>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采取综合评审方法进行打分，具体按价格得分、技术得分、商务得分（得分比例根据货物内容确定）三个方面进行评审，并按综合得分由高到低顺序推选一名中标候选人。</w:t>
      </w:r>
    </w:p>
    <w:p w14:paraId="1B187B64">
      <w:pPr>
        <w:spacing w:line="360" w:lineRule="auto"/>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2.通用</w:t>
      </w:r>
    </w:p>
    <w:p w14:paraId="6EF74922">
      <w:pPr>
        <w:spacing w:line="360" w:lineRule="auto"/>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在能够满足招标人技术要求及施工期要求的投标人中选择总投标价最低的一家投标人作为中标候选人。开标中出现两家或多家单位价格一致且同时属于最低价时，优先考虑与我司长期合作的单位。</w:t>
      </w:r>
    </w:p>
    <w:p w14:paraId="1AA48B54">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（三）</w:t>
      </w:r>
      <w:r>
        <w:rPr>
          <w:rFonts w:hint="eastAsia" w:ascii="方正仿宋简体" w:hAnsi="方正仿宋简体" w:eastAsia="方正仿宋简体" w:cs="方正仿宋简体"/>
          <w:bCs/>
          <w:kern w:val="1"/>
          <w:sz w:val="32"/>
          <w:szCs w:val="32"/>
        </w:rPr>
        <w:t>废标</w:t>
      </w:r>
    </w:p>
    <w:p w14:paraId="13CE862A">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1.招标人如发现招标过程中有串标、陪标等扰乱招标人经营秩序的恶劣情况，经招标人评标小组评定可作废标处理，并可将相关投标人列入供应商负面清单，一年内不再接受参与投标工作。</w:t>
      </w:r>
    </w:p>
    <w:p w14:paraId="5D136ABF">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楷体_GBK" w:cs="方正仿宋简体"/>
          <w:bCs/>
          <w:kern w:val="1"/>
          <w:sz w:val="32"/>
          <w:szCs w:val="32"/>
        </w:rPr>
        <w:t>2.</w:t>
      </w:r>
      <w:r>
        <w:rPr>
          <w:rFonts w:hint="eastAsia" w:ascii="方正仿宋简体" w:hAnsi="方正仿宋简体" w:eastAsia="方正仿宋简体" w:cs="方正仿宋简体"/>
          <w:bCs/>
          <w:kern w:val="1"/>
          <w:sz w:val="32"/>
          <w:szCs w:val="32"/>
        </w:rPr>
        <w:t>凡投标人不具备</w:t>
      </w:r>
      <w:r>
        <w:rPr>
          <w:rFonts w:hint="eastAsia" w:ascii="方正仿宋简体" w:hAnsi="方正仿宋简体" w:eastAsia="方正仿宋简体" w:cs="方正仿宋简体"/>
          <w:bCs/>
          <w:color w:val="FF0000"/>
          <w:kern w:val="1"/>
          <w:sz w:val="32"/>
          <w:szCs w:val="32"/>
        </w:rPr>
        <w:t>招标人明确要求资质的</w:t>
      </w:r>
      <w:r>
        <w:rPr>
          <w:rFonts w:hint="eastAsia" w:ascii="方正仿宋简体" w:hAnsi="方正仿宋简体" w:eastAsia="方正仿宋简体" w:cs="方正仿宋简体"/>
          <w:bCs/>
          <w:kern w:val="1"/>
          <w:sz w:val="32"/>
          <w:szCs w:val="32"/>
        </w:rPr>
        <w:t>，或投标文件填写不完整、报价有空项的，或不符合技术要求条款的，或者存在其他不符合招标人有关要求的问题，经招标人评标小组评定，可作</w:t>
      </w:r>
      <w:r>
        <w:rPr>
          <w:rFonts w:hint="eastAsia" w:ascii="方正仿宋简体" w:hAnsi="方正仿宋简体" w:eastAsia="方正仿宋简体" w:cs="方正仿宋简体"/>
          <w:b/>
          <w:bCs/>
          <w:color w:val="FF0000"/>
          <w:kern w:val="1"/>
          <w:sz w:val="32"/>
          <w:szCs w:val="32"/>
        </w:rPr>
        <w:t>废标</w:t>
      </w:r>
      <w:r>
        <w:rPr>
          <w:rFonts w:hint="eastAsia" w:ascii="方正仿宋简体" w:hAnsi="方正仿宋简体" w:eastAsia="方正仿宋简体" w:cs="方正仿宋简体"/>
          <w:bCs/>
          <w:kern w:val="1"/>
          <w:sz w:val="32"/>
          <w:szCs w:val="32"/>
        </w:rPr>
        <w:t>处理。</w:t>
      </w:r>
    </w:p>
    <w:p w14:paraId="2734B741">
      <w:pPr>
        <w:adjustRightInd w:val="0"/>
        <w:snapToGrid w:val="0"/>
        <w:spacing w:line="600" w:lineRule="exact"/>
        <w:ind w:firstLine="640" w:firstLineChars="200"/>
        <w:jc w:val="left"/>
        <w:rPr>
          <w:rFonts w:ascii="方正黑体_GBK" w:hAnsi="方正黑体_GBK" w:eastAsia="方正黑体_GBK" w:cs="方正黑体_GBK"/>
          <w:kern w:val="1"/>
          <w:sz w:val="32"/>
          <w:szCs w:val="32"/>
        </w:rPr>
      </w:pPr>
      <w:r>
        <w:rPr>
          <w:rFonts w:hint="eastAsia" w:ascii="方正仿宋简体" w:hAnsi="方正仿宋简体" w:eastAsia="方正仿宋简体" w:cs="方正仿宋简体"/>
          <w:bCs/>
          <w:kern w:val="1"/>
          <w:sz w:val="32"/>
          <w:szCs w:val="32"/>
        </w:rPr>
        <w:t>3.投标人应如实提供符合市场规律和自身成本的合理报价。如果投标人的报价与市场价格明显偏离并因此影响了招标活动的公正合理性，损害了招标人的正当利益，经招标人评标小组评定，可作废标处理。</w:t>
      </w:r>
    </w:p>
    <w:p w14:paraId="3807A381">
      <w:pPr>
        <w:pStyle w:val="19"/>
        <w:spacing w:line="600" w:lineRule="exact"/>
        <w:ind w:firstLine="640" w:firstLineChars="200"/>
        <w:rPr>
          <w:rFonts w:ascii="方正仿宋简体" w:hAnsi="方正仿宋简体" w:eastAsia="方正仿宋简体" w:cs="方正仿宋简体"/>
          <w:color w:val="FF0000"/>
          <w:kern w:val="1"/>
          <w:sz w:val="32"/>
          <w:szCs w:val="32"/>
        </w:rPr>
      </w:pPr>
      <w:r>
        <w:rPr>
          <w:rFonts w:hint="eastAsia" w:ascii="方正黑体_GBK" w:hAnsi="方正黑体_GBK" w:eastAsia="方正黑体_GBK" w:cs="方正黑体_GBK"/>
          <w:kern w:val="1"/>
          <w:sz w:val="32"/>
          <w:szCs w:val="32"/>
        </w:rPr>
        <w:t>六、其他注意事项：</w:t>
      </w:r>
    </w:p>
    <w:p w14:paraId="464F47C8">
      <w:pPr>
        <w:spacing w:line="600" w:lineRule="exact"/>
        <w:ind w:firstLine="640" w:firstLineChars="200"/>
        <w:rPr>
          <w:rFonts w:ascii="方正仿宋简体" w:hAnsi="方正仿宋简体" w:eastAsia="方正仿宋简体" w:cs="方正仿宋简体"/>
          <w:bCs/>
          <w:sz w:val="32"/>
          <w:szCs w:val="32"/>
        </w:rPr>
      </w:pPr>
      <w:r>
        <w:rPr>
          <w:rFonts w:hint="eastAsia" w:ascii="方正楷体_GBK" w:hAnsi="方正楷体_GBK" w:eastAsia="方正楷体_GBK" w:cs="方正楷体_GBK"/>
          <w:bCs/>
          <w:kern w:val="1"/>
          <w:sz w:val="32"/>
          <w:szCs w:val="32"/>
        </w:rPr>
        <w:t>（一）</w:t>
      </w:r>
      <w:r>
        <w:rPr>
          <w:rFonts w:hint="eastAsia" w:ascii="方正仿宋简体" w:hAnsi="方正仿宋简体" w:eastAsia="方正仿宋简体" w:cs="方正仿宋简体"/>
          <w:b/>
          <w:sz w:val="32"/>
          <w:szCs w:val="32"/>
        </w:rPr>
        <w:t>确定中标后，在签订合同前，</w:t>
      </w:r>
      <w:r>
        <w:rPr>
          <w:rFonts w:hint="eastAsia" w:ascii="方正仿宋简体" w:hAnsi="方正仿宋简体" w:eastAsia="方正仿宋简体" w:cs="方正仿宋简体"/>
          <w:bCs/>
          <w:sz w:val="32"/>
          <w:szCs w:val="32"/>
        </w:rPr>
        <w:t>需提供一般纳税人证明材料；承包单位与派遣作业人员的劳务合同或劳动合同和作业人员工伤保险证明或人身意外伤害保险缴纳证明；安全生产责任险；安全生产规章制度；以往的安全生产业绩（不少于3年）；中标项目的安全生产措施；中标项目的应急准备及响应预案；作业人员一年内的体检报告(以上资格证明证件均可提供复印件，但需加盖公章)。</w:t>
      </w:r>
    </w:p>
    <w:p w14:paraId="390C886D">
      <w:pPr>
        <w:wordWrap w:val="0"/>
        <w:adjustRightInd w:val="0"/>
        <w:snapToGrid w:val="0"/>
        <w:spacing w:line="600" w:lineRule="exact"/>
        <w:ind w:firstLine="640" w:firstLineChars="200"/>
        <w:jc w:val="left"/>
        <w:rPr>
          <w:rFonts w:ascii="微软雅黑" w:hAnsi="微软雅黑" w:eastAsia="微软雅黑" w:cs="微软雅黑"/>
          <w:color w:val="FF0000"/>
          <w:kern w:val="1"/>
          <w:sz w:val="32"/>
          <w:szCs w:val="32"/>
        </w:rPr>
      </w:pPr>
      <w:r>
        <w:rPr>
          <w:rFonts w:hint="eastAsia" w:ascii="方正楷体_GBK" w:hAnsi="方正楷体_GBK" w:eastAsia="方正楷体_GBK" w:cs="方正楷体_GBK"/>
          <w:bCs/>
          <w:kern w:val="1"/>
          <w:sz w:val="32"/>
          <w:szCs w:val="32"/>
          <w:highlight w:val="none"/>
        </w:rPr>
        <w:t>（二）</w:t>
      </w:r>
      <w:r>
        <w:rPr>
          <w:rFonts w:hint="eastAsia" w:ascii="方正仿宋简体" w:hAnsi="方正仿宋简体" w:eastAsia="方正仿宋简体" w:cs="方正仿宋简体"/>
          <w:bCs/>
          <w:sz w:val="32"/>
          <w:szCs w:val="32"/>
          <w:highlight w:val="none"/>
        </w:rPr>
        <w:t>中标人与招标人签订合同时，须按照海纳川相关安全管理规定签订或提供《外包项目(工程)安全生产管理协议书》并依照《海纳川承包商安全环保管理制度》管理</w:t>
      </w:r>
      <w:r>
        <w:rPr>
          <w:rFonts w:hint="eastAsia" w:ascii="方正仿宋简体" w:hAnsi="方正仿宋简体" w:eastAsia="方正仿宋简体" w:cs="方正仿宋简体"/>
          <w:bCs/>
          <w:sz w:val="32"/>
          <w:szCs w:val="32"/>
          <w:highlight w:val="none"/>
          <w:lang w:eastAsia="zh-CN"/>
        </w:rPr>
        <w:t>（</w:t>
      </w:r>
      <w:r>
        <w:rPr>
          <w:rFonts w:hint="eastAsia" w:ascii="方正仿宋简体" w:hAnsi="方正仿宋简体" w:eastAsia="方正仿宋简体" w:cs="方正仿宋简体"/>
          <w:bCs/>
          <w:sz w:val="32"/>
          <w:szCs w:val="32"/>
          <w:highlight w:val="none"/>
          <w:lang w:val="en-US" w:eastAsia="zh-CN"/>
        </w:rPr>
        <w:t>详见附件2</w:t>
      </w:r>
      <w:r>
        <w:rPr>
          <w:rFonts w:hint="eastAsia" w:ascii="方正仿宋简体" w:hAnsi="方正仿宋简体" w:eastAsia="方正仿宋简体" w:cs="方正仿宋简体"/>
          <w:bCs/>
          <w:sz w:val="32"/>
          <w:szCs w:val="32"/>
          <w:highlight w:val="none"/>
          <w:lang w:eastAsia="zh-CN"/>
        </w:rPr>
        <w:t>）</w:t>
      </w:r>
      <w:r>
        <w:rPr>
          <w:rFonts w:hint="eastAsia" w:ascii="方正仿宋简体" w:hAnsi="方正仿宋简体" w:eastAsia="方正仿宋简体" w:cs="方正仿宋简体"/>
          <w:bCs/>
          <w:sz w:val="32"/>
          <w:szCs w:val="32"/>
          <w:highlight w:val="none"/>
        </w:rPr>
        <w:t>，同时</w:t>
      </w:r>
      <w:r>
        <w:rPr>
          <w:rFonts w:hint="eastAsia" w:ascii="方正仿宋简体" w:hAnsi="方正仿宋简体" w:eastAsia="方正仿宋简体" w:cs="方正仿宋简体"/>
          <w:bCs/>
          <w:sz w:val="32"/>
          <w:szCs w:val="32"/>
        </w:rPr>
        <w:t>要按规定缴纳安全风险抵押金；施工前，招标人应按《生产经营单位安全生产培训规范》(DB32/4530-2023)对投标人施工人员进行培训和考试，考试合格人员，方能赴属地办理作业票证进行作业。</w:t>
      </w:r>
    </w:p>
    <w:p w14:paraId="71A1678F">
      <w:pPr>
        <w:wordWrap w:val="0"/>
        <w:adjustRightInd w:val="0"/>
        <w:snapToGrid w:val="0"/>
        <w:spacing w:line="600" w:lineRule="exact"/>
        <w:ind w:firstLine="640" w:firstLineChars="200"/>
        <w:jc w:val="left"/>
        <w:rPr>
          <w:rFonts w:hint="eastAsia" w:ascii="方正仿宋_GBK" w:hAnsi="方正仿宋_GBK" w:eastAsia="方正仿宋_GBK" w:cs="方正仿宋_GBK"/>
          <w:kern w:val="1"/>
          <w:sz w:val="30"/>
          <w:szCs w:val="30"/>
          <w:lang w:eastAsia="zh-CN"/>
        </w:rPr>
      </w:pPr>
      <w:r>
        <w:rPr>
          <w:rFonts w:hint="eastAsia" w:ascii="方正仿宋_GBK" w:hAnsi="方正仿宋_GBK" w:eastAsia="方正仿宋_GBK" w:cs="方正仿宋_GBK"/>
          <w:sz w:val="32"/>
          <w:szCs w:val="32"/>
        </w:rPr>
        <w:t>（三）</w:t>
      </w:r>
      <w:r>
        <w:rPr>
          <w:rFonts w:hint="eastAsia" w:ascii="方正仿宋_GBK" w:hAnsi="方正仿宋_GBK" w:eastAsia="方正仿宋_GBK" w:cs="方正仿宋_GBK"/>
          <w:kern w:val="1"/>
          <w:sz w:val="32"/>
          <w:szCs w:val="32"/>
        </w:rPr>
        <w:t>作业过程中，涉及特种作业（如登高、焊接等）的需提供相应的特种作业证，必须人证一致，且在有效期内</w:t>
      </w:r>
      <w:r>
        <w:rPr>
          <w:rFonts w:hint="eastAsia" w:ascii="方正仿宋_GBK" w:hAnsi="方正仿宋_GBK" w:eastAsia="方正仿宋_GBK" w:cs="方正仿宋_GBK"/>
          <w:kern w:val="1"/>
          <w:sz w:val="32"/>
          <w:szCs w:val="32"/>
          <w:lang w:eastAsia="zh-CN"/>
        </w:rPr>
        <w:t>。</w:t>
      </w:r>
    </w:p>
    <w:p w14:paraId="2154517B">
      <w:pPr>
        <w:wordWrap w:val="0"/>
        <w:adjustRightInd w:val="0"/>
        <w:snapToGrid w:val="0"/>
        <w:spacing w:line="600" w:lineRule="exact"/>
        <w:ind w:firstLine="640" w:firstLineChars="200"/>
        <w:jc w:val="left"/>
        <w:rPr>
          <w:rFonts w:ascii="方正仿宋_GBK" w:hAnsi="方正仿宋_GBK" w:eastAsia="方正仿宋_GBK" w:cs="方正仿宋_GBK"/>
          <w:kern w:val="1"/>
          <w:sz w:val="32"/>
          <w:szCs w:val="32"/>
        </w:rPr>
      </w:pPr>
      <w:r>
        <w:rPr>
          <w:rFonts w:hint="eastAsia" w:ascii="方正仿宋_GBK" w:hAnsi="方正仿宋_GBK" w:eastAsia="方正仿宋_GBK" w:cs="方正仿宋_GBK"/>
          <w:kern w:val="1"/>
          <w:sz w:val="32"/>
          <w:szCs w:val="32"/>
        </w:rPr>
        <w:t>（四）投标人应具备良好的售后服务能力，要求电话联系后</w:t>
      </w:r>
      <w:r>
        <w:rPr>
          <w:rFonts w:hint="eastAsia" w:ascii="方正仿宋_GBK" w:hAnsi="方正仿宋_GBK" w:eastAsia="方正仿宋_GBK" w:cs="方正仿宋_GBK"/>
          <w:color w:val="FF0000"/>
          <w:kern w:val="1"/>
          <w:sz w:val="32"/>
          <w:szCs w:val="32"/>
          <w:u w:val="single"/>
        </w:rPr>
        <w:t>8小时</w:t>
      </w:r>
      <w:r>
        <w:rPr>
          <w:rFonts w:hint="eastAsia" w:ascii="方正仿宋_GBK" w:hAnsi="方正仿宋_GBK" w:eastAsia="方正仿宋_GBK" w:cs="方正仿宋_GBK"/>
          <w:kern w:val="1"/>
          <w:sz w:val="32"/>
          <w:szCs w:val="32"/>
        </w:rPr>
        <w:t>内必须给予回复，明确解决方案，必要时需来我公司作技术指导。</w:t>
      </w:r>
    </w:p>
    <w:p w14:paraId="2F1C9C04">
      <w:pPr>
        <w:wordWrap w:val="0"/>
        <w:adjustRightInd w:val="0"/>
        <w:snapToGrid w:val="0"/>
        <w:spacing w:line="600" w:lineRule="exact"/>
        <w:ind w:firstLine="640" w:firstLineChars="200"/>
        <w:jc w:val="left"/>
        <w:rPr>
          <w:rFonts w:ascii="方正楷体_GBK" w:hAnsi="方正楷体_GBK" w:eastAsia="方正楷体_GBK" w:cs="方正楷体_GBK"/>
          <w:kern w:val="1"/>
          <w:sz w:val="32"/>
          <w:szCs w:val="32"/>
        </w:rPr>
      </w:pPr>
      <w:r>
        <w:rPr>
          <w:rFonts w:hint="eastAsia" w:ascii="方正仿宋_GBK" w:hAnsi="方正仿宋_GBK" w:eastAsia="方正仿宋_GBK" w:cs="方正仿宋_GBK"/>
          <w:kern w:val="1"/>
          <w:sz w:val="32"/>
          <w:szCs w:val="32"/>
        </w:rPr>
        <w:t>（五）投标人所供产品引起的知识产权方面的纠纷，由中标人承担一切后果，招标人不承担任何责任。</w:t>
      </w:r>
    </w:p>
    <w:p w14:paraId="30941EC2">
      <w:pPr>
        <w:adjustRightInd w:val="0"/>
        <w:snapToGrid w:val="0"/>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kern w:val="1"/>
          <w:sz w:val="32"/>
          <w:szCs w:val="32"/>
        </w:rPr>
        <w:t>（六）</w:t>
      </w:r>
      <w:r>
        <w:rPr>
          <w:rFonts w:hint="eastAsia" w:ascii="方正仿宋简体" w:hAnsi="方正仿宋简体" w:eastAsia="方正仿宋简体" w:cs="方正仿宋简体"/>
          <w:kern w:val="1"/>
          <w:sz w:val="32"/>
          <w:szCs w:val="32"/>
        </w:rPr>
        <w:t>未经招标人允许,投标人不得以任何方式将本项目分包给第三方，否则按中标总价的10%作为违约金，同时招标人有权终止本合同。</w:t>
      </w:r>
    </w:p>
    <w:p w14:paraId="73A4422E">
      <w:pPr>
        <w:adjustRightInd w:val="0"/>
        <w:snapToGrid w:val="0"/>
        <w:spacing w:line="600" w:lineRule="exact"/>
        <w:ind w:firstLine="640" w:firstLineChars="200"/>
        <w:jc w:val="left"/>
      </w:pPr>
      <w:r>
        <w:rPr>
          <w:rFonts w:hint="eastAsia" w:ascii="方正楷体_GBK" w:hAnsi="方正楷体_GBK" w:eastAsia="方正楷体_GBK" w:cs="方正楷体_GBK"/>
          <w:kern w:val="1"/>
          <w:sz w:val="32"/>
          <w:szCs w:val="32"/>
        </w:rPr>
        <w:t>（七）</w:t>
      </w:r>
      <w:r>
        <w:rPr>
          <w:rFonts w:hint="eastAsia" w:ascii="方正仿宋简体" w:hAnsi="方正仿宋简体" w:eastAsia="方正仿宋简体" w:cs="方正仿宋简体"/>
          <w:kern w:val="1"/>
          <w:sz w:val="32"/>
          <w:szCs w:val="32"/>
        </w:rPr>
        <w:t>中标人中标以后应严格按照标书约定与招标人签定供需合同，并按合同约定做好物资供应和服务工作。对中标人所有违背标书及合同约定的行为，招标人均可持续保留与中标人中止合作的一切权利。</w:t>
      </w:r>
    </w:p>
    <w:p w14:paraId="73C7BF4D">
      <w:pPr>
        <w:adjustRightInd w:val="0"/>
        <w:snapToGrid w:val="0"/>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kern w:val="1"/>
          <w:sz w:val="32"/>
          <w:szCs w:val="32"/>
        </w:rPr>
        <w:t>（八）</w:t>
      </w:r>
      <w:r>
        <w:rPr>
          <w:rFonts w:hint="eastAsia" w:ascii="方正仿宋简体" w:hAnsi="方正仿宋简体" w:eastAsia="方正仿宋简体" w:cs="方正仿宋简体"/>
          <w:kern w:val="1"/>
          <w:sz w:val="32"/>
          <w:szCs w:val="32"/>
        </w:rPr>
        <w:t>对需检验的品种，经招标人检验部门检验合格后方能收货，否则做退、换货处理；</w:t>
      </w:r>
      <w:r>
        <w:rPr>
          <w:rFonts w:hint="eastAsia" w:ascii="方正仿宋简体" w:hAnsi="方正仿宋简体" w:eastAsia="方正仿宋简体" w:cs="方正仿宋简体"/>
          <w:b/>
          <w:bCs/>
          <w:kern w:val="1"/>
          <w:sz w:val="32"/>
          <w:szCs w:val="32"/>
        </w:rPr>
        <w:t>中标人</w:t>
      </w:r>
      <w:r>
        <w:rPr>
          <w:rFonts w:ascii="方正仿宋简体" w:hAnsi="方正仿宋简体" w:eastAsia="方正仿宋简体" w:cs="方正仿宋简体"/>
          <w:b/>
          <w:bCs/>
          <w:kern w:val="1"/>
          <w:sz w:val="32"/>
          <w:szCs w:val="32"/>
        </w:rPr>
        <w:t>提供的材料经检测不合格而发生的二次或多次送检的材料检测费由中标人承担</w:t>
      </w:r>
      <w:r>
        <w:rPr>
          <w:rFonts w:hint="eastAsia" w:ascii="方正仿宋简体" w:hAnsi="方正仿宋简体" w:eastAsia="方正仿宋简体" w:cs="方正仿宋简体"/>
          <w:b/>
          <w:bCs/>
          <w:kern w:val="1"/>
          <w:sz w:val="32"/>
          <w:szCs w:val="32"/>
        </w:rPr>
        <w:t>；</w:t>
      </w:r>
      <w:r>
        <w:rPr>
          <w:rFonts w:hint="eastAsia" w:ascii="方正仿宋简体" w:hAnsi="方正仿宋简体" w:eastAsia="方正仿宋简体" w:cs="方正仿宋简体"/>
          <w:kern w:val="1"/>
          <w:sz w:val="32"/>
          <w:szCs w:val="32"/>
        </w:rPr>
        <w:t>长期合约的中标人如出现三次产品质量不合格的情况，视为中标人无能力保障产品质量，招标人有权终止此次招标合同的执行。</w:t>
      </w:r>
    </w:p>
    <w:p w14:paraId="5E84092E">
      <w:pPr>
        <w:adjustRightInd w:val="0"/>
        <w:snapToGrid w:val="0"/>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kern w:val="1"/>
          <w:sz w:val="32"/>
          <w:szCs w:val="32"/>
        </w:rPr>
        <w:t>（九）</w:t>
      </w:r>
      <w:r>
        <w:rPr>
          <w:rFonts w:hint="eastAsia" w:ascii="方正仿宋简体" w:hAnsi="方正仿宋简体" w:eastAsia="方正仿宋简体" w:cs="方正仿宋简体"/>
          <w:kern w:val="1"/>
          <w:sz w:val="32"/>
          <w:szCs w:val="32"/>
        </w:rPr>
        <w:t>如因投标人不能正常履约，对招标人生产经营活动造成影响的，招标人将依法追究投标人法律责任。</w:t>
      </w:r>
    </w:p>
    <w:p w14:paraId="14FAEFC1">
      <w:pPr>
        <w:pStyle w:val="16"/>
        <w:spacing w:line="600" w:lineRule="exact"/>
        <w:ind w:firstLine="640" w:firstLineChars="200"/>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kern w:val="1"/>
          <w:sz w:val="32"/>
          <w:szCs w:val="32"/>
        </w:rPr>
        <w:t>（十）</w:t>
      </w:r>
      <w:r>
        <w:rPr>
          <w:rFonts w:hint="eastAsia" w:ascii="方正仿宋简体" w:hAnsi="方正仿宋简体" w:eastAsia="方正仿宋简体" w:cs="方正仿宋简体"/>
          <w:kern w:val="1"/>
          <w:sz w:val="32"/>
          <w:szCs w:val="32"/>
        </w:rPr>
        <w:t>因投标人原因，工作不能按招标文件规定的期限完成，违约金从本项目款中扣除，每延迟一天按本项目款的</w:t>
      </w:r>
      <w:r>
        <w:rPr>
          <w:rFonts w:hint="eastAsia" w:ascii="方正仿宋简体" w:hAnsi="方正仿宋简体" w:eastAsia="方正仿宋简体" w:cs="方正仿宋简体"/>
          <w:kern w:val="1"/>
          <w:sz w:val="32"/>
          <w:szCs w:val="32"/>
          <w:lang w:val="en-US" w:eastAsia="zh-CN"/>
        </w:rPr>
        <w:t>0.5</w:t>
      </w:r>
      <w:r>
        <w:rPr>
          <w:rFonts w:hint="eastAsia" w:ascii="方正仿宋简体" w:hAnsi="方正仿宋简体" w:eastAsia="方正仿宋简体" w:cs="方正仿宋简体"/>
          <w:kern w:val="1"/>
          <w:sz w:val="32"/>
          <w:szCs w:val="32"/>
        </w:rPr>
        <w:t>%计收违约金，</w:t>
      </w:r>
      <w:r>
        <w:rPr>
          <w:rFonts w:hint="eastAsia" w:ascii="方正仿宋简体" w:hAnsi="方正仿宋简体" w:eastAsia="方正仿宋简体" w:cs="方正仿宋简体"/>
          <w:kern w:val="1"/>
          <w:sz w:val="32"/>
          <w:szCs w:val="32"/>
          <w:lang w:val="en-US" w:eastAsia="zh-CN"/>
        </w:rPr>
        <w:t>最高</w:t>
      </w:r>
      <w:r>
        <w:rPr>
          <w:rFonts w:hint="eastAsia" w:ascii="方正仿宋简体" w:hAnsi="方正仿宋简体" w:eastAsia="方正仿宋简体" w:cs="方正仿宋简体"/>
          <w:kern w:val="1"/>
          <w:sz w:val="32"/>
          <w:szCs w:val="32"/>
          <w:highlight w:val="none"/>
          <w:lang w:val="en-US" w:eastAsia="zh-CN"/>
        </w:rPr>
        <w:t>不超过本项目款的10%，</w:t>
      </w:r>
      <w:r>
        <w:rPr>
          <w:rFonts w:hint="eastAsia" w:ascii="方正仿宋简体" w:hAnsi="方正仿宋简体" w:eastAsia="方正仿宋简体" w:cs="方正仿宋简体"/>
          <w:kern w:val="1"/>
          <w:sz w:val="32"/>
          <w:szCs w:val="32"/>
        </w:rPr>
        <w:t>违约金从本合同款中扣除（如有异议请在报价时注明）。不能在规定的期限完成本项目，延期20（含）</w:t>
      </w:r>
      <w:r>
        <w:rPr>
          <w:rFonts w:hint="eastAsia" w:ascii="方正仿宋简体" w:hAnsi="方正仿宋简体" w:eastAsia="方正仿宋简体" w:cs="方正仿宋简体"/>
          <w:kern w:val="1"/>
          <w:sz w:val="32"/>
          <w:szCs w:val="32"/>
          <w:lang w:val="en-US" w:eastAsia="zh-CN"/>
        </w:rPr>
        <w:t>个</w:t>
      </w:r>
      <w:r>
        <w:rPr>
          <w:rFonts w:hint="eastAsia" w:ascii="方正仿宋简体" w:hAnsi="方正仿宋简体" w:eastAsia="方正仿宋简体" w:cs="方正仿宋简体"/>
          <w:kern w:val="1"/>
          <w:sz w:val="32"/>
          <w:szCs w:val="32"/>
        </w:rPr>
        <w:t>自然日</w:t>
      </w:r>
      <w:r>
        <w:rPr>
          <w:rFonts w:hint="eastAsia" w:ascii="方正仿宋简体" w:hAnsi="方正仿宋简体" w:eastAsia="方正仿宋简体" w:cs="方正仿宋简体"/>
          <w:kern w:val="1"/>
          <w:sz w:val="32"/>
          <w:szCs w:val="32"/>
          <w:lang w:val="en-US" w:eastAsia="zh-CN"/>
        </w:rPr>
        <w:t>以上</w:t>
      </w:r>
      <w:r>
        <w:rPr>
          <w:rFonts w:hint="eastAsia" w:ascii="方正仿宋简体" w:hAnsi="方正仿宋简体" w:eastAsia="方正仿宋简体" w:cs="方正仿宋简体"/>
          <w:kern w:val="1"/>
          <w:sz w:val="32"/>
          <w:szCs w:val="32"/>
        </w:rPr>
        <w:t>，招标人有权解除合同，并按合同总额20%追究投标人违约责任（如有异议请在报价时注明）。</w:t>
      </w:r>
    </w:p>
    <w:p w14:paraId="0F49570D">
      <w:pPr>
        <w:spacing w:line="600" w:lineRule="exact"/>
        <w:ind w:firstLine="640" w:firstLineChars="200"/>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kern w:val="1"/>
          <w:sz w:val="32"/>
          <w:szCs w:val="32"/>
        </w:rPr>
        <w:t>（十一）</w:t>
      </w:r>
      <w:r>
        <w:rPr>
          <w:rFonts w:hint="eastAsia" w:ascii="方正仿宋简体" w:hAnsi="方正仿宋简体" w:eastAsia="方正仿宋简体" w:cs="方正仿宋简体"/>
          <w:kern w:val="1"/>
          <w:sz w:val="32"/>
          <w:szCs w:val="32"/>
        </w:rPr>
        <w:t>投标人项目完成后，经验收不合格的，招标人可选择以下处理方式：</w:t>
      </w:r>
    </w:p>
    <w:p w14:paraId="156DFE50">
      <w:pPr>
        <w:spacing w:line="600" w:lineRule="exact"/>
        <w:ind w:firstLine="640" w:firstLineChars="200"/>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1.招标人选择重新维修的，重新维修过程中产生的费用由投标人全部承担，且需在招标人第一次验收不合格之日起1</w:t>
      </w:r>
      <w:r>
        <w:rPr>
          <w:rFonts w:hint="eastAsia" w:ascii="方正仿宋简体" w:hAnsi="方正仿宋简体" w:eastAsia="方正仿宋简体" w:cs="方正仿宋简体"/>
          <w:kern w:val="1"/>
          <w:sz w:val="32"/>
          <w:szCs w:val="32"/>
          <w:lang w:val="en-US" w:eastAsia="zh-CN"/>
        </w:rPr>
        <w:t>0</w:t>
      </w:r>
      <w:r>
        <w:rPr>
          <w:rFonts w:hint="eastAsia" w:ascii="方正仿宋简体" w:hAnsi="方正仿宋简体" w:eastAsia="方正仿宋简体" w:cs="方正仿宋简体"/>
          <w:kern w:val="1"/>
          <w:sz w:val="32"/>
          <w:szCs w:val="32"/>
        </w:rPr>
        <w:t>日内完成，逾期未完成的，违约责任参照</w:t>
      </w:r>
      <w:r>
        <w:rPr>
          <w:rFonts w:hint="eastAsia" w:ascii="方正楷体_GBK" w:hAnsi="方正楷体_GBK" w:eastAsia="方正楷体_GBK" w:cs="方正楷体_GBK"/>
          <w:kern w:val="1"/>
          <w:sz w:val="32"/>
          <w:szCs w:val="32"/>
        </w:rPr>
        <w:t>（</w:t>
      </w:r>
      <w:r>
        <w:rPr>
          <w:rFonts w:hint="eastAsia" w:ascii="方正楷体_GBK" w:hAnsi="方正楷体_GBK" w:eastAsia="方正楷体_GBK" w:cs="方正楷体_GBK"/>
          <w:kern w:val="1"/>
          <w:sz w:val="32"/>
          <w:szCs w:val="32"/>
          <w:lang w:val="en-US" w:eastAsia="zh-CN"/>
        </w:rPr>
        <w:t>十</w:t>
      </w:r>
      <w:r>
        <w:rPr>
          <w:rFonts w:hint="eastAsia" w:ascii="方正楷体_GBK" w:hAnsi="方正楷体_GBK" w:eastAsia="方正楷体_GBK" w:cs="方正楷体_GBK"/>
          <w:kern w:val="1"/>
          <w:sz w:val="32"/>
          <w:szCs w:val="32"/>
        </w:rPr>
        <w:t>）</w:t>
      </w:r>
      <w:r>
        <w:rPr>
          <w:rFonts w:hint="eastAsia" w:ascii="方正仿宋简体" w:hAnsi="方正仿宋简体" w:eastAsia="方正仿宋简体" w:cs="方正仿宋简体"/>
          <w:kern w:val="1"/>
          <w:sz w:val="32"/>
          <w:szCs w:val="32"/>
        </w:rPr>
        <w:t>执行。如果出现两次验收不合格的情况，招标人有权解除合同，并有权要求投标人赔偿合同总价款的20%违约金给招标人（如有异议请在报价时注明）。</w:t>
      </w:r>
    </w:p>
    <w:p w14:paraId="237FE27E">
      <w:pPr>
        <w:spacing w:line="600" w:lineRule="exact"/>
        <w:ind w:firstLine="640" w:firstLineChars="200"/>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2.招标人选择解除合同的，投标人需无条件返还本项目招标人提供的所有物品，并按招标人要求的时间运输至招标人指定地点，招标人有权要求投标人赔偿合同总价款的20%违约金给招标人（如有异议请在报价时注明）。</w:t>
      </w:r>
    </w:p>
    <w:p w14:paraId="19FAFB28">
      <w:pPr>
        <w:spacing w:line="600" w:lineRule="exact"/>
        <w:ind w:firstLine="640" w:firstLineChars="200"/>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3.因投标人的项目质量、逾期完成等原因给招标人造成直接和间接经济损失的，由投标人承担全部责任（如有异议请在报价时注明）。</w:t>
      </w:r>
    </w:p>
    <w:p w14:paraId="799871F7">
      <w:pPr>
        <w:spacing w:line="600" w:lineRule="exact"/>
        <w:ind w:firstLine="640" w:firstLineChars="200"/>
        <w:rPr>
          <w:rFonts w:hint="eastAsia" w:ascii="方正仿宋简体" w:hAnsi="方正仿宋简体" w:eastAsia="方正仿宋简体" w:cs="方正仿宋简体"/>
          <w:kern w:val="1"/>
          <w:sz w:val="32"/>
          <w:szCs w:val="32"/>
          <w:highlight w:val="none"/>
          <w:lang w:eastAsia="zh-CN"/>
        </w:rPr>
      </w:pPr>
      <w:r>
        <w:rPr>
          <w:rFonts w:hint="eastAsia" w:ascii="方正楷体_GBK" w:hAnsi="方正楷体_GBK" w:eastAsia="方正楷体_GBK" w:cs="方正楷体_GBK"/>
          <w:kern w:val="1"/>
          <w:sz w:val="32"/>
          <w:szCs w:val="32"/>
          <w:highlight w:val="none"/>
        </w:rPr>
        <w:t>（十二）</w:t>
      </w:r>
      <w:r>
        <w:rPr>
          <w:rFonts w:hint="eastAsia" w:ascii="方正仿宋简体" w:hAnsi="方正仿宋简体" w:eastAsia="方正仿宋简体" w:cs="方正仿宋简体"/>
          <w:kern w:val="1"/>
          <w:sz w:val="32"/>
          <w:szCs w:val="32"/>
          <w:highlight w:val="none"/>
        </w:rPr>
        <w:t>竣工结算按实际工作量结算，</w:t>
      </w:r>
      <w:r>
        <w:rPr>
          <w:rFonts w:hint="eastAsia" w:ascii="方正仿宋简体" w:hAnsi="方正仿宋简体" w:eastAsia="方正仿宋简体" w:cs="方正仿宋简体"/>
          <w:kern w:val="1"/>
          <w:sz w:val="32"/>
          <w:szCs w:val="32"/>
          <w:highlight w:val="none"/>
          <w:lang w:val="en-US" w:eastAsia="zh-CN"/>
        </w:rPr>
        <w:t>合同内部分按合同执行，合同外部分</w:t>
      </w:r>
      <w:r>
        <w:rPr>
          <w:rFonts w:hint="eastAsia" w:ascii="方正仿宋简体" w:hAnsi="方正仿宋简体" w:eastAsia="方正仿宋简体" w:cs="方正仿宋简体"/>
          <w:kern w:val="1"/>
          <w:sz w:val="32"/>
          <w:szCs w:val="32"/>
          <w:highlight w:val="none"/>
        </w:rPr>
        <w:t>按2014年《江苏省安装工程计价表》，《江苏省建筑与装饰工程计价表（2014年版）》、《江苏省建设工程费用定额（2014年）》苏建价[2014]299号</w:t>
      </w:r>
      <w:r>
        <w:rPr>
          <w:rFonts w:hint="eastAsia" w:ascii="方正仿宋简体" w:hAnsi="方正仿宋简体" w:eastAsia="方正仿宋简体" w:cs="方正仿宋简体"/>
          <w:kern w:val="1"/>
          <w:sz w:val="32"/>
          <w:szCs w:val="32"/>
          <w:highlight w:val="none"/>
          <w:lang w:val="en-US" w:eastAsia="zh-CN"/>
        </w:rPr>
        <w:t>执行</w:t>
      </w:r>
      <w:r>
        <w:rPr>
          <w:rFonts w:hint="eastAsia" w:ascii="方正仿宋简体" w:hAnsi="方正仿宋简体" w:eastAsia="方正仿宋简体" w:cs="方正仿宋简体"/>
          <w:kern w:val="1"/>
          <w:sz w:val="32"/>
          <w:szCs w:val="32"/>
          <w:highlight w:val="none"/>
        </w:rPr>
        <w:t>。合同以外的材料价格按照镇江市当期造价信息价计价</w:t>
      </w:r>
      <w:r>
        <w:rPr>
          <w:rFonts w:hint="eastAsia" w:ascii="方正仿宋简体" w:hAnsi="方正仿宋简体" w:eastAsia="方正仿宋简体" w:cs="方正仿宋简体"/>
          <w:kern w:val="1"/>
          <w:sz w:val="32"/>
          <w:szCs w:val="32"/>
          <w:highlight w:val="none"/>
          <w:lang w:eastAsia="zh-CN"/>
        </w:rPr>
        <w:t>，</w:t>
      </w:r>
      <w:r>
        <w:rPr>
          <w:rFonts w:hint="eastAsia" w:ascii="方正仿宋简体" w:hAnsi="方正仿宋简体" w:eastAsia="方正仿宋简体" w:cs="方正仿宋简体"/>
          <w:kern w:val="1"/>
          <w:sz w:val="32"/>
          <w:szCs w:val="32"/>
          <w:highlight w:val="none"/>
        </w:rPr>
        <w:t>如当期信息价没有的，以</w:t>
      </w:r>
      <w:r>
        <w:rPr>
          <w:rFonts w:hint="eastAsia" w:ascii="方正仿宋简体" w:hAnsi="方正仿宋简体" w:eastAsia="方正仿宋简体" w:cs="方正仿宋简体"/>
          <w:kern w:val="1"/>
          <w:sz w:val="32"/>
          <w:szCs w:val="32"/>
          <w:highlight w:val="none"/>
          <w:lang w:val="en-US" w:eastAsia="zh-CN"/>
        </w:rPr>
        <w:t>招标人</w:t>
      </w:r>
      <w:r>
        <w:rPr>
          <w:rFonts w:hint="eastAsia" w:ascii="方正仿宋简体" w:hAnsi="方正仿宋简体" w:eastAsia="方正仿宋简体" w:cs="方正仿宋简体"/>
          <w:kern w:val="1"/>
          <w:sz w:val="32"/>
          <w:szCs w:val="32"/>
          <w:highlight w:val="none"/>
        </w:rPr>
        <w:t>核定的为准。</w:t>
      </w:r>
      <w:r>
        <w:rPr>
          <w:rFonts w:hint="eastAsia" w:ascii="方正仿宋简体" w:hAnsi="方正仿宋简体" w:eastAsia="方正仿宋简体" w:cs="方正仿宋简体"/>
          <w:kern w:val="1"/>
          <w:sz w:val="32"/>
          <w:szCs w:val="32"/>
          <w:highlight w:val="none"/>
          <w:lang w:val="en-US" w:eastAsia="zh-CN"/>
        </w:rPr>
        <w:t>招标人</w:t>
      </w:r>
      <w:r>
        <w:rPr>
          <w:rFonts w:hint="eastAsia" w:ascii="方正仿宋简体" w:hAnsi="方正仿宋简体" w:eastAsia="方正仿宋简体" w:cs="方正仿宋简体"/>
          <w:kern w:val="1"/>
          <w:sz w:val="32"/>
          <w:szCs w:val="32"/>
          <w:highlight w:val="none"/>
        </w:rPr>
        <w:t>委托索普集团审计部进行审计</w:t>
      </w:r>
      <w:r>
        <w:rPr>
          <w:rFonts w:hint="eastAsia" w:ascii="方正仿宋简体" w:hAnsi="方正仿宋简体" w:eastAsia="方正仿宋简体" w:cs="方正仿宋简体"/>
          <w:strike w:val="0"/>
          <w:dstrike w:val="0"/>
          <w:kern w:val="1"/>
          <w:sz w:val="32"/>
          <w:szCs w:val="32"/>
          <w:highlight w:val="none"/>
          <w:lang w:eastAsia="zh-CN"/>
        </w:rPr>
        <w:t>。</w:t>
      </w:r>
    </w:p>
    <w:p w14:paraId="1A6EB8F9">
      <w:pPr>
        <w:spacing w:line="600" w:lineRule="exact"/>
        <w:ind w:firstLine="640" w:firstLineChars="200"/>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kern w:val="1"/>
          <w:sz w:val="32"/>
          <w:szCs w:val="32"/>
          <w:highlight w:val="none"/>
        </w:rPr>
        <w:t>（十三）</w:t>
      </w:r>
      <w:r>
        <w:rPr>
          <w:rFonts w:hint="eastAsia" w:ascii="方正仿宋简体" w:hAnsi="方正仿宋简体" w:eastAsia="方正仿宋简体" w:cs="方正仿宋简体"/>
          <w:kern w:val="1"/>
          <w:sz w:val="32"/>
          <w:szCs w:val="32"/>
          <w:highlight w:val="none"/>
        </w:rPr>
        <w:t>中标人应严格按照标书约定与招标人签定供需合同，</w:t>
      </w:r>
      <w:r>
        <w:rPr>
          <w:rFonts w:hint="eastAsia" w:ascii="方正仿宋简体" w:hAnsi="方正仿宋简体" w:eastAsia="方正仿宋简体" w:cs="方正仿宋简体"/>
          <w:kern w:val="1"/>
          <w:sz w:val="32"/>
          <w:szCs w:val="32"/>
        </w:rPr>
        <w:t>并按合同约定做好物资供应和服务工作。对中标人所有违背标书及合同约定的行为，招标人均可持续保留与中标人中止合作的一切权利。</w:t>
      </w:r>
    </w:p>
    <w:p w14:paraId="2861D5E4">
      <w:pPr>
        <w:spacing w:line="600" w:lineRule="exact"/>
        <w:ind w:firstLine="640" w:firstLineChars="200"/>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kern w:val="1"/>
          <w:sz w:val="32"/>
          <w:szCs w:val="32"/>
        </w:rPr>
        <w:t>（十四）</w:t>
      </w:r>
      <w:r>
        <w:rPr>
          <w:rFonts w:hint="eastAsia" w:ascii="方正仿宋简体" w:hAnsi="方正仿宋简体" w:eastAsia="方正仿宋简体" w:cs="方正仿宋简体"/>
          <w:kern w:val="1"/>
          <w:sz w:val="32"/>
          <w:szCs w:val="32"/>
        </w:rPr>
        <w:t>投标人在中标后无正当理由不与招标人签订合同的，将承担违约责任，列入招标人供应商负面清单。</w:t>
      </w:r>
    </w:p>
    <w:p w14:paraId="034DB781">
      <w:pPr>
        <w:spacing w:line="600" w:lineRule="exact"/>
        <w:ind w:firstLine="640" w:firstLineChars="200"/>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kern w:val="1"/>
          <w:sz w:val="32"/>
          <w:szCs w:val="32"/>
        </w:rPr>
        <w:t>（十五）</w:t>
      </w:r>
      <w:r>
        <w:rPr>
          <w:rFonts w:hint="eastAsia" w:ascii="方正仿宋简体" w:hAnsi="方正仿宋简体" w:eastAsia="方正仿宋简体" w:cs="方正仿宋简体"/>
          <w:kern w:val="1"/>
          <w:sz w:val="32"/>
          <w:szCs w:val="32"/>
        </w:rPr>
        <w:t>投标人应详细阅读本招标书，参与报价投标即视为对本招标书所列之条款均表示接受。</w:t>
      </w:r>
    </w:p>
    <w:p w14:paraId="267DD58C">
      <w:pPr>
        <w:spacing w:line="600" w:lineRule="exact"/>
        <w:ind w:firstLine="640" w:firstLineChars="200"/>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kern w:val="1"/>
          <w:sz w:val="32"/>
          <w:szCs w:val="32"/>
        </w:rPr>
        <w:t>（十六）</w:t>
      </w:r>
      <w:r>
        <w:rPr>
          <w:rFonts w:hint="eastAsia" w:ascii="方正仿宋简体" w:hAnsi="方正仿宋简体" w:eastAsia="方正仿宋简体" w:cs="方正仿宋简体"/>
          <w:kern w:val="1"/>
          <w:sz w:val="32"/>
          <w:szCs w:val="32"/>
        </w:rPr>
        <w:t>招标人对违反约定的投标人或中标人将按《镇江海纳川物流产业发展有限责任公司招标采购管理规定》中供应商管理对投标人进行管理考核（详见附件</w:t>
      </w:r>
      <w:r>
        <w:rPr>
          <w:rFonts w:hint="eastAsia" w:ascii="方正仿宋简体" w:hAnsi="方正仿宋简体" w:eastAsia="方正仿宋简体" w:cs="方正仿宋简体"/>
          <w:kern w:val="1"/>
          <w:sz w:val="32"/>
          <w:szCs w:val="32"/>
          <w:lang w:val="en-US" w:eastAsia="zh-CN"/>
        </w:rPr>
        <w:t>3</w:t>
      </w:r>
      <w:r>
        <w:rPr>
          <w:rFonts w:hint="eastAsia" w:ascii="方正仿宋简体" w:hAnsi="方正仿宋简体" w:eastAsia="方正仿宋简体" w:cs="方正仿宋简体"/>
          <w:kern w:val="1"/>
          <w:sz w:val="32"/>
          <w:szCs w:val="32"/>
        </w:rPr>
        <w:t>）。</w:t>
      </w:r>
    </w:p>
    <w:p w14:paraId="0253EA0F">
      <w:pPr>
        <w:spacing w:line="600" w:lineRule="exact"/>
        <w:ind w:firstLine="640" w:firstLineChars="200"/>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kern w:val="1"/>
          <w:sz w:val="32"/>
          <w:szCs w:val="32"/>
        </w:rPr>
        <w:t>（十七）</w:t>
      </w:r>
      <w:r>
        <w:rPr>
          <w:rFonts w:hint="eastAsia" w:ascii="方正仿宋简体" w:hAnsi="方正仿宋简体" w:eastAsia="方正仿宋简体" w:cs="方正仿宋简体"/>
          <w:kern w:val="1"/>
          <w:sz w:val="32"/>
          <w:szCs w:val="32"/>
        </w:rPr>
        <w:t>外协作业人员需先进行安全教育培训。</w:t>
      </w:r>
    </w:p>
    <w:p w14:paraId="56FEDFEE">
      <w:pPr>
        <w:spacing w:line="600" w:lineRule="exact"/>
        <w:ind w:firstLine="640" w:firstLineChars="200"/>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kern w:val="1"/>
          <w:sz w:val="32"/>
          <w:szCs w:val="32"/>
        </w:rPr>
        <w:t>（十八）</w:t>
      </w:r>
      <w:r>
        <w:rPr>
          <w:rFonts w:hint="eastAsia" w:ascii="方正仿宋简体" w:hAnsi="方正仿宋简体" w:eastAsia="方正仿宋简体" w:cs="方正仿宋简体"/>
          <w:kern w:val="1"/>
          <w:sz w:val="32"/>
          <w:szCs w:val="32"/>
        </w:rPr>
        <w:t>本次招标为企业自主公开招标，属生产经营性商务行为，解释权归镇江海纳川物流产业发展有限责任公司所有。</w:t>
      </w:r>
    </w:p>
    <w:p w14:paraId="12112F86">
      <w:pPr>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br w:type="page"/>
      </w:r>
    </w:p>
    <w:p w14:paraId="2EC4DF07">
      <w:pPr>
        <w:spacing w:line="560" w:lineRule="exact"/>
        <w:jc w:val="center"/>
        <w:rPr>
          <w:rFonts w:ascii="方正小标宋简体" w:hAnsi="宋体" w:eastAsia="方正小标宋简体" w:cs="宋体"/>
          <w:kern w:val="44"/>
          <w:sz w:val="44"/>
          <w:szCs w:val="20"/>
        </w:rPr>
      </w:pPr>
      <w:r>
        <w:rPr>
          <w:rFonts w:hint="eastAsia" w:ascii="方正小标宋简体" w:hAnsi="宋体" w:eastAsia="方正小标宋简体" w:cs="宋体"/>
          <w:kern w:val="44"/>
          <w:sz w:val="44"/>
          <w:szCs w:val="20"/>
        </w:rPr>
        <w:t>注 意 事 项</w:t>
      </w:r>
    </w:p>
    <w:p w14:paraId="2EF370A9">
      <w:pPr>
        <w:pStyle w:val="19"/>
        <w:spacing w:line="560" w:lineRule="exact"/>
        <w:rPr>
          <w:rFonts w:ascii="Times New Roman"/>
          <w:sz w:val="28"/>
        </w:rPr>
      </w:pPr>
    </w:p>
    <w:p w14:paraId="754A619A">
      <w:pPr>
        <w:spacing w:line="560" w:lineRule="exact"/>
        <w:ind w:firstLine="640" w:firstLineChars="200"/>
        <w:jc w:val="left"/>
        <w:sectPr>
          <w:headerReference r:id="rId4" w:type="first"/>
          <w:footerReference r:id="rId7" w:type="first"/>
          <w:headerReference r:id="rId3" w:type="default"/>
          <w:footerReference r:id="rId5" w:type="default"/>
          <w:footerReference r:id="rId6" w:type="even"/>
          <w:pgSz w:w="11906" w:h="16838"/>
          <w:pgMar w:top="1418" w:right="1418" w:bottom="1134" w:left="1418" w:header="720" w:footer="567" w:gutter="0"/>
          <w:pgNumType w:start="1"/>
          <w:cols w:space="720" w:num="1"/>
          <w:titlePg/>
          <w:docGrid w:type="lines" w:linePitch="331" w:charSpace="0"/>
        </w:sectPr>
      </w:pPr>
      <w:r>
        <w:rPr>
          <w:rFonts w:hint="eastAsia" w:ascii="方正仿宋简体" w:hAnsi="方正仿宋简体" w:eastAsia="方正仿宋简体" w:cs="方正仿宋简体"/>
          <w:sz w:val="32"/>
          <w:szCs w:val="32"/>
          <w:lang w:val="zh-CN"/>
        </w:rPr>
        <w:t>递交投标文件时，由招标人工作人员检查标书的密封状况，对于未密封的投标文件或在投标截止时间之后递交的投标文件，拒绝接收该投标文件，责任由投标人自负。</w:t>
      </w:r>
    </w:p>
    <w:p w14:paraId="452D3CE5">
      <w:pPr>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附件1：</w:t>
      </w:r>
    </w:p>
    <w:p w14:paraId="7B89F827">
      <w:pPr>
        <w:rPr>
          <w:rFonts w:ascii="黑体" w:hAnsi="黑体" w:eastAsia="黑体" w:cs="黑体"/>
          <w:kern w:val="1"/>
          <w:sz w:val="32"/>
          <w:szCs w:val="32"/>
        </w:rPr>
      </w:pPr>
    </w:p>
    <w:p w14:paraId="66CCF1CE">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现场踏勘证明书</w:t>
      </w:r>
    </w:p>
    <w:p w14:paraId="0E5095CD">
      <w:pPr>
        <w:ind w:firstLine="2420" w:firstLineChars="550"/>
        <w:rPr>
          <w:rFonts w:ascii="黑体" w:hAnsi="黑体" w:eastAsia="黑体"/>
          <w:sz w:val="44"/>
          <w:szCs w:val="44"/>
        </w:rPr>
      </w:pPr>
    </w:p>
    <w:p w14:paraId="16178418">
      <w:pPr>
        <w:spacing w:line="600" w:lineRule="exact"/>
        <w:ind w:firstLine="640" w:firstLineChars="200"/>
        <w:jc w:val="left"/>
        <w:rPr>
          <w:rFonts w:ascii="方正仿宋简体" w:hAnsi="仿宋_GB2312" w:eastAsia="方正仿宋简体" w:cs="仿宋_GB2312"/>
          <w:kern w:val="1"/>
          <w:sz w:val="32"/>
          <w:szCs w:val="32"/>
        </w:rPr>
      </w:pPr>
      <w:r>
        <w:rPr>
          <w:rFonts w:hint="eastAsia" w:ascii="方正仿宋简体" w:hAnsi="仿宋_GB2312" w:eastAsia="方正仿宋简体" w:cs="仿宋_GB2312"/>
          <w:kern w:val="1"/>
          <w:sz w:val="32"/>
          <w:szCs w:val="32"/>
        </w:rPr>
        <w:t>根据</w:t>
      </w:r>
      <w:r>
        <w:rPr>
          <w:rFonts w:hint="eastAsia" w:ascii="方正仿宋简体" w:hAnsi="方正仿宋简体" w:eastAsia="方正仿宋简体" w:cs="方正仿宋简体"/>
          <w:sz w:val="32"/>
          <w:szCs w:val="32"/>
          <w:lang w:val="zh-CN"/>
        </w:rPr>
        <w:t>消防提升改造项目（土建及钢结构施工）</w:t>
      </w:r>
      <w:r>
        <w:rPr>
          <w:rFonts w:hint="eastAsia" w:ascii="方正仿宋简体" w:hAnsi="仿宋_GB2312" w:eastAsia="方正仿宋简体" w:cs="仿宋_GB2312"/>
          <w:kern w:val="1"/>
          <w:sz w:val="32"/>
          <w:szCs w:val="32"/>
        </w:rPr>
        <w:t>招标文件要求，投标人须对现场进行实地踏勘。</w:t>
      </w:r>
    </w:p>
    <w:p w14:paraId="4ED94BD2">
      <w:pPr>
        <w:spacing w:line="600" w:lineRule="exact"/>
        <w:ind w:firstLine="640" w:firstLineChars="200"/>
        <w:jc w:val="left"/>
        <w:rPr>
          <w:rFonts w:ascii="方正仿宋简体" w:hAnsi="仿宋_GB2312" w:eastAsia="方正仿宋简体" w:cs="仿宋_GB2312"/>
          <w:kern w:val="1"/>
          <w:sz w:val="32"/>
          <w:szCs w:val="32"/>
        </w:rPr>
      </w:pPr>
      <w:r>
        <w:rPr>
          <w:rFonts w:hint="eastAsia" w:ascii="方正仿宋简体" w:hAnsi="仿宋_GB2312" w:eastAsia="方正仿宋简体" w:cs="仿宋_GB2312"/>
          <w:kern w:val="1"/>
          <w:sz w:val="32"/>
          <w:szCs w:val="32"/>
        </w:rPr>
        <w:t>投标人结合招标单位相关招标文件内容，已于</w:t>
      </w:r>
      <w:r>
        <w:rPr>
          <w:rFonts w:hint="eastAsia" w:ascii="方正仿宋简体" w:hAnsi="仿宋_GB2312" w:eastAsia="方正仿宋简体" w:cs="仿宋_GB2312"/>
          <w:kern w:val="1"/>
          <w:sz w:val="32"/>
          <w:szCs w:val="32"/>
          <w:u w:val="single"/>
        </w:rPr>
        <w:t xml:space="preserve"> </w:t>
      </w:r>
      <w:r>
        <w:rPr>
          <w:rFonts w:ascii="方正仿宋简体" w:hAnsi="仿宋_GB2312" w:eastAsia="方正仿宋简体" w:cs="仿宋_GB2312"/>
          <w:kern w:val="1"/>
          <w:sz w:val="32"/>
          <w:szCs w:val="32"/>
          <w:u w:val="single"/>
        </w:rPr>
        <w:t xml:space="preserve">    </w:t>
      </w:r>
      <w:r>
        <w:rPr>
          <w:rFonts w:ascii="方正仿宋简体" w:hAnsi="仿宋_GB2312" w:eastAsia="方正仿宋简体" w:cs="仿宋_GB2312"/>
          <w:kern w:val="1"/>
          <w:sz w:val="32"/>
          <w:szCs w:val="32"/>
        </w:rPr>
        <w:t>年</w:t>
      </w:r>
      <w:r>
        <w:rPr>
          <w:rFonts w:hint="eastAsia" w:ascii="方正仿宋简体" w:hAnsi="仿宋_GB2312" w:eastAsia="方正仿宋简体" w:cs="仿宋_GB2312"/>
          <w:kern w:val="1"/>
          <w:sz w:val="32"/>
          <w:szCs w:val="32"/>
          <w:u w:val="single"/>
        </w:rPr>
        <w:t xml:space="preserve"> </w:t>
      </w:r>
      <w:r>
        <w:rPr>
          <w:rFonts w:ascii="方正仿宋简体" w:hAnsi="仿宋_GB2312" w:eastAsia="方正仿宋简体" w:cs="仿宋_GB2312"/>
          <w:kern w:val="1"/>
          <w:sz w:val="32"/>
          <w:szCs w:val="32"/>
          <w:u w:val="single"/>
        </w:rPr>
        <w:t xml:space="preserve">  </w:t>
      </w:r>
      <w:r>
        <w:rPr>
          <w:rFonts w:ascii="方正仿宋简体" w:hAnsi="仿宋_GB2312" w:eastAsia="方正仿宋简体" w:cs="仿宋_GB2312"/>
          <w:kern w:val="1"/>
          <w:sz w:val="32"/>
          <w:szCs w:val="32"/>
        </w:rPr>
        <w:t>月</w:t>
      </w:r>
      <w:r>
        <w:rPr>
          <w:rFonts w:hint="eastAsia" w:ascii="方正仿宋简体" w:hAnsi="仿宋_GB2312" w:eastAsia="方正仿宋简体" w:cs="仿宋_GB2312"/>
          <w:kern w:val="1"/>
          <w:sz w:val="32"/>
          <w:szCs w:val="32"/>
          <w:u w:val="single"/>
        </w:rPr>
        <w:t xml:space="preserve"> </w:t>
      </w:r>
      <w:r>
        <w:rPr>
          <w:rFonts w:ascii="方正仿宋简体" w:hAnsi="仿宋_GB2312" w:eastAsia="方正仿宋简体" w:cs="仿宋_GB2312"/>
          <w:kern w:val="1"/>
          <w:sz w:val="32"/>
          <w:szCs w:val="32"/>
          <w:u w:val="single"/>
        </w:rPr>
        <w:t xml:space="preserve">  </w:t>
      </w:r>
      <w:r>
        <w:rPr>
          <w:rFonts w:ascii="方正仿宋简体" w:hAnsi="仿宋_GB2312" w:eastAsia="方正仿宋简体" w:cs="仿宋_GB2312"/>
          <w:kern w:val="1"/>
          <w:sz w:val="32"/>
          <w:szCs w:val="32"/>
        </w:rPr>
        <w:t>日</w:t>
      </w:r>
      <w:r>
        <w:rPr>
          <w:rFonts w:hint="eastAsia" w:ascii="方正仿宋简体" w:hAnsi="仿宋_GB2312" w:eastAsia="方正仿宋简体" w:cs="仿宋_GB2312"/>
          <w:kern w:val="1"/>
          <w:sz w:val="32"/>
          <w:szCs w:val="32"/>
        </w:rPr>
        <w:t>进行实地踏勘。</w:t>
      </w:r>
    </w:p>
    <w:p w14:paraId="58493E49">
      <w:pPr>
        <w:ind w:firstLine="640" w:firstLineChars="200"/>
        <w:rPr>
          <w:rFonts w:ascii="方正仿宋简体" w:hAnsi="仿宋_GB2312" w:eastAsia="方正仿宋简体" w:cs="仿宋_GB2312"/>
          <w:kern w:val="1"/>
          <w:sz w:val="32"/>
          <w:szCs w:val="32"/>
        </w:rPr>
      </w:pPr>
      <w:r>
        <w:rPr>
          <w:rFonts w:hint="eastAsia" w:ascii="方正仿宋简体" w:hAnsi="仿宋_GB2312" w:eastAsia="方正仿宋简体" w:cs="仿宋_GB2312"/>
          <w:kern w:val="1"/>
          <w:sz w:val="32"/>
          <w:szCs w:val="32"/>
        </w:rPr>
        <w:t>特此证明！</w:t>
      </w:r>
    </w:p>
    <w:p w14:paraId="4A3E9B37">
      <w:pPr>
        <w:rPr>
          <w:rFonts w:ascii="方正仿宋简体" w:hAnsi="仿宋_GB2312" w:eastAsia="方正仿宋简体" w:cs="仿宋_GB2312"/>
          <w:kern w:val="1"/>
          <w:sz w:val="32"/>
          <w:szCs w:val="32"/>
        </w:rPr>
      </w:pPr>
    </w:p>
    <w:tbl>
      <w:tblPr>
        <w:tblStyle w:val="53"/>
        <w:tblW w:w="9822"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2"/>
        <w:gridCol w:w="2295"/>
        <w:gridCol w:w="2895"/>
      </w:tblGrid>
      <w:tr w14:paraId="0985A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2" w:type="dxa"/>
          </w:tcPr>
          <w:p w14:paraId="5A6AF7DD">
            <w:pPr>
              <w:jc w:val="center"/>
              <w:rPr>
                <w:rFonts w:ascii="方正仿宋简体" w:hAnsi="仿宋_GB2312" w:eastAsia="方正仿宋简体" w:cs="仿宋_GB2312"/>
                <w:kern w:val="1"/>
                <w:sz w:val="32"/>
                <w:szCs w:val="32"/>
              </w:rPr>
            </w:pPr>
            <w:r>
              <w:rPr>
                <w:rFonts w:hint="eastAsia" w:ascii="方正仿宋简体" w:hAnsi="仿宋_GB2312" w:eastAsia="方正仿宋简体" w:cs="仿宋_GB2312"/>
                <w:kern w:val="1"/>
                <w:sz w:val="32"/>
                <w:szCs w:val="32"/>
              </w:rPr>
              <w:t>现场踏勘企业名称</w:t>
            </w:r>
          </w:p>
        </w:tc>
        <w:tc>
          <w:tcPr>
            <w:tcW w:w="2295" w:type="dxa"/>
          </w:tcPr>
          <w:p w14:paraId="64839CBF">
            <w:pPr>
              <w:jc w:val="center"/>
              <w:rPr>
                <w:rFonts w:ascii="方正仿宋简体" w:hAnsi="仿宋_GB2312" w:eastAsia="方正仿宋简体" w:cs="仿宋_GB2312"/>
                <w:kern w:val="1"/>
                <w:sz w:val="32"/>
                <w:szCs w:val="32"/>
              </w:rPr>
            </w:pPr>
            <w:r>
              <w:rPr>
                <w:rFonts w:hint="eastAsia" w:ascii="方正仿宋简体" w:hAnsi="仿宋_GB2312" w:eastAsia="方正仿宋简体" w:cs="仿宋_GB2312"/>
                <w:kern w:val="1"/>
                <w:sz w:val="32"/>
                <w:szCs w:val="32"/>
              </w:rPr>
              <w:t>踏勘人</w:t>
            </w:r>
          </w:p>
        </w:tc>
        <w:tc>
          <w:tcPr>
            <w:tcW w:w="2895" w:type="dxa"/>
          </w:tcPr>
          <w:p w14:paraId="1F10929B">
            <w:pPr>
              <w:jc w:val="center"/>
              <w:rPr>
                <w:rFonts w:ascii="方正仿宋简体" w:hAnsi="仿宋_GB2312" w:eastAsia="方正仿宋简体" w:cs="仿宋_GB2312"/>
                <w:kern w:val="1"/>
                <w:sz w:val="32"/>
                <w:szCs w:val="32"/>
              </w:rPr>
            </w:pPr>
            <w:r>
              <w:rPr>
                <w:rFonts w:hint="eastAsia" w:ascii="方正仿宋简体" w:hAnsi="仿宋_GB2312" w:eastAsia="方正仿宋简体" w:cs="仿宋_GB2312"/>
                <w:kern w:val="1"/>
                <w:sz w:val="32"/>
                <w:szCs w:val="32"/>
              </w:rPr>
              <w:t>联系方式</w:t>
            </w:r>
          </w:p>
        </w:tc>
      </w:tr>
      <w:tr w14:paraId="43166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2" w:type="dxa"/>
          </w:tcPr>
          <w:p w14:paraId="7DCBFD55">
            <w:pPr>
              <w:jc w:val="center"/>
              <w:rPr>
                <w:rFonts w:ascii="方正仿宋简体" w:hAnsi="仿宋_GB2312" w:eastAsia="方正仿宋简体" w:cs="仿宋_GB2312"/>
                <w:kern w:val="1"/>
                <w:sz w:val="32"/>
                <w:szCs w:val="32"/>
              </w:rPr>
            </w:pPr>
          </w:p>
        </w:tc>
        <w:tc>
          <w:tcPr>
            <w:tcW w:w="2295" w:type="dxa"/>
          </w:tcPr>
          <w:p w14:paraId="3FCCD8B0">
            <w:pPr>
              <w:jc w:val="center"/>
              <w:rPr>
                <w:rFonts w:ascii="方正仿宋简体" w:hAnsi="仿宋_GB2312" w:eastAsia="方正仿宋简体" w:cs="仿宋_GB2312"/>
                <w:kern w:val="1"/>
                <w:sz w:val="32"/>
                <w:szCs w:val="32"/>
              </w:rPr>
            </w:pPr>
          </w:p>
        </w:tc>
        <w:tc>
          <w:tcPr>
            <w:tcW w:w="2895" w:type="dxa"/>
          </w:tcPr>
          <w:p w14:paraId="7457B943">
            <w:pPr>
              <w:jc w:val="center"/>
              <w:rPr>
                <w:rFonts w:ascii="方正仿宋简体" w:hAnsi="仿宋_GB2312" w:eastAsia="方正仿宋简体" w:cs="仿宋_GB2312"/>
                <w:kern w:val="1"/>
                <w:sz w:val="32"/>
                <w:szCs w:val="32"/>
              </w:rPr>
            </w:pPr>
          </w:p>
        </w:tc>
      </w:tr>
    </w:tbl>
    <w:p w14:paraId="0AAE5E54">
      <w:pPr>
        <w:rPr>
          <w:rFonts w:ascii="方正仿宋简体" w:hAnsi="仿宋_GB2312" w:eastAsia="方正仿宋简体" w:cs="仿宋_GB2312"/>
          <w:kern w:val="1"/>
          <w:sz w:val="32"/>
          <w:szCs w:val="32"/>
        </w:rPr>
      </w:pPr>
    </w:p>
    <w:p w14:paraId="1F02A16B">
      <w:pPr>
        <w:rPr>
          <w:rFonts w:ascii="方正仿宋简体" w:hAnsi="仿宋_GB2312" w:eastAsia="方正仿宋简体" w:cs="仿宋_GB2312"/>
          <w:kern w:val="1"/>
          <w:sz w:val="32"/>
          <w:szCs w:val="32"/>
        </w:rPr>
      </w:pPr>
      <w:r>
        <w:rPr>
          <w:rFonts w:hint="eastAsia" w:ascii="方正仿宋简体" w:hAnsi="仿宋_GB2312" w:eastAsia="方正仿宋简体" w:cs="仿宋_GB2312"/>
          <w:kern w:val="1"/>
          <w:sz w:val="32"/>
          <w:szCs w:val="32"/>
        </w:rPr>
        <w:t>招标</w:t>
      </w:r>
      <w:r>
        <w:rPr>
          <w:rFonts w:ascii="方正仿宋简体" w:hAnsi="仿宋_GB2312" w:eastAsia="方正仿宋简体" w:cs="仿宋_GB2312"/>
          <w:kern w:val="1"/>
          <w:sz w:val="32"/>
          <w:szCs w:val="32"/>
        </w:rPr>
        <w:t>单位</w:t>
      </w:r>
      <w:r>
        <w:rPr>
          <w:rFonts w:hint="eastAsia" w:ascii="方正仿宋简体" w:hAnsi="仿宋_GB2312" w:eastAsia="方正仿宋简体" w:cs="仿宋_GB2312"/>
          <w:kern w:val="1"/>
          <w:sz w:val="32"/>
          <w:szCs w:val="32"/>
        </w:rPr>
        <w:t>现场陪同人（双人）：</w:t>
      </w:r>
    </w:p>
    <w:p w14:paraId="2751126F">
      <w:pPr>
        <w:rPr>
          <w:rFonts w:ascii="方正黑体_GBK" w:hAnsi="方正黑体_GBK" w:eastAsia="方正黑体_GBK" w:cs="方正黑体_GBK"/>
        </w:rPr>
      </w:pPr>
      <w:r>
        <w:rPr>
          <w:rFonts w:hint="eastAsia" w:ascii="方正黑体_GBK" w:hAnsi="方正黑体_GBK" w:eastAsia="方正黑体_GBK" w:cs="方正黑体_GBK"/>
        </w:rPr>
        <w:br w:type="page"/>
      </w:r>
    </w:p>
    <w:p w14:paraId="5BDAFCA1">
      <w:pPr>
        <w:jc w:val="left"/>
        <w:rPr>
          <w:rFonts w:hint="eastAsia" w:ascii="方正黑体_GBK" w:hAnsi="方正黑体_GBK" w:eastAsia="方正黑体_GBK" w:cs="方正黑体_GBK"/>
          <w:b w:val="0"/>
          <w:bCs w:val="0"/>
          <w:sz w:val="32"/>
          <w:szCs w:val="40"/>
        </w:rPr>
      </w:pPr>
      <w:r>
        <w:rPr>
          <w:rFonts w:hint="eastAsia" w:ascii="方正黑体_GBK" w:hAnsi="方正黑体_GBK" w:eastAsia="方正黑体_GBK" w:cs="方正黑体_GBK"/>
          <w:b w:val="0"/>
          <w:bCs w:val="0"/>
          <w:sz w:val="32"/>
          <w:szCs w:val="40"/>
        </w:rPr>
        <w:t>附件2：</w:t>
      </w:r>
    </w:p>
    <w:p w14:paraId="3A8DD33C">
      <w:pPr>
        <w:jc w:val="center"/>
        <w:rPr>
          <w:sz w:val="44"/>
          <w:szCs w:val="44"/>
        </w:rPr>
      </w:pPr>
      <w:r>
        <w:rPr>
          <w:rFonts w:hint="eastAsia"/>
          <w:sz w:val="44"/>
          <w:szCs w:val="44"/>
        </w:rPr>
        <w:t>外包项目(工程)安全生产管理协议书</w:t>
      </w:r>
    </w:p>
    <w:p w14:paraId="3F6E1970">
      <w:pPr>
        <w:spacing w:line="560" w:lineRule="exact"/>
        <w:ind w:firstLine="640" w:firstLineChars="200"/>
        <w:rPr>
          <w:rFonts w:ascii="仿宋" w:hAnsi="仿宋" w:eastAsia="仿宋"/>
          <w:sz w:val="32"/>
          <w:szCs w:val="32"/>
        </w:rPr>
      </w:pPr>
    </w:p>
    <w:p w14:paraId="5737F900">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 xml:space="preserve">甲方: </w:t>
      </w:r>
    </w:p>
    <w:p w14:paraId="15BFBA5D">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乙方:</w:t>
      </w:r>
      <w:r>
        <w:rPr>
          <w:rFonts w:ascii="仿宋" w:hAnsi="仿宋" w:eastAsia="仿宋"/>
          <w:sz w:val="24"/>
          <w:szCs w:val="24"/>
        </w:rPr>
        <w:t xml:space="preserve"> </w:t>
      </w:r>
    </w:p>
    <w:p w14:paraId="2F46D9F3">
      <w:pPr>
        <w:spacing w:line="320" w:lineRule="exact"/>
        <w:ind w:firstLine="480" w:firstLineChars="200"/>
        <w:rPr>
          <w:rFonts w:ascii="仿宋" w:hAnsi="仿宋" w:eastAsia="仿宋"/>
          <w:sz w:val="24"/>
          <w:szCs w:val="24"/>
        </w:rPr>
      </w:pPr>
      <w:r>
        <w:rPr>
          <w:rFonts w:hint="eastAsia" w:ascii="仿宋" w:hAnsi="仿宋" w:eastAsia="仿宋"/>
          <w:sz w:val="24"/>
          <w:szCs w:val="24"/>
        </w:rPr>
        <w:t>为加强对外包项目(工程)的安全生产管理，明确双方的安全生产责任，防止和减少外包作业中的生产安全事故，按照《安全生产法》《市属国有企业外包作业安全专项整治工作方案》及其他法律、法规、规章的规定，甲乙双方遵循平等、自愿、公平和诚实信用的原则，就外包作业安全生产管理事项协商一致，订立本协议。</w:t>
      </w:r>
    </w:p>
    <w:p w14:paraId="0C150796">
      <w:pPr>
        <w:spacing w:line="320" w:lineRule="exact"/>
        <w:ind w:firstLine="482" w:firstLineChars="200"/>
        <w:rPr>
          <w:rFonts w:ascii="宋体" w:hAnsi="宋体"/>
          <w:b/>
          <w:sz w:val="24"/>
          <w:szCs w:val="24"/>
        </w:rPr>
      </w:pPr>
      <w:r>
        <w:rPr>
          <w:rFonts w:hint="eastAsia" w:ascii="宋体" w:hAnsi="宋体"/>
          <w:b/>
          <w:sz w:val="24"/>
          <w:szCs w:val="24"/>
        </w:rPr>
        <w:t>第一条 项目概况</w:t>
      </w:r>
    </w:p>
    <w:p w14:paraId="257F3859">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(一)项目名称:</w:t>
      </w:r>
    </w:p>
    <w:p w14:paraId="57D1A88C">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(二)项目地点与范围:</w:t>
      </w:r>
    </w:p>
    <w:p w14:paraId="2C0B963C">
      <w:pPr>
        <w:spacing w:line="320" w:lineRule="exact"/>
        <w:ind w:firstLine="480" w:firstLineChars="200"/>
        <w:rPr>
          <w:rFonts w:hint="eastAsia" w:ascii="仿宋" w:hAnsi="仿宋" w:eastAsia="仿宋"/>
          <w:sz w:val="24"/>
          <w:szCs w:val="24"/>
          <w:u w:val="single"/>
        </w:rPr>
      </w:pPr>
      <w:r>
        <w:rPr>
          <w:rFonts w:hint="eastAsia" w:ascii="仿宋" w:hAnsi="仿宋" w:eastAsia="仿宋"/>
          <w:sz w:val="24"/>
          <w:szCs w:val="24"/>
        </w:rPr>
        <w:t>(三)项目承包主要内容:</w:t>
      </w:r>
      <w:r>
        <w:rPr>
          <w:rFonts w:hint="eastAsia"/>
        </w:rPr>
        <w:t xml:space="preserve"> </w:t>
      </w:r>
      <w:r>
        <w:rPr>
          <w:rFonts w:ascii="仿宋" w:hAnsi="仿宋" w:eastAsia="仿宋"/>
          <w:sz w:val="24"/>
          <w:szCs w:val="24"/>
          <w:u w:val="single"/>
        </w:rPr>
        <w:t xml:space="preserve"> </w:t>
      </w:r>
    </w:p>
    <w:p w14:paraId="7E6E0E41">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(四)项目工期:自</w:t>
      </w:r>
      <w:r>
        <w:rPr>
          <w:rFonts w:hint="eastAsia" w:ascii="仿宋" w:hAnsi="仿宋" w:eastAsia="仿宋"/>
          <w:sz w:val="24"/>
          <w:szCs w:val="24"/>
          <w:lang w:val="en-US" w:eastAsia="zh-CN"/>
        </w:rPr>
        <w:t xml:space="preserve">  </w:t>
      </w:r>
      <w:r>
        <w:rPr>
          <w:rFonts w:hint="eastAsia" w:ascii="仿宋" w:hAnsi="仿宋" w:eastAsia="仿宋"/>
          <w:sz w:val="24"/>
          <w:szCs w:val="24"/>
        </w:rPr>
        <w:t>年</w:t>
      </w:r>
      <w:r>
        <w:rPr>
          <w:rFonts w:hint="eastAsia" w:ascii="仿宋" w:hAnsi="仿宋" w:eastAsia="仿宋"/>
          <w:sz w:val="24"/>
          <w:szCs w:val="24"/>
          <w:lang w:val="en-US" w:eastAsia="zh-CN"/>
        </w:rPr>
        <w:t xml:space="preserve">   </w:t>
      </w:r>
      <w:r>
        <w:rPr>
          <w:rFonts w:hint="eastAsia" w:ascii="仿宋" w:hAnsi="仿宋" w:eastAsia="仿宋"/>
          <w:sz w:val="24"/>
          <w:szCs w:val="24"/>
        </w:rPr>
        <w:t>月</w:t>
      </w:r>
      <w:r>
        <w:rPr>
          <w:rFonts w:hint="eastAsia" w:ascii="仿宋" w:hAnsi="仿宋" w:eastAsia="仿宋"/>
          <w:sz w:val="24"/>
          <w:szCs w:val="24"/>
          <w:lang w:val="en-US" w:eastAsia="zh-CN"/>
        </w:rPr>
        <w:t xml:space="preserve">    </w:t>
      </w:r>
      <w:r>
        <w:rPr>
          <w:rFonts w:hint="eastAsia" w:ascii="仿宋" w:hAnsi="仿宋" w:eastAsia="仿宋"/>
          <w:sz w:val="24"/>
          <w:szCs w:val="24"/>
        </w:rPr>
        <w:t>日至</w:t>
      </w:r>
      <w:r>
        <w:rPr>
          <w:rFonts w:hint="eastAsia" w:ascii="仿宋" w:hAnsi="仿宋" w:eastAsia="仿宋"/>
          <w:sz w:val="24"/>
          <w:szCs w:val="24"/>
          <w:lang w:val="en-US" w:eastAsia="zh-CN"/>
        </w:rPr>
        <w:t xml:space="preserve">    </w:t>
      </w:r>
      <w:r>
        <w:rPr>
          <w:rFonts w:hint="eastAsia" w:ascii="仿宋" w:hAnsi="仿宋" w:eastAsia="仿宋"/>
          <w:sz w:val="24"/>
          <w:szCs w:val="24"/>
        </w:rPr>
        <w:t>年</w:t>
      </w:r>
      <w:r>
        <w:rPr>
          <w:rFonts w:hint="eastAsia" w:ascii="仿宋" w:hAnsi="仿宋" w:eastAsia="仿宋"/>
          <w:sz w:val="24"/>
          <w:szCs w:val="24"/>
          <w:lang w:val="en-US" w:eastAsia="zh-CN"/>
        </w:rPr>
        <w:t xml:space="preserve">   </w:t>
      </w:r>
      <w:r>
        <w:rPr>
          <w:rFonts w:hint="eastAsia" w:ascii="仿宋" w:hAnsi="仿宋" w:eastAsia="仿宋"/>
          <w:sz w:val="24"/>
          <w:szCs w:val="24"/>
        </w:rPr>
        <w:t>月</w:t>
      </w:r>
      <w:r>
        <w:rPr>
          <w:rFonts w:hint="eastAsia" w:ascii="仿宋" w:hAnsi="仿宋" w:eastAsia="仿宋"/>
          <w:sz w:val="24"/>
          <w:szCs w:val="24"/>
          <w:lang w:val="en-US" w:eastAsia="zh-CN"/>
        </w:rPr>
        <w:t xml:space="preserve">    </w:t>
      </w:r>
      <w:r>
        <w:rPr>
          <w:rFonts w:hint="eastAsia" w:ascii="仿宋" w:hAnsi="仿宋" w:eastAsia="仿宋"/>
          <w:sz w:val="24"/>
          <w:szCs w:val="24"/>
        </w:rPr>
        <w:t>日</w:t>
      </w:r>
    </w:p>
    <w:p w14:paraId="4161D4AB">
      <w:pPr>
        <w:spacing w:line="320" w:lineRule="exact"/>
        <w:ind w:firstLine="482" w:firstLineChars="200"/>
        <w:rPr>
          <w:rFonts w:ascii="宋体" w:hAnsi="宋体"/>
          <w:sz w:val="24"/>
          <w:szCs w:val="24"/>
        </w:rPr>
      </w:pPr>
      <w:r>
        <w:rPr>
          <w:rFonts w:hint="eastAsia" w:ascii="宋体" w:hAnsi="宋体" w:cs="宋体"/>
          <w:b/>
          <w:sz w:val="24"/>
          <w:szCs w:val="24"/>
        </w:rPr>
        <w:t>第二条 双方应当遵循的基本原则</w:t>
      </w:r>
      <w:r>
        <w:rPr>
          <w:rFonts w:hint="eastAsia" w:ascii="仿宋" w:hAnsi="仿宋" w:eastAsia="仿宋"/>
          <w:sz w:val="24"/>
          <w:szCs w:val="24"/>
        </w:rPr>
        <w:t xml:space="preserve"> </w:t>
      </w:r>
    </w:p>
    <w:p w14:paraId="16FE90FB">
      <w:pPr>
        <w:spacing w:line="320" w:lineRule="exact"/>
        <w:rPr>
          <w:rFonts w:ascii="仿宋" w:hAnsi="仿宋" w:eastAsia="仿宋"/>
          <w:sz w:val="24"/>
          <w:szCs w:val="24"/>
        </w:rPr>
      </w:pPr>
      <w:r>
        <w:rPr>
          <w:rFonts w:hint="eastAsia" w:ascii="仿宋" w:hAnsi="仿宋" w:eastAsia="仿宋"/>
          <w:sz w:val="24"/>
          <w:szCs w:val="24"/>
        </w:rPr>
        <w:t xml:space="preserve">    </w:t>
      </w:r>
      <w:r>
        <w:rPr>
          <w:rFonts w:ascii="仿宋" w:hAnsi="仿宋" w:eastAsia="仿宋"/>
          <w:sz w:val="24"/>
          <w:szCs w:val="24"/>
        </w:rPr>
        <w:t>1</w:t>
      </w:r>
      <w:r>
        <w:rPr>
          <w:rFonts w:hint="eastAsia" w:ascii="仿宋" w:hAnsi="仿宋" w:eastAsia="仿宋"/>
          <w:sz w:val="24"/>
          <w:szCs w:val="24"/>
        </w:rPr>
        <w:t>.乙方在进场作业前，须到甲方环保安全部门签订《外包项目（工程）安全生产管理协议书》，主动接受甲方环保安全部门对乙方参加作业的所有员工进行的安全环保教育。经教育培训、考核合格的员工，由环保安全部门办理《外工上岗证》，乙方员工凭《外工上岗证》方可进入作业</w:t>
      </w:r>
      <w:r>
        <w:rPr>
          <w:rFonts w:ascii="仿宋" w:hAnsi="仿宋" w:eastAsia="仿宋"/>
          <w:sz w:val="24"/>
          <w:szCs w:val="24"/>
        </w:rPr>
        <w:t>岗位，且在办理相关作业票证后方可进行对应施工作业</w:t>
      </w:r>
      <w:r>
        <w:rPr>
          <w:rFonts w:hint="eastAsia" w:ascii="仿宋" w:hAnsi="仿宋" w:eastAsia="仿宋"/>
          <w:sz w:val="24"/>
          <w:szCs w:val="24"/>
        </w:rPr>
        <w:t>。</w:t>
      </w:r>
    </w:p>
    <w:p w14:paraId="01682C47">
      <w:pPr>
        <w:spacing w:line="320" w:lineRule="exact"/>
        <w:rPr>
          <w:rFonts w:ascii="仿宋" w:hAnsi="仿宋" w:eastAsia="仿宋"/>
          <w:sz w:val="24"/>
          <w:szCs w:val="24"/>
        </w:rPr>
      </w:pPr>
      <w:r>
        <w:rPr>
          <w:rFonts w:hint="eastAsia" w:ascii="仿宋" w:hAnsi="仿宋" w:eastAsia="仿宋"/>
          <w:sz w:val="24"/>
          <w:szCs w:val="24"/>
        </w:rPr>
        <w:t xml:space="preserve">    </w:t>
      </w:r>
      <w:r>
        <w:rPr>
          <w:rFonts w:ascii="仿宋" w:hAnsi="仿宋" w:eastAsia="仿宋"/>
          <w:sz w:val="24"/>
          <w:szCs w:val="24"/>
        </w:rPr>
        <w:t>2</w:t>
      </w:r>
      <w:r>
        <w:rPr>
          <w:rFonts w:hint="eastAsia" w:ascii="仿宋" w:hAnsi="仿宋" w:eastAsia="仿宋"/>
          <w:sz w:val="24"/>
          <w:szCs w:val="24"/>
        </w:rPr>
        <w:t>.乙方须任命或指定专人作为该项目安全/环保管理责任人，以协调作业过程中的安全/环保有关事务。安全/环保管理责任人应保持与甲方环保安全部门的有效联络。</w:t>
      </w:r>
    </w:p>
    <w:p w14:paraId="7FD0BDC1">
      <w:pPr>
        <w:spacing w:line="320" w:lineRule="exact"/>
        <w:rPr>
          <w:rFonts w:ascii="仿宋" w:hAnsi="仿宋" w:eastAsia="仿宋"/>
          <w:sz w:val="24"/>
          <w:szCs w:val="24"/>
        </w:rPr>
      </w:pPr>
      <w:r>
        <w:rPr>
          <w:rFonts w:hint="eastAsia" w:ascii="仿宋" w:hAnsi="仿宋" w:eastAsia="仿宋"/>
          <w:sz w:val="24"/>
          <w:szCs w:val="24"/>
        </w:rPr>
        <w:t xml:space="preserve">    </w:t>
      </w:r>
      <w:r>
        <w:rPr>
          <w:rFonts w:ascii="仿宋" w:hAnsi="仿宋" w:eastAsia="仿宋"/>
          <w:sz w:val="24"/>
          <w:szCs w:val="24"/>
        </w:rPr>
        <w:t>3</w:t>
      </w:r>
      <w:r>
        <w:rPr>
          <w:rFonts w:hint="eastAsia" w:ascii="仿宋" w:hAnsi="仿宋" w:eastAsia="仿宋"/>
          <w:sz w:val="24"/>
          <w:szCs w:val="24"/>
        </w:rPr>
        <w:t>.乙方在未签订本协议，员工未取得《外工上岗证》前，一律不得进场作业；作业必须在《外工上岗证》规定的有效期内进行，作业结束或有效期满，乙方应主动向甲方交还《外工上岗证》。</w:t>
      </w:r>
    </w:p>
    <w:p w14:paraId="5C9C20B8">
      <w:pPr>
        <w:spacing w:line="320" w:lineRule="exact"/>
        <w:rPr>
          <w:rFonts w:ascii="仿宋" w:hAnsi="仿宋" w:eastAsia="仿宋"/>
          <w:sz w:val="24"/>
          <w:szCs w:val="24"/>
        </w:rPr>
      </w:pPr>
      <w:r>
        <w:rPr>
          <w:rFonts w:hint="eastAsia" w:ascii="仿宋" w:hAnsi="仿宋" w:eastAsia="仿宋"/>
          <w:sz w:val="24"/>
          <w:szCs w:val="24"/>
        </w:rPr>
        <w:t xml:space="preserve">    </w:t>
      </w:r>
      <w:r>
        <w:rPr>
          <w:rFonts w:ascii="仿宋" w:hAnsi="仿宋" w:eastAsia="仿宋"/>
          <w:sz w:val="24"/>
          <w:szCs w:val="24"/>
        </w:rPr>
        <w:t>4</w:t>
      </w:r>
      <w:r>
        <w:rPr>
          <w:rFonts w:hint="eastAsia" w:ascii="仿宋" w:hAnsi="仿宋" w:eastAsia="仿宋"/>
          <w:sz w:val="24"/>
          <w:szCs w:val="24"/>
        </w:rPr>
        <w:t>.双方必须严守可能涉及的技术秘密和业务机密。</w:t>
      </w:r>
    </w:p>
    <w:p w14:paraId="598EF06E">
      <w:pPr>
        <w:spacing w:line="320" w:lineRule="exact"/>
        <w:ind w:firstLine="482" w:firstLineChars="200"/>
        <w:rPr>
          <w:rFonts w:ascii="宋体" w:hAnsi="宋体"/>
          <w:b/>
          <w:sz w:val="24"/>
          <w:szCs w:val="24"/>
        </w:rPr>
      </w:pPr>
      <w:r>
        <w:rPr>
          <w:rFonts w:hint="eastAsia" w:ascii="宋体" w:hAnsi="宋体"/>
          <w:b/>
          <w:sz w:val="24"/>
          <w:szCs w:val="24"/>
        </w:rPr>
        <w:t>第三条 安全责任</w:t>
      </w:r>
    </w:p>
    <w:p w14:paraId="309F736A">
      <w:pPr>
        <w:spacing w:line="320" w:lineRule="exact"/>
        <w:ind w:firstLine="480" w:firstLineChars="200"/>
        <w:rPr>
          <w:rFonts w:ascii="仿宋" w:hAnsi="仿宋" w:eastAsia="仿宋"/>
          <w:sz w:val="24"/>
          <w:szCs w:val="24"/>
        </w:rPr>
      </w:pPr>
      <w:r>
        <w:rPr>
          <w:rFonts w:hint="eastAsia" w:ascii="仿宋" w:hAnsi="仿宋" w:eastAsia="仿宋"/>
          <w:sz w:val="24"/>
          <w:szCs w:val="24"/>
        </w:rPr>
        <w:t>(一)甲方安全责任</w:t>
      </w:r>
    </w:p>
    <w:p w14:paraId="5CE6F296">
      <w:pPr>
        <w:spacing w:line="320" w:lineRule="exact"/>
        <w:ind w:firstLine="480" w:firstLineChars="200"/>
        <w:rPr>
          <w:rFonts w:ascii="仿宋" w:hAnsi="仿宋" w:eastAsia="仿宋"/>
          <w:sz w:val="24"/>
          <w:szCs w:val="24"/>
        </w:rPr>
      </w:pPr>
      <w:r>
        <w:rPr>
          <w:rFonts w:hint="eastAsia" w:ascii="仿宋" w:hAnsi="仿宋" w:eastAsia="仿宋"/>
          <w:sz w:val="24"/>
          <w:szCs w:val="24"/>
        </w:rPr>
        <w:t>l.甲方应当保证与外包项目有关的生产系统安全设施正常运行，保证外包项目具备法律、法规、规章和标准规定的安全生产条件。</w:t>
      </w:r>
    </w:p>
    <w:p w14:paraId="51674A9B">
      <w:pPr>
        <w:spacing w:line="320" w:lineRule="exact"/>
        <w:ind w:firstLine="480" w:firstLineChars="200"/>
        <w:rPr>
          <w:rFonts w:ascii="仿宋" w:hAnsi="仿宋" w:eastAsia="仿宋"/>
          <w:sz w:val="24"/>
          <w:szCs w:val="24"/>
        </w:rPr>
      </w:pPr>
      <w:r>
        <w:rPr>
          <w:rFonts w:hint="eastAsia" w:ascii="仿宋" w:hAnsi="仿宋" w:eastAsia="仿宋"/>
          <w:sz w:val="24"/>
          <w:szCs w:val="24"/>
        </w:rPr>
        <w:t>2.甲方应向乙方提供与项目安全生产相关的风险评价、检测检验和应急救援等资料，并保证资料的真实、完整和有效。</w:t>
      </w:r>
    </w:p>
    <w:p w14:paraId="7D1CF14E">
      <w:pPr>
        <w:spacing w:line="320" w:lineRule="exact"/>
        <w:ind w:firstLine="480" w:firstLineChars="200"/>
        <w:rPr>
          <w:rFonts w:ascii="仿宋" w:hAnsi="仿宋" w:eastAsia="仿宋"/>
          <w:sz w:val="24"/>
          <w:szCs w:val="24"/>
        </w:rPr>
      </w:pPr>
      <w:r>
        <w:rPr>
          <w:rFonts w:hint="eastAsia" w:ascii="仿宋" w:hAnsi="仿宋" w:eastAsia="仿宋"/>
          <w:sz w:val="24"/>
          <w:szCs w:val="24"/>
        </w:rPr>
        <w:t>3.甲方应当对乙方所有人员进行入场前的安全生产规章制度教育与培训。</w:t>
      </w:r>
    </w:p>
    <w:p w14:paraId="68F66BE9">
      <w:pPr>
        <w:spacing w:line="320" w:lineRule="exact"/>
        <w:ind w:firstLine="480" w:firstLineChars="200"/>
        <w:rPr>
          <w:rFonts w:ascii="仿宋" w:hAnsi="仿宋" w:eastAsia="仿宋"/>
          <w:sz w:val="24"/>
          <w:szCs w:val="24"/>
        </w:rPr>
      </w:pPr>
      <w:r>
        <w:rPr>
          <w:rFonts w:hint="eastAsia" w:ascii="仿宋" w:hAnsi="仿宋" w:eastAsia="仿宋"/>
          <w:sz w:val="24"/>
          <w:szCs w:val="24"/>
        </w:rPr>
        <w:t>4.甲方应当对乙方从业人员进行现场安全交底，告知乙方项目作业过程中可能存在的主要危险有害因素，以及在紧急情况下应当采取的应急措施。</w:t>
      </w:r>
    </w:p>
    <w:p w14:paraId="2E679931">
      <w:pPr>
        <w:spacing w:line="320" w:lineRule="exact"/>
        <w:ind w:firstLine="480" w:firstLineChars="200"/>
        <w:rPr>
          <w:rFonts w:ascii="仿宋" w:hAnsi="仿宋" w:eastAsia="仿宋"/>
          <w:sz w:val="24"/>
          <w:szCs w:val="24"/>
        </w:rPr>
      </w:pPr>
      <w:r>
        <w:rPr>
          <w:rFonts w:hint="eastAsia" w:ascii="仿宋" w:hAnsi="仿宋" w:eastAsia="仿宋"/>
          <w:sz w:val="24"/>
          <w:szCs w:val="24"/>
        </w:rPr>
        <w:t>5.甲方应当审查乙方编制的施工方案和作业安全措施;施工作业过程中对乙方进行全程安全监督。</w:t>
      </w:r>
    </w:p>
    <w:p w14:paraId="58637FEC">
      <w:pPr>
        <w:spacing w:line="320" w:lineRule="exact"/>
        <w:ind w:firstLine="480" w:firstLineChars="200"/>
        <w:rPr>
          <w:rFonts w:ascii="仿宋" w:hAnsi="仿宋" w:eastAsia="仿宋"/>
          <w:sz w:val="24"/>
          <w:szCs w:val="24"/>
        </w:rPr>
      </w:pPr>
      <w:r>
        <w:rPr>
          <w:rFonts w:hint="eastAsia" w:ascii="仿宋" w:hAnsi="仿宋" w:eastAsia="仿宋"/>
          <w:sz w:val="24"/>
          <w:szCs w:val="24"/>
        </w:rPr>
        <w:t>6.甲方应当建立健全事故隐患排查治理制度，定期对乙方所承包项目隐患排查治理情况进行分析，并向乙方通报;发现乙方作业过程中的隐患，应当责令整改。</w:t>
      </w:r>
    </w:p>
    <w:p w14:paraId="5E73BFCD">
      <w:pPr>
        <w:spacing w:line="320" w:lineRule="exact"/>
        <w:ind w:firstLine="480" w:firstLineChars="200"/>
        <w:rPr>
          <w:rFonts w:ascii="仿宋" w:hAnsi="仿宋" w:eastAsia="仿宋"/>
          <w:sz w:val="24"/>
          <w:szCs w:val="24"/>
        </w:rPr>
      </w:pPr>
      <w:r>
        <w:rPr>
          <w:rFonts w:hint="eastAsia" w:ascii="仿宋" w:hAnsi="仿宋" w:eastAsia="仿宋"/>
          <w:sz w:val="24"/>
          <w:szCs w:val="24"/>
        </w:rPr>
        <w:t>7.乙方施工涉及危险作业的，甲方应当严格按照危险作业管理要求，落实并配合乙方办理、审批各类安全作业票证，协助乙方解决作业过程的安全环保方面问题。</w:t>
      </w:r>
    </w:p>
    <w:p w14:paraId="34BBF991">
      <w:pPr>
        <w:spacing w:line="320" w:lineRule="exact"/>
        <w:ind w:firstLine="480" w:firstLineChars="200"/>
        <w:rPr>
          <w:rFonts w:ascii="仿宋" w:hAnsi="仿宋" w:eastAsia="仿宋"/>
          <w:sz w:val="24"/>
          <w:szCs w:val="24"/>
        </w:rPr>
      </w:pPr>
      <w:r>
        <w:rPr>
          <w:rFonts w:hint="eastAsia" w:ascii="仿宋" w:hAnsi="仿宋" w:eastAsia="仿宋"/>
          <w:sz w:val="24"/>
          <w:szCs w:val="24"/>
        </w:rPr>
        <w:t>8.多个外包作业单位或外包项目作业过程中存在交叉作业的，甲方应对多个外包作业单位的安全生产工作以及同一作业区域内的多个相关方的交叉作业实施统一协调、管理。</w:t>
      </w:r>
    </w:p>
    <w:p w14:paraId="183DBB78">
      <w:pPr>
        <w:spacing w:line="320" w:lineRule="exact"/>
        <w:ind w:firstLine="480" w:firstLineChars="200"/>
        <w:rPr>
          <w:rFonts w:ascii="仿宋" w:hAnsi="仿宋" w:eastAsia="仿宋"/>
          <w:sz w:val="24"/>
          <w:szCs w:val="24"/>
        </w:rPr>
      </w:pPr>
      <w:r>
        <w:rPr>
          <w:rFonts w:hint="eastAsia" w:ascii="仿宋" w:hAnsi="仿宋" w:eastAsia="仿宋"/>
          <w:sz w:val="24"/>
          <w:szCs w:val="24"/>
        </w:rPr>
        <w:t>9.当生产中出现可能影响施工安全的因素时，甲方应立即通知乙方，紧急情况下可直接通知现场施工作业人员停工、撤离。</w:t>
      </w:r>
    </w:p>
    <w:p w14:paraId="23FE93FD">
      <w:pPr>
        <w:spacing w:line="320" w:lineRule="exact"/>
        <w:ind w:firstLine="480" w:firstLineChars="200"/>
        <w:rPr>
          <w:rFonts w:ascii="仿宋" w:hAnsi="仿宋" w:eastAsia="仿宋"/>
          <w:sz w:val="24"/>
          <w:szCs w:val="24"/>
        </w:rPr>
      </w:pPr>
      <w:r>
        <w:rPr>
          <w:rFonts w:hint="eastAsia" w:ascii="仿宋" w:hAnsi="仿宋" w:eastAsia="仿宋"/>
          <w:sz w:val="24"/>
          <w:szCs w:val="24"/>
        </w:rPr>
        <w:t>10.甲方安全主管部门有权随时对乙方进行安全检查，乙方对安全检查要积极配合，并对检查出的安全隐患按要求进行整改。如不能按要求进行整改或整改无效，甲方安全主管部门将给予相应的处罚。如有异议可与甲方进行说明与协调，但不得拒绝、阻挠甲方的检查。否则甲方有权现场勒令停工。重大事故隐患排除前或排除过程中无法保证安全的，甲方有权责令乙方停止施工。隐患排除后，经甲方审查后视情节可恢复作业。</w:t>
      </w:r>
    </w:p>
    <w:p w14:paraId="7D8C937B">
      <w:pPr>
        <w:spacing w:line="320" w:lineRule="exact"/>
        <w:ind w:firstLine="480" w:firstLineChars="200"/>
        <w:rPr>
          <w:rFonts w:ascii="仿宋" w:hAnsi="仿宋" w:eastAsia="仿宋"/>
          <w:sz w:val="24"/>
          <w:szCs w:val="24"/>
        </w:rPr>
      </w:pPr>
      <w:r>
        <w:rPr>
          <w:rFonts w:hint="eastAsia" w:ascii="仿宋" w:hAnsi="仿宋" w:eastAsia="仿宋"/>
          <w:sz w:val="24"/>
          <w:szCs w:val="24"/>
        </w:rPr>
        <w:t>11.甲方对乙方工作中存在的重大安全隐患，有权责令乙方立即整改、排除。当乙方不能如期整改，有权单方终止与乙方间业务合同的履行，乙方施工</w:t>
      </w:r>
      <w:r>
        <w:rPr>
          <w:rFonts w:ascii="仿宋" w:hAnsi="仿宋" w:eastAsia="仿宋"/>
          <w:sz w:val="24"/>
          <w:szCs w:val="24"/>
        </w:rPr>
        <w:t>人员</w:t>
      </w:r>
      <w:r>
        <w:rPr>
          <w:rFonts w:hint="eastAsia" w:ascii="仿宋" w:hAnsi="仿宋" w:eastAsia="仿宋"/>
          <w:sz w:val="24"/>
          <w:szCs w:val="24"/>
        </w:rPr>
        <w:t>应立即撤离</w:t>
      </w:r>
      <w:r>
        <w:rPr>
          <w:rFonts w:ascii="仿宋" w:hAnsi="仿宋" w:eastAsia="仿宋"/>
          <w:sz w:val="24"/>
          <w:szCs w:val="24"/>
        </w:rPr>
        <w:t>施工现场</w:t>
      </w:r>
      <w:r>
        <w:rPr>
          <w:rFonts w:hint="eastAsia" w:ascii="仿宋" w:hAnsi="仿宋" w:eastAsia="仿宋"/>
          <w:sz w:val="24"/>
          <w:szCs w:val="24"/>
        </w:rPr>
        <w:t>。</w:t>
      </w:r>
    </w:p>
    <w:p w14:paraId="026E5A3F">
      <w:pPr>
        <w:spacing w:line="320" w:lineRule="exact"/>
        <w:ind w:firstLine="480" w:firstLineChars="200"/>
        <w:rPr>
          <w:rFonts w:ascii="仿宋" w:hAnsi="仿宋" w:eastAsia="仿宋"/>
          <w:sz w:val="24"/>
          <w:szCs w:val="24"/>
        </w:rPr>
      </w:pPr>
      <w:r>
        <w:rPr>
          <w:rFonts w:ascii="仿宋" w:hAnsi="仿宋" w:eastAsia="仿宋"/>
          <w:sz w:val="24"/>
          <w:szCs w:val="24"/>
        </w:rPr>
        <w:t>12</w:t>
      </w:r>
      <w:r>
        <w:rPr>
          <w:rFonts w:hint="eastAsia" w:ascii="仿宋" w:hAnsi="仿宋" w:eastAsia="仿宋"/>
          <w:sz w:val="24"/>
          <w:szCs w:val="24"/>
        </w:rPr>
        <w:t>.甲方应审核乙方编制事故应急预案，并与甲方预案的衔接。</w:t>
      </w:r>
    </w:p>
    <w:p w14:paraId="405574CA">
      <w:pPr>
        <w:spacing w:line="320" w:lineRule="exact"/>
        <w:ind w:firstLine="480" w:firstLineChars="20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3</w:t>
      </w:r>
      <w:r>
        <w:rPr>
          <w:rFonts w:hint="eastAsia" w:ascii="仿宋" w:hAnsi="仿宋" w:eastAsia="仿宋"/>
          <w:sz w:val="24"/>
          <w:szCs w:val="24"/>
        </w:rPr>
        <w:t>.作业项目发生事故后，甲方应当按照应急预案要求，充分调动甲乙双方的应急资源，立即开展应急救援，指挥、协调事故救援工作。</w:t>
      </w:r>
    </w:p>
    <w:p w14:paraId="617EFD5F">
      <w:pPr>
        <w:spacing w:line="320" w:lineRule="exact"/>
        <w:ind w:firstLine="480" w:firstLineChars="20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4</w:t>
      </w:r>
      <w:r>
        <w:rPr>
          <w:rFonts w:hint="eastAsia" w:ascii="仿宋" w:hAnsi="仿宋" w:eastAsia="仿宋"/>
          <w:sz w:val="24"/>
          <w:szCs w:val="24"/>
        </w:rPr>
        <w:t>.根据事故调查处理结论，承担相应责任。</w:t>
      </w:r>
    </w:p>
    <w:p w14:paraId="665B1AA2">
      <w:pPr>
        <w:spacing w:line="320" w:lineRule="exact"/>
        <w:ind w:firstLine="480" w:firstLineChars="20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5</w:t>
      </w:r>
      <w:r>
        <w:rPr>
          <w:rFonts w:hint="eastAsia" w:ascii="仿宋" w:hAnsi="仿宋" w:eastAsia="仿宋"/>
          <w:sz w:val="24"/>
          <w:szCs w:val="24"/>
        </w:rPr>
        <w:t>.甲方应当监督乙方不得非法转包、分包。</w:t>
      </w:r>
    </w:p>
    <w:p w14:paraId="6B9B77B1">
      <w:pPr>
        <w:spacing w:line="320" w:lineRule="exact"/>
        <w:ind w:firstLine="480" w:firstLineChars="200"/>
        <w:rPr>
          <w:rFonts w:ascii="仿宋" w:hAnsi="仿宋" w:eastAsia="仿宋"/>
          <w:sz w:val="24"/>
          <w:szCs w:val="24"/>
        </w:rPr>
      </w:pPr>
      <w:r>
        <w:rPr>
          <w:rFonts w:hint="eastAsia" w:ascii="仿宋" w:hAnsi="仿宋" w:eastAsia="仿宋"/>
          <w:sz w:val="24"/>
          <w:szCs w:val="24"/>
        </w:rPr>
        <w:t xml:space="preserve"> (二)乙方安全责任</w:t>
      </w:r>
    </w:p>
    <w:p w14:paraId="4CAB6DA7">
      <w:pPr>
        <w:spacing w:line="320" w:lineRule="exact"/>
        <w:ind w:firstLine="480" w:firstLineChars="200"/>
        <w:rPr>
          <w:rFonts w:ascii="仿宋" w:hAnsi="仿宋" w:eastAsia="仿宋"/>
          <w:sz w:val="24"/>
          <w:szCs w:val="24"/>
        </w:rPr>
      </w:pPr>
      <w:r>
        <w:rPr>
          <w:rFonts w:hint="eastAsia" w:ascii="仿宋" w:hAnsi="仿宋" w:eastAsia="仿宋"/>
          <w:sz w:val="24"/>
          <w:szCs w:val="24"/>
        </w:rPr>
        <w:t>1.乙方应向甲方提交与在甲方承揽业务相符的资质证书(有效的工商营业执照、生产许可证、安全生产许可证)等文件资料，并接受甲方相关部门的审核，签订《外包项目安全生产管理协议书》。</w:t>
      </w:r>
    </w:p>
    <w:p w14:paraId="269295D7">
      <w:pPr>
        <w:spacing w:line="320" w:lineRule="exact"/>
        <w:ind w:firstLine="480" w:firstLineChars="200"/>
        <w:rPr>
          <w:rFonts w:ascii="仿宋" w:hAnsi="仿宋" w:eastAsia="仿宋"/>
          <w:sz w:val="24"/>
          <w:szCs w:val="24"/>
        </w:rPr>
      </w:pPr>
      <w:r>
        <w:rPr>
          <w:rFonts w:hint="eastAsia" w:ascii="仿宋" w:hAnsi="仿宋" w:eastAsia="仿宋"/>
          <w:sz w:val="24"/>
          <w:szCs w:val="24"/>
        </w:rPr>
        <w:t>2.乙方应当建立健全本单位安全生产责任制、管理制度和安全操作规程，并提供给甲方备案。</w:t>
      </w:r>
    </w:p>
    <w:p w14:paraId="14B810ED">
      <w:pPr>
        <w:spacing w:line="320" w:lineRule="exact"/>
        <w:ind w:firstLine="480" w:firstLineChars="200"/>
        <w:rPr>
          <w:rFonts w:ascii="仿宋" w:hAnsi="仿宋" w:eastAsia="仿宋"/>
          <w:sz w:val="24"/>
          <w:szCs w:val="24"/>
        </w:rPr>
      </w:pPr>
      <w:r>
        <w:rPr>
          <w:rFonts w:hint="eastAsia" w:ascii="仿宋" w:hAnsi="仿宋" w:eastAsia="仿宋"/>
          <w:sz w:val="24"/>
          <w:szCs w:val="24"/>
        </w:rPr>
        <w:t>3.乙方应当依照法律法规与从业人员签订劳动合同，为从业人员缴纳工伤保险或者意外伤害险。</w:t>
      </w:r>
    </w:p>
    <w:p w14:paraId="23341983">
      <w:pPr>
        <w:spacing w:line="320" w:lineRule="exact"/>
        <w:ind w:firstLine="480" w:firstLineChars="200"/>
        <w:rPr>
          <w:rFonts w:ascii="仿宋" w:hAnsi="仿宋" w:eastAsia="仿宋"/>
          <w:sz w:val="24"/>
          <w:szCs w:val="24"/>
        </w:rPr>
      </w:pPr>
      <w:r>
        <w:rPr>
          <w:rFonts w:hint="eastAsia" w:ascii="仿宋" w:hAnsi="仿宋" w:eastAsia="仿宋"/>
          <w:sz w:val="24"/>
          <w:szCs w:val="24"/>
        </w:rPr>
        <w:t>4.乙方应当按照甲方要求，缴纳安全风险</w:t>
      </w:r>
      <w:r>
        <w:rPr>
          <w:rFonts w:ascii="仿宋" w:hAnsi="仿宋" w:eastAsia="仿宋"/>
          <w:sz w:val="24"/>
          <w:szCs w:val="24"/>
        </w:rPr>
        <w:t>抵押金</w:t>
      </w:r>
      <w:r>
        <w:rPr>
          <w:rFonts w:hint="eastAsia" w:ascii="仿宋" w:hAnsi="仿宋" w:eastAsia="仿宋"/>
          <w:sz w:val="24"/>
          <w:szCs w:val="24"/>
        </w:rPr>
        <w:t>。</w:t>
      </w:r>
    </w:p>
    <w:p w14:paraId="7D5D92B5">
      <w:pPr>
        <w:spacing w:line="320" w:lineRule="exact"/>
        <w:ind w:firstLine="480" w:firstLineChars="200"/>
        <w:rPr>
          <w:rFonts w:ascii="仿宋" w:hAnsi="仿宋" w:eastAsia="仿宋"/>
          <w:sz w:val="24"/>
          <w:szCs w:val="24"/>
        </w:rPr>
      </w:pPr>
      <w:r>
        <w:rPr>
          <w:rFonts w:hint="eastAsia" w:ascii="仿宋" w:hAnsi="仿宋" w:eastAsia="仿宋"/>
          <w:sz w:val="24"/>
          <w:szCs w:val="24"/>
        </w:rPr>
        <w:t>5.乙方应制定项目施工方案和作业安全措施，并经甲方审核批准后实施。</w:t>
      </w:r>
    </w:p>
    <w:p w14:paraId="1A21122D">
      <w:pPr>
        <w:spacing w:line="320" w:lineRule="exact"/>
        <w:ind w:firstLine="480" w:firstLineChars="200"/>
        <w:rPr>
          <w:rFonts w:ascii="仿宋" w:hAnsi="仿宋" w:eastAsia="仿宋"/>
          <w:sz w:val="24"/>
          <w:szCs w:val="24"/>
        </w:rPr>
      </w:pPr>
      <w:r>
        <w:rPr>
          <w:rFonts w:hint="eastAsia" w:ascii="仿宋" w:hAnsi="仿宋" w:eastAsia="仿宋"/>
          <w:sz w:val="24"/>
          <w:szCs w:val="24"/>
        </w:rPr>
        <w:t>6.乙方应当保证项目作业范围内施工的安全生产条件，按照相关法律法规要求，及时维护、保养工程作业范围内施工的设备设施。</w:t>
      </w:r>
    </w:p>
    <w:p w14:paraId="5D496DD1">
      <w:pPr>
        <w:spacing w:line="320" w:lineRule="exact"/>
        <w:ind w:firstLine="480" w:firstLineChars="200"/>
        <w:rPr>
          <w:rFonts w:ascii="仿宋" w:hAnsi="仿宋" w:eastAsia="仿宋"/>
          <w:sz w:val="24"/>
          <w:szCs w:val="24"/>
        </w:rPr>
      </w:pPr>
      <w:r>
        <w:rPr>
          <w:rFonts w:hint="eastAsia" w:ascii="仿宋" w:hAnsi="仿宋" w:eastAsia="仿宋"/>
          <w:sz w:val="24"/>
          <w:szCs w:val="24"/>
        </w:rPr>
        <w:t>7.乙方应当明确其项目作业人员和设备设施的情况，名册相符，不得弄虚作假，具体内容如下:</w:t>
      </w:r>
    </w:p>
    <w:p w14:paraId="2790F437">
      <w:pPr>
        <w:spacing w:line="320" w:lineRule="exact"/>
        <w:ind w:firstLine="480" w:firstLineChars="200"/>
        <w:rPr>
          <w:rFonts w:ascii="仿宋" w:hAnsi="仿宋" w:eastAsia="仿宋"/>
          <w:sz w:val="24"/>
          <w:szCs w:val="24"/>
        </w:rPr>
      </w:pPr>
      <w:r>
        <w:rPr>
          <w:rFonts w:hint="eastAsia" w:ascii="仿宋" w:hAnsi="仿宋" w:eastAsia="仿宋"/>
          <w:sz w:val="24"/>
          <w:szCs w:val="24"/>
        </w:rPr>
        <w:t>(1)安全管理人员、工程技术人员和特种作业人员的姓名、性别、年龄、文化程度、所在岗位和资格证书。</w:t>
      </w:r>
    </w:p>
    <w:p w14:paraId="5BF36601">
      <w:pPr>
        <w:spacing w:line="320" w:lineRule="exact"/>
        <w:ind w:firstLine="480" w:firstLineChars="200"/>
        <w:rPr>
          <w:rFonts w:ascii="仿宋" w:hAnsi="仿宋" w:eastAsia="仿宋"/>
          <w:sz w:val="24"/>
          <w:szCs w:val="24"/>
        </w:rPr>
      </w:pPr>
      <w:r>
        <w:rPr>
          <w:rFonts w:hint="eastAsia" w:ascii="仿宋" w:hAnsi="仿宋" w:eastAsia="仿宋"/>
          <w:sz w:val="24"/>
          <w:szCs w:val="24"/>
        </w:rPr>
        <w:t>(2)其他从业人员的姓名、身份证号、性别、年龄、文化程度。</w:t>
      </w:r>
    </w:p>
    <w:p w14:paraId="2B504EF4">
      <w:pPr>
        <w:spacing w:line="320" w:lineRule="exact"/>
        <w:ind w:firstLine="480" w:firstLineChars="200"/>
        <w:rPr>
          <w:rFonts w:ascii="仿宋" w:hAnsi="仿宋" w:eastAsia="仿宋"/>
          <w:sz w:val="24"/>
          <w:szCs w:val="24"/>
        </w:rPr>
      </w:pPr>
      <w:r>
        <w:rPr>
          <w:rFonts w:hint="eastAsia" w:ascii="仿宋" w:hAnsi="仿宋" w:eastAsia="仿宋"/>
          <w:sz w:val="24"/>
          <w:szCs w:val="24"/>
        </w:rPr>
        <w:t>(3)主要设备设施的名称、型号规格、数量、安装位置等情况。</w:t>
      </w:r>
    </w:p>
    <w:p w14:paraId="1D61B88B">
      <w:pPr>
        <w:spacing w:line="320" w:lineRule="exact"/>
        <w:ind w:firstLine="480" w:firstLineChars="200"/>
        <w:rPr>
          <w:rFonts w:ascii="仿宋" w:hAnsi="仿宋" w:eastAsia="仿宋"/>
          <w:sz w:val="24"/>
          <w:szCs w:val="24"/>
        </w:rPr>
      </w:pPr>
      <w:r>
        <w:rPr>
          <w:rFonts w:hint="eastAsia" w:ascii="仿宋" w:hAnsi="仿宋" w:eastAsia="仿宋"/>
          <w:sz w:val="24"/>
          <w:szCs w:val="24"/>
        </w:rPr>
        <w:t>8.乙方应当定期排查并及时治理工程作业范围内的事故隐患，建立台账，做好相关记录。</w:t>
      </w:r>
    </w:p>
    <w:p w14:paraId="0D890B9F">
      <w:pPr>
        <w:spacing w:line="320" w:lineRule="exact"/>
        <w:ind w:firstLine="480" w:firstLineChars="200"/>
        <w:rPr>
          <w:rFonts w:ascii="仿宋" w:hAnsi="仿宋" w:eastAsia="仿宋"/>
          <w:sz w:val="24"/>
          <w:szCs w:val="24"/>
        </w:rPr>
      </w:pPr>
      <w:r>
        <w:rPr>
          <w:rFonts w:hint="eastAsia" w:ascii="仿宋" w:hAnsi="仿宋" w:eastAsia="仿宋"/>
          <w:sz w:val="24"/>
          <w:szCs w:val="24"/>
        </w:rPr>
        <w:t>9.乙方应当建立隐息排查治理制度，定期开展隐患排查和整治。在项目作业范围内发现重大事故隐患且不能立即治理的，应当采取必要的防范措施，并及时书面报告甲方协商解决，消除事故隐患。</w:t>
      </w:r>
    </w:p>
    <w:p w14:paraId="5E31E322">
      <w:pPr>
        <w:spacing w:line="320" w:lineRule="exact"/>
        <w:ind w:firstLine="480" w:firstLineChars="200"/>
        <w:rPr>
          <w:rFonts w:ascii="仿宋" w:hAnsi="仿宋" w:eastAsia="仿宋"/>
          <w:sz w:val="24"/>
          <w:szCs w:val="24"/>
        </w:rPr>
      </w:pPr>
      <w:r>
        <w:rPr>
          <w:rFonts w:hint="eastAsia" w:ascii="仿宋" w:hAnsi="仿宋" w:eastAsia="仿宋"/>
          <w:sz w:val="24"/>
          <w:szCs w:val="24"/>
        </w:rPr>
        <w:t>10.乙方应当制定本单位的安全教育培训工作计划，按照相关法律、法规、规章和标准对本单位从业人员进行安全教育培训，保证从业人员掌握必需的安全生产知识、操作技能和应急逃生知识。</w:t>
      </w:r>
    </w:p>
    <w:p w14:paraId="545C75D3">
      <w:pPr>
        <w:spacing w:line="320" w:lineRule="exact"/>
        <w:ind w:firstLine="480" w:firstLineChars="200"/>
        <w:rPr>
          <w:rFonts w:ascii="仿宋" w:hAnsi="仿宋" w:eastAsia="仿宋"/>
          <w:sz w:val="24"/>
          <w:szCs w:val="24"/>
        </w:rPr>
      </w:pPr>
      <w:r>
        <w:rPr>
          <w:rFonts w:hint="eastAsia" w:ascii="仿宋" w:hAnsi="仿宋" w:eastAsia="仿宋"/>
          <w:sz w:val="24"/>
          <w:szCs w:val="24"/>
        </w:rPr>
        <w:t>11.乙方应当主动接受甲方组织的安全生产培训与指导，并同时开展对本单位从业人员安全生产知识、应急处置和安全操作技能的教育培训工作。</w:t>
      </w:r>
    </w:p>
    <w:p w14:paraId="6D4C25F1">
      <w:pPr>
        <w:spacing w:line="340" w:lineRule="exact"/>
        <w:ind w:firstLine="480" w:firstLineChars="200"/>
        <w:rPr>
          <w:rFonts w:ascii="仿宋" w:hAnsi="仿宋" w:eastAsia="仿宋"/>
          <w:sz w:val="24"/>
          <w:szCs w:val="24"/>
        </w:rPr>
      </w:pPr>
      <w:r>
        <w:rPr>
          <w:rFonts w:hint="eastAsia" w:ascii="仿宋" w:hAnsi="仿宋" w:eastAsia="仿宋"/>
          <w:sz w:val="24"/>
          <w:szCs w:val="24"/>
        </w:rPr>
        <w:t>12.乙方应当如实告知从业人员生产作业过程中可能存在的风险、需采取的安全措施;作业过程中按规定为从业人员配备适合作业条件的劳动防护用品并督促现场作业人员正确佩戴和使用。</w:t>
      </w:r>
    </w:p>
    <w:p w14:paraId="7A92017B">
      <w:pPr>
        <w:spacing w:line="340" w:lineRule="exact"/>
        <w:ind w:firstLine="480" w:firstLineChars="200"/>
        <w:rPr>
          <w:rFonts w:ascii="仿宋" w:hAnsi="仿宋" w:eastAsia="仿宋"/>
          <w:sz w:val="24"/>
          <w:szCs w:val="24"/>
        </w:rPr>
      </w:pPr>
      <w:r>
        <w:rPr>
          <w:rFonts w:hint="eastAsia" w:ascii="仿宋" w:hAnsi="仿宋" w:eastAsia="仿宋"/>
          <w:sz w:val="24"/>
          <w:szCs w:val="24"/>
        </w:rPr>
        <w:t>13.乙方应当强化现场作业管理，危险作业必须符合甲方票证审批的规定和要求。</w:t>
      </w:r>
    </w:p>
    <w:p w14:paraId="5DC35ABA">
      <w:pPr>
        <w:spacing w:line="340" w:lineRule="exact"/>
        <w:ind w:firstLine="480" w:firstLineChars="200"/>
        <w:jc w:val="left"/>
        <w:rPr>
          <w:rFonts w:ascii="仿宋" w:hAnsi="仿宋" w:eastAsia="仿宋" w:cs="仿宋"/>
          <w:sz w:val="24"/>
        </w:rPr>
      </w:pPr>
      <w:r>
        <w:rPr>
          <w:rFonts w:hint="eastAsia" w:ascii="仿宋" w:hAnsi="仿宋" w:eastAsia="仿宋"/>
          <w:sz w:val="24"/>
          <w:szCs w:val="24"/>
        </w:rPr>
        <w:t>（1）乙方在作业过程中的用电和临时接线要符合甲方安全用电管理规定，需甲方持证电工接线。如发现有违章现象甲方安全主管部门将给予相应的处罚，如发生安全生产</w:t>
      </w:r>
      <w:r>
        <w:rPr>
          <w:rFonts w:ascii="仿宋" w:hAnsi="仿宋" w:eastAsia="仿宋"/>
          <w:sz w:val="24"/>
          <w:szCs w:val="24"/>
        </w:rPr>
        <w:t>事故，甲方将</w:t>
      </w:r>
      <w:r>
        <w:rPr>
          <w:rFonts w:hint="eastAsia" w:ascii="仿宋" w:hAnsi="仿宋" w:eastAsia="仿宋" w:cs="仿宋"/>
          <w:sz w:val="24"/>
        </w:rPr>
        <w:t>根据事故责任分析,对乙方进行相应的责任追究和损失索赔。</w:t>
      </w:r>
    </w:p>
    <w:p w14:paraId="1212A161">
      <w:pPr>
        <w:spacing w:line="340" w:lineRule="exact"/>
        <w:ind w:firstLine="480" w:firstLineChars="200"/>
        <w:rPr>
          <w:rFonts w:ascii="仿宋" w:hAnsi="仿宋" w:eastAsia="仿宋"/>
          <w:sz w:val="24"/>
          <w:szCs w:val="24"/>
        </w:rPr>
      </w:pPr>
      <w:r>
        <w:rPr>
          <w:rFonts w:hint="eastAsia" w:ascii="仿宋" w:hAnsi="仿宋" w:eastAsia="仿宋"/>
          <w:sz w:val="24"/>
          <w:szCs w:val="24"/>
        </w:rPr>
        <w:t>（2）乙方在厂区范围内从事动火作业、高处作业、受限空间作业、盲板抽堵作业、吊装作业、断路作业、动土作业、设备检修作业及临时用电等作业，须先办理相应的安全许可证，取得有关部门的批准并接受监督，在落实相应的安全措施后方可进行作业。</w:t>
      </w:r>
    </w:p>
    <w:p w14:paraId="182343DF">
      <w:pPr>
        <w:spacing w:line="320" w:lineRule="exact"/>
        <w:ind w:firstLine="480" w:firstLineChars="20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4</w:t>
      </w:r>
      <w:r>
        <w:rPr>
          <w:rFonts w:hint="eastAsia" w:ascii="仿宋" w:hAnsi="仿宋" w:eastAsia="仿宋"/>
          <w:sz w:val="24"/>
          <w:szCs w:val="24"/>
        </w:rPr>
        <w:t>.乙方应配置必要的安全防护装置，须在作业现场可能存在危险的场所，设置易于辨识的安全警示标志，在作业场所周围醒目处标识施工单位名称、项目负责人、环境/安全责任人、联系方式、安全注意事项等信息。</w:t>
      </w:r>
    </w:p>
    <w:p w14:paraId="354DEFFB">
      <w:pPr>
        <w:spacing w:line="320" w:lineRule="exact"/>
        <w:ind w:firstLine="480" w:firstLineChars="20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5</w:t>
      </w:r>
      <w:r>
        <w:rPr>
          <w:rFonts w:hint="eastAsia" w:ascii="仿宋" w:hAnsi="仿宋" w:eastAsia="仿宋"/>
          <w:sz w:val="24"/>
          <w:szCs w:val="24"/>
        </w:rPr>
        <w:t>.乙方作业用的设备设施、维修工具、检测器具、运输车辆及安全附件等要符合国家安全标准，持有合格证书等证明材料，并定期进行校验。乙方管理人员在员工作业前应先熟悉现场，并对所处区域的作业环境可能存在的危险因素、预防措施给员工进行交底，对使用的设施、设备、工器具等，负有认真检查和确认的责任，严禁设施、设备、工器具等带病作业。</w:t>
      </w:r>
    </w:p>
    <w:p w14:paraId="64E377B6">
      <w:pPr>
        <w:spacing w:line="320" w:lineRule="exact"/>
        <w:ind w:firstLine="480" w:firstLineChars="20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6</w:t>
      </w:r>
      <w:r>
        <w:rPr>
          <w:rFonts w:hint="eastAsia" w:ascii="仿宋" w:hAnsi="仿宋" w:eastAsia="仿宋"/>
          <w:sz w:val="24"/>
          <w:szCs w:val="24"/>
        </w:rPr>
        <w:t>.乙方员工驾驶厂内行驶的机动车辆、参加高危工作、从事特种设备的操作，必需按甲方安全管理规定的要求执行。如不按要求执行，甲方安全主管部门将给予相应的处罚，后果由乙方负责。乙方进入甲方所属区域车辆的车况、速度、行驶路线、停放位置等须遵守甲方的交通管制要求，装卸和行驶过程中不得有抛、洒、滴、漏、违停、超速、闯关现象。</w:t>
      </w:r>
    </w:p>
    <w:p w14:paraId="5F95F0D6">
      <w:pPr>
        <w:spacing w:line="400" w:lineRule="exact"/>
        <w:ind w:firstLine="480" w:firstLineChars="200"/>
        <w:jc w:val="left"/>
        <w:rPr>
          <w:rFonts w:ascii="仿宋" w:hAnsi="仿宋" w:eastAsia="仿宋" w:cs="仿宋"/>
          <w:sz w:val="24"/>
        </w:rPr>
      </w:pPr>
      <w:r>
        <w:rPr>
          <w:rFonts w:ascii="仿宋" w:hAnsi="仿宋" w:eastAsia="仿宋"/>
          <w:sz w:val="24"/>
          <w:szCs w:val="24"/>
        </w:rPr>
        <w:t>17</w:t>
      </w:r>
      <w:r>
        <w:rPr>
          <w:rFonts w:hint="eastAsia" w:ascii="仿宋" w:hAnsi="仿宋" w:eastAsia="仿宋"/>
          <w:sz w:val="24"/>
          <w:szCs w:val="24"/>
        </w:rPr>
        <w:t>.由于乙方员工本人如：疾病、醉酒、情绪失控等自身原因造成事故的，由乙方自行负责调查处理，甲方不予承担任何责任，并有权追究乙方及当事人相关的责任，如给甲方造成损失或影响的将进行赔偿，</w:t>
      </w:r>
      <w:r>
        <w:rPr>
          <w:rFonts w:hint="eastAsia" w:ascii="仿宋" w:hAnsi="仿宋" w:eastAsia="仿宋" w:cs="仿宋"/>
          <w:sz w:val="24"/>
        </w:rPr>
        <w:t>根据</w:t>
      </w:r>
      <w:r>
        <w:rPr>
          <w:rFonts w:hint="eastAsia" w:ascii="仿宋" w:hAnsi="仿宋" w:eastAsia="仿宋"/>
          <w:sz w:val="24"/>
          <w:szCs w:val="24"/>
        </w:rPr>
        <w:t>损失或影响</w:t>
      </w:r>
      <w:r>
        <w:rPr>
          <w:rFonts w:hint="eastAsia" w:ascii="仿宋" w:hAnsi="仿宋" w:eastAsia="仿宋" w:cs="仿宋"/>
          <w:sz w:val="24"/>
        </w:rPr>
        <w:t>对乙方进行相应的责任追究和损失索赔。</w:t>
      </w:r>
    </w:p>
    <w:p w14:paraId="7A8A3AFE">
      <w:pPr>
        <w:spacing w:line="340" w:lineRule="exact"/>
        <w:ind w:firstLine="480" w:firstLineChars="200"/>
        <w:rPr>
          <w:rFonts w:ascii="仿宋" w:hAnsi="仿宋" w:eastAsia="仿宋" w:cs="仿宋"/>
          <w:sz w:val="24"/>
        </w:rPr>
      </w:pPr>
      <w:r>
        <w:rPr>
          <w:rFonts w:ascii="仿宋" w:hAnsi="仿宋" w:eastAsia="仿宋"/>
          <w:sz w:val="24"/>
          <w:szCs w:val="24"/>
        </w:rPr>
        <w:t>18</w:t>
      </w:r>
      <w:r>
        <w:rPr>
          <w:rFonts w:hint="eastAsia" w:ascii="仿宋" w:hAnsi="仿宋" w:eastAsia="仿宋"/>
          <w:sz w:val="24"/>
          <w:szCs w:val="24"/>
        </w:rPr>
        <w:t>.由于乙方员工擅自操作设备、员工之间各自矛盾或其他非甲方原因造成事故或人身伤害的，由乙方自行负责调查处理，如给甲方造成损失或影响的将进行赔偿，</w:t>
      </w:r>
      <w:r>
        <w:rPr>
          <w:rFonts w:ascii="仿宋" w:hAnsi="仿宋" w:eastAsia="仿宋" w:cs="仿宋"/>
          <w:sz w:val="24"/>
        </w:rPr>
        <w:t>甲方有权</w:t>
      </w:r>
      <w:r>
        <w:rPr>
          <w:rFonts w:hint="eastAsia" w:ascii="仿宋" w:hAnsi="仿宋" w:eastAsia="仿宋" w:cs="仿宋"/>
          <w:sz w:val="24"/>
        </w:rPr>
        <w:t>对乙方进行相应的责任追究和责任</w:t>
      </w:r>
      <w:r>
        <w:rPr>
          <w:rFonts w:ascii="仿宋" w:hAnsi="仿宋" w:eastAsia="仿宋" w:cs="仿宋"/>
          <w:sz w:val="24"/>
        </w:rPr>
        <w:t>处罚</w:t>
      </w:r>
      <w:r>
        <w:rPr>
          <w:rFonts w:hint="eastAsia" w:ascii="仿宋" w:hAnsi="仿宋" w:eastAsia="仿宋" w:cs="仿宋"/>
          <w:sz w:val="24"/>
        </w:rPr>
        <w:t>。</w:t>
      </w:r>
    </w:p>
    <w:p w14:paraId="5141A204">
      <w:pPr>
        <w:spacing w:line="320" w:lineRule="exact"/>
        <w:ind w:firstLine="480" w:firstLineChars="200"/>
        <w:rPr>
          <w:rFonts w:ascii="仿宋" w:hAnsi="仿宋" w:eastAsia="仿宋"/>
          <w:sz w:val="24"/>
          <w:szCs w:val="24"/>
        </w:rPr>
      </w:pPr>
      <w:r>
        <w:rPr>
          <w:rFonts w:ascii="仿宋" w:hAnsi="仿宋" w:eastAsia="仿宋"/>
          <w:sz w:val="24"/>
          <w:szCs w:val="24"/>
        </w:rPr>
        <w:t>19</w:t>
      </w:r>
      <w:r>
        <w:rPr>
          <w:rFonts w:hint="eastAsia" w:ascii="仿宋" w:hAnsi="仿宋" w:eastAsia="仿宋"/>
          <w:sz w:val="24"/>
          <w:szCs w:val="24"/>
        </w:rPr>
        <w:t>.乙方负责在合同或本协议期内对所使用甲方的设备、设施、运输工具、厂内车辆、手持电动工具、检测器具等进行维修保养，并对员工进行安全操作培训。因未对设备、设施、运输工具、手持电动工具、检测器具等进行维修保养和未对员工进行安全操作培训等情况，造成人身伤亡、车辆或安全及交通事故，乙方负全部责任；如</w:t>
      </w:r>
      <w:r>
        <w:rPr>
          <w:rFonts w:ascii="仿宋" w:hAnsi="仿宋" w:eastAsia="仿宋"/>
          <w:sz w:val="24"/>
          <w:szCs w:val="24"/>
        </w:rPr>
        <w:t>对甲方造成</w:t>
      </w:r>
      <w:r>
        <w:rPr>
          <w:rFonts w:hint="eastAsia" w:ascii="仿宋" w:hAnsi="仿宋" w:eastAsia="仿宋"/>
          <w:sz w:val="24"/>
          <w:szCs w:val="24"/>
        </w:rPr>
        <w:t>影响</w:t>
      </w:r>
      <w:r>
        <w:rPr>
          <w:rFonts w:ascii="仿宋" w:hAnsi="仿宋" w:eastAsia="仿宋"/>
          <w:sz w:val="24"/>
          <w:szCs w:val="24"/>
        </w:rPr>
        <w:t>的</w:t>
      </w:r>
      <w:r>
        <w:rPr>
          <w:rFonts w:hint="eastAsia" w:ascii="仿宋" w:hAnsi="仿宋" w:eastAsia="仿宋"/>
          <w:sz w:val="24"/>
          <w:szCs w:val="24"/>
        </w:rPr>
        <w:t>，</w:t>
      </w:r>
      <w:r>
        <w:rPr>
          <w:rFonts w:ascii="仿宋" w:hAnsi="仿宋" w:eastAsia="仿宋" w:cs="仿宋"/>
          <w:sz w:val="24"/>
        </w:rPr>
        <w:t>甲方有权</w:t>
      </w:r>
      <w:r>
        <w:rPr>
          <w:rFonts w:hint="eastAsia" w:ascii="仿宋" w:hAnsi="仿宋" w:eastAsia="仿宋" w:cs="仿宋"/>
          <w:sz w:val="24"/>
        </w:rPr>
        <w:t>对乙方进行相应的责任追究和责任</w:t>
      </w:r>
      <w:r>
        <w:rPr>
          <w:rFonts w:ascii="仿宋" w:hAnsi="仿宋" w:eastAsia="仿宋" w:cs="仿宋"/>
          <w:sz w:val="24"/>
        </w:rPr>
        <w:t>处罚</w:t>
      </w:r>
      <w:r>
        <w:rPr>
          <w:rFonts w:hint="eastAsia" w:ascii="仿宋" w:hAnsi="仿宋" w:eastAsia="仿宋"/>
          <w:sz w:val="24"/>
          <w:szCs w:val="24"/>
        </w:rPr>
        <w:t>。</w:t>
      </w:r>
    </w:p>
    <w:p w14:paraId="76F37550">
      <w:pPr>
        <w:spacing w:line="320" w:lineRule="exact"/>
        <w:ind w:firstLine="480" w:firstLineChars="200"/>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0.</w:t>
      </w:r>
      <w:r>
        <w:rPr>
          <w:rFonts w:hint="eastAsia" w:ascii="仿宋" w:hAnsi="仿宋" w:eastAsia="仿宋"/>
          <w:sz w:val="24"/>
          <w:szCs w:val="24"/>
        </w:rPr>
        <w:t>乙方在作业过程中违反甲方相关规定发生的安全事故，由乙方自行负责调查处理，分析、统计事故损失，制定相应的措施，并承担全部责任，与甲方无关，调查处理结果向甲方报备。如给甲方造成损失或影响的，</w:t>
      </w:r>
      <w:r>
        <w:rPr>
          <w:rFonts w:ascii="仿宋" w:hAnsi="仿宋" w:eastAsia="仿宋" w:cs="仿宋"/>
          <w:sz w:val="24"/>
        </w:rPr>
        <w:t>甲方有权</w:t>
      </w:r>
      <w:r>
        <w:rPr>
          <w:rFonts w:hint="eastAsia" w:ascii="仿宋" w:hAnsi="仿宋" w:eastAsia="仿宋" w:cs="仿宋"/>
          <w:sz w:val="24"/>
        </w:rPr>
        <w:t>对乙方进行相应的责任追究和责任</w:t>
      </w:r>
      <w:r>
        <w:rPr>
          <w:rFonts w:ascii="仿宋" w:hAnsi="仿宋" w:eastAsia="仿宋" w:cs="仿宋"/>
          <w:sz w:val="24"/>
        </w:rPr>
        <w:t>处罚</w:t>
      </w:r>
      <w:r>
        <w:rPr>
          <w:rFonts w:hint="eastAsia" w:ascii="仿宋" w:hAnsi="仿宋" w:eastAsia="仿宋"/>
          <w:sz w:val="24"/>
          <w:szCs w:val="24"/>
        </w:rPr>
        <w:t>。</w:t>
      </w:r>
    </w:p>
    <w:p w14:paraId="23D690BE">
      <w:pPr>
        <w:spacing w:line="320" w:lineRule="exact"/>
        <w:ind w:firstLine="480" w:firstLineChars="200"/>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1</w:t>
      </w:r>
      <w:r>
        <w:rPr>
          <w:rFonts w:hint="eastAsia" w:ascii="仿宋" w:hAnsi="仿宋" w:eastAsia="仿宋"/>
          <w:sz w:val="24"/>
          <w:szCs w:val="24"/>
        </w:rPr>
        <w:t>.乙方进场后应尽可能对作业场所进行封闭和隔离，在生产区域内施工的，必须在作业场所和生产装置间采取严格、有效的隔离措施。</w:t>
      </w:r>
    </w:p>
    <w:p w14:paraId="0CAB9912">
      <w:pPr>
        <w:spacing w:line="320" w:lineRule="exact"/>
        <w:ind w:firstLine="480" w:firstLineChars="200"/>
        <w:rPr>
          <w:rFonts w:ascii="仿宋" w:hAnsi="仿宋" w:eastAsia="仿宋"/>
          <w:sz w:val="24"/>
          <w:szCs w:val="24"/>
        </w:rPr>
      </w:pPr>
      <w:r>
        <w:rPr>
          <w:rFonts w:ascii="仿宋" w:hAnsi="仿宋" w:eastAsia="仿宋"/>
          <w:sz w:val="24"/>
          <w:szCs w:val="24"/>
        </w:rPr>
        <w:t>22.</w:t>
      </w:r>
      <w:r>
        <w:rPr>
          <w:rFonts w:hint="eastAsia" w:ascii="仿宋" w:hAnsi="仿宋" w:eastAsia="仿宋"/>
          <w:sz w:val="24"/>
          <w:szCs w:val="24"/>
        </w:rPr>
        <w:t>乙方在现场的材料存储、处理，特别是废弃物收集与处理，必须取得甲方安全主管部门和作业现场所在单位的批准。</w:t>
      </w:r>
    </w:p>
    <w:p w14:paraId="327CE292">
      <w:pPr>
        <w:spacing w:line="320" w:lineRule="exact"/>
        <w:ind w:firstLine="480" w:firstLineChars="200"/>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3.</w:t>
      </w:r>
      <w:r>
        <w:rPr>
          <w:rFonts w:hint="eastAsia" w:ascii="仿宋" w:hAnsi="仿宋" w:eastAsia="仿宋"/>
          <w:sz w:val="24"/>
          <w:szCs w:val="24"/>
        </w:rPr>
        <w:t>乙方使用甲方的水、电、气(汽)等，应先由用工部门向主管部门提出申请，经主管部门现场勘察批准并办理相关手续后，由主管部门指定人员，按指定方式接入作业现场。如有特殊需要或变更使用方式时，也必须先取得主管部门同意，方可变更。</w:t>
      </w:r>
    </w:p>
    <w:p w14:paraId="055DDB33">
      <w:pPr>
        <w:spacing w:line="320" w:lineRule="exact"/>
        <w:ind w:firstLine="480" w:firstLineChars="200"/>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4</w:t>
      </w:r>
      <w:r>
        <w:rPr>
          <w:rFonts w:hint="eastAsia" w:ascii="仿宋" w:hAnsi="仿宋" w:eastAsia="仿宋"/>
          <w:sz w:val="24"/>
          <w:szCs w:val="24"/>
        </w:rPr>
        <w:t>.乙方人员在现场不得擅自动用或操作甲方的设备、机具及消防设施，如需借用甲方的工具、设备，应由用工部门向设备所属部门提出申请，经同意后方可办理租借手续，租借消防器材还需经甲方安全主管部门批准后方可办理相关租借手续，甲方应保证设备、工器具符合安全要求，乙方接收时必须进行验收确认，乙方一经接收使用，表示认可该设备、工器具完好，无安全隐患，若造成安全事故，</w:t>
      </w:r>
      <w:r>
        <w:rPr>
          <w:rFonts w:ascii="仿宋" w:hAnsi="仿宋" w:eastAsia="仿宋" w:cs="仿宋"/>
          <w:sz w:val="24"/>
        </w:rPr>
        <w:t>甲方有权</w:t>
      </w:r>
      <w:r>
        <w:rPr>
          <w:rFonts w:hint="eastAsia" w:ascii="仿宋" w:hAnsi="仿宋" w:eastAsia="仿宋" w:cs="仿宋"/>
          <w:sz w:val="24"/>
        </w:rPr>
        <w:t>对乙方进行相应的责任追究和责任</w:t>
      </w:r>
      <w:r>
        <w:rPr>
          <w:rFonts w:ascii="仿宋" w:hAnsi="仿宋" w:eastAsia="仿宋" w:cs="仿宋"/>
          <w:sz w:val="24"/>
        </w:rPr>
        <w:t>处罚</w:t>
      </w:r>
      <w:r>
        <w:rPr>
          <w:rFonts w:hint="eastAsia" w:ascii="仿宋" w:hAnsi="仿宋" w:eastAsia="仿宋"/>
          <w:sz w:val="24"/>
          <w:szCs w:val="24"/>
        </w:rPr>
        <w:t>。</w:t>
      </w:r>
    </w:p>
    <w:p w14:paraId="5240063C">
      <w:pPr>
        <w:spacing w:line="320" w:lineRule="exact"/>
        <w:ind w:firstLine="480" w:firstLineChars="200"/>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5</w:t>
      </w:r>
      <w:r>
        <w:rPr>
          <w:rFonts w:hint="eastAsia" w:ascii="仿宋" w:hAnsi="仿宋" w:eastAsia="仿宋"/>
          <w:sz w:val="24"/>
          <w:szCs w:val="24"/>
        </w:rPr>
        <w:t xml:space="preserve">.当两个以上单位在同一作业区域内进行施工作业，应服从甲方用工部门的统一指挥，分别指派专人负责现场的安全管理和协调。各施工方之间应当签订独立的安全作业管理协议，明确各自的安全作业管理职责和应当采取的安全措施，并将安全作业管理协议作为施工方案的附件一并报甲方用工部门备案。    </w:t>
      </w:r>
    </w:p>
    <w:p w14:paraId="09469149">
      <w:pPr>
        <w:spacing w:line="320" w:lineRule="exact"/>
        <w:ind w:firstLine="480" w:firstLineChars="200"/>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6</w:t>
      </w:r>
      <w:r>
        <w:rPr>
          <w:rFonts w:hint="eastAsia" w:ascii="仿宋" w:hAnsi="仿宋" w:eastAsia="仿宋"/>
          <w:sz w:val="24"/>
          <w:szCs w:val="24"/>
        </w:rPr>
        <w:t>.在生产区域内进行的施工作业，乙方必须主动与甲方生产部门取得联系，得到许可并办理好相应作业许可证后方可施工。进入生产岗位施工之前，必须首先与岗位上的操作人员取得联系，不得强行施工。当生产中出现可能影响施工安全的因素时，甲方生产部门应事先通知用工部门，紧急情况下可直接通知现场施工作业人员停工、撤离。</w:t>
      </w:r>
    </w:p>
    <w:p w14:paraId="6A74F79F">
      <w:pPr>
        <w:spacing w:line="320" w:lineRule="exact"/>
        <w:ind w:firstLine="480" w:firstLineChars="200"/>
        <w:rPr>
          <w:rFonts w:ascii="仿宋" w:hAnsi="仿宋" w:eastAsia="仿宋"/>
          <w:sz w:val="24"/>
          <w:szCs w:val="24"/>
        </w:rPr>
      </w:pPr>
      <w:r>
        <w:rPr>
          <w:rFonts w:ascii="仿宋" w:hAnsi="仿宋" w:eastAsia="仿宋"/>
          <w:sz w:val="24"/>
          <w:szCs w:val="24"/>
        </w:rPr>
        <w:t>27</w:t>
      </w:r>
      <w:r>
        <w:rPr>
          <w:rFonts w:hint="eastAsia" w:ascii="仿宋" w:hAnsi="仿宋" w:eastAsia="仿宋"/>
          <w:sz w:val="24"/>
          <w:szCs w:val="24"/>
        </w:rPr>
        <w:t>.施工作业现场的噪声与振动、“三废”排放等应符合环保要求，如发生偷排或投诉事件，乙方有责任按要求及时进行整改，并承担由此产生的后果。</w:t>
      </w:r>
    </w:p>
    <w:p w14:paraId="59D3751C">
      <w:pPr>
        <w:spacing w:line="320" w:lineRule="exact"/>
        <w:ind w:firstLine="480" w:firstLineChars="200"/>
        <w:rPr>
          <w:rFonts w:ascii="仿宋" w:hAnsi="仿宋" w:eastAsia="仿宋"/>
          <w:sz w:val="24"/>
          <w:szCs w:val="24"/>
        </w:rPr>
      </w:pPr>
      <w:r>
        <w:rPr>
          <w:rFonts w:ascii="仿宋" w:hAnsi="仿宋" w:eastAsia="仿宋"/>
          <w:sz w:val="24"/>
          <w:szCs w:val="24"/>
        </w:rPr>
        <w:t>28</w:t>
      </w:r>
      <w:r>
        <w:rPr>
          <w:rFonts w:hint="eastAsia" w:ascii="仿宋" w:hAnsi="仿宋" w:eastAsia="仿宋"/>
          <w:sz w:val="24"/>
          <w:szCs w:val="24"/>
        </w:rPr>
        <w:t>.乙方在施工作业结束，撤离现场时，要保持现场清洁、整齐，运走所有废弃物、材料及设备，并及时告知甲方用工部门主动接收甲方用工部门的检查和监督。</w:t>
      </w:r>
    </w:p>
    <w:p w14:paraId="12DD3F0D">
      <w:pPr>
        <w:spacing w:line="320" w:lineRule="exact"/>
        <w:ind w:firstLine="480" w:firstLineChars="200"/>
        <w:rPr>
          <w:rFonts w:ascii="仿宋" w:hAnsi="仿宋" w:eastAsia="仿宋"/>
          <w:sz w:val="24"/>
          <w:szCs w:val="24"/>
        </w:rPr>
      </w:pPr>
      <w:r>
        <w:rPr>
          <w:rFonts w:ascii="仿宋" w:hAnsi="仿宋" w:eastAsia="仿宋"/>
          <w:sz w:val="24"/>
          <w:szCs w:val="24"/>
        </w:rPr>
        <w:t>29</w:t>
      </w:r>
      <w:r>
        <w:rPr>
          <w:rFonts w:hint="eastAsia" w:ascii="仿宋" w:hAnsi="仿宋" w:eastAsia="仿宋"/>
          <w:sz w:val="24"/>
          <w:szCs w:val="24"/>
        </w:rPr>
        <w:t>.乙方不得把</w:t>
      </w:r>
      <w:r>
        <w:rPr>
          <w:rFonts w:ascii="仿宋" w:hAnsi="仿宋" w:eastAsia="仿宋"/>
          <w:sz w:val="24"/>
          <w:szCs w:val="24"/>
        </w:rPr>
        <w:t>主要工作</w:t>
      </w:r>
      <w:r>
        <w:rPr>
          <w:rFonts w:hint="eastAsia" w:ascii="仿宋" w:hAnsi="仿宋" w:eastAsia="仿宋"/>
          <w:sz w:val="24"/>
          <w:szCs w:val="24"/>
        </w:rPr>
        <w:t>转包给分包商的，因工作</w:t>
      </w:r>
      <w:r>
        <w:rPr>
          <w:rFonts w:ascii="仿宋" w:hAnsi="仿宋" w:eastAsia="仿宋"/>
          <w:sz w:val="24"/>
          <w:szCs w:val="24"/>
        </w:rPr>
        <w:t>需要转包</w:t>
      </w:r>
      <w:r>
        <w:rPr>
          <w:rFonts w:hint="eastAsia" w:ascii="仿宋" w:hAnsi="仿宋" w:eastAsia="仿宋"/>
          <w:sz w:val="24"/>
          <w:szCs w:val="24"/>
        </w:rPr>
        <w:t>其中部分工作的，乙方仍应承担相应的环境/安全责任，同时乙方须负责落实分包商必须执行与乙方同样的环境/安全管理程序和要求，如若分包商未有效执行甲方的环境/安全管理程序和要求，甲方将追究乙方责任，并视情节对乙方及其责任人进行处罚。</w:t>
      </w:r>
    </w:p>
    <w:p w14:paraId="73D43FC9">
      <w:pPr>
        <w:spacing w:line="320" w:lineRule="exact"/>
        <w:ind w:firstLine="480" w:firstLineChars="200"/>
        <w:rPr>
          <w:rFonts w:ascii="仿宋" w:hAnsi="仿宋" w:eastAsia="仿宋"/>
          <w:sz w:val="24"/>
          <w:szCs w:val="24"/>
        </w:rPr>
      </w:pPr>
      <w:r>
        <w:rPr>
          <w:rFonts w:hint="eastAsia" w:ascii="仿宋" w:hAnsi="仿宋" w:eastAsia="仿宋"/>
          <w:sz w:val="24"/>
          <w:szCs w:val="24"/>
        </w:rPr>
        <w:t>30.乙方负责人应按时参加甲方与作业相关的安全会议和有关安全事项的临时会议，汇报安全作业情况及安全工作安排，落实会议要求。</w:t>
      </w:r>
    </w:p>
    <w:p w14:paraId="3C92D80C">
      <w:pPr>
        <w:spacing w:line="320" w:lineRule="exact"/>
        <w:ind w:firstLine="480" w:firstLineChars="200"/>
        <w:rPr>
          <w:rFonts w:ascii="仿宋" w:hAnsi="仿宋" w:eastAsia="仿宋"/>
          <w:sz w:val="24"/>
          <w:szCs w:val="24"/>
        </w:rPr>
      </w:pPr>
      <w:r>
        <w:rPr>
          <w:rFonts w:ascii="仿宋" w:hAnsi="仿宋" w:eastAsia="仿宋"/>
          <w:sz w:val="24"/>
          <w:szCs w:val="24"/>
        </w:rPr>
        <w:t>31</w:t>
      </w:r>
      <w:r>
        <w:rPr>
          <w:rFonts w:hint="eastAsia" w:ascii="仿宋" w:hAnsi="仿宋" w:eastAsia="仿宋"/>
          <w:sz w:val="24"/>
          <w:szCs w:val="24"/>
        </w:rPr>
        <w:t>.乙方应当按规定制定应急救援预案;应急救援预案应当定期进行修订并与发包单位或其他施工单位进行有效衔接;应当对现场作业人员进行针对性的培训，按要求定期组织演练</w:t>
      </w:r>
      <w:r>
        <w:rPr>
          <w:rFonts w:hint="eastAsia"/>
        </w:rPr>
        <w:t>，</w:t>
      </w:r>
      <w:r>
        <w:rPr>
          <w:rFonts w:hint="eastAsia" w:ascii="仿宋" w:hAnsi="仿宋" w:eastAsia="仿宋"/>
          <w:sz w:val="24"/>
          <w:szCs w:val="24"/>
        </w:rPr>
        <w:t>并形成记录。</w:t>
      </w:r>
    </w:p>
    <w:p w14:paraId="0D00FA7C">
      <w:pPr>
        <w:spacing w:line="320" w:lineRule="exact"/>
        <w:ind w:firstLine="480" w:firstLineChars="200"/>
        <w:rPr>
          <w:rFonts w:ascii="仿宋" w:hAnsi="仿宋" w:eastAsia="仿宋"/>
          <w:sz w:val="24"/>
          <w:szCs w:val="24"/>
        </w:rPr>
      </w:pPr>
      <w:r>
        <w:rPr>
          <w:rFonts w:ascii="仿宋" w:hAnsi="仿宋" w:eastAsia="仿宋"/>
          <w:sz w:val="24"/>
          <w:szCs w:val="24"/>
        </w:rPr>
        <w:t>32</w:t>
      </w:r>
      <w:r>
        <w:rPr>
          <w:rFonts w:hint="eastAsia" w:ascii="仿宋" w:hAnsi="仿宋" w:eastAsia="仿宋"/>
          <w:sz w:val="24"/>
          <w:szCs w:val="24"/>
        </w:rPr>
        <w:t>.作业项目发生事故后，事故现场有关人员应当立即向乙方项目部负责人报告;乙方项目部负责人接到报告后，应当及时向甲乙双方的负责人报告，并按照《生产安全事故报告和调查处理条例》(国务院令第493号)等法律、法规、规章的规定报告。按照应急预案或者应急处置方案立即开展事故救援。</w:t>
      </w:r>
    </w:p>
    <w:p w14:paraId="14EB792F">
      <w:pPr>
        <w:spacing w:line="320" w:lineRule="exact"/>
        <w:ind w:firstLine="480" w:firstLineChars="200"/>
        <w:rPr>
          <w:rFonts w:ascii="仿宋" w:hAnsi="仿宋" w:eastAsia="仿宋"/>
          <w:sz w:val="24"/>
          <w:szCs w:val="24"/>
        </w:rPr>
      </w:pPr>
      <w:r>
        <w:rPr>
          <w:rFonts w:ascii="仿宋" w:hAnsi="仿宋" w:eastAsia="仿宋"/>
          <w:sz w:val="24"/>
          <w:szCs w:val="24"/>
        </w:rPr>
        <w:t>33</w:t>
      </w:r>
      <w:r>
        <w:rPr>
          <w:rFonts w:hint="eastAsia" w:ascii="仿宋" w:hAnsi="仿宋" w:eastAsia="仿宋"/>
          <w:sz w:val="24"/>
          <w:szCs w:val="24"/>
        </w:rPr>
        <w:t>.根据事故调查处理结论，承担相应责任。</w:t>
      </w:r>
    </w:p>
    <w:p w14:paraId="522E4687">
      <w:pPr>
        <w:spacing w:line="320" w:lineRule="exact"/>
        <w:ind w:firstLine="482" w:firstLineChars="200"/>
        <w:rPr>
          <w:rFonts w:ascii="宋体" w:hAnsi="宋体"/>
          <w:b/>
          <w:sz w:val="24"/>
          <w:szCs w:val="24"/>
        </w:rPr>
      </w:pPr>
      <w:r>
        <w:rPr>
          <w:rFonts w:hint="eastAsia" w:ascii="宋体" w:hAnsi="宋体"/>
          <w:b/>
          <w:sz w:val="24"/>
          <w:szCs w:val="24"/>
        </w:rPr>
        <w:t>第四条 安全检查与考核</w:t>
      </w:r>
    </w:p>
    <w:p w14:paraId="2CEEB9FF">
      <w:pPr>
        <w:spacing w:line="340" w:lineRule="exact"/>
        <w:ind w:firstLine="480" w:firstLineChars="200"/>
        <w:rPr>
          <w:rFonts w:ascii="仿宋" w:hAnsi="仿宋" w:eastAsia="仿宋"/>
          <w:sz w:val="24"/>
          <w:szCs w:val="24"/>
        </w:rPr>
      </w:pPr>
      <w:r>
        <w:rPr>
          <w:rFonts w:hint="eastAsia" w:ascii="仿宋" w:hAnsi="仿宋" w:eastAsia="仿宋"/>
          <w:sz w:val="24"/>
          <w:szCs w:val="24"/>
        </w:rPr>
        <w:t>(一)甲方应当加强乙方的监督检查工作，发现乙方违反法律、法规、规章和标准以及甲方安全生产规章制度的行为，有权制止。</w:t>
      </w:r>
    </w:p>
    <w:p w14:paraId="5890E87F">
      <w:pPr>
        <w:spacing w:line="340" w:lineRule="exact"/>
        <w:ind w:firstLine="480" w:firstLineChars="200"/>
        <w:jc w:val="left"/>
        <w:rPr>
          <w:rFonts w:ascii="仿宋" w:hAnsi="仿宋" w:eastAsia="仿宋"/>
          <w:sz w:val="24"/>
          <w:szCs w:val="24"/>
        </w:rPr>
      </w:pPr>
      <w:r>
        <w:rPr>
          <w:rFonts w:hint="eastAsia" w:ascii="仿宋" w:hAnsi="仿宋" w:eastAsia="仿宋"/>
          <w:sz w:val="24"/>
          <w:szCs w:val="24"/>
        </w:rPr>
        <w:t>(二)甲方有权依据</w:t>
      </w:r>
      <w:r>
        <w:rPr>
          <w:rFonts w:ascii="仿宋" w:hAnsi="仿宋" w:eastAsia="仿宋"/>
          <w:sz w:val="24"/>
          <w:szCs w:val="24"/>
        </w:rPr>
        <w:t>《</w:t>
      </w:r>
      <w:r>
        <w:rPr>
          <w:rFonts w:hint="eastAsia" w:ascii="仿宋" w:hAnsi="仿宋" w:eastAsia="仿宋"/>
          <w:sz w:val="24"/>
          <w:szCs w:val="24"/>
        </w:rPr>
        <w:t>海纳川承包商安全环保考核办法</w:t>
      </w:r>
      <w:r>
        <w:rPr>
          <w:rFonts w:ascii="仿宋" w:hAnsi="仿宋" w:eastAsia="仿宋"/>
          <w:sz w:val="24"/>
          <w:szCs w:val="24"/>
        </w:rPr>
        <w:t>》</w:t>
      </w:r>
      <w:r>
        <w:rPr>
          <w:rFonts w:hint="eastAsia" w:ascii="仿宋" w:hAnsi="仿宋" w:eastAsia="仿宋"/>
          <w:sz w:val="24"/>
          <w:szCs w:val="24"/>
        </w:rPr>
        <w:t>，对乙方进行安全生产管理考核。</w:t>
      </w:r>
    </w:p>
    <w:p w14:paraId="4C18F7F2">
      <w:pPr>
        <w:spacing w:line="320" w:lineRule="exact"/>
        <w:ind w:firstLine="480" w:firstLineChars="200"/>
        <w:rPr>
          <w:rFonts w:ascii="仿宋" w:hAnsi="仿宋" w:eastAsia="仿宋"/>
          <w:sz w:val="24"/>
          <w:szCs w:val="24"/>
        </w:rPr>
      </w:pPr>
      <w:r>
        <w:rPr>
          <w:rFonts w:hint="eastAsia" w:ascii="仿宋" w:hAnsi="仿宋" w:eastAsia="仿宋"/>
          <w:sz w:val="24"/>
          <w:szCs w:val="24"/>
        </w:rPr>
        <w:t>(三)乙方负责工程范围内的作业安全管理，制定施工方案，加强工程作业现场的日常安全检查，落实各项规章制度和安全操作规程。</w:t>
      </w:r>
    </w:p>
    <w:p w14:paraId="30E39548">
      <w:pPr>
        <w:spacing w:line="320" w:lineRule="exact"/>
        <w:ind w:firstLine="480" w:firstLineChars="200"/>
        <w:rPr>
          <w:rFonts w:ascii="仿宋" w:hAnsi="仿宋" w:eastAsia="仿宋"/>
          <w:sz w:val="24"/>
          <w:szCs w:val="24"/>
        </w:rPr>
      </w:pPr>
      <w:r>
        <w:rPr>
          <w:rFonts w:hint="eastAsia" w:ascii="仿宋" w:hAnsi="仿宋" w:eastAsia="仿宋"/>
          <w:sz w:val="24"/>
          <w:szCs w:val="24"/>
        </w:rPr>
        <w:t>(四)在整个外包施工过程中，乙方应当保持安全管理人员和工程技术人员的连续稳定，保持与承揽工程相匹配的施工资质,保证企业负责人、安全管理人员和特种作业人员持有效证件;同时，若技术人员、特种作业人员和设备设施发生变化的，乙方应当及时书面告知甲方。</w:t>
      </w:r>
    </w:p>
    <w:p w14:paraId="255D121B">
      <w:pPr>
        <w:spacing w:line="320" w:lineRule="exact"/>
        <w:ind w:firstLine="480" w:firstLineChars="200"/>
        <w:rPr>
          <w:rFonts w:ascii="仿宋" w:hAnsi="仿宋" w:eastAsia="仿宋"/>
          <w:sz w:val="24"/>
          <w:szCs w:val="24"/>
        </w:rPr>
      </w:pPr>
      <w:r>
        <w:rPr>
          <w:rFonts w:hint="eastAsia" w:ascii="仿宋" w:hAnsi="仿宋" w:eastAsia="仿宋"/>
          <w:sz w:val="24"/>
          <w:szCs w:val="24"/>
        </w:rPr>
        <w:t>(五)乙方应当接受甲方的监督管理，遵守甲方的有关规章制度的要求。同时,乙方有权拒绝甲方违章指挥和强令冒险作业。</w:t>
      </w:r>
    </w:p>
    <w:p w14:paraId="5BDCB55E">
      <w:pPr>
        <w:spacing w:line="320" w:lineRule="exact"/>
        <w:ind w:firstLine="480" w:firstLineChars="200"/>
        <w:rPr>
          <w:rFonts w:ascii="仿宋" w:hAnsi="仿宋" w:eastAsia="仿宋"/>
          <w:sz w:val="24"/>
          <w:szCs w:val="24"/>
        </w:rPr>
      </w:pPr>
      <w:r>
        <w:rPr>
          <w:rFonts w:hint="eastAsia" w:ascii="仿宋" w:hAnsi="仿宋" w:eastAsia="仿宋"/>
          <w:sz w:val="24"/>
          <w:szCs w:val="24"/>
        </w:rPr>
        <w:t>(六)乙方应当向甲方提供安全生产考核所需资料，接受甲方的考核与奖惩。</w:t>
      </w:r>
    </w:p>
    <w:p w14:paraId="3DFBE92F">
      <w:pPr>
        <w:spacing w:line="320" w:lineRule="exact"/>
        <w:ind w:firstLine="482" w:firstLineChars="200"/>
        <w:jc w:val="left"/>
        <w:rPr>
          <w:rFonts w:ascii="宋体" w:hAnsi="宋体" w:cs="仿宋"/>
          <w:b/>
          <w:sz w:val="24"/>
          <w:szCs w:val="24"/>
        </w:rPr>
      </w:pPr>
      <w:r>
        <w:rPr>
          <w:rFonts w:hint="eastAsia" w:ascii="宋体" w:hAnsi="宋体" w:cs="仿宋"/>
          <w:b/>
          <w:sz w:val="24"/>
          <w:szCs w:val="24"/>
        </w:rPr>
        <w:t>第五</w:t>
      </w:r>
      <w:r>
        <w:rPr>
          <w:rFonts w:ascii="宋体" w:hAnsi="宋体" w:cs="仿宋"/>
          <w:b/>
          <w:sz w:val="24"/>
          <w:szCs w:val="24"/>
        </w:rPr>
        <w:t>条</w:t>
      </w:r>
      <w:r>
        <w:rPr>
          <w:rFonts w:hint="eastAsia" w:ascii="宋体" w:hAnsi="宋体" w:cs="仿宋"/>
          <w:b/>
          <w:sz w:val="24"/>
          <w:szCs w:val="24"/>
        </w:rPr>
        <w:t xml:space="preserve"> 风险抵押金收取管理</w:t>
      </w:r>
    </w:p>
    <w:p w14:paraId="431AB11F">
      <w:pPr>
        <w:spacing w:line="320" w:lineRule="exact"/>
        <w:ind w:firstLine="480" w:firstLineChars="20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w:t>
      </w:r>
      <w:r>
        <w:rPr>
          <w:rFonts w:hint="eastAsia" w:ascii="仿宋" w:hAnsi="仿宋" w:eastAsia="仿宋"/>
          <w:sz w:val="24"/>
          <w:szCs w:val="24"/>
        </w:rPr>
        <w:t>甲方对乙方实施安全环保风险抵押金管理。按项目闭环管理、专款专用，</w:t>
      </w:r>
      <w:r>
        <w:rPr>
          <w:rFonts w:ascii="仿宋" w:hAnsi="仿宋" w:eastAsia="仿宋"/>
          <w:sz w:val="24"/>
          <w:szCs w:val="24"/>
        </w:rPr>
        <w:t xml:space="preserve"> </w:t>
      </w:r>
    </w:p>
    <w:p w14:paraId="7E0B156D">
      <w:pPr>
        <w:spacing w:line="320" w:lineRule="exact"/>
        <w:ind w:firstLine="480" w:firstLineChars="200"/>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w:t>
      </w:r>
      <w:r>
        <w:rPr>
          <w:rFonts w:hint="eastAsia" w:ascii="仿宋" w:hAnsi="仿宋" w:eastAsia="仿宋"/>
          <w:sz w:val="24"/>
          <w:szCs w:val="24"/>
        </w:rPr>
        <w:t>安全环保风险抵押金的收取和管理要求由承包商引进部门在合同签订前告知承包商，在合同签订时进行约定，并依据收取标准明确收取金额。</w:t>
      </w:r>
    </w:p>
    <w:p w14:paraId="495E662E">
      <w:pPr>
        <w:spacing w:line="320" w:lineRule="exact"/>
        <w:ind w:firstLine="480" w:firstLineChars="200"/>
        <w:rPr>
          <w:rFonts w:ascii="仿宋" w:hAnsi="仿宋" w:eastAsia="仿宋"/>
          <w:sz w:val="24"/>
          <w:szCs w:val="24"/>
        </w:rPr>
      </w:pPr>
      <w:r>
        <w:rPr>
          <w:rFonts w:hint="eastAsia" w:ascii="仿宋" w:hAnsi="仿宋" w:eastAsia="仿宋"/>
          <w:sz w:val="24"/>
          <w:szCs w:val="24"/>
        </w:rPr>
        <w:t>3</w:t>
      </w:r>
      <w:r>
        <w:rPr>
          <w:rFonts w:ascii="仿宋" w:hAnsi="仿宋" w:eastAsia="仿宋"/>
          <w:sz w:val="24"/>
          <w:szCs w:val="24"/>
        </w:rPr>
        <w:t>.</w:t>
      </w:r>
      <w:r>
        <w:rPr>
          <w:rFonts w:hint="eastAsia" w:ascii="仿宋" w:hAnsi="仿宋" w:eastAsia="仿宋"/>
          <w:sz w:val="24"/>
          <w:szCs w:val="24"/>
        </w:rPr>
        <w:t>本协议</w:t>
      </w:r>
      <w:r>
        <w:rPr>
          <w:rFonts w:ascii="仿宋" w:hAnsi="仿宋" w:eastAsia="仿宋"/>
          <w:sz w:val="24"/>
          <w:szCs w:val="24"/>
        </w:rPr>
        <w:t>签订前乙方应向甲方支付履约安全风险抵押金</w:t>
      </w:r>
      <w:r>
        <w:rPr>
          <w:rFonts w:hint="eastAsia" w:ascii="仿宋" w:hAnsi="仿宋" w:eastAsia="仿宋"/>
          <w:sz w:val="24"/>
          <w:szCs w:val="24"/>
          <w:u w:val="single"/>
          <w:lang w:val="en-US" w:eastAsia="zh-CN"/>
        </w:rPr>
        <w:t xml:space="preserve">        </w:t>
      </w:r>
      <w:r>
        <w:rPr>
          <w:rFonts w:hint="eastAsia" w:ascii="仿宋" w:hAnsi="仿宋" w:eastAsia="仿宋"/>
          <w:sz w:val="24"/>
          <w:szCs w:val="24"/>
        </w:rPr>
        <w:t>。</w:t>
      </w:r>
    </w:p>
    <w:p w14:paraId="1B7999F3">
      <w:pPr>
        <w:spacing w:line="400" w:lineRule="exact"/>
        <w:ind w:firstLine="480" w:firstLineChars="200"/>
        <w:jc w:val="left"/>
        <w:rPr>
          <w:rFonts w:ascii="仿宋" w:hAnsi="仿宋" w:eastAsia="仿宋" w:cs="仿宋"/>
          <w:sz w:val="24"/>
        </w:rPr>
      </w:pPr>
      <w:r>
        <w:rPr>
          <w:rFonts w:hint="eastAsia" w:ascii="仿宋" w:hAnsi="仿宋" w:eastAsia="仿宋"/>
          <w:sz w:val="24"/>
          <w:szCs w:val="24"/>
        </w:rPr>
        <w:t>4.</w:t>
      </w:r>
      <w:r>
        <w:rPr>
          <w:rFonts w:hint="eastAsia" w:ascii="仿宋" w:hAnsi="仿宋" w:eastAsia="仿宋" w:cs="仿宋"/>
          <w:sz w:val="24"/>
        </w:rPr>
        <w:t>甲方对乙方进行处罚后，由乙方按时缴纳罚款和赔偿款；如乙方未按甲方要求缴纳罚款和赔偿款的，经甲方告知乙方后，在乙方缴纳的安全风险抵押金中扣除；安全风险抵押金扣减后不足</w:t>
      </w:r>
      <w:r>
        <w:rPr>
          <w:rFonts w:hint="eastAsia" w:ascii="仿宋" w:hAnsi="仿宋" w:eastAsia="仿宋" w:cs="仿宋"/>
          <w:sz w:val="24"/>
          <w:u w:val="single"/>
          <w:lang w:val="en-US" w:eastAsia="zh-CN"/>
        </w:rPr>
        <w:t xml:space="preserve">        </w:t>
      </w:r>
      <w:r>
        <w:rPr>
          <w:rFonts w:hint="eastAsia" w:ascii="仿宋" w:hAnsi="仿宋" w:eastAsia="仿宋" w:cs="仿宋"/>
          <w:sz w:val="24"/>
        </w:rPr>
        <w:t xml:space="preserve">的，乙方应在5个工作日内补齐。 </w:t>
      </w:r>
    </w:p>
    <w:p w14:paraId="32EFADF9">
      <w:pPr>
        <w:spacing w:line="320" w:lineRule="exact"/>
        <w:ind w:firstLine="480" w:firstLineChars="200"/>
        <w:rPr>
          <w:rFonts w:ascii="仿宋" w:hAnsi="仿宋" w:eastAsia="仿宋" w:cs="仿宋"/>
          <w:sz w:val="24"/>
        </w:rPr>
      </w:pPr>
      <w:r>
        <w:rPr>
          <w:rFonts w:ascii="仿宋" w:hAnsi="仿宋" w:eastAsia="仿宋"/>
          <w:sz w:val="24"/>
          <w:szCs w:val="24"/>
        </w:rPr>
        <w:t>5.</w:t>
      </w:r>
      <w:r>
        <w:rPr>
          <w:rFonts w:hint="eastAsia" w:ascii="仿宋" w:hAnsi="仿宋" w:eastAsia="仿宋" w:cs="仿宋"/>
          <w:sz w:val="24"/>
        </w:rPr>
        <w:t>本条及本协议其他条款对罚款和安全风险抵押金的扣减，甲方均需出具盖有公章的书面文件送达至乙方后方可执行。</w:t>
      </w:r>
    </w:p>
    <w:p w14:paraId="5836D475">
      <w:pPr>
        <w:spacing w:line="320" w:lineRule="exact"/>
        <w:ind w:firstLine="480" w:firstLineChars="200"/>
        <w:rPr>
          <w:rFonts w:ascii="仿宋" w:hAnsi="仿宋" w:eastAsia="仿宋" w:cs="仿宋"/>
          <w:sz w:val="24"/>
        </w:rPr>
      </w:pPr>
      <w:r>
        <w:rPr>
          <w:rFonts w:hint="eastAsia" w:ascii="仿宋" w:hAnsi="仿宋" w:eastAsia="仿宋" w:cs="仿宋"/>
          <w:sz w:val="24"/>
        </w:rPr>
        <w:t>6.安全风险抵押金于本协议终止后</w:t>
      </w:r>
      <w:r>
        <w:rPr>
          <w:rFonts w:ascii="仿宋" w:hAnsi="仿宋" w:eastAsia="仿宋" w:cs="仿宋"/>
          <w:sz w:val="24"/>
        </w:rPr>
        <w:t>3</w:t>
      </w:r>
      <w:r>
        <w:rPr>
          <w:rFonts w:hint="eastAsia" w:ascii="仿宋" w:hAnsi="仿宋" w:eastAsia="仿宋" w:cs="仿宋"/>
          <w:sz w:val="24"/>
        </w:rPr>
        <w:t>0日内由甲方无息退还至乙方。</w:t>
      </w:r>
    </w:p>
    <w:p w14:paraId="04A855CB">
      <w:pPr>
        <w:spacing w:line="320" w:lineRule="exact"/>
        <w:ind w:firstLine="480" w:firstLineChars="200"/>
        <w:rPr>
          <w:rFonts w:ascii="仿宋" w:hAnsi="仿宋" w:eastAsia="仿宋"/>
          <w:sz w:val="24"/>
          <w:szCs w:val="24"/>
        </w:rPr>
      </w:pPr>
      <w:r>
        <w:rPr>
          <w:rFonts w:hint="eastAsia" w:ascii="仿宋" w:hAnsi="仿宋" w:eastAsia="仿宋" w:cs="仿宋"/>
          <w:sz w:val="24"/>
        </w:rPr>
        <w:t>7.上述安全风险抵押金在甲方期间不计利息，安全风险抵押金的扣减，并不免除乙方因此造成的一切损失的赔偿责任。</w:t>
      </w:r>
    </w:p>
    <w:p w14:paraId="6B7C0834">
      <w:pPr>
        <w:spacing w:line="320" w:lineRule="exact"/>
        <w:ind w:firstLine="480" w:firstLineChars="200"/>
        <w:rPr>
          <w:rFonts w:ascii="仿宋" w:hAnsi="仿宋" w:eastAsia="仿宋"/>
          <w:sz w:val="24"/>
          <w:szCs w:val="24"/>
        </w:rPr>
      </w:pPr>
      <w:r>
        <w:rPr>
          <w:rFonts w:ascii="仿宋" w:hAnsi="仿宋" w:eastAsia="仿宋"/>
          <w:sz w:val="24"/>
          <w:szCs w:val="24"/>
        </w:rPr>
        <w:t>8</w:t>
      </w:r>
      <w:r>
        <w:rPr>
          <w:rFonts w:hint="eastAsia" w:ascii="仿宋" w:hAnsi="仿宋" w:eastAsia="仿宋"/>
          <w:sz w:val="24"/>
          <w:szCs w:val="24"/>
        </w:rPr>
        <w:t xml:space="preserve">.资产财务部凭环保安全部门出具的交/退款通知单收取、保管、退还（免息）承包商安全环保抵押金。 </w:t>
      </w:r>
    </w:p>
    <w:p w14:paraId="18100DA7">
      <w:pPr>
        <w:spacing w:line="320" w:lineRule="exact"/>
        <w:ind w:firstLine="480" w:firstLineChars="200"/>
        <w:rPr>
          <w:rFonts w:ascii="仿宋" w:hAnsi="仿宋" w:eastAsia="仿宋"/>
          <w:sz w:val="24"/>
          <w:szCs w:val="24"/>
        </w:rPr>
      </w:pPr>
      <w:r>
        <w:rPr>
          <w:rFonts w:ascii="仿宋" w:hAnsi="仿宋" w:eastAsia="仿宋"/>
          <w:sz w:val="24"/>
          <w:szCs w:val="24"/>
        </w:rPr>
        <w:t>9.</w:t>
      </w:r>
      <w:r>
        <w:rPr>
          <w:rFonts w:hint="eastAsia" w:ascii="仿宋" w:hAnsi="仿宋" w:eastAsia="仿宋"/>
          <w:sz w:val="24"/>
          <w:szCs w:val="24"/>
        </w:rPr>
        <w:t>乙方违反本协议的</w:t>
      </w:r>
      <w:r>
        <w:rPr>
          <w:rFonts w:ascii="仿宋" w:hAnsi="仿宋" w:eastAsia="仿宋"/>
          <w:sz w:val="24"/>
          <w:szCs w:val="24"/>
        </w:rPr>
        <w:t>，</w:t>
      </w:r>
      <w:r>
        <w:rPr>
          <w:rFonts w:hint="eastAsia" w:ascii="仿宋" w:hAnsi="仿宋" w:eastAsia="仿宋"/>
          <w:sz w:val="24"/>
          <w:szCs w:val="24"/>
        </w:rPr>
        <w:t>甲方依据《海纳川承包商安全环保考核办法》进行考核</w:t>
      </w:r>
      <w:r>
        <w:rPr>
          <w:rFonts w:ascii="仿宋" w:hAnsi="仿宋" w:eastAsia="仿宋"/>
          <w:sz w:val="24"/>
          <w:szCs w:val="24"/>
        </w:rPr>
        <w:t>。</w:t>
      </w:r>
    </w:p>
    <w:p w14:paraId="186EB74E">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（一）有下列情况之一的，每人次扣10分，罚200元。</w:t>
      </w:r>
    </w:p>
    <w:p w14:paraId="1417B2BC">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1.作业人员未经安全教育，培训不合格，未取得外工作业证而在公司内作业的。</w:t>
      </w:r>
    </w:p>
    <w:p w14:paraId="43D6AF2D">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2.未随身携带外工作业证而作业的。</w:t>
      </w:r>
    </w:p>
    <w:p w14:paraId="6B14F60C">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3.在作业现场穿拖鞋、凉鞋、高跟鞋、裙子、喇叭裤、戴围巾以及打赤膊、光膀子、随处睡觉、随地大小便、随地乱扔垃圾等不文明行为和违章行为的。</w:t>
      </w:r>
    </w:p>
    <w:p w14:paraId="57CC90F0">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4.使用气焊、气割作业时，氧气瓶、乙炔气瓶摆放不符合要求的。</w:t>
      </w:r>
    </w:p>
    <w:p w14:paraId="3676578E">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5.登高作业中，上下梯子无人扶梯的，梯子下没有橡皮垫的。</w:t>
      </w:r>
    </w:p>
    <w:p w14:paraId="26FC1DB2">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6.电焊机一次线，超过5m或有裸露或拖地移动或跨通道使用的。</w:t>
      </w:r>
    </w:p>
    <w:p w14:paraId="6C3583BB">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7.作业现场的材料、设备、工具等乱摆乱放。</w:t>
      </w:r>
    </w:p>
    <w:p w14:paraId="1AB561DD">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8.作业现场有沟、坑、洞等易发生危险的区域，未设置安全防护和警示标识的。</w:t>
      </w:r>
    </w:p>
    <w:p w14:paraId="33348898">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9.未得到许可进入一般危险区域的。</w:t>
      </w:r>
    </w:p>
    <w:p w14:paraId="025051EE">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10.进入甲方所属区域车辆不遵守甲方的交通管理要求的。</w:t>
      </w:r>
    </w:p>
    <w:p w14:paraId="7AB6E906">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11.乱抛掷物体(特别是高处作业时)的。</w:t>
      </w:r>
    </w:p>
    <w:p w14:paraId="5034D66D">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12.不听岗位人员或现场管理人员指挥或劝阻的（态度恶劣的加重处罚）。</w:t>
      </w:r>
    </w:p>
    <w:p w14:paraId="22699ECF">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13.违反公司治安规定，情节较轻的。</w:t>
      </w:r>
    </w:p>
    <w:p w14:paraId="4657242D">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（二）有下列情况之一的，每人次扣20分，罚400元。</w:t>
      </w:r>
    </w:p>
    <w:p w14:paraId="11564AD4">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1.未按规定佩戴安全帽等防护用品的，或虽佩戴安全防护用品但未正确使用的(参照公司安全生产九大禁令执行）。</w:t>
      </w:r>
    </w:p>
    <w:p w14:paraId="2F7697C0">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2.临水作业未按规定正确穿戴救生衣的。</w:t>
      </w:r>
    </w:p>
    <w:p w14:paraId="68097BB6">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3.高处作业不系安全带或未高挂低用（特殊情况除外）的。</w:t>
      </w:r>
    </w:p>
    <w:p w14:paraId="6E9A1349">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4.检修作业时，脚手架搭设不牢，跳板未有效固定的。</w:t>
      </w:r>
    </w:p>
    <w:p w14:paraId="663DAF99">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5.手动葫芦链条、吊钩锈蚀严重，有断裂可能；吊钩缺少销子。因手动葫芦故障导致吊装物件损坏设备或造成停车的，加重处罚（对造成损失的赔偿另行计算）。</w:t>
      </w:r>
    </w:p>
    <w:p w14:paraId="76399AA0">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6.临时用电箱或接线盘未经公司主管部门检测,无合格标签就直接使用的；临时用电箱、电焊机未有效接地的。</w:t>
      </w:r>
    </w:p>
    <w:p w14:paraId="0645CD46">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7.气焊、气割作业时，使用的氧气瓶、乙炔气瓶上氧气管、乙炔气管老化未及时更换的、未按规定安装阻火器、压力表损坏的。</w:t>
      </w:r>
    </w:p>
    <w:p w14:paraId="1DE0563F">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8.未经批准使用危险化学品的。</w:t>
      </w:r>
    </w:p>
    <w:p w14:paraId="3F0C2613">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9.作业现场杂乱无章，堵塞消防通道、安全通道的。</w:t>
      </w:r>
    </w:p>
    <w:p w14:paraId="1191575E">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 xml:space="preserve">10.作业中违章踩踏或破坏管道和管线，及管道保温伴热等附件的。 </w:t>
      </w:r>
    </w:p>
    <w:p w14:paraId="7CA790B2">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11.因违章作业，导致我公司直接经济损失一万元以下的（对造成损失的赔偿另行计算）。</w:t>
      </w:r>
    </w:p>
    <w:p w14:paraId="22DE01F4">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（三）有下列情况之一的，每人次扣30分，罚700元。</w:t>
      </w:r>
    </w:p>
    <w:p w14:paraId="24A693CF">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1.未得到公司相关部门批准，擅自使用现场的水、电、气(汽)等物料物资的。</w:t>
      </w:r>
    </w:p>
    <w:p w14:paraId="5B443D1C">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2.未得到公司相关部门批准，擅自动用岗位的设备、机具及消防设施的。</w:t>
      </w:r>
    </w:p>
    <w:p w14:paraId="4421CDDC">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3.忽视现场安全警告，冒险进入危险生产区域。</w:t>
      </w:r>
    </w:p>
    <w:p w14:paraId="6591FEA4">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4.无证作业的，包括逾期使用、越等级使用、超范围使用作业票证等情况。</w:t>
      </w:r>
    </w:p>
    <w:p w14:paraId="06316359">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5.作业中监护人不在现场或现场不能出示作业证的。</w:t>
      </w:r>
    </w:p>
    <w:p w14:paraId="52DAEBD0">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6.两个以上单位在同一作业区域内交叉作业，不服从公司统一指挥的。</w:t>
      </w:r>
    </w:p>
    <w:p w14:paraId="106C0AE3">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7.违章作业导致人员受轻伤的。</w:t>
      </w:r>
    </w:p>
    <w:p w14:paraId="0F20A075">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8.安排存在职业禁忌、健康隐患、年龄不符合要求的人员从事作业的。</w:t>
      </w:r>
    </w:p>
    <w:p w14:paraId="4D77FCDE">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9.未按照作业票证的相关安全措施执行的。</w:t>
      </w:r>
    </w:p>
    <w:p w14:paraId="4E5AFA2F">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10.动火作业现场不按规定放置消防器材的。</w:t>
      </w:r>
    </w:p>
    <w:p w14:paraId="4DA06DA2">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11.违章作业导致我公司直接经济损失1－10万元的（对造成损失的赔偿另行计算）。</w:t>
      </w:r>
    </w:p>
    <w:p w14:paraId="5F888ABC">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（四）有下列情况之一的，每人次扣50分，罚1000元。</w:t>
      </w:r>
    </w:p>
    <w:p w14:paraId="7C383A13">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1.违章作业造成我公司重大安全隐患的（结合施工现场判定，危害严重，治理难度大，需局部或全部停产整顿的，并经过一定时间整改治理方能排除的隐患。对隐患的整改费用另行计算）。</w:t>
      </w:r>
    </w:p>
    <w:p w14:paraId="5FD8CA3B">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2.违章作业导致我公司财产损失10万元以上的（对造成损失的赔偿另行计算）。</w:t>
      </w:r>
    </w:p>
    <w:p w14:paraId="6659614B">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3.生产区域吸烟的。</w:t>
      </w:r>
    </w:p>
    <w:p w14:paraId="3A359906">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4.违反公司治安规定，情节较重的。</w:t>
      </w:r>
    </w:p>
    <w:p w14:paraId="50203029">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5.作业现场人员有打架、放火、盗窃等行为的。</w:t>
      </w:r>
    </w:p>
    <w:p w14:paraId="16DBD0AF">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6.饮酒后作业、吸毒后作业的。</w:t>
      </w:r>
    </w:p>
    <w:p w14:paraId="31E7AF27">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7.对甲方在检查中发现的安全隐患，乙方未及时整改的，仍继续作业的。</w:t>
      </w:r>
    </w:p>
    <w:p w14:paraId="2ABA02DA">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8.使用篡改或失效的文件（如篡改作业票、证件过期等）。</w:t>
      </w:r>
    </w:p>
    <w:p w14:paraId="642C8B52">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9.违章作业导致环保污染事故发生的（环保治理费用另行计算）。</w:t>
      </w:r>
    </w:p>
    <w:p w14:paraId="1907F90C">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10.施工作业中随意处置危险废弃物的（环保治理费用另行计算）。</w:t>
      </w:r>
    </w:p>
    <w:p w14:paraId="03834279">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（五）违章作业导致重伤事故发生或死亡事故发生的,扣100分,风险抵押金全部扣除。依据相关部门事故认定，承担相应责任。</w:t>
      </w:r>
    </w:p>
    <w:p w14:paraId="57B44482">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其他：</w:t>
      </w:r>
    </w:p>
    <w:p w14:paraId="56D590FF">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一）公司各级安全监督管理人员有权对承包商及外来人员随时进行监督监察，检查其安全作业情况及违章违纪情况。承包商发生违章行为被查处后，由安全监督管理人员在外工作业证上填写扣除的相应分数，签字盖章确认，登记在外工管理台帐上，并报环保安全处备案。</w:t>
      </w:r>
    </w:p>
    <w:p w14:paraId="09442317">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（二）对于发生特别严重的违章行为（包括违反公司安全生产九大禁令的行为），除扣除单位安全积分和风险抵押金外，当事人将承受包括勒令退场在内的其它处罚。</w:t>
      </w:r>
    </w:p>
    <w:p w14:paraId="1CEEADD4">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（三）承包商在施工作业过程中发生违规行为，除缴纳罚金外，应以事故分析会或异常情况分析会的形式对违规行为进行分析研究，所有由于承包商违规所造成的损失均根据实际情况另行计算。</w:t>
      </w:r>
    </w:p>
    <w:p w14:paraId="684B10AF">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（四）承包商用虚假资质承揽业务的或未签定安全环保协议私自施工的，取消其在公司范围内承揽业务的资格并加入黑名单。</w:t>
      </w:r>
    </w:p>
    <w:p w14:paraId="6A04E07D">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（五）安全积分或罚金累计金额已大于所有交风险抵押金之时，也是该项目作业许可终止之时。若承包商要继续开展工作，需由环安部重新进行安全评估。</w:t>
      </w:r>
    </w:p>
    <w:p w14:paraId="149BFF3A">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（六）同一个承包商一个项目安全积分均低于60分的，第二个项目风险抵押金加倍；连续二个项目均低于60分的，取消其在公司范围内承揽业务的资格并加入黑名单。</w:t>
      </w:r>
    </w:p>
    <w:p w14:paraId="6A822DD2">
      <w:pPr>
        <w:spacing w:line="320" w:lineRule="exact"/>
        <w:ind w:firstLine="480" w:firstLineChars="200"/>
        <w:rPr>
          <w:rFonts w:hint="eastAsia" w:ascii="仿宋" w:hAnsi="仿宋" w:eastAsia="仿宋"/>
          <w:sz w:val="24"/>
          <w:szCs w:val="24"/>
        </w:rPr>
      </w:pPr>
      <w:r>
        <w:rPr>
          <w:rFonts w:hint="eastAsia" w:ascii="仿宋" w:hAnsi="仿宋" w:eastAsia="仿宋"/>
          <w:sz w:val="24"/>
          <w:szCs w:val="24"/>
        </w:rPr>
        <w:t>（七）同一个承包商一年内年度平均安全积分低于60分的，取消其下年度在公司范围内承揽业务的资格。</w:t>
      </w:r>
    </w:p>
    <w:p w14:paraId="7D6EB849">
      <w:pPr>
        <w:spacing w:line="320" w:lineRule="exact"/>
        <w:ind w:firstLine="482" w:firstLineChars="200"/>
        <w:jc w:val="left"/>
        <w:rPr>
          <w:rFonts w:ascii="宋体" w:hAnsi="宋体" w:cs="仿宋"/>
          <w:b/>
          <w:sz w:val="24"/>
          <w:szCs w:val="24"/>
        </w:rPr>
      </w:pPr>
      <w:r>
        <w:rPr>
          <w:rFonts w:hint="eastAsia" w:ascii="宋体" w:hAnsi="宋体" w:cs="仿宋"/>
          <w:b/>
          <w:sz w:val="24"/>
          <w:szCs w:val="24"/>
        </w:rPr>
        <w:t>第六条 违约责任</w:t>
      </w:r>
    </w:p>
    <w:p w14:paraId="0B2BA94D">
      <w:pPr>
        <w:spacing w:line="320" w:lineRule="exact"/>
        <w:ind w:firstLine="480" w:firstLineChars="200"/>
        <w:jc w:val="left"/>
        <w:rPr>
          <w:rFonts w:ascii="仿宋" w:hAnsi="仿宋" w:eastAsia="仿宋" w:cs="仿宋"/>
          <w:sz w:val="24"/>
          <w:szCs w:val="24"/>
        </w:rPr>
      </w:pPr>
      <w:r>
        <w:rPr>
          <w:rFonts w:hint="eastAsia" w:ascii="仿宋" w:hAnsi="仿宋" w:eastAsia="仿宋" w:cs="仿宋"/>
          <w:sz w:val="24"/>
          <w:szCs w:val="24"/>
        </w:rPr>
        <w:t>1.乙方在施工作业中影响甲方正常生产，造成生产环境/安全事故的，由甲方用工部门组织各有关方召开事故分析会，根据事故责任分析，进行相应的责任追究和损失赔偿。</w:t>
      </w:r>
    </w:p>
    <w:p w14:paraId="0DE346BC">
      <w:pPr>
        <w:spacing w:line="320" w:lineRule="exact"/>
        <w:ind w:firstLine="480" w:firstLineChars="200"/>
        <w:jc w:val="left"/>
        <w:rPr>
          <w:rFonts w:ascii="仿宋" w:hAnsi="仿宋" w:eastAsia="仿宋" w:cs="仿宋"/>
          <w:sz w:val="24"/>
          <w:szCs w:val="24"/>
        </w:rPr>
      </w:pPr>
      <w:r>
        <w:rPr>
          <w:rFonts w:hint="eastAsia" w:ascii="仿宋" w:hAnsi="仿宋" w:eastAsia="仿宋" w:cs="仿宋"/>
          <w:sz w:val="24"/>
          <w:szCs w:val="24"/>
        </w:rPr>
        <w:t>2.因乙方原因造成第三方人身伤害、财产损失或环境影响的，由乙方与第三方协商解决，但不得损害甲方利益。</w:t>
      </w:r>
    </w:p>
    <w:p w14:paraId="2EF153AB">
      <w:pPr>
        <w:spacing w:line="320" w:lineRule="exact"/>
        <w:ind w:firstLine="482" w:firstLineChars="200"/>
        <w:jc w:val="left"/>
        <w:rPr>
          <w:rFonts w:ascii="宋体" w:hAnsi="宋体" w:cs="仿宋"/>
          <w:b/>
          <w:sz w:val="24"/>
          <w:szCs w:val="24"/>
        </w:rPr>
      </w:pPr>
      <w:r>
        <w:rPr>
          <w:rFonts w:hint="eastAsia" w:ascii="宋体" w:hAnsi="宋体" w:cs="仿宋"/>
          <w:b/>
          <w:sz w:val="24"/>
          <w:szCs w:val="24"/>
        </w:rPr>
        <w:t>第七条 争议解决方式</w:t>
      </w:r>
    </w:p>
    <w:p w14:paraId="2066EBC2">
      <w:pPr>
        <w:spacing w:line="320" w:lineRule="exact"/>
        <w:ind w:firstLine="480" w:firstLineChars="200"/>
        <w:jc w:val="left"/>
        <w:rPr>
          <w:rFonts w:ascii="仿宋" w:hAnsi="仿宋" w:eastAsia="仿宋" w:cs="仿宋"/>
          <w:sz w:val="24"/>
          <w:szCs w:val="24"/>
        </w:rPr>
      </w:pPr>
      <w:r>
        <w:rPr>
          <w:rFonts w:hint="eastAsia" w:ascii="仿宋" w:hAnsi="仿宋" w:eastAsia="仿宋" w:cs="仿宋"/>
          <w:sz w:val="24"/>
          <w:szCs w:val="24"/>
        </w:rPr>
        <w:t>本协议在履行过程中发生争议,由双方协商解决,协商不成可通过司法程序裁决。</w:t>
      </w:r>
    </w:p>
    <w:p w14:paraId="290A0733">
      <w:pPr>
        <w:spacing w:line="320" w:lineRule="exact"/>
        <w:ind w:firstLine="482" w:firstLineChars="200"/>
        <w:jc w:val="left"/>
        <w:rPr>
          <w:rFonts w:ascii="宋体" w:hAnsi="宋体" w:cs="仿宋"/>
          <w:b/>
          <w:sz w:val="24"/>
          <w:szCs w:val="24"/>
        </w:rPr>
      </w:pPr>
      <w:r>
        <w:rPr>
          <w:rFonts w:hint="eastAsia" w:ascii="宋体" w:hAnsi="宋体" w:cs="仿宋"/>
          <w:b/>
          <w:sz w:val="24"/>
          <w:szCs w:val="24"/>
        </w:rPr>
        <w:t>第</w:t>
      </w:r>
      <w:r>
        <w:rPr>
          <w:rFonts w:hint="eastAsia" w:ascii="宋体" w:hAnsi="宋体"/>
          <w:b/>
          <w:sz w:val="24"/>
          <w:szCs w:val="24"/>
        </w:rPr>
        <w:t>八</w:t>
      </w:r>
      <w:r>
        <w:rPr>
          <w:rFonts w:hint="eastAsia" w:ascii="宋体" w:hAnsi="宋体" w:cs="仿宋"/>
          <w:b/>
          <w:sz w:val="24"/>
          <w:szCs w:val="24"/>
        </w:rPr>
        <w:t>条 协议期限</w:t>
      </w:r>
    </w:p>
    <w:p w14:paraId="07E33AFB">
      <w:pPr>
        <w:spacing w:line="320" w:lineRule="exact"/>
        <w:ind w:firstLine="480" w:firstLineChars="200"/>
        <w:jc w:val="left"/>
        <w:rPr>
          <w:rFonts w:ascii="仿宋" w:hAnsi="仿宋" w:eastAsia="仿宋" w:cs="仿宋"/>
          <w:sz w:val="24"/>
          <w:szCs w:val="24"/>
        </w:rPr>
      </w:pPr>
      <w:r>
        <w:rPr>
          <w:rFonts w:hint="eastAsia" w:ascii="仿宋" w:hAnsi="仿宋" w:eastAsia="仿宋" w:cs="仿宋"/>
          <w:sz w:val="24"/>
          <w:szCs w:val="24"/>
        </w:rPr>
        <w:t>本协议期限自</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日至</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年</w:t>
      </w:r>
      <w:r>
        <w:rPr>
          <w:rFonts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月</w:t>
      </w:r>
      <w:r>
        <w:rPr>
          <w:rFonts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日止。本协议在执行过程中发生异议时，经双方协商可对相关条款进行修改，如无法达成共识，经双方同意后可终止本协议。</w:t>
      </w:r>
    </w:p>
    <w:p w14:paraId="532C8331">
      <w:pPr>
        <w:spacing w:line="320" w:lineRule="exact"/>
        <w:ind w:firstLine="482" w:firstLineChars="200"/>
        <w:rPr>
          <w:rFonts w:ascii="宋体" w:hAnsi="宋体"/>
          <w:b/>
          <w:sz w:val="24"/>
          <w:szCs w:val="24"/>
        </w:rPr>
      </w:pPr>
      <w:r>
        <w:rPr>
          <w:rFonts w:hint="eastAsia" w:ascii="宋体" w:hAnsi="宋体"/>
          <w:b/>
          <w:sz w:val="24"/>
          <w:szCs w:val="24"/>
        </w:rPr>
        <w:t>第九条 协议生效</w:t>
      </w:r>
    </w:p>
    <w:p w14:paraId="003A2D19">
      <w:pPr>
        <w:spacing w:line="320" w:lineRule="exact"/>
        <w:ind w:firstLine="480" w:firstLineChars="200"/>
        <w:rPr>
          <w:rFonts w:ascii="仿宋" w:hAnsi="仿宋" w:eastAsia="仿宋"/>
          <w:sz w:val="24"/>
          <w:szCs w:val="24"/>
        </w:rPr>
      </w:pPr>
      <w:r>
        <w:rPr>
          <w:rFonts w:hint="eastAsia" w:ascii="仿宋" w:hAnsi="仿宋" w:eastAsia="仿宋"/>
          <w:sz w:val="24"/>
          <w:szCs w:val="24"/>
        </w:rPr>
        <w:t>本协议自甲乙双方签字盖章之日起生效,其时效与双方所签订项目(工程)承包合同相同。本协议一式二份，由甲方、乙方各持一份。</w:t>
      </w:r>
    </w:p>
    <w:p w14:paraId="2739AA2D">
      <w:pPr>
        <w:widowControl/>
        <w:spacing w:line="320" w:lineRule="exact"/>
        <w:ind w:firstLine="482" w:firstLineChars="200"/>
        <w:rPr>
          <w:rFonts w:ascii="宋体" w:hAnsi="宋体" w:cs="仿宋"/>
          <w:b/>
          <w:bCs/>
          <w:sz w:val="24"/>
          <w:szCs w:val="24"/>
        </w:rPr>
      </w:pPr>
      <w:r>
        <w:rPr>
          <w:rFonts w:hint="eastAsia" w:ascii="宋体" w:hAnsi="宋体" w:cs="仿宋"/>
          <w:b/>
          <w:sz w:val="24"/>
          <w:szCs w:val="24"/>
        </w:rPr>
        <w:t xml:space="preserve">第十条 </w:t>
      </w:r>
      <w:r>
        <w:rPr>
          <w:rFonts w:hint="eastAsia" w:ascii="宋体" w:hAnsi="宋体" w:cs="仿宋"/>
          <w:b/>
          <w:bCs/>
          <w:sz w:val="24"/>
          <w:szCs w:val="24"/>
        </w:rPr>
        <w:t>附则</w:t>
      </w:r>
    </w:p>
    <w:p w14:paraId="58530293">
      <w:pPr>
        <w:spacing w:line="320" w:lineRule="exact"/>
        <w:ind w:firstLine="480" w:firstLineChars="200"/>
        <w:jc w:val="left"/>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本协议在履行期间，如果出现乙方负责人变更等情况，乙方在变更前须负责落实新任乙方负责人重新签订本协议。</w:t>
      </w:r>
    </w:p>
    <w:p w14:paraId="3C0760FB">
      <w:pPr>
        <w:spacing w:line="320" w:lineRule="exact"/>
        <w:ind w:firstLine="480" w:firstLineChars="200"/>
        <w:jc w:val="left"/>
        <w:rPr>
          <w:rFonts w:ascii="仿宋" w:hAnsi="仿宋" w:eastAsia="仿宋" w:cs="仿宋"/>
          <w:sz w:val="24"/>
          <w:szCs w:val="24"/>
        </w:rPr>
      </w:pPr>
      <w:r>
        <w:rPr>
          <w:rFonts w:hint="eastAsia" w:ascii="仿宋" w:hAnsi="仿宋" w:eastAsia="仿宋" w:cs="仿宋"/>
          <w:sz w:val="24"/>
          <w:szCs w:val="24"/>
        </w:rPr>
        <w:t xml:space="preserve">2.本协议如有其它未尽事宜，双方另行协商一致签订书面补充协议。补充协议与本协议具有同等法律效力。 </w:t>
      </w:r>
    </w:p>
    <w:p w14:paraId="55659C2A">
      <w:pPr>
        <w:spacing w:line="320" w:lineRule="exact"/>
        <w:ind w:firstLine="480" w:firstLineChars="200"/>
        <w:jc w:val="left"/>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协议有效期满后，本协议自行失效。</w:t>
      </w:r>
    </w:p>
    <w:p w14:paraId="7FD6DCBF">
      <w:pPr>
        <w:spacing w:line="320" w:lineRule="exact"/>
        <w:ind w:firstLine="480" w:firstLineChars="200"/>
        <w:rPr>
          <w:rFonts w:ascii="仿宋" w:hAnsi="仿宋" w:eastAsia="仿宋" w:cs="仿宋"/>
          <w:sz w:val="24"/>
          <w:szCs w:val="24"/>
        </w:rPr>
      </w:pPr>
      <w:r>
        <w:rPr>
          <w:rFonts w:ascii="仿宋" w:hAnsi="仿宋" w:eastAsia="仿宋" w:cs="仿宋"/>
          <w:sz w:val="24"/>
          <w:szCs w:val="24"/>
        </w:rPr>
        <w:t>4</w:t>
      </w:r>
      <w:r>
        <w:rPr>
          <w:rFonts w:hint="eastAsia" w:ascii="仿宋" w:hAnsi="仿宋" w:eastAsia="仿宋" w:cs="仿宋"/>
          <w:sz w:val="24"/>
          <w:szCs w:val="24"/>
        </w:rPr>
        <w:t>.本协议书解释权归甲方环保安全部门。</w:t>
      </w:r>
    </w:p>
    <w:p w14:paraId="3CDF098D">
      <w:pPr>
        <w:spacing w:line="560" w:lineRule="exact"/>
        <w:ind w:firstLine="640" w:firstLineChars="200"/>
        <w:rPr>
          <w:rFonts w:ascii="仿宋" w:hAnsi="仿宋" w:eastAsia="仿宋" w:cs="仿宋"/>
          <w:sz w:val="32"/>
          <w:szCs w:val="32"/>
        </w:rPr>
      </w:pPr>
    </w:p>
    <w:p w14:paraId="2F83BFA3">
      <w:pPr>
        <w:spacing w:line="560" w:lineRule="exact"/>
        <w:ind w:firstLine="640" w:firstLineChars="200"/>
        <w:rPr>
          <w:rFonts w:ascii="仿宋" w:hAnsi="仿宋" w:eastAsia="仿宋" w:cs="仿宋"/>
          <w:sz w:val="32"/>
          <w:szCs w:val="32"/>
        </w:rPr>
      </w:pPr>
    </w:p>
    <w:p w14:paraId="2E06ED26">
      <w:pPr>
        <w:tabs>
          <w:tab w:val="left" w:pos="960"/>
          <w:tab w:val="left" w:pos="1920"/>
          <w:tab w:val="left" w:pos="8222"/>
        </w:tabs>
        <w:spacing w:line="400" w:lineRule="exact"/>
        <w:ind w:right="-193"/>
        <w:jc w:val="left"/>
        <w:rPr>
          <w:rFonts w:hint="eastAsia" w:ascii="方正仿宋简体" w:hAnsi="方正仿宋简体" w:eastAsia="方正仿宋简体" w:cs="方正仿宋简体"/>
          <w:bCs/>
          <w:w w:val="66"/>
          <w:sz w:val="24"/>
          <w:szCs w:val="24"/>
        </w:rPr>
      </w:pPr>
      <w:r>
        <w:rPr>
          <w:rFonts w:hint="eastAsia" w:ascii="仿宋" w:hAnsi="仿宋" w:eastAsia="仿宋"/>
          <w:sz w:val="24"/>
          <w:szCs w:val="24"/>
        </w:rPr>
        <w:t>甲方(盖章):</w:t>
      </w:r>
      <w:r>
        <w:rPr>
          <w:rFonts w:hint="eastAsia" w:ascii="方正仿宋简体" w:hAnsi="方正仿宋简体" w:eastAsia="方正仿宋简体" w:cs="方正仿宋简体"/>
          <w:bCs/>
          <w:w w:val="66"/>
          <w:sz w:val="24"/>
          <w:szCs w:val="24"/>
          <w:lang w:val="en-US" w:eastAsia="zh-CN"/>
        </w:rPr>
        <w:t xml:space="preserve">                                  </w:t>
      </w:r>
      <w:r>
        <w:rPr>
          <w:rFonts w:hint="eastAsia" w:ascii="仿宋" w:hAnsi="仿宋" w:eastAsia="仿宋"/>
          <w:sz w:val="24"/>
          <w:szCs w:val="24"/>
        </w:rPr>
        <w:t xml:space="preserve">   乙方(盖章): </w:t>
      </w:r>
    </w:p>
    <w:p w14:paraId="4EEEE1C5">
      <w:pPr>
        <w:spacing w:line="560" w:lineRule="exact"/>
        <w:rPr>
          <w:rFonts w:ascii="仿宋" w:hAnsi="仿宋" w:eastAsia="仿宋"/>
          <w:sz w:val="24"/>
          <w:szCs w:val="24"/>
        </w:rPr>
      </w:pPr>
      <w:r>
        <w:rPr>
          <w:rFonts w:hint="eastAsia" w:ascii="仿宋" w:hAnsi="仿宋" w:eastAsia="仿宋"/>
          <w:sz w:val="24"/>
          <w:szCs w:val="24"/>
        </w:rPr>
        <w:t xml:space="preserve">主要负责人(签字): </w:t>
      </w:r>
      <w:r>
        <w:rPr>
          <w:rFonts w:ascii="仿宋" w:hAnsi="仿宋" w:eastAsia="仿宋"/>
          <w:sz w:val="24"/>
          <w:szCs w:val="24"/>
        </w:rPr>
        <w:t xml:space="preserve">            </w:t>
      </w:r>
      <w:r>
        <w:rPr>
          <w:rFonts w:hint="eastAsia" w:ascii="仿宋" w:hAnsi="仿宋" w:eastAsia="仿宋"/>
          <w:sz w:val="24"/>
          <w:szCs w:val="24"/>
        </w:rPr>
        <w:t xml:space="preserve">       主要负责人(签字): </w:t>
      </w:r>
    </w:p>
    <w:p w14:paraId="05038478">
      <w:pPr>
        <w:spacing w:line="560" w:lineRule="exact"/>
        <w:rPr>
          <w:rFonts w:ascii="仿宋" w:hAnsi="仿宋" w:eastAsia="仿宋"/>
          <w:sz w:val="24"/>
          <w:szCs w:val="24"/>
        </w:rPr>
      </w:pPr>
      <w:r>
        <w:rPr>
          <w:rFonts w:hint="eastAsia" w:ascii="仿宋" w:hAnsi="仿宋" w:eastAsia="仿宋"/>
          <w:sz w:val="24"/>
          <w:szCs w:val="24"/>
        </w:rPr>
        <w:t xml:space="preserve">或委托代理人(签字): </w:t>
      </w:r>
      <w:r>
        <w:rPr>
          <w:rFonts w:ascii="仿宋" w:hAnsi="仿宋" w:eastAsia="仿宋"/>
          <w:sz w:val="24"/>
          <w:szCs w:val="24"/>
        </w:rPr>
        <w:t xml:space="preserve">          </w:t>
      </w:r>
      <w:r>
        <w:rPr>
          <w:rFonts w:hint="eastAsia" w:ascii="仿宋" w:hAnsi="仿宋" w:eastAsia="仿宋"/>
          <w:sz w:val="24"/>
          <w:szCs w:val="24"/>
        </w:rPr>
        <w:t xml:space="preserve">       或委托代理人(签字): </w:t>
      </w:r>
    </w:p>
    <w:p w14:paraId="7D7AB734">
      <w:pPr>
        <w:spacing w:line="560" w:lineRule="exact"/>
        <w:rPr>
          <w:rFonts w:ascii="仿宋" w:hAnsi="仿宋" w:eastAsia="仿宋"/>
          <w:sz w:val="24"/>
          <w:szCs w:val="24"/>
        </w:rPr>
      </w:pPr>
      <w:r>
        <w:rPr>
          <w:rFonts w:hint="eastAsia" w:ascii="仿宋" w:hAnsi="仿宋" w:eastAsia="仿宋"/>
          <w:sz w:val="24"/>
          <w:szCs w:val="24"/>
        </w:rPr>
        <w:t xml:space="preserve">联系电话: </w:t>
      </w:r>
      <w:r>
        <w:rPr>
          <w:rFonts w:ascii="仿宋" w:hAnsi="仿宋" w:eastAsia="仿宋"/>
          <w:sz w:val="24"/>
          <w:szCs w:val="24"/>
        </w:rPr>
        <w:t xml:space="preserve">                    </w:t>
      </w:r>
      <w:r>
        <w:rPr>
          <w:rFonts w:hint="eastAsia" w:ascii="仿宋" w:hAnsi="仿宋" w:eastAsia="仿宋"/>
          <w:sz w:val="24"/>
          <w:szCs w:val="24"/>
        </w:rPr>
        <w:t xml:space="preserve">       联系电话: </w:t>
      </w:r>
    </w:p>
    <w:p w14:paraId="4EB2F828">
      <w:pPr>
        <w:spacing w:line="560" w:lineRule="exact"/>
        <w:ind w:firstLine="2400" w:firstLineChars="1000"/>
        <w:rPr>
          <w:rFonts w:hint="eastAsia" w:ascii="仿宋" w:hAnsi="仿宋" w:eastAsia="仿宋"/>
          <w:sz w:val="24"/>
          <w:szCs w:val="24"/>
        </w:rPr>
      </w:pPr>
      <w:r>
        <w:rPr>
          <w:rFonts w:hint="eastAsia" w:ascii="仿宋" w:hAnsi="仿宋" w:eastAsia="仿宋"/>
          <w:sz w:val="24"/>
          <w:szCs w:val="24"/>
        </w:rPr>
        <w:t xml:space="preserve">年  月  日 </w:t>
      </w:r>
      <w:r>
        <w:rPr>
          <w:rFonts w:ascii="仿宋" w:hAnsi="仿宋" w:eastAsia="仿宋"/>
          <w:sz w:val="24"/>
          <w:szCs w:val="24"/>
        </w:rPr>
        <w:t xml:space="preserve">                   </w:t>
      </w:r>
      <w:r>
        <w:rPr>
          <w:rFonts w:hint="eastAsia" w:ascii="仿宋" w:hAnsi="仿宋" w:eastAsia="仿宋"/>
          <w:sz w:val="24"/>
          <w:szCs w:val="24"/>
        </w:rPr>
        <w:t xml:space="preserve">        年  月  日</w:t>
      </w:r>
    </w:p>
    <w:p w14:paraId="330F6B40">
      <w:pPr>
        <w:rPr>
          <w:rFonts w:hint="eastAsia" w:ascii="方正小标宋_GBK" w:hAnsi="方正小标宋_GBK" w:eastAsia="方正小标宋_GBK" w:cs="方正小标宋_GBK"/>
          <w:b w:val="0"/>
          <w:bCs w:val="0"/>
          <w:color w:val="auto"/>
          <w:kern w:val="44"/>
          <w:sz w:val="44"/>
          <w:szCs w:val="44"/>
          <w:lang w:val="en-US" w:eastAsia="zh-CN"/>
        </w:rPr>
      </w:pPr>
      <w:r>
        <w:rPr>
          <w:rFonts w:hint="eastAsia" w:ascii="方正小标宋_GBK" w:hAnsi="方正小标宋_GBK" w:eastAsia="方正小标宋_GBK" w:cs="方正小标宋_GBK"/>
          <w:b w:val="0"/>
          <w:bCs w:val="0"/>
          <w:color w:val="auto"/>
          <w:kern w:val="44"/>
          <w:sz w:val="44"/>
          <w:szCs w:val="44"/>
          <w:lang w:val="en-US" w:eastAsia="zh-CN"/>
        </w:rPr>
        <w:br w:type="page"/>
      </w:r>
    </w:p>
    <w:p w14:paraId="300644E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val="0"/>
          <w:color w:val="auto"/>
          <w:kern w:val="44"/>
          <w:sz w:val="44"/>
          <w:szCs w:val="44"/>
        </w:rPr>
      </w:pPr>
      <w:r>
        <w:rPr>
          <w:rFonts w:hint="eastAsia" w:ascii="方正小标宋_GBK" w:hAnsi="方正小标宋_GBK" w:eastAsia="方正小标宋_GBK" w:cs="方正小标宋_GBK"/>
          <w:b w:val="0"/>
          <w:bCs w:val="0"/>
          <w:color w:val="auto"/>
          <w:kern w:val="44"/>
          <w:sz w:val="44"/>
          <w:szCs w:val="44"/>
          <w:lang w:val="en-US" w:eastAsia="zh-CN"/>
        </w:rPr>
        <w:t>镇江</w:t>
      </w:r>
      <w:r>
        <w:rPr>
          <w:rFonts w:hint="eastAsia" w:ascii="方正小标宋_GBK" w:hAnsi="方正小标宋_GBK" w:eastAsia="方正小标宋_GBK" w:cs="方正小标宋_GBK"/>
          <w:b w:val="0"/>
          <w:bCs w:val="0"/>
          <w:color w:val="auto"/>
          <w:kern w:val="44"/>
          <w:sz w:val="44"/>
          <w:szCs w:val="44"/>
        </w:rPr>
        <w:t>海纳川承包商安全管理制度</w:t>
      </w:r>
    </w:p>
    <w:p w14:paraId="602146C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p>
    <w:p w14:paraId="4BAD4A0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为加强对承包商的</w:t>
      </w:r>
      <w:r>
        <w:rPr>
          <w:rFonts w:hint="eastAsia" w:ascii="方正仿宋简体" w:hAnsi="方正仿宋简体" w:eastAsia="方正仿宋简体" w:cs="方正仿宋简体"/>
          <w:color w:val="auto"/>
          <w:sz w:val="32"/>
          <w:szCs w:val="32"/>
          <w:lang w:eastAsia="zh-CN"/>
        </w:rPr>
        <w:t>安全生产</w:t>
      </w:r>
      <w:r>
        <w:rPr>
          <w:rFonts w:hint="eastAsia" w:ascii="方正仿宋简体" w:hAnsi="方正仿宋简体" w:eastAsia="方正仿宋简体" w:cs="方正仿宋简体"/>
          <w:color w:val="auto"/>
          <w:sz w:val="32"/>
          <w:szCs w:val="32"/>
        </w:rPr>
        <w:t>管理，根据</w:t>
      </w:r>
      <w:r>
        <w:rPr>
          <w:rFonts w:hint="eastAsia" w:ascii="方正仿宋简体" w:hAnsi="方正仿宋简体" w:eastAsia="方正仿宋简体" w:cs="方正仿宋简体"/>
          <w:color w:val="auto"/>
          <w:sz w:val="32"/>
          <w:szCs w:val="32"/>
          <w:lang w:eastAsia="zh-CN"/>
        </w:rPr>
        <w:t>《安全生产法》、</w:t>
      </w:r>
      <w:r>
        <w:rPr>
          <w:rFonts w:hint="eastAsia" w:ascii="方正仿宋简体" w:hAnsi="方正仿宋简体" w:eastAsia="方正仿宋简体" w:cs="方正仿宋简体"/>
          <w:color w:val="auto"/>
          <w:sz w:val="32"/>
          <w:szCs w:val="32"/>
        </w:rPr>
        <w:t>《</w:t>
      </w:r>
      <w:r>
        <w:rPr>
          <w:rFonts w:hint="eastAsia" w:ascii="方正仿宋简体" w:hAnsi="方正仿宋简体" w:eastAsia="方正仿宋简体" w:cs="方正仿宋简体"/>
          <w:color w:val="auto"/>
          <w:sz w:val="32"/>
          <w:szCs w:val="32"/>
          <w:lang w:eastAsia="zh-CN"/>
        </w:rPr>
        <w:t>化工过程安全管理导则</w:t>
      </w:r>
      <w:r>
        <w:rPr>
          <w:rFonts w:hint="eastAsia" w:ascii="方正仿宋简体" w:hAnsi="方正仿宋简体" w:eastAsia="方正仿宋简体" w:cs="方正仿宋简体"/>
          <w:color w:val="auto"/>
          <w:sz w:val="32"/>
          <w:szCs w:val="32"/>
        </w:rPr>
        <w:t>》等文件要求，制定本制度。</w:t>
      </w:r>
    </w:p>
    <w:p w14:paraId="48C0E74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b w:val="0"/>
          <w:bCs/>
          <w:color w:val="auto"/>
          <w:sz w:val="32"/>
          <w:szCs w:val="32"/>
        </w:rPr>
      </w:pPr>
      <w:r>
        <w:rPr>
          <w:rFonts w:hint="eastAsia" w:ascii="方正黑体_GBK" w:hAnsi="方正黑体_GBK" w:eastAsia="方正黑体_GBK" w:cs="方正黑体_GBK"/>
          <w:b w:val="0"/>
          <w:bCs/>
          <w:color w:val="auto"/>
          <w:sz w:val="32"/>
          <w:szCs w:val="32"/>
        </w:rPr>
        <w:t>一、总则</w:t>
      </w:r>
    </w:p>
    <w:p w14:paraId="553A7E0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楷体_GBK" w:hAnsi="方正楷体_GBK" w:eastAsia="方正楷体_GBK" w:cs="方正楷体_GBK"/>
          <w:color w:val="auto"/>
          <w:sz w:val="32"/>
          <w:szCs w:val="32"/>
          <w:lang w:eastAsia="zh-CN"/>
        </w:rPr>
        <w:t>（一）</w:t>
      </w:r>
      <w:r>
        <w:rPr>
          <w:rFonts w:hint="eastAsia" w:ascii="方正仿宋简体" w:hAnsi="方正仿宋简体" w:eastAsia="方正仿宋简体" w:cs="方正仿宋简体"/>
          <w:color w:val="auto"/>
          <w:sz w:val="32"/>
          <w:szCs w:val="32"/>
        </w:rPr>
        <w:t>本制度所指承包商（含分包商）是指在公司所属区域内承担工程建设、检修维护、设备调试、检验检测、技术服务等作业任务的非本公司员工或组织机构，也包括从事物资回收、劳务输入、船舶港口代理服务、委托运输单位等相关方。</w:t>
      </w:r>
    </w:p>
    <w:p w14:paraId="50DAB78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楷体_GBK" w:hAnsi="方正楷体_GBK" w:eastAsia="方正楷体_GBK" w:cs="方正楷体_GBK"/>
          <w:color w:val="auto"/>
          <w:sz w:val="32"/>
          <w:szCs w:val="32"/>
          <w:lang w:eastAsia="zh-CN"/>
        </w:rPr>
        <w:t>（二）</w:t>
      </w:r>
      <w:r>
        <w:rPr>
          <w:rFonts w:hint="eastAsia" w:ascii="方正仿宋简体" w:hAnsi="方正仿宋简体" w:eastAsia="方正仿宋简体" w:cs="方正仿宋简体"/>
          <w:color w:val="auto"/>
          <w:sz w:val="32"/>
          <w:szCs w:val="32"/>
        </w:rPr>
        <w:t>承包商必须具备相应资质方可在我公司范围内承接业务。</w:t>
      </w:r>
    </w:p>
    <w:p w14:paraId="37F4CA1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楷体_GBK" w:hAnsi="方正楷体_GBK" w:eastAsia="方正楷体_GBK" w:cs="方正楷体_GBK"/>
          <w:color w:val="auto"/>
          <w:sz w:val="32"/>
          <w:szCs w:val="32"/>
          <w:lang w:eastAsia="zh-CN"/>
        </w:rPr>
        <w:t>（三）</w:t>
      </w:r>
      <w:r>
        <w:rPr>
          <w:rFonts w:hint="eastAsia" w:ascii="方正仿宋简体" w:hAnsi="方正仿宋简体" w:eastAsia="方正仿宋简体" w:cs="方正仿宋简体"/>
          <w:color w:val="auto"/>
          <w:sz w:val="32"/>
          <w:szCs w:val="32"/>
        </w:rPr>
        <w:t>承包商在我公司范围内开展业务前，其相关人员须经我公司进行作业资质核验、安全培训、安全告知，并签订《</w:t>
      </w:r>
      <w:r>
        <w:rPr>
          <w:rFonts w:hint="eastAsia" w:ascii="方正仿宋简体" w:hAnsi="方正仿宋简体" w:eastAsia="方正仿宋简体" w:cs="方正仿宋简体"/>
          <w:color w:val="auto"/>
          <w:sz w:val="32"/>
          <w:szCs w:val="32"/>
          <w:lang w:eastAsia="zh-CN"/>
        </w:rPr>
        <w:t>安全生产</w:t>
      </w:r>
      <w:r>
        <w:rPr>
          <w:rFonts w:hint="eastAsia" w:ascii="方正仿宋简体" w:hAnsi="方正仿宋简体" w:eastAsia="方正仿宋简体" w:cs="方正仿宋简体"/>
          <w:color w:val="auto"/>
          <w:sz w:val="32"/>
          <w:szCs w:val="32"/>
        </w:rPr>
        <w:t>管理协议</w:t>
      </w:r>
      <w:r>
        <w:rPr>
          <w:rFonts w:hint="eastAsia" w:ascii="方正仿宋简体" w:hAnsi="方正仿宋简体" w:eastAsia="方正仿宋简体" w:cs="方正仿宋简体"/>
          <w:color w:val="auto"/>
          <w:sz w:val="32"/>
          <w:szCs w:val="32"/>
          <w:lang w:eastAsia="zh-CN"/>
        </w:rPr>
        <w:t>书</w:t>
      </w:r>
      <w:r>
        <w:rPr>
          <w:rFonts w:hint="eastAsia" w:ascii="方正仿宋简体" w:hAnsi="方正仿宋简体" w:eastAsia="方正仿宋简体" w:cs="方正仿宋简体"/>
          <w:color w:val="auto"/>
          <w:sz w:val="32"/>
          <w:szCs w:val="32"/>
        </w:rPr>
        <w:t>》和交存</w:t>
      </w:r>
      <w:r>
        <w:rPr>
          <w:rFonts w:hint="eastAsia" w:ascii="方正仿宋简体" w:hAnsi="方正仿宋简体" w:eastAsia="方正仿宋简体" w:cs="方正仿宋简体"/>
          <w:color w:val="auto"/>
          <w:sz w:val="32"/>
          <w:szCs w:val="32"/>
          <w:lang w:eastAsia="zh-CN"/>
        </w:rPr>
        <w:t>安全生产</w:t>
      </w:r>
      <w:r>
        <w:rPr>
          <w:rFonts w:hint="eastAsia" w:ascii="方正仿宋简体" w:hAnsi="方正仿宋简体" w:eastAsia="方正仿宋简体" w:cs="方正仿宋简体"/>
          <w:color w:val="auto"/>
          <w:sz w:val="32"/>
          <w:szCs w:val="32"/>
        </w:rPr>
        <w:t>风险抵押金后方可开展相关业务。</w:t>
      </w:r>
    </w:p>
    <w:p w14:paraId="528A448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b w:val="0"/>
          <w:bCs/>
          <w:color w:val="auto"/>
          <w:sz w:val="32"/>
          <w:szCs w:val="32"/>
        </w:rPr>
      </w:pPr>
      <w:r>
        <w:rPr>
          <w:rFonts w:hint="eastAsia" w:ascii="方正黑体_GBK" w:hAnsi="方正黑体_GBK" w:eastAsia="方正黑体_GBK" w:cs="方正黑体_GBK"/>
          <w:b w:val="0"/>
          <w:bCs/>
          <w:color w:val="auto"/>
          <w:sz w:val="32"/>
          <w:szCs w:val="32"/>
        </w:rPr>
        <w:t>二、管理职责</w:t>
      </w:r>
    </w:p>
    <w:p w14:paraId="2C7412F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color w:val="auto"/>
          <w:sz w:val="32"/>
          <w:szCs w:val="32"/>
          <w:lang w:eastAsia="zh-CN"/>
        </w:rPr>
      </w:pPr>
      <w:r>
        <w:rPr>
          <w:rFonts w:hint="eastAsia" w:ascii="方正楷体_GBK" w:hAnsi="方正楷体_GBK" w:eastAsia="方正楷体_GBK" w:cs="方正楷体_GBK"/>
          <w:color w:val="auto"/>
          <w:sz w:val="32"/>
          <w:szCs w:val="32"/>
          <w:lang w:eastAsia="zh-CN"/>
        </w:rPr>
        <w:t>（一）承包商引进部门</w:t>
      </w:r>
    </w:p>
    <w:p w14:paraId="17A22360">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1.</w:t>
      </w:r>
      <w:r>
        <w:rPr>
          <w:rFonts w:hint="eastAsia" w:ascii="方正仿宋简体" w:hAnsi="方正仿宋简体" w:eastAsia="方正仿宋简体" w:cs="方正仿宋简体"/>
          <w:color w:val="auto"/>
          <w:sz w:val="32"/>
          <w:szCs w:val="32"/>
        </w:rPr>
        <w:t>负责对承包商资质进行审核（含营业执照、资质</w:t>
      </w:r>
      <w:r>
        <w:rPr>
          <w:rFonts w:hint="eastAsia" w:ascii="方正仿宋简体" w:hAnsi="方正仿宋简体" w:eastAsia="方正仿宋简体" w:cs="方正仿宋简体"/>
          <w:color w:val="auto"/>
          <w:sz w:val="32"/>
          <w:szCs w:val="32"/>
          <w:lang w:eastAsia="zh-CN"/>
        </w:rPr>
        <w:t>资格许可证</w:t>
      </w:r>
      <w:r>
        <w:rPr>
          <w:rFonts w:hint="eastAsia" w:ascii="方正仿宋简体" w:hAnsi="方正仿宋简体" w:eastAsia="方正仿宋简体" w:cs="方正仿宋简体"/>
          <w:color w:val="auto"/>
          <w:sz w:val="32"/>
          <w:szCs w:val="32"/>
        </w:rPr>
        <w:t>、</w:t>
      </w:r>
      <w:r>
        <w:rPr>
          <w:rFonts w:hint="eastAsia" w:ascii="方正仿宋简体" w:hAnsi="方正仿宋简体" w:eastAsia="方正仿宋简体" w:cs="方正仿宋简体"/>
          <w:color w:val="auto"/>
          <w:sz w:val="32"/>
          <w:szCs w:val="32"/>
          <w:lang w:eastAsia="zh-CN"/>
        </w:rPr>
        <w:t>安全业绩、安全管理规章制度、</w:t>
      </w:r>
      <w:r>
        <w:rPr>
          <w:rFonts w:hint="eastAsia" w:ascii="方正仿宋简体" w:hAnsi="方正仿宋简体" w:eastAsia="方正仿宋简体" w:cs="方正仿宋简体"/>
          <w:color w:val="auto"/>
          <w:sz w:val="32"/>
          <w:szCs w:val="32"/>
        </w:rPr>
        <w:t>施工方案、特殊工种人员资格证书、</w:t>
      </w:r>
      <w:r>
        <w:rPr>
          <w:rFonts w:hint="default" w:ascii="方正仿宋简体" w:hAnsi="方正仿宋简体" w:eastAsia="方正仿宋简体" w:cs="方正仿宋简体"/>
          <w:color w:val="auto"/>
          <w:sz w:val="32"/>
          <w:szCs w:val="32"/>
          <w:lang w:val="en-US" w:eastAsia="zh-CN"/>
        </w:rPr>
        <w:t>承包商安全管理机构、主要负责人及安全管理人员的有关信息</w:t>
      </w:r>
      <w:r>
        <w:rPr>
          <w:rFonts w:hint="eastAsia" w:ascii="方正仿宋简体" w:hAnsi="方正仿宋简体" w:eastAsia="方正仿宋简体" w:cs="方正仿宋简体"/>
          <w:color w:val="auto"/>
          <w:sz w:val="32"/>
          <w:szCs w:val="32"/>
          <w:lang w:eastAsia="zh-CN"/>
        </w:rPr>
        <w:t>、</w:t>
      </w:r>
      <w:r>
        <w:rPr>
          <w:rFonts w:hint="eastAsia" w:ascii="方正仿宋简体" w:hAnsi="方正仿宋简体" w:eastAsia="方正仿宋简体" w:cs="方正仿宋简体"/>
          <w:color w:val="auto"/>
          <w:sz w:val="32"/>
          <w:szCs w:val="32"/>
        </w:rPr>
        <w:t>安全培训记录、工伤保险缴纳证明或人身意外伤害保险或雇主责任险缴纳证明等）。</w:t>
      </w:r>
    </w:p>
    <w:p w14:paraId="1C5E5D8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2.</w:t>
      </w:r>
      <w:r>
        <w:rPr>
          <w:rFonts w:hint="eastAsia" w:ascii="方正仿宋简体" w:hAnsi="方正仿宋简体" w:eastAsia="方正仿宋简体" w:cs="方正仿宋简体"/>
          <w:color w:val="auto"/>
          <w:sz w:val="32"/>
          <w:szCs w:val="32"/>
        </w:rPr>
        <w:t>负责告知承包商我公司安全管理流程和相关管理制度。</w:t>
      </w:r>
    </w:p>
    <w:p w14:paraId="324F0C9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3.</w:t>
      </w:r>
      <w:r>
        <w:rPr>
          <w:rFonts w:hint="eastAsia" w:ascii="方正仿宋简体" w:hAnsi="方正仿宋简体" w:eastAsia="方正仿宋简体" w:cs="方正仿宋简体"/>
          <w:color w:val="auto"/>
          <w:sz w:val="32"/>
          <w:szCs w:val="32"/>
        </w:rPr>
        <w:t>负责填写《承包商</w:t>
      </w:r>
      <w:r>
        <w:rPr>
          <w:rFonts w:hint="eastAsia" w:ascii="方正仿宋简体" w:hAnsi="方正仿宋简体" w:eastAsia="方正仿宋简体" w:cs="方正仿宋简体"/>
          <w:color w:val="auto"/>
          <w:sz w:val="32"/>
          <w:szCs w:val="32"/>
          <w:lang w:eastAsia="zh-CN"/>
        </w:rPr>
        <w:t>资格审查表</w:t>
      </w:r>
      <w:r>
        <w:rPr>
          <w:rFonts w:hint="eastAsia" w:ascii="方正仿宋简体" w:hAnsi="方正仿宋简体" w:eastAsia="方正仿宋简体" w:cs="方正仿宋简体"/>
          <w:color w:val="auto"/>
          <w:sz w:val="32"/>
          <w:szCs w:val="32"/>
        </w:rPr>
        <w:t>》</w:t>
      </w:r>
      <w:r>
        <w:rPr>
          <w:rFonts w:hint="eastAsia" w:ascii="方正仿宋简体" w:hAnsi="方正仿宋简体" w:eastAsia="方正仿宋简体" w:cs="方正仿宋简体"/>
          <w:color w:val="auto"/>
          <w:sz w:val="32"/>
          <w:szCs w:val="32"/>
          <w:lang w:eastAsia="zh-CN"/>
        </w:rPr>
        <w:t>。</w:t>
      </w:r>
      <w:r>
        <w:rPr>
          <w:rFonts w:hint="eastAsia" w:ascii="方正仿宋简体" w:hAnsi="方正仿宋简体" w:eastAsia="方正仿宋简体" w:cs="方正仿宋简体"/>
          <w:color w:val="auto"/>
          <w:sz w:val="32"/>
          <w:szCs w:val="32"/>
        </w:rPr>
        <w:t>涉及项目分包由总承包商引进部门负责确认并提供总承包商与分包商关系证明材料和相应分包合同复印件、分包商资质等证明材料</w:t>
      </w:r>
      <w:r>
        <w:rPr>
          <w:rFonts w:hint="eastAsia" w:ascii="方正仿宋简体" w:hAnsi="方正仿宋简体" w:eastAsia="方正仿宋简体" w:cs="方正仿宋简体"/>
          <w:color w:val="auto"/>
          <w:sz w:val="32"/>
          <w:szCs w:val="32"/>
          <w:lang w:eastAsia="zh-CN"/>
        </w:rPr>
        <w:t>，</w:t>
      </w:r>
      <w:r>
        <w:rPr>
          <w:rFonts w:hint="eastAsia" w:ascii="方正仿宋简体" w:hAnsi="方正仿宋简体" w:eastAsia="方正仿宋简体" w:cs="方正仿宋简体"/>
          <w:color w:val="auto"/>
          <w:sz w:val="32"/>
          <w:szCs w:val="32"/>
        </w:rPr>
        <w:t>同时按承包商安全管理要求填报《承包商</w:t>
      </w:r>
      <w:r>
        <w:rPr>
          <w:rFonts w:hint="eastAsia" w:ascii="方正仿宋简体" w:hAnsi="方正仿宋简体" w:eastAsia="方正仿宋简体" w:cs="方正仿宋简体"/>
          <w:color w:val="auto"/>
          <w:sz w:val="32"/>
          <w:szCs w:val="32"/>
          <w:lang w:eastAsia="zh-CN"/>
        </w:rPr>
        <w:t>资格审查表</w:t>
      </w:r>
      <w:r>
        <w:rPr>
          <w:rFonts w:hint="eastAsia" w:ascii="方正仿宋简体" w:hAnsi="方正仿宋简体" w:eastAsia="方正仿宋简体" w:cs="方正仿宋简体"/>
          <w:color w:val="auto"/>
          <w:sz w:val="32"/>
          <w:szCs w:val="32"/>
        </w:rPr>
        <w:t>》，涉及多个分包商按“一商一</w:t>
      </w:r>
      <w:r>
        <w:rPr>
          <w:rFonts w:hint="eastAsia" w:ascii="方正仿宋简体" w:hAnsi="方正仿宋简体" w:eastAsia="方正仿宋简体" w:cs="方正仿宋简体"/>
          <w:color w:val="auto"/>
          <w:sz w:val="32"/>
          <w:szCs w:val="32"/>
          <w:lang w:eastAsia="zh-CN"/>
        </w:rPr>
        <w:t>表</w:t>
      </w:r>
      <w:r>
        <w:rPr>
          <w:rFonts w:hint="eastAsia" w:ascii="方正仿宋简体" w:hAnsi="方正仿宋简体" w:eastAsia="方正仿宋简体" w:cs="方正仿宋简体"/>
          <w:color w:val="auto"/>
          <w:sz w:val="32"/>
          <w:szCs w:val="32"/>
        </w:rPr>
        <w:t>”原则填报。</w:t>
      </w:r>
    </w:p>
    <w:p w14:paraId="3A671C9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简体" w:hAnsi="方正仿宋简体" w:eastAsia="方正仿宋简体" w:cs="方正仿宋简体"/>
          <w:color w:val="auto"/>
          <w:sz w:val="32"/>
          <w:szCs w:val="32"/>
          <w:lang w:val="en-US" w:eastAsia="zh-CN"/>
        </w:rPr>
      </w:pPr>
      <w:r>
        <w:rPr>
          <w:rFonts w:hint="eastAsia" w:ascii="方正仿宋简体" w:hAnsi="方正仿宋简体" w:eastAsia="方正仿宋简体" w:cs="方正仿宋简体"/>
          <w:color w:val="auto"/>
          <w:sz w:val="32"/>
          <w:szCs w:val="32"/>
          <w:lang w:val="en-US" w:eastAsia="zh-CN"/>
        </w:rPr>
        <w:t>4.负责</w:t>
      </w:r>
      <w:r>
        <w:rPr>
          <w:rFonts w:hint="eastAsia" w:ascii="方正仿宋简体" w:hAnsi="方正仿宋简体" w:eastAsia="方正仿宋简体" w:cs="方正仿宋简体"/>
          <w:color w:val="auto"/>
          <w:sz w:val="32"/>
          <w:szCs w:val="32"/>
        </w:rPr>
        <w:t>与承包商</w:t>
      </w:r>
      <w:r>
        <w:rPr>
          <w:rFonts w:hint="eastAsia" w:ascii="方正仿宋简体" w:hAnsi="方正仿宋简体" w:eastAsia="方正仿宋简体" w:cs="方正仿宋简体"/>
          <w:color w:val="auto"/>
          <w:sz w:val="32"/>
          <w:szCs w:val="32"/>
          <w:lang w:eastAsia="zh-CN"/>
        </w:rPr>
        <w:t>签订商业合同的同时，将</w:t>
      </w:r>
      <w:r>
        <w:rPr>
          <w:rFonts w:hint="eastAsia" w:ascii="方正仿宋简体" w:hAnsi="方正仿宋简体" w:eastAsia="方正仿宋简体" w:cs="方正仿宋简体"/>
          <w:color w:val="auto"/>
          <w:sz w:val="32"/>
          <w:szCs w:val="32"/>
        </w:rPr>
        <w:t>《</w:t>
      </w:r>
      <w:r>
        <w:rPr>
          <w:rFonts w:hint="eastAsia" w:ascii="方正仿宋简体" w:hAnsi="方正仿宋简体" w:eastAsia="方正仿宋简体" w:cs="方正仿宋简体"/>
          <w:color w:val="auto"/>
          <w:sz w:val="32"/>
          <w:szCs w:val="32"/>
          <w:lang w:eastAsia="zh-CN"/>
        </w:rPr>
        <w:t>安全生产</w:t>
      </w:r>
      <w:r>
        <w:rPr>
          <w:rFonts w:hint="eastAsia" w:ascii="方正仿宋简体" w:hAnsi="方正仿宋简体" w:eastAsia="方正仿宋简体" w:cs="方正仿宋简体"/>
          <w:color w:val="auto"/>
          <w:sz w:val="32"/>
          <w:szCs w:val="32"/>
        </w:rPr>
        <w:t>管理协议</w:t>
      </w:r>
      <w:r>
        <w:rPr>
          <w:rFonts w:hint="eastAsia" w:ascii="方正仿宋简体" w:hAnsi="方正仿宋简体" w:eastAsia="方正仿宋简体" w:cs="方正仿宋简体"/>
          <w:color w:val="auto"/>
          <w:sz w:val="32"/>
          <w:szCs w:val="32"/>
          <w:lang w:eastAsia="zh-CN"/>
        </w:rPr>
        <w:t>书</w:t>
      </w:r>
      <w:r>
        <w:rPr>
          <w:rFonts w:hint="eastAsia" w:ascii="方正仿宋简体" w:hAnsi="方正仿宋简体" w:eastAsia="方正仿宋简体" w:cs="方正仿宋简体"/>
          <w:color w:val="auto"/>
          <w:sz w:val="32"/>
          <w:szCs w:val="32"/>
        </w:rPr>
        <w:t>》</w:t>
      </w:r>
      <w:r>
        <w:rPr>
          <w:rFonts w:hint="eastAsia" w:ascii="方正仿宋简体" w:hAnsi="方正仿宋简体" w:eastAsia="方正仿宋简体" w:cs="方正仿宋简体"/>
          <w:color w:val="auto"/>
          <w:sz w:val="32"/>
          <w:szCs w:val="32"/>
          <w:lang w:eastAsia="zh-CN"/>
        </w:rPr>
        <w:t>作为合同附件签订</w:t>
      </w:r>
      <w:r>
        <w:rPr>
          <w:rFonts w:hint="eastAsia" w:ascii="方正仿宋简体" w:hAnsi="方正仿宋简体" w:eastAsia="方正仿宋简体" w:cs="方正仿宋简体"/>
          <w:color w:val="auto"/>
          <w:sz w:val="32"/>
          <w:szCs w:val="32"/>
        </w:rPr>
        <w:t>。</w:t>
      </w:r>
    </w:p>
    <w:p w14:paraId="3A947D7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color w:val="auto"/>
          <w:sz w:val="32"/>
          <w:szCs w:val="32"/>
          <w:lang w:eastAsia="zh-CN"/>
        </w:rPr>
      </w:pPr>
      <w:r>
        <w:rPr>
          <w:rFonts w:hint="eastAsia" w:ascii="方正楷体_GBK" w:hAnsi="方正楷体_GBK" w:eastAsia="方正楷体_GBK" w:cs="方正楷体_GBK"/>
          <w:color w:val="auto"/>
          <w:sz w:val="32"/>
          <w:szCs w:val="32"/>
          <w:lang w:eastAsia="zh-CN"/>
        </w:rPr>
        <w:t>（二）安全管理部门</w:t>
      </w:r>
    </w:p>
    <w:p w14:paraId="77428B0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负责承包商综合</w:t>
      </w:r>
      <w:r>
        <w:rPr>
          <w:rFonts w:hint="eastAsia" w:ascii="方正仿宋简体" w:hAnsi="方正仿宋简体" w:eastAsia="方正仿宋简体" w:cs="方正仿宋简体"/>
          <w:color w:val="auto"/>
          <w:sz w:val="32"/>
          <w:szCs w:val="32"/>
          <w:lang w:eastAsia="zh-CN"/>
        </w:rPr>
        <w:t>安全生产</w:t>
      </w:r>
      <w:r>
        <w:rPr>
          <w:rFonts w:hint="eastAsia" w:ascii="方正仿宋简体" w:hAnsi="方正仿宋简体" w:eastAsia="方正仿宋简体" w:cs="方正仿宋简体"/>
          <w:color w:val="auto"/>
          <w:sz w:val="32"/>
          <w:szCs w:val="32"/>
        </w:rPr>
        <w:t>管理。</w:t>
      </w:r>
    </w:p>
    <w:p w14:paraId="5FB9F8E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1.</w:t>
      </w:r>
      <w:r>
        <w:rPr>
          <w:rFonts w:hint="eastAsia" w:ascii="方正仿宋简体" w:hAnsi="方正仿宋简体" w:eastAsia="方正仿宋简体" w:cs="方正仿宋简体"/>
          <w:color w:val="auto"/>
          <w:sz w:val="32"/>
          <w:szCs w:val="32"/>
        </w:rPr>
        <w:t>负责对承包商作业人员资质进行审核。</w:t>
      </w:r>
    </w:p>
    <w:p w14:paraId="3542941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2.</w:t>
      </w:r>
      <w:r>
        <w:rPr>
          <w:rFonts w:hint="eastAsia" w:ascii="方正仿宋简体" w:hAnsi="方正仿宋简体" w:eastAsia="方正仿宋简体" w:cs="方正仿宋简体"/>
          <w:color w:val="auto"/>
          <w:sz w:val="32"/>
          <w:szCs w:val="32"/>
        </w:rPr>
        <w:t>负责承包商</w:t>
      </w:r>
      <w:r>
        <w:rPr>
          <w:rFonts w:hint="eastAsia" w:ascii="方正仿宋简体" w:hAnsi="方正仿宋简体" w:eastAsia="方正仿宋简体" w:cs="方正仿宋简体"/>
          <w:color w:val="auto"/>
          <w:sz w:val="32"/>
          <w:szCs w:val="32"/>
          <w:lang w:eastAsia="zh-CN"/>
        </w:rPr>
        <w:t>安全生产</w:t>
      </w:r>
      <w:r>
        <w:rPr>
          <w:rFonts w:hint="eastAsia" w:ascii="方正仿宋简体" w:hAnsi="方正仿宋简体" w:eastAsia="方正仿宋简体" w:cs="方正仿宋简体"/>
          <w:color w:val="auto"/>
          <w:sz w:val="32"/>
          <w:szCs w:val="32"/>
        </w:rPr>
        <w:t>风险抵押金考核管理。</w:t>
      </w:r>
    </w:p>
    <w:p w14:paraId="7D5BEC2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3.</w:t>
      </w:r>
      <w:r>
        <w:rPr>
          <w:rFonts w:hint="eastAsia" w:ascii="方正仿宋简体" w:hAnsi="方正仿宋简体" w:eastAsia="方正仿宋简体" w:cs="方正仿宋简体"/>
          <w:color w:val="auto"/>
          <w:sz w:val="32"/>
          <w:szCs w:val="32"/>
        </w:rPr>
        <w:t>负责</w:t>
      </w:r>
      <w:r>
        <w:rPr>
          <w:rFonts w:hint="eastAsia" w:ascii="方正仿宋简体" w:hAnsi="方正仿宋简体" w:eastAsia="方正仿宋简体" w:cs="方正仿宋简体"/>
          <w:color w:val="auto"/>
          <w:sz w:val="32"/>
          <w:szCs w:val="32"/>
          <w:lang w:eastAsia="zh-CN"/>
        </w:rPr>
        <w:t>复核</w:t>
      </w:r>
      <w:r>
        <w:rPr>
          <w:rFonts w:hint="eastAsia" w:ascii="方正仿宋简体" w:hAnsi="方正仿宋简体" w:eastAsia="方正仿宋简体" w:cs="方正仿宋简体"/>
          <w:color w:val="auto"/>
          <w:sz w:val="32"/>
          <w:szCs w:val="32"/>
        </w:rPr>
        <w:t>承包商作业人员相应资质，负责对承包商作业人员进行安全培训与考核。</w:t>
      </w:r>
    </w:p>
    <w:p w14:paraId="1B31639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4.</w:t>
      </w:r>
      <w:r>
        <w:rPr>
          <w:rFonts w:hint="eastAsia" w:ascii="方正仿宋简体" w:hAnsi="方正仿宋简体" w:eastAsia="方正仿宋简体" w:cs="方正仿宋简体"/>
          <w:color w:val="auto"/>
          <w:sz w:val="32"/>
          <w:szCs w:val="32"/>
        </w:rPr>
        <w:t>负责办理承包商“外工上岗证”。</w:t>
      </w:r>
    </w:p>
    <w:p w14:paraId="74F89A4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5.</w:t>
      </w:r>
      <w:r>
        <w:rPr>
          <w:rFonts w:hint="eastAsia" w:ascii="方正仿宋简体" w:hAnsi="方正仿宋简体" w:eastAsia="方正仿宋简体" w:cs="方正仿宋简体"/>
          <w:color w:val="auto"/>
          <w:sz w:val="32"/>
          <w:szCs w:val="32"/>
        </w:rPr>
        <w:t>负责承包商</w:t>
      </w:r>
      <w:r>
        <w:rPr>
          <w:rFonts w:hint="eastAsia" w:ascii="方正仿宋简体" w:hAnsi="方正仿宋简体" w:eastAsia="方正仿宋简体" w:cs="方正仿宋简体"/>
          <w:color w:val="auto"/>
          <w:sz w:val="32"/>
          <w:szCs w:val="32"/>
          <w:lang w:eastAsia="zh-CN"/>
        </w:rPr>
        <w:t>安全生产</w:t>
      </w:r>
      <w:r>
        <w:rPr>
          <w:rFonts w:hint="eastAsia" w:ascii="方正仿宋简体" w:hAnsi="方正仿宋简体" w:eastAsia="方正仿宋简体" w:cs="方正仿宋简体"/>
          <w:color w:val="auto"/>
          <w:sz w:val="32"/>
          <w:szCs w:val="32"/>
        </w:rPr>
        <w:t>业绩考评。</w:t>
      </w:r>
    </w:p>
    <w:p w14:paraId="0C67926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6.</w:t>
      </w:r>
      <w:r>
        <w:rPr>
          <w:rFonts w:hint="eastAsia" w:ascii="方正仿宋简体" w:hAnsi="方正仿宋简体" w:eastAsia="方正仿宋简体" w:cs="方正仿宋简体"/>
          <w:color w:val="auto"/>
          <w:sz w:val="32"/>
          <w:szCs w:val="32"/>
        </w:rPr>
        <w:t>负责对承包商</w:t>
      </w:r>
      <w:r>
        <w:rPr>
          <w:rFonts w:hint="eastAsia" w:ascii="方正仿宋简体" w:hAnsi="方正仿宋简体" w:eastAsia="方正仿宋简体" w:cs="方正仿宋简体"/>
          <w:color w:val="auto"/>
          <w:sz w:val="32"/>
          <w:szCs w:val="32"/>
          <w:lang w:eastAsia="zh-CN"/>
        </w:rPr>
        <w:t>安全生产</w:t>
      </w:r>
      <w:r>
        <w:rPr>
          <w:rFonts w:hint="eastAsia" w:ascii="方正仿宋简体" w:hAnsi="方正仿宋简体" w:eastAsia="方正仿宋简体" w:cs="方正仿宋简体"/>
          <w:color w:val="auto"/>
          <w:sz w:val="32"/>
          <w:szCs w:val="32"/>
        </w:rPr>
        <w:t>监督考核和</w:t>
      </w:r>
      <w:r>
        <w:rPr>
          <w:rFonts w:hint="eastAsia" w:ascii="方正仿宋简体" w:hAnsi="方正仿宋简体" w:eastAsia="方正仿宋简体" w:cs="方正仿宋简体"/>
          <w:color w:val="auto"/>
          <w:sz w:val="32"/>
          <w:szCs w:val="32"/>
          <w:lang w:eastAsia="zh-CN"/>
        </w:rPr>
        <w:t>安全生产</w:t>
      </w:r>
      <w:r>
        <w:rPr>
          <w:rFonts w:hint="eastAsia" w:ascii="方正仿宋简体" w:hAnsi="方正仿宋简体" w:eastAsia="方正仿宋简体" w:cs="方正仿宋简体"/>
          <w:color w:val="auto"/>
          <w:sz w:val="32"/>
          <w:szCs w:val="32"/>
        </w:rPr>
        <w:t>事故的调查与处理。</w:t>
      </w:r>
    </w:p>
    <w:p w14:paraId="2CAD805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color w:val="auto"/>
          <w:sz w:val="32"/>
          <w:szCs w:val="32"/>
        </w:rPr>
      </w:pPr>
      <w:r>
        <w:rPr>
          <w:rFonts w:hint="eastAsia" w:ascii="方正楷体_GBK" w:hAnsi="方正楷体_GBK" w:eastAsia="方正楷体_GBK" w:cs="方正楷体_GBK"/>
          <w:color w:val="auto"/>
          <w:sz w:val="32"/>
          <w:szCs w:val="32"/>
          <w:lang w:eastAsia="zh-CN"/>
        </w:rPr>
        <w:t>（三）</w:t>
      </w:r>
      <w:r>
        <w:rPr>
          <w:rFonts w:hint="eastAsia" w:ascii="方正楷体_GBK" w:hAnsi="方正楷体_GBK" w:eastAsia="方正楷体_GBK" w:cs="方正楷体_GBK"/>
          <w:color w:val="auto"/>
          <w:sz w:val="32"/>
          <w:szCs w:val="32"/>
        </w:rPr>
        <w:t xml:space="preserve">承包商作业所在部门 </w:t>
      </w:r>
    </w:p>
    <w:p w14:paraId="2C6E863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负责对承包商检修现场的</w:t>
      </w:r>
      <w:r>
        <w:rPr>
          <w:rFonts w:hint="eastAsia" w:ascii="方正仿宋简体" w:hAnsi="方正仿宋简体" w:eastAsia="方正仿宋简体" w:cs="方正仿宋简体"/>
          <w:color w:val="auto"/>
          <w:sz w:val="32"/>
          <w:szCs w:val="32"/>
          <w:lang w:eastAsia="zh-CN"/>
        </w:rPr>
        <w:t>安全生产</w:t>
      </w:r>
      <w:r>
        <w:rPr>
          <w:rFonts w:hint="eastAsia" w:ascii="方正仿宋简体" w:hAnsi="方正仿宋简体" w:eastAsia="方正仿宋简体" w:cs="方正仿宋简体"/>
          <w:color w:val="auto"/>
          <w:sz w:val="32"/>
          <w:szCs w:val="32"/>
        </w:rPr>
        <w:t>监督管理。</w:t>
      </w:r>
    </w:p>
    <w:p w14:paraId="5E53F38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1.</w:t>
      </w:r>
      <w:r>
        <w:rPr>
          <w:rFonts w:hint="eastAsia" w:ascii="方正仿宋简体" w:hAnsi="方正仿宋简体" w:eastAsia="方正仿宋简体" w:cs="方正仿宋简体"/>
          <w:color w:val="auto"/>
          <w:sz w:val="32"/>
          <w:szCs w:val="32"/>
        </w:rPr>
        <w:t>负责承包商检修现场的安全教育、安全交底、办理作业票证、安全监护和监管等。</w:t>
      </w:r>
    </w:p>
    <w:p w14:paraId="43AEEE5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2.</w:t>
      </w:r>
      <w:r>
        <w:rPr>
          <w:rFonts w:hint="eastAsia" w:ascii="方正仿宋简体" w:hAnsi="方正仿宋简体" w:eastAsia="方正仿宋简体" w:cs="方正仿宋简体"/>
          <w:color w:val="auto"/>
          <w:sz w:val="32"/>
          <w:szCs w:val="32"/>
        </w:rPr>
        <w:t>负责对承包方一方所编制的项目施工安全规程、施工方案和应急预案等材料进行审查。</w:t>
      </w:r>
    </w:p>
    <w:p w14:paraId="3B65520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3.</w:t>
      </w:r>
      <w:r>
        <w:rPr>
          <w:rFonts w:hint="eastAsia" w:ascii="方正仿宋简体" w:hAnsi="方正仿宋简体" w:eastAsia="方正仿宋简体" w:cs="方正仿宋简体"/>
          <w:color w:val="auto"/>
          <w:sz w:val="32"/>
          <w:szCs w:val="32"/>
        </w:rPr>
        <w:t>负责对承包商的安全、环保、质量、进度等进行检查、协调、考核管理。</w:t>
      </w:r>
    </w:p>
    <w:p w14:paraId="4194DA7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4.</w:t>
      </w:r>
      <w:r>
        <w:rPr>
          <w:rFonts w:hint="eastAsia" w:ascii="方正仿宋简体" w:hAnsi="方正仿宋简体" w:eastAsia="方正仿宋简体" w:cs="方正仿宋简体"/>
          <w:color w:val="auto"/>
          <w:sz w:val="32"/>
          <w:szCs w:val="32"/>
        </w:rPr>
        <w:t>负责作业过程中发生的</w:t>
      </w:r>
      <w:r>
        <w:rPr>
          <w:rFonts w:hint="eastAsia" w:ascii="方正仿宋简体" w:hAnsi="方正仿宋简体" w:eastAsia="方正仿宋简体" w:cs="方正仿宋简体"/>
          <w:color w:val="auto"/>
          <w:sz w:val="32"/>
          <w:szCs w:val="32"/>
          <w:lang w:eastAsia="zh-CN"/>
        </w:rPr>
        <w:t>安全生产</w:t>
      </w:r>
      <w:r>
        <w:rPr>
          <w:rFonts w:hint="eastAsia" w:ascii="方正仿宋简体" w:hAnsi="方正仿宋简体" w:eastAsia="方正仿宋简体" w:cs="方正仿宋简体"/>
          <w:color w:val="auto"/>
          <w:sz w:val="32"/>
          <w:szCs w:val="32"/>
        </w:rPr>
        <w:t>事故报告，配合公司及相关部门调查处理。</w:t>
      </w:r>
    </w:p>
    <w:p w14:paraId="0F6A130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5.</w:t>
      </w:r>
      <w:r>
        <w:rPr>
          <w:rFonts w:hint="eastAsia" w:ascii="方正仿宋简体" w:hAnsi="方正仿宋简体" w:eastAsia="方正仿宋简体" w:cs="方正仿宋简体"/>
          <w:color w:val="auto"/>
          <w:sz w:val="32"/>
          <w:szCs w:val="32"/>
        </w:rPr>
        <w:t>负责项目结束后向安全</w:t>
      </w:r>
      <w:r>
        <w:rPr>
          <w:rFonts w:hint="eastAsia" w:ascii="方正仿宋简体" w:hAnsi="方正仿宋简体" w:eastAsia="方正仿宋简体" w:cs="方正仿宋简体"/>
          <w:color w:val="auto"/>
          <w:sz w:val="32"/>
          <w:szCs w:val="32"/>
          <w:lang w:eastAsia="zh-CN"/>
        </w:rPr>
        <w:t>管理</w:t>
      </w:r>
      <w:r>
        <w:rPr>
          <w:rFonts w:hint="eastAsia" w:ascii="方正仿宋简体" w:hAnsi="方正仿宋简体" w:eastAsia="方正仿宋简体" w:cs="方正仿宋简体"/>
          <w:color w:val="auto"/>
          <w:sz w:val="32"/>
          <w:szCs w:val="32"/>
        </w:rPr>
        <w:t>部</w:t>
      </w:r>
      <w:r>
        <w:rPr>
          <w:rFonts w:hint="eastAsia" w:ascii="方正仿宋简体" w:hAnsi="方正仿宋简体" w:eastAsia="方正仿宋简体" w:cs="方正仿宋简体"/>
          <w:color w:val="auto"/>
          <w:sz w:val="32"/>
          <w:szCs w:val="32"/>
          <w:lang w:eastAsia="zh-CN"/>
        </w:rPr>
        <w:t>门</w:t>
      </w:r>
      <w:r>
        <w:rPr>
          <w:rFonts w:hint="eastAsia" w:ascii="方正仿宋简体" w:hAnsi="方正仿宋简体" w:eastAsia="方正仿宋简体" w:cs="方正仿宋简体"/>
          <w:color w:val="auto"/>
          <w:sz w:val="32"/>
          <w:szCs w:val="32"/>
        </w:rPr>
        <w:t>提交承包商的</w:t>
      </w:r>
      <w:r>
        <w:rPr>
          <w:rFonts w:hint="eastAsia" w:ascii="方正仿宋简体" w:hAnsi="方正仿宋简体" w:eastAsia="方正仿宋简体" w:cs="方正仿宋简体"/>
          <w:color w:val="auto"/>
          <w:sz w:val="32"/>
          <w:szCs w:val="32"/>
          <w:lang w:eastAsia="zh-CN"/>
        </w:rPr>
        <w:t>安全生产</w:t>
      </w:r>
      <w:r>
        <w:rPr>
          <w:rFonts w:hint="eastAsia" w:ascii="方正仿宋简体" w:hAnsi="方正仿宋简体" w:eastAsia="方正仿宋简体" w:cs="方正仿宋简体"/>
          <w:color w:val="auto"/>
          <w:sz w:val="32"/>
          <w:szCs w:val="32"/>
        </w:rPr>
        <w:t>业绩考评材料。</w:t>
      </w:r>
    </w:p>
    <w:p w14:paraId="029AEE7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color w:val="auto"/>
          <w:sz w:val="32"/>
          <w:szCs w:val="32"/>
        </w:rPr>
      </w:pPr>
      <w:r>
        <w:rPr>
          <w:rFonts w:hint="eastAsia" w:ascii="方正楷体_GBK" w:hAnsi="方正楷体_GBK" w:eastAsia="方正楷体_GBK" w:cs="方正楷体_GBK"/>
          <w:color w:val="auto"/>
          <w:sz w:val="32"/>
          <w:szCs w:val="32"/>
          <w:lang w:eastAsia="zh-CN"/>
        </w:rPr>
        <w:t>（四）财务管理部门</w:t>
      </w:r>
    </w:p>
    <w:p w14:paraId="67341C3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1.</w:t>
      </w:r>
      <w:r>
        <w:rPr>
          <w:rFonts w:hint="eastAsia" w:ascii="方正仿宋简体" w:hAnsi="方正仿宋简体" w:eastAsia="方正仿宋简体" w:cs="方正仿宋简体"/>
          <w:color w:val="auto"/>
          <w:sz w:val="32"/>
          <w:szCs w:val="32"/>
        </w:rPr>
        <w:t>负责承包商所交</w:t>
      </w:r>
      <w:r>
        <w:rPr>
          <w:rFonts w:hint="eastAsia" w:ascii="方正仿宋简体" w:hAnsi="方正仿宋简体" w:eastAsia="方正仿宋简体" w:cs="方正仿宋简体"/>
          <w:color w:val="auto"/>
          <w:sz w:val="32"/>
          <w:szCs w:val="32"/>
          <w:lang w:eastAsia="zh-CN"/>
        </w:rPr>
        <w:t>安全生产</w:t>
      </w:r>
      <w:r>
        <w:rPr>
          <w:rFonts w:hint="eastAsia" w:ascii="方正仿宋简体" w:hAnsi="方正仿宋简体" w:eastAsia="方正仿宋简体" w:cs="方正仿宋简体"/>
          <w:color w:val="auto"/>
          <w:sz w:val="32"/>
          <w:szCs w:val="32"/>
        </w:rPr>
        <w:t>风险抵押金的缴存与退还支付。</w:t>
      </w:r>
    </w:p>
    <w:p w14:paraId="51B4C2F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2.</w:t>
      </w:r>
      <w:r>
        <w:rPr>
          <w:rFonts w:hint="eastAsia" w:ascii="方正仿宋简体" w:hAnsi="方正仿宋简体" w:eastAsia="方正仿宋简体" w:cs="方正仿宋简体"/>
          <w:color w:val="auto"/>
          <w:sz w:val="32"/>
          <w:szCs w:val="32"/>
        </w:rPr>
        <w:t>负责</w:t>
      </w:r>
      <w:r>
        <w:rPr>
          <w:rFonts w:hint="eastAsia" w:ascii="方正仿宋简体" w:hAnsi="方正仿宋简体" w:eastAsia="方正仿宋简体" w:cs="方正仿宋简体"/>
          <w:color w:val="auto"/>
          <w:sz w:val="32"/>
          <w:szCs w:val="32"/>
          <w:lang w:eastAsia="zh-CN"/>
        </w:rPr>
        <w:t>收存</w:t>
      </w:r>
      <w:r>
        <w:rPr>
          <w:rFonts w:hint="eastAsia" w:ascii="方正仿宋简体" w:hAnsi="方正仿宋简体" w:eastAsia="方正仿宋简体" w:cs="方正仿宋简体"/>
          <w:color w:val="auto"/>
          <w:sz w:val="32"/>
          <w:szCs w:val="32"/>
        </w:rPr>
        <w:t>承包商的</w:t>
      </w:r>
      <w:r>
        <w:rPr>
          <w:rFonts w:hint="eastAsia" w:ascii="方正仿宋简体" w:hAnsi="方正仿宋简体" w:eastAsia="方正仿宋简体" w:cs="方正仿宋简体"/>
          <w:color w:val="auto"/>
          <w:sz w:val="32"/>
          <w:szCs w:val="32"/>
          <w:lang w:eastAsia="zh-CN"/>
        </w:rPr>
        <w:t>安全生产</w:t>
      </w:r>
      <w:r>
        <w:rPr>
          <w:rFonts w:hint="eastAsia" w:ascii="方正仿宋简体" w:hAnsi="方正仿宋简体" w:eastAsia="方正仿宋简体" w:cs="方正仿宋简体"/>
          <w:color w:val="auto"/>
          <w:sz w:val="32"/>
          <w:szCs w:val="32"/>
        </w:rPr>
        <w:t>考核款。</w:t>
      </w:r>
    </w:p>
    <w:p w14:paraId="24BA954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b w:val="0"/>
          <w:bCs/>
          <w:color w:val="auto"/>
          <w:sz w:val="32"/>
          <w:szCs w:val="32"/>
        </w:rPr>
      </w:pPr>
      <w:r>
        <w:rPr>
          <w:rFonts w:hint="eastAsia" w:ascii="方正黑体_GBK" w:hAnsi="方正黑体_GBK" w:eastAsia="方正黑体_GBK" w:cs="方正黑体_GBK"/>
          <w:b w:val="0"/>
          <w:bCs/>
          <w:color w:val="auto"/>
          <w:sz w:val="32"/>
          <w:szCs w:val="32"/>
        </w:rPr>
        <w:t>三、管理程序</w:t>
      </w:r>
    </w:p>
    <w:p w14:paraId="69A1ADB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b/>
          <w:bCs/>
          <w:color w:val="auto"/>
          <w:sz w:val="32"/>
          <w:szCs w:val="32"/>
        </w:rPr>
        <w:t>第一步</w:t>
      </w:r>
      <w:r>
        <w:rPr>
          <w:rFonts w:hint="eastAsia" w:ascii="方正仿宋简体" w:hAnsi="方正仿宋简体" w:eastAsia="方正仿宋简体" w:cs="方正仿宋简体"/>
          <w:color w:val="auto"/>
          <w:sz w:val="32"/>
          <w:szCs w:val="32"/>
        </w:rPr>
        <w:t xml:space="preserve"> 承包商引进部门在</w:t>
      </w:r>
      <w:r>
        <w:rPr>
          <w:rFonts w:hint="eastAsia" w:ascii="方正仿宋简体" w:hAnsi="方正仿宋简体" w:eastAsia="方正仿宋简体" w:cs="方正仿宋简体"/>
          <w:color w:val="auto"/>
          <w:sz w:val="32"/>
          <w:szCs w:val="32"/>
          <w:lang w:eastAsia="zh-CN"/>
        </w:rPr>
        <w:t>招标时</w:t>
      </w:r>
      <w:r>
        <w:rPr>
          <w:rFonts w:hint="eastAsia" w:ascii="方正仿宋简体" w:hAnsi="方正仿宋简体" w:eastAsia="方正仿宋简体" w:cs="方正仿宋简体"/>
          <w:color w:val="auto"/>
          <w:sz w:val="32"/>
          <w:szCs w:val="32"/>
        </w:rPr>
        <w:t>对承包商资质进行审核</w:t>
      </w:r>
      <w:r>
        <w:rPr>
          <w:rFonts w:hint="eastAsia" w:ascii="方正仿宋简体" w:hAnsi="方正仿宋简体" w:eastAsia="方正仿宋简体" w:cs="方正仿宋简体"/>
          <w:color w:val="auto"/>
          <w:sz w:val="32"/>
          <w:szCs w:val="32"/>
          <w:lang w:eastAsia="zh-CN"/>
        </w:rPr>
        <w:t>，填写</w:t>
      </w:r>
      <w:r>
        <w:rPr>
          <w:rFonts w:hint="eastAsia" w:ascii="方正仿宋简体" w:hAnsi="方正仿宋简体" w:eastAsia="方正仿宋简体" w:cs="方正仿宋简体"/>
          <w:color w:val="auto"/>
          <w:sz w:val="32"/>
          <w:szCs w:val="32"/>
        </w:rPr>
        <w:t>《</w:t>
      </w:r>
      <w:r>
        <w:rPr>
          <w:rFonts w:hint="eastAsia" w:ascii="方正仿宋简体" w:hAnsi="方正仿宋简体" w:eastAsia="方正仿宋简体" w:cs="方正仿宋简体"/>
          <w:color w:val="auto"/>
          <w:sz w:val="32"/>
          <w:szCs w:val="32"/>
          <w:lang w:eastAsia="zh-CN"/>
        </w:rPr>
        <w:t>承包商资格审查表</w:t>
      </w:r>
      <w:r>
        <w:rPr>
          <w:rFonts w:hint="eastAsia" w:ascii="方正仿宋简体" w:hAnsi="方正仿宋简体" w:eastAsia="方正仿宋简体" w:cs="方正仿宋简体"/>
          <w:color w:val="auto"/>
          <w:sz w:val="32"/>
          <w:szCs w:val="32"/>
        </w:rPr>
        <w:t>》，</w:t>
      </w:r>
      <w:r>
        <w:rPr>
          <w:rFonts w:hint="eastAsia" w:ascii="方正仿宋简体" w:hAnsi="方正仿宋简体" w:eastAsia="方正仿宋简体" w:cs="方正仿宋简体"/>
          <w:color w:val="auto"/>
          <w:sz w:val="32"/>
          <w:szCs w:val="32"/>
          <w:lang w:eastAsia="zh-CN"/>
        </w:rPr>
        <w:t>符合相应资质后方可中标</w:t>
      </w:r>
      <w:r>
        <w:rPr>
          <w:rFonts w:hint="eastAsia" w:ascii="方正仿宋简体" w:hAnsi="方正仿宋简体" w:eastAsia="方正仿宋简体" w:cs="方正仿宋简体"/>
          <w:color w:val="auto"/>
          <w:sz w:val="32"/>
          <w:szCs w:val="32"/>
        </w:rPr>
        <w:t>。</w:t>
      </w:r>
    </w:p>
    <w:p w14:paraId="3847ADF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lang w:eastAsia="zh-CN"/>
        </w:rPr>
      </w:pPr>
      <w:r>
        <w:rPr>
          <w:rFonts w:hint="eastAsia" w:ascii="方正仿宋简体" w:hAnsi="方正仿宋简体" w:eastAsia="方正仿宋简体" w:cs="方正仿宋简体"/>
          <w:b/>
          <w:bCs/>
          <w:color w:val="auto"/>
          <w:sz w:val="32"/>
          <w:szCs w:val="32"/>
        </w:rPr>
        <w:t>第二步</w:t>
      </w:r>
      <w:r>
        <w:rPr>
          <w:rFonts w:hint="eastAsia" w:ascii="方正仿宋简体" w:hAnsi="方正仿宋简体" w:eastAsia="方正仿宋简体" w:cs="方正仿宋简体"/>
          <w:b/>
          <w:bCs/>
          <w:color w:val="auto"/>
          <w:sz w:val="32"/>
          <w:szCs w:val="32"/>
          <w:lang w:val="en-US" w:eastAsia="zh-CN"/>
        </w:rPr>
        <w:t xml:space="preserve"> </w:t>
      </w:r>
      <w:r>
        <w:rPr>
          <w:rFonts w:hint="eastAsia" w:ascii="方正仿宋简体" w:hAnsi="方正仿宋简体" w:eastAsia="方正仿宋简体" w:cs="方正仿宋简体"/>
          <w:color w:val="auto"/>
          <w:sz w:val="32"/>
          <w:szCs w:val="32"/>
        </w:rPr>
        <w:t>承包商引进部门</w:t>
      </w:r>
      <w:r>
        <w:rPr>
          <w:rFonts w:hint="eastAsia" w:ascii="方正仿宋简体" w:hAnsi="方正仿宋简体" w:eastAsia="方正仿宋简体" w:cs="方正仿宋简体"/>
          <w:color w:val="auto"/>
          <w:sz w:val="32"/>
          <w:szCs w:val="32"/>
          <w:lang w:eastAsia="zh-CN"/>
        </w:rPr>
        <w:t>在签订合同时，将</w:t>
      </w:r>
      <w:r>
        <w:rPr>
          <w:rFonts w:hint="eastAsia" w:ascii="方正仿宋简体" w:hAnsi="方正仿宋简体" w:eastAsia="方正仿宋简体" w:cs="方正仿宋简体"/>
          <w:color w:val="auto"/>
          <w:sz w:val="32"/>
          <w:szCs w:val="32"/>
        </w:rPr>
        <w:t>《</w:t>
      </w:r>
      <w:r>
        <w:rPr>
          <w:rFonts w:hint="eastAsia" w:ascii="方正仿宋简体" w:hAnsi="方正仿宋简体" w:eastAsia="方正仿宋简体" w:cs="方正仿宋简体"/>
          <w:color w:val="auto"/>
          <w:sz w:val="32"/>
          <w:szCs w:val="32"/>
          <w:lang w:eastAsia="zh-CN"/>
        </w:rPr>
        <w:t>安全生产</w:t>
      </w:r>
      <w:r>
        <w:rPr>
          <w:rFonts w:hint="eastAsia" w:ascii="方正仿宋简体" w:hAnsi="方正仿宋简体" w:eastAsia="方正仿宋简体" w:cs="方正仿宋简体"/>
          <w:color w:val="auto"/>
          <w:sz w:val="32"/>
          <w:szCs w:val="32"/>
        </w:rPr>
        <w:t>管理协议</w:t>
      </w:r>
      <w:r>
        <w:rPr>
          <w:rFonts w:hint="eastAsia" w:ascii="方正仿宋简体" w:hAnsi="方正仿宋简体" w:eastAsia="方正仿宋简体" w:cs="方正仿宋简体"/>
          <w:color w:val="auto"/>
          <w:sz w:val="32"/>
          <w:szCs w:val="32"/>
          <w:lang w:eastAsia="zh-CN"/>
        </w:rPr>
        <w:t>书</w:t>
      </w:r>
      <w:r>
        <w:rPr>
          <w:rFonts w:hint="eastAsia" w:ascii="方正仿宋简体" w:hAnsi="方正仿宋简体" w:eastAsia="方正仿宋简体" w:cs="方正仿宋简体"/>
          <w:color w:val="auto"/>
          <w:sz w:val="32"/>
          <w:szCs w:val="32"/>
        </w:rPr>
        <w:t>》</w:t>
      </w:r>
      <w:r>
        <w:rPr>
          <w:rFonts w:hint="eastAsia" w:ascii="方正仿宋简体" w:hAnsi="方正仿宋简体" w:eastAsia="方正仿宋简体" w:cs="方正仿宋简体"/>
          <w:color w:val="auto"/>
          <w:sz w:val="32"/>
          <w:szCs w:val="32"/>
          <w:lang w:eastAsia="zh-CN"/>
        </w:rPr>
        <w:t>作为合同附件同时签订。</w:t>
      </w:r>
      <w:r>
        <w:rPr>
          <w:rFonts w:hint="eastAsia" w:ascii="方正仿宋简体" w:hAnsi="方正仿宋简体" w:eastAsia="方正仿宋简体" w:cs="方正仿宋简体"/>
          <w:color w:val="auto"/>
          <w:sz w:val="32"/>
          <w:szCs w:val="32"/>
        </w:rPr>
        <w:t>对须要缴存</w:t>
      </w:r>
      <w:r>
        <w:rPr>
          <w:rFonts w:hint="eastAsia" w:ascii="方正仿宋简体" w:hAnsi="方正仿宋简体" w:eastAsia="方正仿宋简体" w:cs="方正仿宋简体"/>
          <w:color w:val="auto"/>
          <w:sz w:val="32"/>
          <w:szCs w:val="32"/>
          <w:lang w:eastAsia="zh-CN"/>
        </w:rPr>
        <w:t>安全生产</w:t>
      </w:r>
      <w:r>
        <w:rPr>
          <w:rFonts w:hint="eastAsia" w:ascii="方正仿宋简体" w:hAnsi="方正仿宋简体" w:eastAsia="方正仿宋简体" w:cs="方正仿宋简体"/>
          <w:color w:val="auto"/>
          <w:sz w:val="32"/>
          <w:szCs w:val="32"/>
        </w:rPr>
        <w:t>风险抵押金的承包商开具《交款通知书》至</w:t>
      </w:r>
      <w:r>
        <w:rPr>
          <w:rFonts w:hint="eastAsia" w:ascii="方正仿宋简体" w:hAnsi="方正仿宋简体" w:eastAsia="方正仿宋简体" w:cs="方正仿宋简体"/>
          <w:color w:val="auto"/>
          <w:sz w:val="32"/>
          <w:szCs w:val="32"/>
          <w:lang w:eastAsia="zh-CN"/>
        </w:rPr>
        <w:t>财务管理部门</w:t>
      </w:r>
      <w:r>
        <w:rPr>
          <w:rFonts w:hint="eastAsia" w:ascii="方正仿宋简体" w:hAnsi="方正仿宋简体" w:eastAsia="方正仿宋简体" w:cs="方正仿宋简体"/>
          <w:color w:val="auto"/>
          <w:sz w:val="32"/>
          <w:szCs w:val="32"/>
        </w:rPr>
        <w:t>，</w:t>
      </w:r>
      <w:r>
        <w:rPr>
          <w:rFonts w:hint="eastAsia" w:ascii="方正仿宋简体" w:hAnsi="方正仿宋简体" w:eastAsia="方正仿宋简体" w:cs="方正仿宋简体"/>
          <w:color w:val="auto"/>
          <w:sz w:val="32"/>
          <w:szCs w:val="32"/>
          <w:lang w:eastAsia="zh-CN"/>
        </w:rPr>
        <w:t>财务管理部门</w:t>
      </w:r>
      <w:r>
        <w:rPr>
          <w:rFonts w:hint="eastAsia" w:ascii="方正仿宋简体" w:hAnsi="方正仿宋简体" w:eastAsia="方正仿宋简体" w:cs="方正仿宋简体"/>
          <w:color w:val="auto"/>
          <w:sz w:val="32"/>
          <w:szCs w:val="32"/>
        </w:rPr>
        <w:t>依据《交款通知书》收取承包商</w:t>
      </w:r>
      <w:r>
        <w:rPr>
          <w:rFonts w:hint="eastAsia" w:ascii="方正仿宋简体" w:hAnsi="方正仿宋简体" w:eastAsia="方正仿宋简体" w:cs="方正仿宋简体"/>
          <w:color w:val="auto"/>
          <w:sz w:val="32"/>
          <w:szCs w:val="32"/>
          <w:lang w:eastAsia="zh-CN"/>
        </w:rPr>
        <w:t>安全生产</w:t>
      </w:r>
      <w:r>
        <w:rPr>
          <w:rFonts w:hint="eastAsia" w:ascii="方正仿宋简体" w:hAnsi="方正仿宋简体" w:eastAsia="方正仿宋简体" w:cs="方正仿宋简体"/>
          <w:color w:val="auto"/>
          <w:sz w:val="32"/>
          <w:szCs w:val="32"/>
        </w:rPr>
        <w:t>风险抵押金，并出具收据</w:t>
      </w:r>
      <w:r>
        <w:rPr>
          <w:rFonts w:hint="eastAsia" w:ascii="方正仿宋简体" w:hAnsi="方正仿宋简体" w:eastAsia="方正仿宋简体" w:cs="方正仿宋简体"/>
          <w:color w:val="auto"/>
          <w:sz w:val="32"/>
          <w:szCs w:val="32"/>
          <w:lang w:eastAsia="zh-CN"/>
        </w:rPr>
        <w:t>。</w:t>
      </w:r>
      <w:r>
        <w:rPr>
          <w:rFonts w:hint="eastAsia" w:ascii="方正仿宋简体" w:hAnsi="方正仿宋简体" w:eastAsia="方正仿宋简体" w:cs="方正仿宋简体"/>
          <w:color w:val="auto"/>
          <w:sz w:val="32"/>
          <w:szCs w:val="32"/>
        </w:rPr>
        <w:t>承包商引进部门</w:t>
      </w:r>
      <w:r>
        <w:rPr>
          <w:rFonts w:hint="eastAsia" w:ascii="方正仿宋简体" w:hAnsi="方正仿宋简体" w:eastAsia="方正仿宋简体" w:cs="方正仿宋简体"/>
          <w:color w:val="auto"/>
          <w:sz w:val="32"/>
          <w:szCs w:val="32"/>
          <w:lang w:eastAsia="zh-CN"/>
        </w:rPr>
        <w:t>合同签订后，</w:t>
      </w:r>
      <w:r>
        <w:rPr>
          <w:rFonts w:hint="eastAsia" w:ascii="方正仿宋简体" w:hAnsi="方正仿宋简体" w:eastAsia="方正仿宋简体" w:cs="方正仿宋简体"/>
          <w:color w:val="auto"/>
          <w:sz w:val="32"/>
          <w:szCs w:val="32"/>
        </w:rPr>
        <w:t>告知承包商我公司安全管理程序和管理规定</w:t>
      </w:r>
      <w:r>
        <w:rPr>
          <w:rFonts w:hint="eastAsia" w:ascii="方正仿宋简体" w:hAnsi="方正仿宋简体" w:eastAsia="方正仿宋简体" w:cs="方正仿宋简体"/>
          <w:color w:val="auto"/>
          <w:sz w:val="32"/>
          <w:szCs w:val="32"/>
          <w:lang w:eastAsia="zh-CN"/>
        </w:rPr>
        <w:t>。</w:t>
      </w:r>
    </w:p>
    <w:p w14:paraId="6788C2C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b/>
          <w:bCs/>
          <w:color w:val="auto"/>
          <w:sz w:val="32"/>
          <w:szCs w:val="32"/>
        </w:rPr>
        <w:t>第三步</w:t>
      </w:r>
      <w:r>
        <w:rPr>
          <w:rFonts w:hint="eastAsia" w:ascii="方正仿宋简体" w:hAnsi="方正仿宋简体" w:eastAsia="方正仿宋简体" w:cs="方正仿宋简体"/>
          <w:color w:val="auto"/>
          <w:sz w:val="32"/>
          <w:szCs w:val="32"/>
        </w:rPr>
        <w:t xml:space="preserve"> 承包商</w:t>
      </w:r>
      <w:r>
        <w:rPr>
          <w:rFonts w:hint="eastAsia" w:ascii="方正仿宋简体" w:hAnsi="方正仿宋简体" w:eastAsia="方正仿宋简体" w:cs="方正仿宋简体"/>
          <w:color w:val="auto"/>
          <w:sz w:val="32"/>
          <w:szCs w:val="32"/>
          <w:lang w:eastAsia="zh-CN"/>
        </w:rPr>
        <w:t>持</w:t>
      </w:r>
      <w:r>
        <w:rPr>
          <w:rFonts w:hint="eastAsia" w:ascii="方正仿宋简体" w:hAnsi="方正仿宋简体" w:eastAsia="方正仿宋简体" w:cs="方正仿宋简体"/>
          <w:color w:val="auto"/>
          <w:sz w:val="32"/>
          <w:szCs w:val="32"/>
        </w:rPr>
        <w:t>《承包商</w:t>
      </w:r>
      <w:r>
        <w:rPr>
          <w:rFonts w:hint="eastAsia" w:ascii="方正仿宋简体" w:hAnsi="方正仿宋简体" w:eastAsia="方正仿宋简体" w:cs="方正仿宋简体"/>
          <w:color w:val="auto"/>
          <w:sz w:val="32"/>
          <w:szCs w:val="32"/>
          <w:lang w:eastAsia="zh-CN"/>
        </w:rPr>
        <w:t>资格审查表</w:t>
      </w:r>
      <w:r>
        <w:rPr>
          <w:rFonts w:hint="eastAsia" w:ascii="方正仿宋简体" w:hAnsi="方正仿宋简体" w:eastAsia="方正仿宋简体" w:cs="方正仿宋简体"/>
          <w:color w:val="auto"/>
          <w:sz w:val="32"/>
          <w:szCs w:val="32"/>
        </w:rPr>
        <w:t>》</w:t>
      </w:r>
      <w:r>
        <w:rPr>
          <w:rFonts w:hint="eastAsia" w:ascii="方正仿宋简体" w:hAnsi="方正仿宋简体" w:eastAsia="方正仿宋简体" w:cs="方正仿宋简体"/>
          <w:color w:val="auto"/>
          <w:sz w:val="32"/>
          <w:szCs w:val="32"/>
          <w:lang w:eastAsia="zh-CN"/>
        </w:rPr>
        <w:t>、</w:t>
      </w:r>
      <w:r>
        <w:rPr>
          <w:rFonts w:hint="eastAsia" w:ascii="方正仿宋简体" w:hAnsi="方正仿宋简体" w:eastAsia="方正仿宋简体" w:cs="方正仿宋简体"/>
          <w:color w:val="auto"/>
          <w:sz w:val="32"/>
          <w:szCs w:val="32"/>
        </w:rPr>
        <w:t>合同复印件、承包商资质证明等材料至作业所在地部门，作业所在地部门核实《承包商</w:t>
      </w:r>
      <w:r>
        <w:rPr>
          <w:rFonts w:hint="eastAsia" w:ascii="方正仿宋简体" w:hAnsi="方正仿宋简体" w:eastAsia="方正仿宋简体" w:cs="方正仿宋简体"/>
          <w:color w:val="auto"/>
          <w:sz w:val="32"/>
          <w:szCs w:val="32"/>
          <w:lang w:eastAsia="zh-CN"/>
        </w:rPr>
        <w:t>资格审查表</w:t>
      </w:r>
      <w:r>
        <w:rPr>
          <w:rFonts w:hint="eastAsia" w:ascii="方正仿宋简体" w:hAnsi="方正仿宋简体" w:eastAsia="方正仿宋简体" w:cs="方正仿宋简体"/>
          <w:color w:val="auto"/>
          <w:sz w:val="32"/>
          <w:szCs w:val="32"/>
        </w:rPr>
        <w:t>》内容后，</w:t>
      </w:r>
      <w:r>
        <w:rPr>
          <w:rFonts w:hint="eastAsia" w:ascii="方正仿宋简体" w:hAnsi="方正仿宋简体" w:eastAsia="方正仿宋简体" w:cs="方正仿宋简体"/>
          <w:color w:val="auto"/>
          <w:sz w:val="32"/>
          <w:szCs w:val="32"/>
          <w:lang w:eastAsia="zh-CN"/>
        </w:rPr>
        <w:t>安全管理部门对承包商</w:t>
      </w:r>
      <w:r>
        <w:rPr>
          <w:rFonts w:hint="eastAsia" w:ascii="方正仿宋简体" w:hAnsi="方正仿宋简体" w:eastAsia="方正仿宋简体" w:cs="方正仿宋简体"/>
          <w:color w:val="auto"/>
          <w:sz w:val="32"/>
          <w:szCs w:val="32"/>
        </w:rPr>
        <w:t>进行相应的安全培训。经培训考核合格后办理《外工上岗证》（填写人员信息、公司级安全培训考核信息及持特种作业证人员资质的核实情况）；属短期作业的人员办理《外工人员作业证》。</w:t>
      </w:r>
    </w:p>
    <w:p w14:paraId="258CEF6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涉及非特种作业、非运输装卸作业、非危险性作业、非生产危险区域内作业，且作业时间不超过2个工作日项目施工，安全</w:t>
      </w:r>
      <w:r>
        <w:rPr>
          <w:rFonts w:hint="eastAsia" w:ascii="方正仿宋简体" w:hAnsi="方正仿宋简体" w:eastAsia="方正仿宋简体" w:cs="方正仿宋简体"/>
          <w:color w:val="auto"/>
          <w:sz w:val="32"/>
          <w:szCs w:val="32"/>
          <w:lang w:eastAsia="zh-CN"/>
        </w:rPr>
        <w:t>管理</w:t>
      </w:r>
      <w:r>
        <w:rPr>
          <w:rFonts w:hint="eastAsia" w:ascii="方正仿宋简体" w:hAnsi="方正仿宋简体" w:eastAsia="方正仿宋简体" w:cs="方正仿宋简体"/>
          <w:color w:val="auto"/>
          <w:sz w:val="32"/>
          <w:szCs w:val="32"/>
        </w:rPr>
        <w:t>部</w:t>
      </w:r>
      <w:r>
        <w:rPr>
          <w:rFonts w:hint="eastAsia" w:ascii="方正仿宋简体" w:hAnsi="方正仿宋简体" w:eastAsia="方正仿宋简体" w:cs="方正仿宋简体"/>
          <w:color w:val="auto"/>
          <w:sz w:val="32"/>
          <w:szCs w:val="32"/>
          <w:lang w:eastAsia="zh-CN"/>
        </w:rPr>
        <w:t>门</w:t>
      </w:r>
      <w:r>
        <w:rPr>
          <w:rFonts w:hint="eastAsia" w:ascii="方正仿宋简体" w:hAnsi="方正仿宋简体" w:eastAsia="方正仿宋简体" w:cs="方正仿宋简体"/>
          <w:color w:val="auto"/>
          <w:sz w:val="32"/>
          <w:szCs w:val="32"/>
        </w:rPr>
        <w:t>对其作业人员进行安全告知并填写《安全告知记录》</w:t>
      </w:r>
      <w:r>
        <w:rPr>
          <w:rFonts w:hint="eastAsia" w:ascii="方正仿宋简体" w:hAnsi="方正仿宋简体" w:eastAsia="方正仿宋简体" w:cs="方正仿宋简体"/>
          <w:color w:val="auto"/>
          <w:sz w:val="32"/>
          <w:szCs w:val="32"/>
          <w:lang w:eastAsia="zh-CN"/>
        </w:rPr>
        <w:t>，</w:t>
      </w:r>
      <w:r>
        <w:rPr>
          <w:rFonts w:hint="eastAsia" w:ascii="方正仿宋简体" w:hAnsi="方正仿宋简体" w:eastAsia="方正仿宋简体" w:cs="方正仿宋简体"/>
          <w:color w:val="auto"/>
          <w:sz w:val="32"/>
          <w:szCs w:val="32"/>
        </w:rPr>
        <w:t>可直接办理相应证件。</w:t>
      </w:r>
    </w:p>
    <w:p w14:paraId="5BC5326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b/>
          <w:bCs/>
          <w:color w:val="auto"/>
          <w:sz w:val="32"/>
          <w:szCs w:val="32"/>
        </w:rPr>
        <w:t>第</w:t>
      </w:r>
      <w:r>
        <w:rPr>
          <w:rFonts w:hint="eastAsia" w:ascii="方正仿宋简体" w:hAnsi="方正仿宋简体" w:eastAsia="方正仿宋简体" w:cs="方正仿宋简体"/>
          <w:b/>
          <w:bCs/>
          <w:color w:val="auto"/>
          <w:sz w:val="32"/>
          <w:szCs w:val="32"/>
          <w:lang w:eastAsia="zh-CN"/>
        </w:rPr>
        <w:t>四</w:t>
      </w:r>
      <w:r>
        <w:rPr>
          <w:rFonts w:hint="eastAsia" w:ascii="方正仿宋简体" w:hAnsi="方正仿宋简体" w:eastAsia="方正仿宋简体" w:cs="方正仿宋简体"/>
          <w:b/>
          <w:bCs/>
          <w:color w:val="auto"/>
          <w:sz w:val="32"/>
          <w:szCs w:val="32"/>
        </w:rPr>
        <w:t>步</w:t>
      </w:r>
      <w:r>
        <w:rPr>
          <w:rFonts w:hint="eastAsia" w:ascii="方正仿宋简体" w:hAnsi="方正仿宋简体" w:eastAsia="方正仿宋简体" w:cs="方正仿宋简体"/>
          <w:color w:val="auto"/>
          <w:sz w:val="32"/>
          <w:szCs w:val="32"/>
        </w:rPr>
        <w:t xml:space="preserve"> 作业所在地部门依据</w:t>
      </w:r>
      <w:r>
        <w:rPr>
          <w:rFonts w:hint="eastAsia" w:ascii="方正仿宋简体" w:hAnsi="方正仿宋简体" w:eastAsia="方正仿宋简体" w:cs="方正仿宋简体"/>
          <w:color w:val="auto"/>
          <w:sz w:val="32"/>
          <w:szCs w:val="32"/>
          <w:lang w:eastAsia="zh-CN"/>
        </w:rPr>
        <w:t>安全管理部门</w:t>
      </w:r>
      <w:r>
        <w:rPr>
          <w:rFonts w:hint="eastAsia" w:ascii="方正仿宋简体" w:hAnsi="方正仿宋简体" w:eastAsia="方正仿宋简体" w:cs="方正仿宋简体"/>
          <w:color w:val="auto"/>
          <w:sz w:val="32"/>
          <w:szCs w:val="32"/>
        </w:rPr>
        <w:t>办理的《外工上岗证》或《外工人员作业证》，安排承包商作业人员进行现场安全交底等工作。</w:t>
      </w:r>
    </w:p>
    <w:p w14:paraId="218D4CA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b/>
          <w:bCs/>
          <w:color w:val="auto"/>
          <w:sz w:val="32"/>
          <w:szCs w:val="32"/>
        </w:rPr>
        <w:t>第</w:t>
      </w:r>
      <w:r>
        <w:rPr>
          <w:rFonts w:hint="eastAsia" w:ascii="方正仿宋简体" w:hAnsi="方正仿宋简体" w:eastAsia="方正仿宋简体" w:cs="方正仿宋简体"/>
          <w:b/>
          <w:bCs/>
          <w:color w:val="auto"/>
          <w:sz w:val="32"/>
          <w:szCs w:val="32"/>
          <w:lang w:eastAsia="zh-CN"/>
        </w:rPr>
        <w:t>五</w:t>
      </w:r>
      <w:r>
        <w:rPr>
          <w:rFonts w:hint="eastAsia" w:ascii="方正仿宋简体" w:hAnsi="方正仿宋简体" w:eastAsia="方正仿宋简体" w:cs="方正仿宋简体"/>
          <w:b/>
          <w:bCs/>
          <w:color w:val="auto"/>
          <w:sz w:val="32"/>
          <w:szCs w:val="32"/>
        </w:rPr>
        <w:t>步</w:t>
      </w:r>
      <w:r>
        <w:rPr>
          <w:rFonts w:hint="eastAsia" w:ascii="方正仿宋简体" w:hAnsi="方正仿宋简体" w:eastAsia="方正仿宋简体" w:cs="方正仿宋简体"/>
          <w:color w:val="auto"/>
          <w:sz w:val="32"/>
          <w:szCs w:val="32"/>
        </w:rPr>
        <w:t xml:space="preserve"> 作业所在地办理各项施工作业票证，承包商开始施工作业。各部门按职责对承包商实施全过程监督。</w:t>
      </w:r>
    </w:p>
    <w:p w14:paraId="473074E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b/>
          <w:bCs/>
          <w:color w:val="auto"/>
          <w:sz w:val="32"/>
          <w:szCs w:val="32"/>
        </w:rPr>
        <w:t>第</w:t>
      </w:r>
      <w:r>
        <w:rPr>
          <w:rFonts w:hint="eastAsia" w:ascii="方正仿宋简体" w:hAnsi="方正仿宋简体" w:eastAsia="方正仿宋简体" w:cs="方正仿宋简体"/>
          <w:b/>
          <w:bCs/>
          <w:color w:val="auto"/>
          <w:sz w:val="32"/>
          <w:szCs w:val="32"/>
          <w:lang w:eastAsia="zh-CN"/>
        </w:rPr>
        <w:t>六</w:t>
      </w:r>
      <w:r>
        <w:rPr>
          <w:rFonts w:hint="eastAsia" w:ascii="方正仿宋简体" w:hAnsi="方正仿宋简体" w:eastAsia="方正仿宋简体" w:cs="方正仿宋简体"/>
          <w:b/>
          <w:bCs/>
          <w:color w:val="auto"/>
          <w:sz w:val="32"/>
          <w:szCs w:val="32"/>
        </w:rPr>
        <w:t>步</w:t>
      </w:r>
      <w:r>
        <w:rPr>
          <w:rFonts w:hint="eastAsia" w:ascii="方正仿宋简体" w:hAnsi="方正仿宋简体" w:eastAsia="方正仿宋简体" w:cs="方正仿宋简体"/>
          <w:color w:val="auto"/>
          <w:sz w:val="32"/>
          <w:szCs w:val="32"/>
        </w:rPr>
        <w:t xml:space="preserve"> 承包商在项目结束后，作业所在部门</w:t>
      </w:r>
      <w:r>
        <w:rPr>
          <w:rFonts w:hint="eastAsia" w:ascii="方正仿宋简体" w:hAnsi="方正仿宋简体" w:eastAsia="方正仿宋简体" w:cs="方正仿宋简体"/>
          <w:color w:val="auto"/>
          <w:sz w:val="32"/>
          <w:szCs w:val="32"/>
          <w:lang w:eastAsia="zh-CN"/>
        </w:rPr>
        <w:t>根据</w:t>
      </w:r>
      <w:r>
        <w:rPr>
          <w:rFonts w:hint="eastAsia" w:ascii="方正仿宋简体" w:hAnsi="方正仿宋简体" w:eastAsia="方正仿宋简体" w:cs="方正仿宋简体"/>
          <w:color w:val="auto"/>
          <w:sz w:val="32"/>
          <w:szCs w:val="32"/>
        </w:rPr>
        <w:t>对作业项目全过程监督情况</w:t>
      </w:r>
      <w:r>
        <w:rPr>
          <w:rFonts w:hint="eastAsia" w:ascii="方正仿宋简体" w:hAnsi="方正仿宋简体" w:eastAsia="方正仿宋简体" w:cs="方正仿宋简体"/>
          <w:color w:val="auto"/>
          <w:sz w:val="32"/>
          <w:szCs w:val="32"/>
          <w:lang w:eastAsia="zh-CN"/>
        </w:rPr>
        <w:t>，</w:t>
      </w:r>
      <w:r>
        <w:rPr>
          <w:rFonts w:hint="eastAsia" w:ascii="方正仿宋简体" w:hAnsi="方正仿宋简体" w:eastAsia="方正仿宋简体" w:cs="方正仿宋简体"/>
          <w:color w:val="auto"/>
          <w:sz w:val="32"/>
          <w:szCs w:val="32"/>
        </w:rPr>
        <w:t>对承包商进行考评，并</w:t>
      </w:r>
      <w:r>
        <w:rPr>
          <w:rFonts w:hint="eastAsia" w:ascii="方正仿宋简体" w:hAnsi="方正仿宋简体" w:eastAsia="方正仿宋简体" w:cs="方正仿宋简体"/>
          <w:color w:val="auto"/>
          <w:sz w:val="32"/>
          <w:szCs w:val="32"/>
          <w:lang w:eastAsia="zh-CN"/>
        </w:rPr>
        <w:t>填写《承包商安全表现评价表》，报送安全管理部门</w:t>
      </w:r>
      <w:r>
        <w:rPr>
          <w:rFonts w:hint="eastAsia" w:ascii="方正仿宋简体" w:hAnsi="方正仿宋简体" w:eastAsia="方正仿宋简体" w:cs="方正仿宋简体"/>
          <w:color w:val="auto"/>
          <w:sz w:val="32"/>
          <w:szCs w:val="32"/>
        </w:rPr>
        <w:t>。</w:t>
      </w:r>
    </w:p>
    <w:p w14:paraId="773A707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b w:val="0"/>
          <w:bCs/>
          <w:color w:val="auto"/>
          <w:sz w:val="32"/>
          <w:szCs w:val="32"/>
        </w:rPr>
      </w:pPr>
      <w:r>
        <w:rPr>
          <w:rFonts w:hint="eastAsia" w:ascii="方正仿宋简体" w:hAnsi="方正仿宋简体" w:eastAsia="方正仿宋简体" w:cs="方正仿宋简体"/>
          <w:b/>
          <w:bCs/>
          <w:color w:val="auto"/>
          <w:sz w:val="32"/>
          <w:szCs w:val="32"/>
        </w:rPr>
        <w:t>第</w:t>
      </w:r>
      <w:r>
        <w:rPr>
          <w:rFonts w:hint="eastAsia" w:ascii="方正仿宋简体" w:hAnsi="方正仿宋简体" w:eastAsia="方正仿宋简体" w:cs="方正仿宋简体"/>
          <w:b/>
          <w:bCs/>
          <w:color w:val="auto"/>
          <w:sz w:val="32"/>
          <w:szCs w:val="32"/>
          <w:lang w:eastAsia="zh-CN"/>
        </w:rPr>
        <w:t>七</w:t>
      </w:r>
      <w:r>
        <w:rPr>
          <w:rFonts w:hint="eastAsia" w:ascii="方正仿宋简体" w:hAnsi="方正仿宋简体" w:eastAsia="方正仿宋简体" w:cs="方正仿宋简体"/>
          <w:b/>
          <w:bCs/>
          <w:color w:val="auto"/>
          <w:sz w:val="32"/>
          <w:szCs w:val="32"/>
        </w:rPr>
        <w:t>步</w:t>
      </w:r>
      <w:r>
        <w:rPr>
          <w:rFonts w:hint="eastAsia" w:ascii="方正仿宋简体" w:hAnsi="方正仿宋简体" w:eastAsia="方正仿宋简体" w:cs="方正仿宋简体"/>
          <w:color w:val="auto"/>
          <w:sz w:val="32"/>
          <w:szCs w:val="32"/>
        </w:rPr>
        <w:t xml:space="preserve"> </w:t>
      </w:r>
      <w:r>
        <w:rPr>
          <w:rFonts w:hint="eastAsia" w:ascii="方正仿宋简体" w:hAnsi="方正仿宋简体" w:eastAsia="方正仿宋简体" w:cs="方正仿宋简体"/>
          <w:color w:val="auto"/>
          <w:sz w:val="32"/>
          <w:szCs w:val="32"/>
          <w:lang w:eastAsia="zh-CN"/>
        </w:rPr>
        <w:t>承包商引进部门和财务管理部门</w:t>
      </w:r>
      <w:r>
        <w:rPr>
          <w:rFonts w:hint="eastAsia" w:ascii="方正仿宋简体" w:hAnsi="方正仿宋简体" w:eastAsia="方正仿宋简体" w:cs="方正仿宋简体"/>
          <w:color w:val="auto"/>
          <w:sz w:val="32"/>
          <w:szCs w:val="32"/>
        </w:rPr>
        <w:t>依据</w:t>
      </w:r>
      <w:r>
        <w:rPr>
          <w:rFonts w:hint="eastAsia" w:ascii="方正仿宋简体" w:hAnsi="方正仿宋简体" w:eastAsia="方正仿宋简体" w:cs="方正仿宋简体"/>
          <w:color w:val="auto"/>
          <w:sz w:val="32"/>
          <w:szCs w:val="32"/>
          <w:lang w:eastAsia="zh-CN"/>
        </w:rPr>
        <w:t>安全管理部门</w:t>
      </w:r>
      <w:r>
        <w:rPr>
          <w:rFonts w:hint="eastAsia" w:ascii="方正仿宋简体" w:hAnsi="方正仿宋简体" w:eastAsia="方正仿宋简体" w:cs="方正仿宋简体"/>
          <w:color w:val="auto"/>
          <w:sz w:val="32"/>
          <w:szCs w:val="32"/>
        </w:rPr>
        <w:t>考核信息，</w:t>
      </w:r>
      <w:r>
        <w:rPr>
          <w:rFonts w:hint="eastAsia" w:ascii="方正仿宋简体" w:hAnsi="方正仿宋简体" w:eastAsia="方正仿宋简体" w:cs="方正仿宋简体"/>
          <w:color w:val="auto"/>
          <w:sz w:val="32"/>
          <w:szCs w:val="32"/>
          <w:lang w:eastAsia="zh-CN"/>
        </w:rPr>
        <w:t>收存</w:t>
      </w:r>
      <w:r>
        <w:rPr>
          <w:rFonts w:hint="eastAsia" w:ascii="方正仿宋简体" w:hAnsi="方正仿宋简体" w:eastAsia="方正仿宋简体" w:cs="方正仿宋简体"/>
          <w:color w:val="auto"/>
          <w:sz w:val="32"/>
          <w:szCs w:val="32"/>
        </w:rPr>
        <w:t>承包商</w:t>
      </w:r>
      <w:r>
        <w:rPr>
          <w:rFonts w:hint="eastAsia" w:ascii="方正仿宋简体" w:hAnsi="方正仿宋简体" w:eastAsia="方正仿宋简体" w:cs="方正仿宋简体"/>
          <w:color w:val="auto"/>
          <w:sz w:val="32"/>
          <w:szCs w:val="32"/>
          <w:lang w:eastAsia="zh-CN"/>
        </w:rPr>
        <w:t>安全生产</w:t>
      </w:r>
      <w:r>
        <w:rPr>
          <w:rFonts w:hint="eastAsia" w:ascii="方正仿宋简体" w:hAnsi="方正仿宋简体" w:eastAsia="方正仿宋简体" w:cs="方正仿宋简体"/>
          <w:color w:val="auto"/>
          <w:sz w:val="32"/>
          <w:szCs w:val="32"/>
        </w:rPr>
        <w:t>考核款，待考核款交齐后全额退还安全风险抵押金。项目结束，承包商退场。</w:t>
      </w:r>
    </w:p>
    <w:p w14:paraId="426123A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b w:val="0"/>
          <w:bCs/>
          <w:color w:val="auto"/>
          <w:sz w:val="32"/>
          <w:szCs w:val="32"/>
        </w:rPr>
      </w:pPr>
      <w:r>
        <w:rPr>
          <w:rFonts w:hint="eastAsia" w:ascii="方正黑体_GBK" w:hAnsi="方正黑体_GBK" w:eastAsia="方正黑体_GBK" w:cs="方正黑体_GBK"/>
          <w:b w:val="0"/>
          <w:bCs/>
          <w:color w:val="auto"/>
          <w:sz w:val="32"/>
          <w:szCs w:val="32"/>
        </w:rPr>
        <w:t>四、风险抵押金收取管理</w:t>
      </w:r>
    </w:p>
    <w:p w14:paraId="1D18F29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楷体_GBK" w:hAnsi="方正楷体_GBK" w:eastAsia="方正楷体_GBK" w:cs="方正楷体_GBK"/>
          <w:color w:val="auto"/>
          <w:sz w:val="32"/>
          <w:szCs w:val="32"/>
          <w:lang w:eastAsia="zh-CN"/>
        </w:rPr>
        <w:t>（一）</w:t>
      </w:r>
      <w:r>
        <w:rPr>
          <w:rFonts w:hint="eastAsia" w:ascii="方正仿宋简体" w:hAnsi="方正仿宋简体" w:eastAsia="方正仿宋简体" w:cs="方正仿宋简体"/>
          <w:color w:val="auto"/>
          <w:sz w:val="32"/>
          <w:szCs w:val="32"/>
          <w:lang w:eastAsia="zh-CN"/>
        </w:rPr>
        <w:t>安全生产</w:t>
      </w:r>
      <w:r>
        <w:rPr>
          <w:rFonts w:hint="eastAsia" w:ascii="方正仿宋简体" w:hAnsi="方正仿宋简体" w:eastAsia="方正仿宋简体" w:cs="方正仿宋简体"/>
          <w:color w:val="auto"/>
          <w:sz w:val="32"/>
          <w:szCs w:val="32"/>
        </w:rPr>
        <w:t>风险抵押金的收取和管理要求由承包商引进部门在合同签订前告知承包商，在合同签订时进行约定，并依据收取标准明确收取金额。</w:t>
      </w:r>
    </w:p>
    <w:p w14:paraId="4E237C9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楷体_GBK" w:hAnsi="方正楷体_GBK" w:eastAsia="方正楷体_GBK" w:cs="方正楷体_GBK"/>
          <w:color w:val="auto"/>
          <w:sz w:val="32"/>
          <w:szCs w:val="32"/>
          <w:lang w:eastAsia="zh-CN"/>
        </w:rPr>
        <w:t>（二）</w:t>
      </w:r>
      <w:r>
        <w:rPr>
          <w:rFonts w:hint="eastAsia" w:ascii="方正仿宋简体" w:hAnsi="方正仿宋简体" w:eastAsia="方正仿宋简体" w:cs="方正仿宋简体"/>
          <w:color w:val="auto"/>
          <w:sz w:val="32"/>
          <w:szCs w:val="32"/>
        </w:rPr>
        <w:t>收取标准：合同金额20万元以下押金2000元；20-50万元押金2500元；50-100万元押金5000元；100-250万元押金7500元；250-500万元押金1万元；500-1000万元押金3万元；1000-2500万元押金5万元；2500万元以上由</w:t>
      </w:r>
      <w:r>
        <w:rPr>
          <w:rFonts w:hint="eastAsia" w:ascii="方正仿宋简体" w:hAnsi="方正仿宋简体" w:eastAsia="方正仿宋简体" w:cs="方正仿宋简体"/>
          <w:color w:val="auto"/>
          <w:sz w:val="32"/>
          <w:szCs w:val="32"/>
          <w:lang w:eastAsia="zh-CN"/>
        </w:rPr>
        <w:t>项目管理部门</w:t>
      </w:r>
      <w:r>
        <w:rPr>
          <w:rFonts w:hint="eastAsia" w:ascii="方正仿宋简体" w:hAnsi="方正仿宋简体" w:eastAsia="方正仿宋简体" w:cs="方正仿宋简体"/>
          <w:color w:val="auto"/>
          <w:sz w:val="32"/>
          <w:szCs w:val="32"/>
        </w:rPr>
        <w:t>、</w:t>
      </w:r>
      <w:r>
        <w:rPr>
          <w:rFonts w:hint="eastAsia" w:ascii="方正仿宋简体" w:hAnsi="方正仿宋简体" w:eastAsia="方正仿宋简体" w:cs="方正仿宋简体"/>
          <w:color w:val="auto"/>
          <w:sz w:val="32"/>
          <w:szCs w:val="32"/>
          <w:lang w:eastAsia="zh-CN"/>
        </w:rPr>
        <w:t>安全管理部门</w:t>
      </w:r>
      <w:r>
        <w:rPr>
          <w:rFonts w:hint="eastAsia" w:ascii="方正仿宋简体" w:hAnsi="方正仿宋简体" w:eastAsia="方正仿宋简体" w:cs="方正仿宋简体"/>
          <w:color w:val="auto"/>
          <w:sz w:val="32"/>
          <w:szCs w:val="32"/>
        </w:rPr>
        <w:t>和项目组共同评估商议报公司审核后执行。</w:t>
      </w:r>
    </w:p>
    <w:p w14:paraId="45E3892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楷体_GBK" w:hAnsi="方正楷体_GBK" w:eastAsia="方正楷体_GBK" w:cs="方正楷体_GBK"/>
          <w:color w:val="auto"/>
          <w:sz w:val="32"/>
          <w:szCs w:val="32"/>
          <w:lang w:eastAsia="zh-CN"/>
        </w:rPr>
        <w:t>（三）</w:t>
      </w:r>
      <w:r>
        <w:rPr>
          <w:rFonts w:hint="eastAsia" w:ascii="方正仿宋简体" w:hAnsi="方正仿宋简体" w:eastAsia="方正仿宋简体" w:cs="方正仿宋简体"/>
          <w:color w:val="auto"/>
          <w:sz w:val="32"/>
          <w:szCs w:val="32"/>
          <w:lang w:eastAsia="zh-CN"/>
        </w:rPr>
        <w:t>财务管理部门</w:t>
      </w:r>
      <w:r>
        <w:rPr>
          <w:rFonts w:hint="eastAsia" w:ascii="方正仿宋简体" w:hAnsi="方正仿宋简体" w:eastAsia="方正仿宋简体" w:cs="方正仿宋简体"/>
          <w:color w:val="auto"/>
          <w:sz w:val="32"/>
          <w:szCs w:val="32"/>
        </w:rPr>
        <w:t>凭</w:t>
      </w:r>
      <w:r>
        <w:rPr>
          <w:rFonts w:hint="eastAsia" w:ascii="方正仿宋简体" w:hAnsi="方正仿宋简体" w:eastAsia="方正仿宋简体" w:cs="方正仿宋简体"/>
          <w:color w:val="auto"/>
          <w:sz w:val="32"/>
          <w:szCs w:val="32"/>
          <w:lang w:eastAsia="zh-CN"/>
        </w:rPr>
        <w:t>承包商引进部门</w:t>
      </w:r>
      <w:r>
        <w:rPr>
          <w:rFonts w:hint="eastAsia" w:ascii="方正仿宋简体" w:hAnsi="方正仿宋简体" w:eastAsia="方正仿宋简体" w:cs="方正仿宋简体"/>
          <w:color w:val="auto"/>
          <w:sz w:val="32"/>
          <w:szCs w:val="32"/>
        </w:rPr>
        <w:t>出具的交/退款通知单收取、保管、退还（免息）承包商</w:t>
      </w:r>
      <w:r>
        <w:rPr>
          <w:rFonts w:hint="eastAsia" w:ascii="方正仿宋简体" w:hAnsi="方正仿宋简体" w:eastAsia="方正仿宋简体" w:cs="方正仿宋简体"/>
          <w:color w:val="auto"/>
          <w:sz w:val="32"/>
          <w:szCs w:val="32"/>
          <w:lang w:eastAsia="zh-CN"/>
        </w:rPr>
        <w:t>安全生产</w:t>
      </w:r>
      <w:r>
        <w:rPr>
          <w:rFonts w:hint="eastAsia" w:ascii="方正仿宋简体" w:hAnsi="方正仿宋简体" w:eastAsia="方正仿宋简体" w:cs="方正仿宋简体"/>
          <w:color w:val="auto"/>
          <w:sz w:val="32"/>
          <w:szCs w:val="32"/>
        </w:rPr>
        <w:t>抵押金。</w:t>
      </w:r>
    </w:p>
    <w:p w14:paraId="2CEB657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楷体_GBK" w:hAnsi="方正楷体_GBK" w:eastAsia="方正楷体_GBK" w:cs="方正楷体_GBK"/>
          <w:color w:val="auto"/>
          <w:sz w:val="32"/>
          <w:szCs w:val="32"/>
          <w:lang w:eastAsia="zh-CN"/>
        </w:rPr>
        <w:t>（四）</w:t>
      </w:r>
      <w:r>
        <w:rPr>
          <w:rFonts w:hint="eastAsia" w:ascii="方正仿宋简体" w:hAnsi="方正仿宋简体" w:eastAsia="方正仿宋简体" w:cs="方正仿宋简体"/>
          <w:color w:val="auto"/>
          <w:sz w:val="32"/>
          <w:szCs w:val="32"/>
        </w:rPr>
        <w:t>涉及供电、供水、通讯等市政类施工单位承担的非生产危险区域内抢修、维修项目施工和其他涉及非特种作业、非运输装卸作业、非危险性作业、非生产危险区域内作业，且作业时间不超过2个工作日项目施工，相应承包商可不缴存</w:t>
      </w:r>
      <w:r>
        <w:rPr>
          <w:rFonts w:hint="eastAsia" w:ascii="方正仿宋简体" w:hAnsi="方正仿宋简体" w:eastAsia="方正仿宋简体" w:cs="方正仿宋简体"/>
          <w:color w:val="auto"/>
          <w:sz w:val="32"/>
          <w:szCs w:val="32"/>
          <w:lang w:eastAsia="zh-CN"/>
        </w:rPr>
        <w:t>安全生产</w:t>
      </w:r>
      <w:r>
        <w:rPr>
          <w:rFonts w:hint="eastAsia" w:ascii="方正仿宋简体" w:hAnsi="方正仿宋简体" w:eastAsia="方正仿宋简体" w:cs="方正仿宋简体"/>
          <w:color w:val="auto"/>
          <w:sz w:val="32"/>
          <w:szCs w:val="32"/>
        </w:rPr>
        <w:t>风险抵押金。</w:t>
      </w:r>
    </w:p>
    <w:p w14:paraId="3FD707D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b w:val="0"/>
          <w:bCs/>
          <w:color w:val="auto"/>
          <w:sz w:val="32"/>
          <w:szCs w:val="32"/>
        </w:rPr>
      </w:pPr>
      <w:r>
        <w:rPr>
          <w:rFonts w:hint="eastAsia" w:ascii="方正黑体_GBK" w:hAnsi="方正黑体_GBK" w:eastAsia="方正黑体_GBK" w:cs="方正黑体_GBK"/>
          <w:b w:val="0"/>
          <w:bCs/>
          <w:color w:val="auto"/>
          <w:sz w:val="32"/>
          <w:szCs w:val="32"/>
        </w:rPr>
        <w:t>五、承包商</w:t>
      </w:r>
      <w:r>
        <w:rPr>
          <w:rFonts w:hint="eastAsia" w:ascii="方正黑体_GBK" w:hAnsi="方正黑体_GBK" w:eastAsia="方正黑体_GBK" w:cs="方正黑体_GBK"/>
          <w:b w:val="0"/>
          <w:bCs/>
          <w:color w:val="auto"/>
          <w:sz w:val="32"/>
          <w:szCs w:val="32"/>
          <w:lang w:eastAsia="zh-CN"/>
        </w:rPr>
        <w:t>安全生产</w:t>
      </w:r>
      <w:r>
        <w:rPr>
          <w:rFonts w:hint="eastAsia" w:ascii="方正黑体_GBK" w:hAnsi="方正黑体_GBK" w:eastAsia="方正黑体_GBK" w:cs="方正黑体_GBK"/>
          <w:b w:val="0"/>
          <w:bCs/>
          <w:color w:val="auto"/>
          <w:sz w:val="32"/>
          <w:szCs w:val="32"/>
        </w:rPr>
        <w:t>考核</w:t>
      </w:r>
    </w:p>
    <w:p w14:paraId="265DBDA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执行《海纳川承包商</w:t>
      </w:r>
      <w:r>
        <w:rPr>
          <w:rFonts w:hint="eastAsia" w:ascii="方正仿宋简体" w:hAnsi="方正仿宋简体" w:eastAsia="方正仿宋简体" w:cs="方正仿宋简体"/>
          <w:color w:val="auto"/>
          <w:sz w:val="32"/>
          <w:szCs w:val="32"/>
          <w:lang w:eastAsia="zh-CN"/>
        </w:rPr>
        <w:t>安全生产</w:t>
      </w:r>
      <w:r>
        <w:rPr>
          <w:rFonts w:hint="eastAsia" w:ascii="方正仿宋简体" w:hAnsi="方正仿宋简体" w:eastAsia="方正仿宋简体" w:cs="方正仿宋简体"/>
          <w:color w:val="auto"/>
          <w:sz w:val="32"/>
          <w:szCs w:val="32"/>
        </w:rPr>
        <w:t>考核办法》</w:t>
      </w:r>
    </w:p>
    <w:p w14:paraId="2C199286">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color w:val="auto"/>
          <w:sz w:val="44"/>
          <w:szCs w:val="44"/>
        </w:rPr>
      </w:pPr>
      <w:r>
        <w:rPr>
          <w:rFonts w:ascii="Times New Roman"/>
          <w:color w:val="0000FF"/>
          <w:sz w:val="28"/>
          <w:szCs w:val="24"/>
        </w:rPr>
        <w:br w:type="page"/>
      </w:r>
      <w:r>
        <w:rPr>
          <w:rFonts w:hint="eastAsia" w:ascii="方正小标宋简体" w:hAnsi="方正小标宋简体" w:eastAsia="方正小标宋简体" w:cs="方正小标宋简体"/>
          <w:b w:val="0"/>
          <w:bCs w:val="0"/>
          <w:color w:val="auto"/>
          <w:sz w:val="44"/>
          <w:szCs w:val="44"/>
        </w:rPr>
        <w:t>海纳川承包商</w:t>
      </w:r>
      <w:r>
        <w:rPr>
          <w:rFonts w:hint="eastAsia" w:ascii="方正小标宋简体" w:hAnsi="方正小标宋简体" w:eastAsia="方正小标宋简体" w:cs="方正小标宋简体"/>
          <w:b w:val="0"/>
          <w:bCs w:val="0"/>
          <w:color w:val="auto"/>
          <w:sz w:val="44"/>
          <w:szCs w:val="44"/>
          <w:lang w:eastAsia="zh-CN"/>
        </w:rPr>
        <w:t>安全生产</w:t>
      </w:r>
      <w:r>
        <w:rPr>
          <w:rFonts w:hint="eastAsia" w:ascii="方正小标宋简体" w:hAnsi="方正小标宋简体" w:eastAsia="方正小标宋简体" w:cs="方正小标宋简体"/>
          <w:b w:val="0"/>
          <w:bCs w:val="0"/>
          <w:color w:val="auto"/>
          <w:sz w:val="44"/>
          <w:szCs w:val="44"/>
        </w:rPr>
        <w:t>考核办法</w:t>
      </w:r>
    </w:p>
    <w:p w14:paraId="0545FBB2">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color w:val="auto"/>
          <w:sz w:val="44"/>
          <w:szCs w:val="44"/>
        </w:rPr>
      </w:pPr>
    </w:p>
    <w:p w14:paraId="5936F3D3">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为加强承包商</w:t>
      </w:r>
      <w:r>
        <w:rPr>
          <w:rFonts w:hint="eastAsia" w:ascii="方正仿宋简体" w:hAnsi="方正仿宋简体" w:eastAsia="方正仿宋简体" w:cs="方正仿宋简体"/>
          <w:color w:val="auto"/>
          <w:sz w:val="32"/>
          <w:szCs w:val="32"/>
          <w:lang w:eastAsia="zh-CN"/>
        </w:rPr>
        <w:t>安全生产</w:t>
      </w:r>
      <w:r>
        <w:rPr>
          <w:rFonts w:hint="eastAsia" w:ascii="方正仿宋简体" w:hAnsi="方正仿宋简体" w:eastAsia="方正仿宋简体" w:cs="方正仿宋简体"/>
          <w:color w:val="auto"/>
          <w:sz w:val="32"/>
          <w:szCs w:val="32"/>
        </w:rPr>
        <w:t>管理，规范承包商的行为，落实承包商</w:t>
      </w:r>
      <w:r>
        <w:rPr>
          <w:rFonts w:hint="eastAsia" w:ascii="方正仿宋简体" w:hAnsi="方正仿宋简体" w:eastAsia="方正仿宋简体" w:cs="方正仿宋简体"/>
          <w:color w:val="auto"/>
          <w:sz w:val="32"/>
          <w:szCs w:val="32"/>
          <w:lang w:eastAsia="zh-CN"/>
        </w:rPr>
        <w:t>安全</w:t>
      </w:r>
      <w:r>
        <w:rPr>
          <w:rFonts w:hint="eastAsia" w:ascii="方正仿宋简体" w:hAnsi="方正仿宋简体" w:eastAsia="方正仿宋简体" w:cs="方正仿宋简体"/>
          <w:color w:val="auto"/>
          <w:sz w:val="32"/>
          <w:szCs w:val="32"/>
        </w:rPr>
        <w:t>管理制度，制定本管理办法。</w:t>
      </w:r>
    </w:p>
    <w:p w14:paraId="1768AA14">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一、总则</w:t>
      </w:r>
    </w:p>
    <w:p w14:paraId="51FB2F64">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采用积分和罚金并行的考核模式。积分（以100分为基数）用于评估承包商业绩。</w:t>
      </w:r>
    </w:p>
    <w:p w14:paraId="6D3B06A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二、细则</w:t>
      </w:r>
    </w:p>
    <w:p w14:paraId="3BE43890">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楷体_GBK" w:hAnsi="方正楷体_GBK" w:eastAsia="方正楷体_GBK" w:cs="方正楷体_GBK"/>
          <w:color w:val="auto"/>
          <w:sz w:val="32"/>
          <w:szCs w:val="32"/>
          <w:lang w:eastAsia="zh-CN"/>
        </w:rPr>
        <w:t>（一）</w:t>
      </w:r>
      <w:r>
        <w:rPr>
          <w:rFonts w:hint="eastAsia" w:ascii="方正仿宋简体" w:hAnsi="方正仿宋简体" w:eastAsia="方正仿宋简体" w:cs="方正仿宋简体"/>
          <w:color w:val="auto"/>
          <w:sz w:val="32"/>
          <w:szCs w:val="32"/>
        </w:rPr>
        <w:t>有下列情况之一的，每人次扣10分，罚200元。</w:t>
      </w:r>
    </w:p>
    <w:p w14:paraId="1D919C65">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1.</w:t>
      </w:r>
      <w:r>
        <w:rPr>
          <w:rFonts w:hint="eastAsia" w:ascii="方正仿宋简体" w:hAnsi="方正仿宋简体" w:eastAsia="方正仿宋简体" w:cs="方正仿宋简体"/>
          <w:color w:val="auto"/>
          <w:sz w:val="32"/>
          <w:szCs w:val="32"/>
        </w:rPr>
        <w:t>作业人员未经安全教育，培训不合格，未取得外工作业证而在公司内作业的。</w:t>
      </w:r>
    </w:p>
    <w:p w14:paraId="1727A662">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2.</w:t>
      </w:r>
      <w:r>
        <w:rPr>
          <w:rFonts w:hint="eastAsia" w:ascii="方正仿宋简体" w:hAnsi="方正仿宋简体" w:eastAsia="方正仿宋简体" w:cs="方正仿宋简体"/>
          <w:color w:val="auto"/>
          <w:sz w:val="32"/>
          <w:szCs w:val="32"/>
        </w:rPr>
        <w:t>未随身携带外工作业证而作业的。</w:t>
      </w:r>
    </w:p>
    <w:p w14:paraId="55047FDF">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3.</w:t>
      </w:r>
      <w:r>
        <w:rPr>
          <w:rFonts w:hint="eastAsia" w:ascii="方正仿宋简体" w:hAnsi="方正仿宋简体" w:eastAsia="方正仿宋简体" w:cs="方正仿宋简体"/>
          <w:color w:val="auto"/>
          <w:sz w:val="32"/>
          <w:szCs w:val="32"/>
        </w:rPr>
        <w:t>在作业现场穿拖鞋、凉鞋、高跟鞋、裙子、喇叭裤、戴围巾以及打赤膊、光膀子、随处睡觉、随地大小便、随地乱扔垃圾等不文明行为和违章行为的。</w:t>
      </w:r>
    </w:p>
    <w:p w14:paraId="26DA3AAD">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4.</w:t>
      </w:r>
      <w:r>
        <w:rPr>
          <w:rFonts w:hint="eastAsia" w:ascii="方正仿宋简体" w:hAnsi="方正仿宋简体" w:eastAsia="方正仿宋简体" w:cs="方正仿宋简体"/>
          <w:color w:val="auto"/>
          <w:sz w:val="32"/>
          <w:szCs w:val="32"/>
        </w:rPr>
        <w:t>使用气焊、气割作业时，氧气瓶、乙炔气瓶摆放不符合要求的。</w:t>
      </w:r>
    </w:p>
    <w:p w14:paraId="15C22E54">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5.</w:t>
      </w:r>
      <w:r>
        <w:rPr>
          <w:rFonts w:hint="eastAsia" w:ascii="方正仿宋简体" w:hAnsi="方正仿宋简体" w:eastAsia="方正仿宋简体" w:cs="方正仿宋简体"/>
          <w:color w:val="auto"/>
          <w:sz w:val="32"/>
          <w:szCs w:val="32"/>
        </w:rPr>
        <w:t>登高作业中，上下梯子无人扶梯的，梯子下没有橡皮垫的。</w:t>
      </w:r>
    </w:p>
    <w:p w14:paraId="578003D8">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6.</w:t>
      </w:r>
      <w:r>
        <w:rPr>
          <w:rFonts w:hint="eastAsia" w:ascii="方正仿宋简体" w:hAnsi="方正仿宋简体" w:eastAsia="方正仿宋简体" w:cs="方正仿宋简体"/>
          <w:color w:val="auto"/>
          <w:sz w:val="32"/>
          <w:szCs w:val="32"/>
        </w:rPr>
        <w:t>电焊机一次线，超过5m或有裸露或拖地移动或跨通道使用的。</w:t>
      </w:r>
    </w:p>
    <w:p w14:paraId="17EB8737">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7.</w:t>
      </w:r>
      <w:r>
        <w:rPr>
          <w:rFonts w:hint="eastAsia" w:ascii="方正仿宋简体" w:hAnsi="方正仿宋简体" w:eastAsia="方正仿宋简体" w:cs="方正仿宋简体"/>
          <w:color w:val="auto"/>
          <w:sz w:val="32"/>
          <w:szCs w:val="32"/>
        </w:rPr>
        <w:t>作业现场的材料、设备、工具等乱摆乱放。</w:t>
      </w:r>
    </w:p>
    <w:p w14:paraId="6C2BE7A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8.</w:t>
      </w:r>
      <w:r>
        <w:rPr>
          <w:rFonts w:hint="eastAsia" w:ascii="方正仿宋简体" w:hAnsi="方正仿宋简体" w:eastAsia="方正仿宋简体" w:cs="方正仿宋简体"/>
          <w:color w:val="auto"/>
          <w:sz w:val="32"/>
          <w:szCs w:val="32"/>
        </w:rPr>
        <w:t>作业现场有沟、坑、洞等易发生危险的区域，未设置安全防护和警示标识的。</w:t>
      </w:r>
    </w:p>
    <w:p w14:paraId="6E1F9DDB">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9.</w:t>
      </w:r>
      <w:r>
        <w:rPr>
          <w:rFonts w:hint="eastAsia" w:ascii="方正仿宋简体" w:hAnsi="方正仿宋简体" w:eastAsia="方正仿宋简体" w:cs="方正仿宋简体"/>
          <w:color w:val="auto"/>
          <w:sz w:val="32"/>
          <w:szCs w:val="32"/>
        </w:rPr>
        <w:t>未得到许可进入一般危险区域的。</w:t>
      </w:r>
    </w:p>
    <w:p w14:paraId="07D8A756">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10.</w:t>
      </w:r>
      <w:r>
        <w:rPr>
          <w:rFonts w:hint="eastAsia" w:ascii="方正仿宋简体" w:hAnsi="方正仿宋简体" w:eastAsia="方正仿宋简体" w:cs="方正仿宋简体"/>
          <w:color w:val="auto"/>
          <w:sz w:val="32"/>
          <w:szCs w:val="32"/>
        </w:rPr>
        <w:t>进入甲方所属区域车辆不遵守甲方的交通管理要求的。</w:t>
      </w:r>
    </w:p>
    <w:p w14:paraId="33C7D6A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11.</w:t>
      </w:r>
      <w:r>
        <w:rPr>
          <w:rFonts w:hint="eastAsia" w:ascii="方正仿宋简体" w:hAnsi="方正仿宋简体" w:eastAsia="方正仿宋简体" w:cs="方正仿宋简体"/>
          <w:color w:val="auto"/>
          <w:sz w:val="32"/>
          <w:szCs w:val="32"/>
        </w:rPr>
        <w:t>乱抛掷物体(特别是高处作业时)的。</w:t>
      </w:r>
    </w:p>
    <w:p w14:paraId="70F8C163">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12.</w:t>
      </w:r>
      <w:r>
        <w:rPr>
          <w:rFonts w:hint="eastAsia" w:ascii="方正仿宋简体" w:hAnsi="方正仿宋简体" w:eastAsia="方正仿宋简体" w:cs="方正仿宋简体"/>
          <w:color w:val="auto"/>
          <w:sz w:val="32"/>
          <w:szCs w:val="32"/>
        </w:rPr>
        <w:t>不听岗位人员或现场管理人员指挥或劝阻的（态度恶劣的加重处罚）。</w:t>
      </w:r>
    </w:p>
    <w:p w14:paraId="4086D6E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lang w:val="en-US" w:eastAsia="zh-CN"/>
        </w:rPr>
      </w:pPr>
      <w:r>
        <w:rPr>
          <w:rFonts w:hint="eastAsia" w:ascii="方正仿宋简体" w:hAnsi="方正仿宋简体" w:eastAsia="方正仿宋简体" w:cs="方正仿宋简体"/>
          <w:color w:val="auto"/>
          <w:sz w:val="32"/>
          <w:szCs w:val="32"/>
          <w:lang w:val="en-US" w:eastAsia="zh-CN"/>
        </w:rPr>
        <w:t>13.作业结束后，未做到工完料尽场地清的。</w:t>
      </w:r>
    </w:p>
    <w:p w14:paraId="651602D4">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14.</w:t>
      </w:r>
      <w:r>
        <w:rPr>
          <w:rFonts w:hint="eastAsia" w:ascii="方正仿宋简体" w:hAnsi="方正仿宋简体" w:eastAsia="方正仿宋简体" w:cs="方正仿宋简体"/>
          <w:color w:val="auto"/>
          <w:sz w:val="32"/>
          <w:szCs w:val="32"/>
        </w:rPr>
        <w:t>违反公司治安规定，情节较轻的。</w:t>
      </w:r>
    </w:p>
    <w:p w14:paraId="462960DB">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楷体_GBK" w:hAnsi="方正楷体_GBK" w:eastAsia="方正楷体_GBK" w:cs="方正楷体_GBK"/>
          <w:color w:val="auto"/>
          <w:sz w:val="32"/>
          <w:szCs w:val="32"/>
          <w:lang w:eastAsia="zh-CN"/>
        </w:rPr>
        <w:t>（二）</w:t>
      </w:r>
      <w:r>
        <w:rPr>
          <w:rFonts w:hint="eastAsia" w:ascii="方正仿宋简体" w:hAnsi="方正仿宋简体" w:eastAsia="方正仿宋简体" w:cs="方正仿宋简体"/>
          <w:color w:val="auto"/>
          <w:sz w:val="32"/>
          <w:szCs w:val="32"/>
        </w:rPr>
        <w:t>有下列情况之一的，每人次扣20分，罚400元。</w:t>
      </w:r>
    </w:p>
    <w:p w14:paraId="3EFF878F">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1.</w:t>
      </w:r>
      <w:r>
        <w:rPr>
          <w:rFonts w:hint="eastAsia" w:ascii="方正仿宋简体" w:hAnsi="方正仿宋简体" w:eastAsia="方正仿宋简体" w:cs="方正仿宋简体"/>
          <w:color w:val="auto"/>
          <w:sz w:val="32"/>
          <w:szCs w:val="32"/>
        </w:rPr>
        <w:t>未按规定佩戴安全帽等防护用品的，或虽佩戴安全防护用品但未正确使用的(参照公司安全生产九大禁令执行）。</w:t>
      </w:r>
    </w:p>
    <w:p w14:paraId="3676D0A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2.</w:t>
      </w:r>
      <w:r>
        <w:rPr>
          <w:rFonts w:hint="eastAsia" w:ascii="方正仿宋简体" w:hAnsi="方正仿宋简体" w:eastAsia="方正仿宋简体" w:cs="方正仿宋简体"/>
          <w:color w:val="auto"/>
          <w:sz w:val="32"/>
          <w:szCs w:val="32"/>
        </w:rPr>
        <w:t>临水作业未按规定正确穿戴救生衣的。</w:t>
      </w:r>
    </w:p>
    <w:p w14:paraId="4F31E31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3.</w:t>
      </w:r>
      <w:r>
        <w:rPr>
          <w:rFonts w:hint="eastAsia" w:ascii="方正仿宋简体" w:hAnsi="方正仿宋简体" w:eastAsia="方正仿宋简体" w:cs="方正仿宋简体"/>
          <w:color w:val="auto"/>
          <w:sz w:val="32"/>
          <w:szCs w:val="32"/>
        </w:rPr>
        <w:t>高处作业不系安全带或未高挂低用（特殊情况除外）的。</w:t>
      </w:r>
    </w:p>
    <w:p w14:paraId="265C682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4.</w:t>
      </w:r>
      <w:r>
        <w:rPr>
          <w:rFonts w:hint="eastAsia" w:ascii="方正仿宋简体" w:hAnsi="方正仿宋简体" w:eastAsia="方正仿宋简体" w:cs="方正仿宋简体"/>
          <w:color w:val="auto"/>
          <w:sz w:val="32"/>
          <w:szCs w:val="32"/>
        </w:rPr>
        <w:t>检修作业时，脚手架搭设不牢，跳板未有效固定的。</w:t>
      </w:r>
    </w:p>
    <w:p w14:paraId="32CD6EEB">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5.</w:t>
      </w:r>
      <w:r>
        <w:rPr>
          <w:rFonts w:hint="eastAsia" w:ascii="方正仿宋简体" w:hAnsi="方正仿宋简体" w:eastAsia="方正仿宋简体" w:cs="方正仿宋简体"/>
          <w:color w:val="auto"/>
          <w:sz w:val="32"/>
          <w:szCs w:val="32"/>
        </w:rPr>
        <w:t>手动葫芦链条、吊钩锈蚀严重，有断裂可能；吊钩缺少销子。因手动葫芦故障导致吊装物件损坏设备或造成停车的，加重处罚（对造成损失的赔偿另行计算）。</w:t>
      </w:r>
    </w:p>
    <w:p w14:paraId="2785548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6.</w:t>
      </w:r>
      <w:r>
        <w:rPr>
          <w:rFonts w:hint="eastAsia" w:ascii="方正仿宋简体" w:hAnsi="方正仿宋简体" w:eastAsia="方正仿宋简体" w:cs="方正仿宋简体"/>
          <w:color w:val="auto"/>
          <w:sz w:val="32"/>
          <w:szCs w:val="32"/>
        </w:rPr>
        <w:t>临时用电箱或接线盘未经公司主管部门检测,无合格标签就直接使用的；临时用电箱、电焊机未有效接地的。</w:t>
      </w:r>
    </w:p>
    <w:p w14:paraId="585F9BE2">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7.</w:t>
      </w:r>
      <w:r>
        <w:rPr>
          <w:rFonts w:hint="eastAsia" w:ascii="方正仿宋简体" w:hAnsi="方正仿宋简体" w:eastAsia="方正仿宋简体" w:cs="方正仿宋简体"/>
          <w:color w:val="auto"/>
          <w:sz w:val="32"/>
          <w:szCs w:val="32"/>
        </w:rPr>
        <w:t>气焊、气割作业时，使用的氧气瓶、乙炔气瓶上氧气管、乙炔气管老化未及时更换的、未按规定安装阻火器、压力表损坏的。</w:t>
      </w:r>
    </w:p>
    <w:p w14:paraId="51F0AEB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8.</w:t>
      </w:r>
      <w:r>
        <w:rPr>
          <w:rFonts w:hint="eastAsia" w:ascii="方正仿宋简体" w:hAnsi="方正仿宋简体" w:eastAsia="方正仿宋简体" w:cs="方正仿宋简体"/>
          <w:color w:val="auto"/>
          <w:sz w:val="32"/>
          <w:szCs w:val="32"/>
        </w:rPr>
        <w:t>未经批准使用危险化学品的。</w:t>
      </w:r>
    </w:p>
    <w:p w14:paraId="18D6A93B">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9.</w:t>
      </w:r>
      <w:r>
        <w:rPr>
          <w:rFonts w:hint="eastAsia" w:ascii="方正仿宋简体" w:hAnsi="方正仿宋简体" w:eastAsia="方正仿宋简体" w:cs="方正仿宋简体"/>
          <w:color w:val="auto"/>
          <w:sz w:val="32"/>
          <w:szCs w:val="32"/>
        </w:rPr>
        <w:t>作业现场杂乱无章，堵塞消防通道、安全通道的。</w:t>
      </w:r>
    </w:p>
    <w:p w14:paraId="68D85F83">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10.</w:t>
      </w:r>
      <w:r>
        <w:rPr>
          <w:rFonts w:hint="eastAsia" w:ascii="方正仿宋简体" w:hAnsi="方正仿宋简体" w:eastAsia="方正仿宋简体" w:cs="方正仿宋简体"/>
          <w:color w:val="auto"/>
          <w:sz w:val="32"/>
          <w:szCs w:val="32"/>
        </w:rPr>
        <w:t>作业中违章踩踏或破坏管道和管线，及管道保温伴热等附件的。</w:t>
      </w:r>
    </w:p>
    <w:p w14:paraId="42AB4978">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11.</w:t>
      </w:r>
      <w:r>
        <w:rPr>
          <w:rFonts w:hint="eastAsia" w:ascii="方正仿宋简体" w:hAnsi="方正仿宋简体" w:eastAsia="方正仿宋简体" w:cs="方正仿宋简体"/>
          <w:color w:val="auto"/>
          <w:sz w:val="32"/>
          <w:szCs w:val="32"/>
        </w:rPr>
        <w:t>因违章作业，导致我公司直接经济损失一万元以下的（对造成损失的赔偿另行计算）。</w:t>
      </w:r>
    </w:p>
    <w:p w14:paraId="6098203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楷体_GBK" w:hAnsi="方正楷体_GBK" w:eastAsia="方正楷体_GBK" w:cs="方正楷体_GBK"/>
          <w:color w:val="auto"/>
          <w:sz w:val="32"/>
          <w:szCs w:val="32"/>
          <w:lang w:eastAsia="zh-CN"/>
        </w:rPr>
        <w:t>（三）</w:t>
      </w:r>
      <w:r>
        <w:rPr>
          <w:rFonts w:hint="eastAsia" w:ascii="方正仿宋简体" w:hAnsi="方正仿宋简体" w:eastAsia="方正仿宋简体" w:cs="方正仿宋简体"/>
          <w:color w:val="auto"/>
          <w:sz w:val="32"/>
          <w:szCs w:val="32"/>
        </w:rPr>
        <w:t>有下列情况之一的，每人次扣30分，罚700元。</w:t>
      </w:r>
    </w:p>
    <w:p w14:paraId="273E091C">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1.</w:t>
      </w:r>
      <w:r>
        <w:rPr>
          <w:rFonts w:hint="eastAsia" w:ascii="方正仿宋简体" w:hAnsi="方正仿宋简体" w:eastAsia="方正仿宋简体" w:cs="方正仿宋简体"/>
          <w:color w:val="auto"/>
          <w:sz w:val="32"/>
          <w:szCs w:val="32"/>
        </w:rPr>
        <w:t>未得到公司相关部门批准，擅自使用现场的水、电、气(汽)等物料物资的。</w:t>
      </w:r>
    </w:p>
    <w:p w14:paraId="6AFB7A7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2.</w:t>
      </w:r>
      <w:r>
        <w:rPr>
          <w:rFonts w:hint="eastAsia" w:ascii="方正仿宋简体" w:hAnsi="方正仿宋简体" w:eastAsia="方正仿宋简体" w:cs="方正仿宋简体"/>
          <w:color w:val="auto"/>
          <w:sz w:val="32"/>
          <w:szCs w:val="32"/>
        </w:rPr>
        <w:t>未得到公司相关部门批准，擅自动用岗位的设备、机具及消防设施的。</w:t>
      </w:r>
    </w:p>
    <w:p w14:paraId="708C3B68">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3.</w:t>
      </w:r>
      <w:r>
        <w:rPr>
          <w:rFonts w:hint="eastAsia" w:ascii="方正仿宋简体" w:hAnsi="方正仿宋简体" w:eastAsia="方正仿宋简体" w:cs="方正仿宋简体"/>
          <w:color w:val="auto"/>
          <w:sz w:val="32"/>
          <w:szCs w:val="32"/>
        </w:rPr>
        <w:t>忽视现场安全警告，冒险进入危险生产区域。</w:t>
      </w:r>
    </w:p>
    <w:p w14:paraId="46BB4842">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4.</w:t>
      </w:r>
      <w:r>
        <w:rPr>
          <w:rFonts w:hint="eastAsia" w:ascii="方正仿宋简体" w:hAnsi="方正仿宋简体" w:eastAsia="方正仿宋简体" w:cs="方正仿宋简体"/>
          <w:color w:val="auto"/>
          <w:sz w:val="32"/>
          <w:szCs w:val="32"/>
        </w:rPr>
        <w:t>无证作业的，包括逾期使用、越等级使用、超范围使用作业票证等情况。</w:t>
      </w:r>
    </w:p>
    <w:p w14:paraId="48EB74E3">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5.</w:t>
      </w:r>
      <w:r>
        <w:rPr>
          <w:rFonts w:hint="eastAsia" w:ascii="方正仿宋简体" w:hAnsi="方正仿宋简体" w:eastAsia="方正仿宋简体" w:cs="方正仿宋简体"/>
          <w:color w:val="auto"/>
          <w:sz w:val="32"/>
          <w:szCs w:val="32"/>
        </w:rPr>
        <w:t>作业中监护人不在现场或现场不能出示作业证的。</w:t>
      </w:r>
    </w:p>
    <w:p w14:paraId="3AB048A5">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6.</w:t>
      </w:r>
      <w:r>
        <w:rPr>
          <w:rFonts w:hint="eastAsia" w:ascii="方正仿宋简体" w:hAnsi="方正仿宋简体" w:eastAsia="方正仿宋简体" w:cs="方正仿宋简体"/>
          <w:color w:val="auto"/>
          <w:sz w:val="32"/>
          <w:szCs w:val="32"/>
        </w:rPr>
        <w:t>两个以上单位在同一作业区域内交叉作业，不服从公司统一指挥的。</w:t>
      </w:r>
    </w:p>
    <w:p w14:paraId="01BC12AB">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7.</w:t>
      </w:r>
      <w:r>
        <w:rPr>
          <w:rFonts w:hint="eastAsia" w:ascii="方正仿宋简体" w:hAnsi="方正仿宋简体" w:eastAsia="方正仿宋简体" w:cs="方正仿宋简体"/>
          <w:color w:val="auto"/>
          <w:sz w:val="32"/>
          <w:szCs w:val="32"/>
        </w:rPr>
        <w:t>违章作业导致人员受轻伤的。</w:t>
      </w:r>
    </w:p>
    <w:p w14:paraId="6442F3A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8.</w:t>
      </w:r>
      <w:r>
        <w:rPr>
          <w:rFonts w:hint="eastAsia" w:ascii="方正仿宋简体" w:hAnsi="方正仿宋简体" w:eastAsia="方正仿宋简体" w:cs="方正仿宋简体"/>
          <w:color w:val="auto"/>
          <w:sz w:val="32"/>
          <w:szCs w:val="32"/>
        </w:rPr>
        <w:t>安排存在职业禁忌、健康隐患、年龄不符合要求的人员从事作业的。</w:t>
      </w:r>
    </w:p>
    <w:p w14:paraId="60C094A5">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9.</w:t>
      </w:r>
      <w:r>
        <w:rPr>
          <w:rFonts w:hint="eastAsia" w:ascii="方正仿宋简体" w:hAnsi="方正仿宋简体" w:eastAsia="方正仿宋简体" w:cs="方正仿宋简体"/>
          <w:color w:val="auto"/>
          <w:sz w:val="32"/>
          <w:szCs w:val="32"/>
        </w:rPr>
        <w:t>未按照作业票证的相关安全措施执行的。</w:t>
      </w:r>
    </w:p>
    <w:p w14:paraId="1D9EC56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10.</w:t>
      </w:r>
      <w:r>
        <w:rPr>
          <w:rFonts w:hint="eastAsia" w:ascii="方正仿宋简体" w:hAnsi="方正仿宋简体" w:eastAsia="方正仿宋简体" w:cs="方正仿宋简体"/>
          <w:color w:val="auto"/>
          <w:sz w:val="32"/>
          <w:szCs w:val="32"/>
        </w:rPr>
        <w:t>动火作业现场不按规定放置消防器材的。</w:t>
      </w:r>
    </w:p>
    <w:p w14:paraId="3E658AAF">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11.</w:t>
      </w:r>
      <w:r>
        <w:rPr>
          <w:rFonts w:hint="eastAsia" w:ascii="方正仿宋简体" w:hAnsi="方正仿宋简体" w:eastAsia="方正仿宋简体" w:cs="方正仿宋简体"/>
          <w:color w:val="auto"/>
          <w:sz w:val="32"/>
          <w:szCs w:val="32"/>
        </w:rPr>
        <w:t>违章作业导致我公司直接经济损失1－10万元的（对造成损失的赔偿另行计算）。</w:t>
      </w:r>
    </w:p>
    <w:p w14:paraId="05F3F104">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楷体_GBK" w:hAnsi="方正楷体_GBK" w:eastAsia="方正楷体_GBK" w:cs="方正楷体_GBK"/>
          <w:color w:val="auto"/>
          <w:sz w:val="32"/>
          <w:szCs w:val="32"/>
          <w:lang w:eastAsia="zh-CN"/>
        </w:rPr>
        <w:t>（四）</w:t>
      </w:r>
      <w:r>
        <w:rPr>
          <w:rFonts w:hint="eastAsia" w:ascii="方正仿宋简体" w:hAnsi="方正仿宋简体" w:eastAsia="方正仿宋简体" w:cs="方正仿宋简体"/>
          <w:color w:val="auto"/>
          <w:sz w:val="32"/>
          <w:szCs w:val="32"/>
        </w:rPr>
        <w:t>有下列情况之一的，每人次扣50分，罚1000元。</w:t>
      </w:r>
    </w:p>
    <w:p w14:paraId="3FF324A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1.</w:t>
      </w:r>
      <w:r>
        <w:rPr>
          <w:rFonts w:hint="eastAsia" w:ascii="方正仿宋简体" w:hAnsi="方正仿宋简体" w:eastAsia="方正仿宋简体" w:cs="方正仿宋简体"/>
          <w:color w:val="auto"/>
          <w:sz w:val="32"/>
          <w:szCs w:val="32"/>
        </w:rPr>
        <w:t>违章作业造成我公司重大安全隐患的（结合施工现场判定，危害严重，治理难度大，需局部或全部停产整顿的，并经过一定时间整改治理方能排除的隐患。对隐患的整改费用另行计算）。</w:t>
      </w:r>
    </w:p>
    <w:p w14:paraId="2ED427CD">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2.</w:t>
      </w:r>
      <w:r>
        <w:rPr>
          <w:rFonts w:hint="eastAsia" w:ascii="方正仿宋简体" w:hAnsi="方正仿宋简体" w:eastAsia="方正仿宋简体" w:cs="方正仿宋简体"/>
          <w:color w:val="auto"/>
          <w:sz w:val="32"/>
          <w:szCs w:val="32"/>
        </w:rPr>
        <w:t>违章作业导致我公司财产损失10万元以上的（对造成损失的赔偿另行计算）。</w:t>
      </w:r>
    </w:p>
    <w:p w14:paraId="4EC078DA">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3.</w:t>
      </w:r>
      <w:r>
        <w:rPr>
          <w:rFonts w:hint="eastAsia" w:ascii="方正仿宋简体" w:hAnsi="方正仿宋简体" w:eastAsia="方正仿宋简体" w:cs="方正仿宋简体"/>
          <w:color w:val="auto"/>
          <w:sz w:val="32"/>
          <w:szCs w:val="32"/>
        </w:rPr>
        <w:t>生产区域吸烟的。</w:t>
      </w:r>
    </w:p>
    <w:p w14:paraId="3E5D84BC">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4.</w:t>
      </w:r>
      <w:r>
        <w:rPr>
          <w:rFonts w:hint="eastAsia" w:ascii="方正仿宋简体" w:hAnsi="方正仿宋简体" w:eastAsia="方正仿宋简体" w:cs="方正仿宋简体"/>
          <w:color w:val="auto"/>
          <w:sz w:val="32"/>
          <w:szCs w:val="32"/>
        </w:rPr>
        <w:t>违反公司治安规定，情节较重的。</w:t>
      </w:r>
    </w:p>
    <w:p w14:paraId="03D36092">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5.</w:t>
      </w:r>
      <w:r>
        <w:rPr>
          <w:rFonts w:hint="eastAsia" w:ascii="方正仿宋简体" w:hAnsi="方正仿宋简体" w:eastAsia="方正仿宋简体" w:cs="方正仿宋简体"/>
          <w:color w:val="auto"/>
          <w:sz w:val="32"/>
          <w:szCs w:val="32"/>
        </w:rPr>
        <w:t>作业现场人员有打架、放火、盗窃等行为的。</w:t>
      </w:r>
    </w:p>
    <w:p w14:paraId="769A39D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6.</w:t>
      </w:r>
      <w:r>
        <w:rPr>
          <w:rFonts w:hint="eastAsia" w:ascii="方正仿宋简体" w:hAnsi="方正仿宋简体" w:eastAsia="方正仿宋简体" w:cs="方正仿宋简体"/>
          <w:color w:val="auto"/>
          <w:sz w:val="32"/>
          <w:szCs w:val="32"/>
        </w:rPr>
        <w:t>饮酒后作业、吸毒后作业的。</w:t>
      </w:r>
    </w:p>
    <w:p w14:paraId="190BDD9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7.</w:t>
      </w:r>
      <w:r>
        <w:rPr>
          <w:rFonts w:hint="eastAsia" w:ascii="方正仿宋简体" w:hAnsi="方正仿宋简体" w:eastAsia="方正仿宋简体" w:cs="方正仿宋简体"/>
          <w:color w:val="auto"/>
          <w:sz w:val="32"/>
          <w:szCs w:val="32"/>
        </w:rPr>
        <w:t>对甲方在检查中发现的安全隐患，乙方未及时整改的，仍继续作业的。</w:t>
      </w:r>
    </w:p>
    <w:p w14:paraId="589727B4">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8.</w:t>
      </w:r>
      <w:r>
        <w:rPr>
          <w:rFonts w:hint="eastAsia" w:ascii="方正仿宋简体" w:hAnsi="方正仿宋简体" w:eastAsia="方正仿宋简体" w:cs="方正仿宋简体"/>
          <w:color w:val="auto"/>
          <w:sz w:val="32"/>
          <w:szCs w:val="32"/>
        </w:rPr>
        <w:t>使用篡改或失效的文件（如篡改作业票、证件过期等）。</w:t>
      </w:r>
    </w:p>
    <w:p w14:paraId="49CB2BB3">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9.</w:t>
      </w:r>
      <w:r>
        <w:rPr>
          <w:rFonts w:hint="eastAsia" w:ascii="方正仿宋简体" w:hAnsi="方正仿宋简体" w:eastAsia="方正仿宋简体" w:cs="方正仿宋简体"/>
          <w:color w:val="auto"/>
          <w:sz w:val="32"/>
          <w:szCs w:val="32"/>
        </w:rPr>
        <w:t>违章作业导致环保污染事故发生的（环保治理费用另行计算）。</w:t>
      </w:r>
    </w:p>
    <w:p w14:paraId="304D6717">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10.</w:t>
      </w:r>
      <w:r>
        <w:rPr>
          <w:rFonts w:hint="eastAsia" w:ascii="方正仿宋简体" w:hAnsi="方正仿宋简体" w:eastAsia="方正仿宋简体" w:cs="方正仿宋简体"/>
          <w:color w:val="auto"/>
          <w:sz w:val="32"/>
          <w:szCs w:val="32"/>
        </w:rPr>
        <w:t>施工作业中随意处置危险废弃物的（环保治理费用另行计算）。</w:t>
      </w:r>
    </w:p>
    <w:p w14:paraId="0B87D270">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楷体_GBK" w:hAnsi="方正楷体_GBK" w:eastAsia="方正楷体_GBK" w:cs="方正楷体_GBK"/>
          <w:color w:val="auto"/>
          <w:sz w:val="32"/>
          <w:szCs w:val="32"/>
          <w:lang w:eastAsia="zh-CN"/>
        </w:rPr>
        <w:t>（五）</w:t>
      </w:r>
      <w:r>
        <w:rPr>
          <w:rFonts w:hint="eastAsia" w:ascii="方正仿宋简体" w:hAnsi="方正仿宋简体" w:eastAsia="方正仿宋简体" w:cs="方正仿宋简体"/>
          <w:color w:val="auto"/>
          <w:sz w:val="32"/>
          <w:szCs w:val="32"/>
        </w:rPr>
        <w:t>违章作业导致重伤事故发生或死亡事故发生的,扣100分,风险抵押金全部扣除。依据相关部门事故认定，承担相应责任。</w:t>
      </w:r>
    </w:p>
    <w:p w14:paraId="252F1363">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三、其他</w:t>
      </w:r>
    </w:p>
    <w:p w14:paraId="64B46E0A">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楷体_GBK" w:hAnsi="方正楷体_GBK" w:eastAsia="方正楷体_GBK" w:cs="方正楷体_GBK"/>
          <w:color w:val="auto"/>
          <w:sz w:val="32"/>
          <w:szCs w:val="32"/>
          <w:lang w:eastAsia="zh-CN"/>
        </w:rPr>
        <w:t>（一）</w:t>
      </w:r>
      <w:r>
        <w:rPr>
          <w:rFonts w:hint="eastAsia" w:ascii="方正仿宋简体" w:hAnsi="方正仿宋简体" w:eastAsia="方正仿宋简体" w:cs="方正仿宋简体"/>
          <w:color w:val="auto"/>
          <w:sz w:val="32"/>
          <w:szCs w:val="32"/>
        </w:rPr>
        <w:t>公司各级安全监督管理人员有权对承包商及外来人员随时进行监督监察，检查其安全作业情况及违章违纪情况。承包商发生违章行为被查处后，由安全监督管理人员在外工作业证上填写扣除的相应分数，签字盖章确认，</w:t>
      </w:r>
      <w:r>
        <w:rPr>
          <w:rFonts w:hint="eastAsia" w:ascii="方正仿宋简体" w:hAnsi="方正仿宋简体" w:eastAsia="方正仿宋简体" w:cs="方正仿宋简体"/>
          <w:color w:val="auto"/>
          <w:sz w:val="32"/>
          <w:szCs w:val="32"/>
          <w:lang w:eastAsia="zh-CN"/>
        </w:rPr>
        <w:t>并</w:t>
      </w:r>
      <w:r>
        <w:rPr>
          <w:rFonts w:hint="eastAsia" w:ascii="方正仿宋简体" w:hAnsi="方正仿宋简体" w:eastAsia="方正仿宋简体" w:cs="方正仿宋简体"/>
          <w:color w:val="auto"/>
          <w:sz w:val="32"/>
          <w:szCs w:val="32"/>
        </w:rPr>
        <w:t>在</w:t>
      </w:r>
      <w:r>
        <w:rPr>
          <w:rFonts w:hint="eastAsia" w:ascii="方正仿宋简体" w:hAnsi="方正仿宋简体" w:eastAsia="方正仿宋简体" w:cs="方正仿宋简体"/>
          <w:color w:val="auto"/>
          <w:sz w:val="32"/>
          <w:szCs w:val="32"/>
          <w:lang w:eastAsia="zh-CN"/>
        </w:rPr>
        <w:t>海纳川安全信息化平台</w:t>
      </w:r>
      <w:r>
        <w:rPr>
          <w:rFonts w:hint="eastAsia" w:ascii="方正仿宋简体" w:hAnsi="方正仿宋简体" w:eastAsia="方正仿宋简体" w:cs="方正仿宋简体"/>
          <w:color w:val="auto"/>
          <w:sz w:val="32"/>
          <w:szCs w:val="32"/>
        </w:rPr>
        <w:t>上</w:t>
      </w:r>
      <w:r>
        <w:rPr>
          <w:rFonts w:hint="eastAsia" w:ascii="方正仿宋简体" w:hAnsi="方正仿宋简体" w:eastAsia="方正仿宋简体" w:cs="方正仿宋简体"/>
          <w:color w:val="auto"/>
          <w:sz w:val="32"/>
          <w:szCs w:val="32"/>
          <w:lang w:eastAsia="zh-CN"/>
        </w:rPr>
        <w:t>进行记录</w:t>
      </w:r>
      <w:r>
        <w:rPr>
          <w:rFonts w:hint="eastAsia" w:ascii="方正仿宋简体" w:hAnsi="方正仿宋简体" w:eastAsia="方正仿宋简体" w:cs="方正仿宋简体"/>
          <w:color w:val="auto"/>
          <w:sz w:val="32"/>
          <w:szCs w:val="32"/>
        </w:rPr>
        <w:t>。</w:t>
      </w:r>
    </w:p>
    <w:p w14:paraId="3D08A265">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楷体_GBK" w:hAnsi="方正楷体_GBK" w:eastAsia="方正楷体_GBK" w:cs="方正楷体_GBK"/>
          <w:color w:val="auto"/>
          <w:sz w:val="32"/>
          <w:szCs w:val="32"/>
          <w:lang w:eastAsia="zh-CN"/>
        </w:rPr>
        <w:t>（二）</w:t>
      </w:r>
      <w:r>
        <w:rPr>
          <w:rFonts w:hint="eastAsia" w:ascii="方正仿宋简体" w:hAnsi="方正仿宋简体" w:eastAsia="方正仿宋简体" w:cs="方正仿宋简体"/>
          <w:color w:val="auto"/>
          <w:sz w:val="32"/>
          <w:szCs w:val="32"/>
        </w:rPr>
        <w:t>对于发生特别严重的违章行为（包括违反公司安全生产九大禁令的行为），除扣除单位安全积分和风险抵押金外，当事人将承受包括勒令退场在内的其它处罚。</w:t>
      </w:r>
    </w:p>
    <w:p w14:paraId="33490AFC">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楷体_GBK" w:hAnsi="方正楷体_GBK" w:eastAsia="方正楷体_GBK" w:cs="方正楷体_GBK"/>
          <w:color w:val="auto"/>
          <w:sz w:val="32"/>
          <w:szCs w:val="32"/>
          <w:lang w:eastAsia="zh-CN"/>
        </w:rPr>
        <w:t>（三）</w:t>
      </w:r>
      <w:r>
        <w:rPr>
          <w:rFonts w:hint="eastAsia" w:ascii="方正仿宋简体" w:hAnsi="方正仿宋简体" w:eastAsia="方正仿宋简体" w:cs="方正仿宋简体"/>
          <w:color w:val="auto"/>
          <w:sz w:val="32"/>
          <w:szCs w:val="32"/>
        </w:rPr>
        <w:t>承包商在施工作业过程中发生违规行为，除缴纳罚金外，应以事故分析会或异常情况分析会的形式对违规行为进行分析研究，所有由于承包商违规所造成的损失均根据实际情况另行计算。</w:t>
      </w:r>
    </w:p>
    <w:p w14:paraId="74E6B96C">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楷体_GBK" w:hAnsi="方正楷体_GBK" w:eastAsia="方正楷体_GBK" w:cs="方正楷体_GBK"/>
          <w:color w:val="auto"/>
          <w:sz w:val="32"/>
          <w:szCs w:val="32"/>
          <w:lang w:eastAsia="zh-CN"/>
        </w:rPr>
        <w:t>（四）</w:t>
      </w:r>
      <w:r>
        <w:rPr>
          <w:rFonts w:hint="eastAsia" w:ascii="方正仿宋简体" w:hAnsi="方正仿宋简体" w:eastAsia="方正仿宋简体" w:cs="方正仿宋简体"/>
          <w:color w:val="auto"/>
          <w:sz w:val="32"/>
          <w:szCs w:val="32"/>
        </w:rPr>
        <w:t>承包商用虚假资质承揽业务的或未签定</w:t>
      </w:r>
      <w:r>
        <w:rPr>
          <w:rFonts w:hint="eastAsia" w:ascii="方正仿宋简体" w:hAnsi="方正仿宋简体" w:eastAsia="方正仿宋简体" w:cs="方正仿宋简体"/>
          <w:color w:val="auto"/>
          <w:sz w:val="32"/>
          <w:szCs w:val="32"/>
          <w:lang w:eastAsia="zh-CN"/>
        </w:rPr>
        <w:t>安全生产</w:t>
      </w:r>
      <w:r>
        <w:rPr>
          <w:rFonts w:hint="eastAsia" w:ascii="方正仿宋简体" w:hAnsi="方正仿宋简体" w:eastAsia="方正仿宋简体" w:cs="方正仿宋简体"/>
          <w:color w:val="auto"/>
          <w:sz w:val="32"/>
          <w:szCs w:val="32"/>
        </w:rPr>
        <w:t>协议私自施工的，取消其在公司范围内承揽业务的资格并加入黑名单。</w:t>
      </w:r>
    </w:p>
    <w:p w14:paraId="3AD3E460">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楷体_GBK" w:hAnsi="方正楷体_GBK" w:eastAsia="方正楷体_GBK" w:cs="方正楷体_GBK"/>
          <w:color w:val="auto"/>
          <w:sz w:val="32"/>
          <w:szCs w:val="32"/>
          <w:lang w:eastAsia="zh-CN"/>
        </w:rPr>
        <w:t>（五）</w:t>
      </w:r>
      <w:r>
        <w:rPr>
          <w:rFonts w:hint="eastAsia" w:ascii="方正仿宋简体" w:hAnsi="方正仿宋简体" w:eastAsia="方正仿宋简体" w:cs="方正仿宋简体"/>
          <w:color w:val="auto"/>
          <w:sz w:val="32"/>
          <w:szCs w:val="32"/>
        </w:rPr>
        <w:t>安全积分或罚金累计金额已大于所交风险抵押金之时，也是该项目作业许可终止之时。若承包商要继续开展工作，需由</w:t>
      </w:r>
      <w:r>
        <w:rPr>
          <w:rFonts w:hint="eastAsia" w:ascii="方正仿宋简体" w:hAnsi="方正仿宋简体" w:eastAsia="方正仿宋简体" w:cs="方正仿宋简体"/>
          <w:color w:val="auto"/>
          <w:sz w:val="32"/>
          <w:szCs w:val="32"/>
          <w:lang w:eastAsia="zh-CN"/>
        </w:rPr>
        <w:t>安全管理部门</w:t>
      </w:r>
      <w:r>
        <w:rPr>
          <w:rFonts w:hint="eastAsia" w:ascii="方正仿宋简体" w:hAnsi="方正仿宋简体" w:eastAsia="方正仿宋简体" w:cs="方正仿宋简体"/>
          <w:color w:val="auto"/>
          <w:sz w:val="32"/>
          <w:szCs w:val="32"/>
        </w:rPr>
        <w:t>重新进行安全评估。</w:t>
      </w:r>
    </w:p>
    <w:p w14:paraId="7C9C6BA6">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楷体_GBK" w:hAnsi="方正楷体_GBK" w:eastAsia="方正楷体_GBK" w:cs="方正楷体_GBK"/>
          <w:color w:val="auto"/>
          <w:sz w:val="32"/>
          <w:szCs w:val="32"/>
          <w:lang w:eastAsia="zh-CN"/>
        </w:rPr>
        <w:t>（六）</w:t>
      </w:r>
      <w:r>
        <w:rPr>
          <w:rFonts w:hint="eastAsia" w:ascii="方正仿宋简体" w:hAnsi="方正仿宋简体" w:eastAsia="方正仿宋简体" w:cs="方正仿宋简体"/>
          <w:color w:val="auto"/>
          <w:sz w:val="32"/>
          <w:szCs w:val="32"/>
        </w:rPr>
        <w:t>同一个承包商一个项目安全积分均低于</w:t>
      </w:r>
      <w:r>
        <w:rPr>
          <w:rFonts w:hint="eastAsia" w:ascii="方正仿宋简体" w:hAnsi="方正仿宋简体" w:eastAsia="方正仿宋简体" w:cs="方正仿宋简体"/>
          <w:color w:val="auto"/>
          <w:sz w:val="32"/>
          <w:szCs w:val="32"/>
          <w:lang w:val="en-US" w:eastAsia="zh-CN"/>
        </w:rPr>
        <w:t>70</w:t>
      </w:r>
      <w:r>
        <w:rPr>
          <w:rFonts w:hint="eastAsia" w:ascii="方正仿宋简体" w:hAnsi="方正仿宋简体" w:eastAsia="方正仿宋简体" w:cs="方正仿宋简体"/>
          <w:color w:val="auto"/>
          <w:sz w:val="32"/>
          <w:szCs w:val="32"/>
        </w:rPr>
        <w:t>分的，第二个项目风险抵押金加倍；连续二个项目均低于</w:t>
      </w:r>
      <w:r>
        <w:rPr>
          <w:rFonts w:hint="eastAsia" w:ascii="方正仿宋简体" w:hAnsi="方正仿宋简体" w:eastAsia="方正仿宋简体" w:cs="方正仿宋简体"/>
          <w:color w:val="auto"/>
          <w:sz w:val="32"/>
          <w:szCs w:val="32"/>
          <w:lang w:val="en-US" w:eastAsia="zh-CN"/>
        </w:rPr>
        <w:t>70</w:t>
      </w:r>
      <w:r>
        <w:rPr>
          <w:rFonts w:hint="eastAsia" w:ascii="方正仿宋简体" w:hAnsi="方正仿宋简体" w:eastAsia="方正仿宋简体" w:cs="方正仿宋简体"/>
          <w:color w:val="auto"/>
          <w:sz w:val="32"/>
          <w:szCs w:val="32"/>
        </w:rPr>
        <w:t>分的，取消其在公司范围内承揽业务的资格并加入黑名单。</w:t>
      </w:r>
    </w:p>
    <w:p w14:paraId="2D3AB3A0">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楷体_GBK" w:hAnsi="方正楷体_GBK" w:eastAsia="方正楷体_GBK" w:cs="方正楷体_GBK"/>
          <w:color w:val="auto"/>
          <w:sz w:val="32"/>
          <w:szCs w:val="32"/>
          <w:lang w:eastAsia="zh-CN"/>
        </w:rPr>
        <w:t>（七）</w:t>
      </w:r>
      <w:r>
        <w:rPr>
          <w:rFonts w:hint="eastAsia" w:ascii="方正仿宋简体" w:hAnsi="方正仿宋简体" w:eastAsia="方正仿宋简体" w:cs="方正仿宋简体"/>
          <w:color w:val="auto"/>
          <w:sz w:val="32"/>
          <w:szCs w:val="32"/>
        </w:rPr>
        <w:t>同一个承包商一年内年度平均安全积分低于</w:t>
      </w:r>
      <w:r>
        <w:rPr>
          <w:rFonts w:hint="eastAsia" w:ascii="方正仿宋简体" w:hAnsi="方正仿宋简体" w:eastAsia="方正仿宋简体" w:cs="方正仿宋简体"/>
          <w:color w:val="auto"/>
          <w:sz w:val="32"/>
          <w:szCs w:val="32"/>
          <w:lang w:val="en-US" w:eastAsia="zh-CN"/>
        </w:rPr>
        <w:t>70</w:t>
      </w:r>
      <w:r>
        <w:rPr>
          <w:rFonts w:hint="eastAsia" w:ascii="方正仿宋简体" w:hAnsi="方正仿宋简体" w:eastAsia="方正仿宋简体" w:cs="方正仿宋简体"/>
          <w:color w:val="auto"/>
          <w:sz w:val="32"/>
          <w:szCs w:val="32"/>
        </w:rPr>
        <w:t>分的，取消其下年度在公司范围内承揽业务的资格。</w:t>
      </w:r>
    </w:p>
    <w:p w14:paraId="721ECA3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未尽事宜，由</w:t>
      </w:r>
      <w:r>
        <w:rPr>
          <w:rFonts w:hint="eastAsia" w:ascii="方正仿宋简体" w:hAnsi="方正仿宋简体" w:eastAsia="方正仿宋简体" w:cs="方正仿宋简体"/>
          <w:color w:val="auto"/>
          <w:sz w:val="32"/>
          <w:szCs w:val="32"/>
          <w:lang w:eastAsia="zh-CN"/>
        </w:rPr>
        <w:t>安全管理部门</w:t>
      </w:r>
      <w:r>
        <w:rPr>
          <w:rFonts w:hint="eastAsia" w:ascii="方正仿宋简体" w:hAnsi="方正仿宋简体" w:eastAsia="方正仿宋简体" w:cs="方正仿宋简体"/>
          <w:color w:val="auto"/>
          <w:sz w:val="32"/>
          <w:szCs w:val="32"/>
        </w:rPr>
        <w:t>根据公司相关规定酌情处置。</w:t>
      </w:r>
    </w:p>
    <w:p w14:paraId="07FB7D6B">
      <w:pPr>
        <w:keepNext w:val="0"/>
        <w:keepLines w:val="0"/>
        <w:pageBreakBefore w:val="0"/>
        <w:kinsoku/>
        <w:wordWrap/>
        <w:overflowPunct/>
        <w:topLinePunct w:val="0"/>
        <w:autoSpaceDE/>
        <w:autoSpaceDN/>
        <w:bidi w:val="0"/>
        <w:adjustRightInd/>
        <w:snapToGrid/>
        <w:spacing w:line="560" w:lineRule="exact"/>
        <w:textAlignment w:val="auto"/>
        <w:rPr>
          <w:rFonts w:ascii="Times New Roman"/>
          <w:color w:val="0000FF"/>
          <w:sz w:val="28"/>
          <w:szCs w:val="24"/>
        </w:rPr>
      </w:pPr>
      <w:r>
        <w:rPr>
          <w:rFonts w:ascii="Times New Roman"/>
          <w:color w:val="0000FF"/>
          <w:sz w:val="28"/>
          <w:szCs w:val="24"/>
        </w:rPr>
        <w:br w:type="page"/>
      </w:r>
    </w:p>
    <w:p w14:paraId="6A7D06CD">
      <w:pPr>
        <w:pStyle w:val="48"/>
        <w:adjustRightInd w:val="0"/>
        <w:snapToGrid w:val="0"/>
        <w:spacing w:before="0" w:after="0" w:line="600" w:lineRule="exact"/>
        <w:jc w:val="left"/>
        <w:rPr>
          <w:rFonts w:hint="default" w:ascii="方正黑体_GBK" w:hAnsi="方正黑体_GBK" w:eastAsia="方正黑体_GBK" w:cs="方正黑体_GBK"/>
          <w:b w:val="0"/>
          <w:bCs w:val="0"/>
          <w:lang w:val="en-US" w:eastAsia="zh-CN"/>
        </w:rPr>
      </w:pPr>
      <w:r>
        <w:rPr>
          <w:rFonts w:hint="eastAsia" w:ascii="方正黑体_GBK" w:hAnsi="方正黑体_GBK" w:eastAsia="方正黑体_GBK" w:cs="方正黑体_GBK"/>
          <w:b w:val="0"/>
          <w:bCs w:val="0"/>
          <w:lang w:val="en-US" w:eastAsia="zh-CN"/>
        </w:rPr>
        <w:t>附件3：</w:t>
      </w:r>
    </w:p>
    <w:p w14:paraId="5F5CFF33">
      <w:pPr>
        <w:pStyle w:val="48"/>
        <w:adjustRightInd w:val="0"/>
        <w:snapToGrid w:val="0"/>
        <w:spacing w:before="0" w:after="0" w:line="600" w:lineRule="exact"/>
        <w:rPr>
          <w:rFonts w:ascii="黑体" w:hAnsi="黑体" w:eastAsia="黑体"/>
          <w:b w:val="0"/>
          <w:bCs w:val="0"/>
          <w:sz w:val="34"/>
          <w:szCs w:val="34"/>
        </w:rPr>
      </w:pPr>
      <w:r>
        <w:rPr>
          <w:rFonts w:hint="eastAsia" w:ascii="方正黑体_GBK" w:hAnsi="方正黑体_GBK" w:eastAsia="方正黑体_GBK" w:cs="方正黑体_GBK"/>
          <w:b w:val="0"/>
          <w:bCs w:val="0"/>
        </w:rPr>
        <w:t xml:space="preserve"> 供应商管理</w:t>
      </w:r>
    </w:p>
    <w:p w14:paraId="43B1D014">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凡按国家标准及相关准则或规定组织生产销售的原辅材料、备品备件、劳保用品等物资供应商以及运输服务商，只要资质证照齐全且满足我司招标要求，均视为我司合格供应商，参与我司组织的招投标、比价采购等商务活动。</w:t>
      </w:r>
    </w:p>
    <w:p w14:paraId="0C53E867">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供应商负面清单管理</w:t>
      </w:r>
    </w:p>
    <w:p w14:paraId="76FBDBA1">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（一）</w:t>
      </w:r>
      <w:r>
        <w:rPr>
          <w:rFonts w:hint="eastAsia" w:ascii="方正仿宋简体" w:hAnsi="方正仿宋简体" w:eastAsia="方正仿宋简体" w:cs="方正仿宋简体"/>
          <w:sz w:val="32"/>
          <w:szCs w:val="32"/>
        </w:rPr>
        <w:t>管理职责</w:t>
      </w:r>
    </w:p>
    <w:p w14:paraId="7B0DCC6E">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1.使用部门：负责提供技术参数或提出服务要求，对采购物资或服务的质量进行验收。</w:t>
      </w:r>
    </w:p>
    <w:p w14:paraId="1EDAE7CD">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2.采购部门：负责通过线上或线下途径不断开发有能力满足公司所需物资或服务的供应商，对目标供应商所提供的材料完整性、交货期、价格等维度作为筛选的依据进行资格初审，收集供应商资料并建立档案。</w:t>
      </w:r>
    </w:p>
    <w:p w14:paraId="4BF3CFF3">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3.监管部门：负责对采购流程的合规性进行监督。</w:t>
      </w:r>
    </w:p>
    <w:p w14:paraId="1F20A830">
      <w:pPr>
        <w:tabs>
          <w:tab w:val="left" w:pos="2565"/>
        </w:tabs>
        <w:spacing w:line="600" w:lineRule="exact"/>
        <w:ind w:firstLine="640" w:firstLineChars="200"/>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rPr>
        <w:t>审计风控部负责归口公司招投标负面清单，具体工作由海纳川各部室及直属单位共同承担。</w:t>
      </w:r>
    </w:p>
    <w:p w14:paraId="3EE0B103">
      <w:pPr>
        <w:numPr>
          <w:ilvl w:val="0"/>
          <w:numId w:val="9"/>
        </w:numPr>
        <w:tabs>
          <w:tab w:val="left" w:pos="2565"/>
        </w:tabs>
        <w:spacing w:line="600" w:lineRule="exact"/>
        <w:ind w:firstLine="420" w:firstLineChars="200"/>
        <w:rPr>
          <w:rFonts w:ascii="方正仿宋简体" w:hAnsi="方正仿宋简体" w:eastAsia="方正仿宋简体" w:cs="方正仿宋简体"/>
          <w:sz w:val="32"/>
          <w:szCs w:val="32"/>
        </w:rPr>
      </w:pPr>
      <w:r>
        <w:drawing>
          <wp:anchor distT="0" distB="0" distL="114300" distR="114300" simplePos="0" relativeHeight="251660288" behindDoc="0" locked="0" layoutInCell="1" allowOverlap="1">
            <wp:simplePos x="0" y="0"/>
            <wp:positionH relativeFrom="column">
              <wp:posOffset>-616585</wp:posOffset>
            </wp:positionH>
            <wp:positionV relativeFrom="page">
              <wp:posOffset>1332230</wp:posOffset>
            </wp:positionV>
            <wp:extent cx="6446520" cy="8431530"/>
            <wp:effectExtent l="0" t="0" r="11430" b="7620"/>
            <wp:wrapSquare wrapText="bothSides"/>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cstate="print"/>
                    <a:stretch>
                      <a:fillRect/>
                    </a:stretch>
                  </pic:blipFill>
                  <pic:spPr>
                    <a:xfrm>
                      <a:off x="0" y="0"/>
                      <a:ext cx="6446520" cy="8431530"/>
                    </a:xfrm>
                    <a:prstGeom prst="rect">
                      <a:avLst/>
                    </a:prstGeom>
                    <a:noFill/>
                    <a:ln>
                      <a:noFill/>
                    </a:ln>
                  </pic:spPr>
                </pic:pic>
              </a:graphicData>
            </a:graphic>
          </wp:anchor>
        </w:drawing>
      </w:r>
      <w:r>
        <w:rPr>
          <w:rFonts w:hint="eastAsia" w:ascii="方正仿宋简体" w:hAnsi="方正仿宋简体" w:eastAsia="方正仿宋简体" w:cs="方正仿宋简体"/>
          <w:sz w:val="32"/>
          <w:szCs w:val="32"/>
        </w:rPr>
        <w:t>负面清单确定流程</w:t>
      </w:r>
    </w:p>
    <w:p w14:paraId="19AE04ED">
      <w:pPr>
        <w:tabs>
          <w:tab w:val="left" w:pos="2565"/>
        </w:tabs>
        <w:spacing w:line="600" w:lineRule="exact"/>
        <w:ind w:firstLine="640" w:firstLineChars="200"/>
        <w:rPr>
          <w:rFonts w:hint="eastAsia" w:ascii="方正黑体_GBK" w:hAnsi="方正黑体_GBK" w:eastAsia="方正黑体_GBK" w:cs="方正黑体_GBK"/>
          <w:sz w:val="32"/>
          <w:szCs w:val="32"/>
        </w:rPr>
      </w:pPr>
    </w:p>
    <w:p w14:paraId="53E8DDD0">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供应商积分管理</w:t>
      </w:r>
    </w:p>
    <w:p w14:paraId="01B2C570">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（一）</w:t>
      </w:r>
      <w:r>
        <w:rPr>
          <w:rFonts w:hint="eastAsia" w:ascii="方正仿宋简体" w:hAnsi="方正仿宋简体" w:eastAsia="方正仿宋简体" w:cs="方正仿宋简体"/>
          <w:sz w:val="32"/>
          <w:szCs w:val="32"/>
        </w:rPr>
        <w:t>供应商积分考核</w:t>
      </w:r>
    </w:p>
    <w:p w14:paraId="2FBE0FC4">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合作供应商初始积分为40分，从供应商的供货质量、交货周期、售后服务、资质信誉等方面进行考核。使用部门、管理部门、采购部门均可书面提出考核建议。审计风控部组织相关参与评标部门根据本规定对供应商进行考核并建立供应商考核情况登记表（见附件3），根据扣分情况分为继续合作、限制合作及列入负面清单三种情形。考核记分周期为1年，自被考核当日起计满1年后，考核分自动清零。</w:t>
      </w:r>
    </w:p>
    <w:p w14:paraId="19495237">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1.继续合作供应商：考核扣分介于0～7分之间，为可继续合作的供应商。</w:t>
      </w:r>
    </w:p>
    <w:p w14:paraId="62AB582A">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2.限制合作供应商：考核扣分介于8～16分之间，为限制合作供应商。原辅材料采购3个月内、备品备件采购6个月内不接受该供应商投标或报价。 </w:t>
      </w:r>
    </w:p>
    <w:p w14:paraId="7CD6867D">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3.列入负面清单供应商：考核扣分高于16分或单项扣10分，列入负面清单供应商，1年内不接受该供应商投标或报价。</w:t>
      </w:r>
    </w:p>
    <w:p w14:paraId="2FF22709">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（二）</w:t>
      </w:r>
      <w:r>
        <w:rPr>
          <w:rFonts w:hint="eastAsia" w:ascii="方正仿宋简体" w:hAnsi="方正仿宋简体" w:eastAsia="方正仿宋简体" w:cs="方正仿宋简体"/>
          <w:sz w:val="32"/>
          <w:szCs w:val="32"/>
        </w:rPr>
        <w:t>供应商考核方法</w:t>
      </w:r>
    </w:p>
    <w:p w14:paraId="39D8A614">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1.建筑施工方</w:t>
      </w:r>
    </w:p>
    <w:p w14:paraId="20111432">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（1）质量方面</w:t>
      </w:r>
    </w:p>
    <w:p w14:paraId="65E7DBB7">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①施工材料出现质量问题，及时调换，未影响生产的，单次扣1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3分；影响生产的，视严重程度单次扣5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10分。</w:t>
      </w:r>
    </w:p>
    <w:p w14:paraId="0711BD5B">
      <w:pPr>
        <w:spacing w:line="600" w:lineRule="exact"/>
        <w:ind w:firstLine="66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②施工材料存在质量问题，未能及时更换，单次扣10分。</w:t>
      </w:r>
    </w:p>
    <w:p w14:paraId="0E6128EC">
      <w:pPr>
        <w:spacing w:line="600" w:lineRule="exact"/>
        <w:ind w:firstLine="66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③不能满足工程质量要求的，考核5-10分。</w:t>
      </w:r>
    </w:p>
    <w:p w14:paraId="1B090A65">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（2）工期方面</w:t>
      </w:r>
    </w:p>
    <w:p w14:paraId="10BD1CCC">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不能满足进度要求的，考核5-10分。</w:t>
      </w:r>
    </w:p>
    <w:p w14:paraId="1773C5AA">
      <w:pPr>
        <w:spacing w:line="600" w:lineRule="exact"/>
        <w:ind w:firstLine="640" w:firstLineChars="200"/>
        <w:rPr>
          <w:rFonts w:ascii="方正楷体_GBK" w:hAnsi="方正楷体_GBK" w:eastAsia="方正楷体_GBK" w:cs="方正楷体_GBK"/>
          <w:sz w:val="32"/>
          <w:szCs w:val="32"/>
        </w:rPr>
      </w:pPr>
      <w:r>
        <w:rPr>
          <w:rFonts w:hint="eastAsia" w:ascii="方正仿宋简体" w:hAnsi="方正仿宋简体" w:eastAsia="方正仿宋简体" w:cs="方正仿宋简体"/>
          <w:sz w:val="32"/>
          <w:szCs w:val="32"/>
        </w:rPr>
        <w:t>（3）安全方面</w:t>
      </w:r>
    </w:p>
    <w:p w14:paraId="533B55ED">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现场施工人员不服从招标人安全管理的，考核5-10分。</w:t>
      </w:r>
    </w:p>
    <w:p w14:paraId="4C1F5248">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（4）售后方面</w:t>
      </w:r>
    </w:p>
    <w:p w14:paraId="5EA240E9">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①对我公司的售后服务要求不能及时响应，单次扣2分。</w:t>
      </w:r>
    </w:p>
    <w:p w14:paraId="39DB5907">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②售后人员不能及时解决问题，单次扣3分。</w:t>
      </w:r>
    </w:p>
    <w:p w14:paraId="305D0352">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③在质保期之内，拒绝提供售后服务，单次扣5分。</w:t>
      </w:r>
    </w:p>
    <w:p w14:paraId="47F2D666">
      <w:pPr>
        <w:spacing w:line="600" w:lineRule="exact"/>
        <w:ind w:left="560"/>
        <w:rPr>
          <w:rFonts w:ascii="方正楷体_GBK" w:hAnsi="方正楷体_GBK" w:eastAsia="方正楷体_GBK" w:cs="方正楷体_GBK"/>
          <w:sz w:val="32"/>
          <w:szCs w:val="32"/>
        </w:rPr>
      </w:pPr>
      <w:r>
        <w:rPr>
          <w:rFonts w:hint="eastAsia" w:ascii="方正仿宋简体" w:hAnsi="方正仿宋简体" w:eastAsia="方正仿宋简体" w:cs="方正仿宋简体"/>
          <w:sz w:val="32"/>
          <w:szCs w:val="32"/>
        </w:rPr>
        <w:t>（5）资信方面</w:t>
      </w:r>
    </w:p>
    <w:p w14:paraId="195A71B4">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①中标之后拒绝签订合同或拒绝履行合同，视影响生产程度严重的单次扣5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10分。</w:t>
      </w:r>
    </w:p>
    <w:p w14:paraId="29E673A0">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②交货后不能及时开具发票并送交至业务员，单次扣1分。</w:t>
      </w:r>
    </w:p>
    <w:p w14:paraId="6CBE9B92">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③未按合同明细开票，弄虚作假，视严重程度单次扣5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10分。</w:t>
      </w:r>
    </w:p>
    <w:p w14:paraId="509C4CE2">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10分。</w:t>
      </w:r>
    </w:p>
    <w:p w14:paraId="66D71DBB">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10分。</w:t>
      </w:r>
    </w:p>
    <w:p w14:paraId="72C665EF">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2.备品备件供应商</w:t>
      </w:r>
    </w:p>
    <w:p w14:paraId="229C0751">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（1）质量方面</w:t>
      </w:r>
    </w:p>
    <w:p w14:paraId="7EAE9EA8">
      <w:pPr>
        <w:spacing w:line="600" w:lineRule="exact"/>
        <w:ind w:firstLine="66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①所供产品出现质量问题，及时调换，未影响生产的，单次扣1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3分；影响生产的，视严重程度单次扣5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10分。</w:t>
      </w:r>
    </w:p>
    <w:p w14:paraId="23E04B16">
      <w:pPr>
        <w:spacing w:line="600" w:lineRule="exact"/>
        <w:ind w:firstLine="66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②所供产品存在质量问题，未能及时更换，单次扣10分。</w:t>
      </w:r>
    </w:p>
    <w:p w14:paraId="2797BD3C">
      <w:pPr>
        <w:spacing w:line="600" w:lineRule="exact"/>
        <w:ind w:firstLine="66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③所供产品质量问题导致设备故障，视严重程度单次扣5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10分。</w:t>
      </w:r>
    </w:p>
    <w:p w14:paraId="0FBC211C">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（2）交货方面</w:t>
      </w:r>
    </w:p>
    <w:p w14:paraId="52473580">
      <w:pPr>
        <w:spacing w:line="600" w:lineRule="exact"/>
        <w:ind w:firstLine="63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①交货时无质检报告或合格证等必要资料的，单次扣2分。</w:t>
      </w:r>
    </w:p>
    <w:p w14:paraId="34FEA896">
      <w:pPr>
        <w:spacing w:line="600" w:lineRule="exact"/>
        <w:ind w:firstLine="63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②交货时未按规定包装的，单次扣1分。</w:t>
      </w:r>
    </w:p>
    <w:p w14:paraId="2A87F1E2">
      <w:pPr>
        <w:spacing w:line="600" w:lineRule="exact"/>
        <w:ind w:firstLine="63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③不能按照合同约定交货，除了按合同条款进行相应处罚外，未造成影响的，单次扣2分；造成影响的，视严重程度单次扣5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10分。</w:t>
      </w:r>
    </w:p>
    <w:p w14:paraId="49520974">
      <w:pPr>
        <w:spacing w:line="600" w:lineRule="exact"/>
        <w:ind w:firstLine="63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④交货过程中串通作假，视严重程度单次扣5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10分。</w:t>
      </w:r>
    </w:p>
    <w:p w14:paraId="384BB2FC">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（3）售后方面</w:t>
      </w:r>
    </w:p>
    <w:p w14:paraId="24ADFFA0">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①对我公司的售后服务要求不能及时响应，单次扣2分。</w:t>
      </w:r>
    </w:p>
    <w:p w14:paraId="10B5ED5A">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②售后人员不能及时解决问题，单次扣3分。</w:t>
      </w:r>
    </w:p>
    <w:p w14:paraId="18E279C9">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③在质保期之内，拒绝提供售后服务，单次扣5分。</w:t>
      </w:r>
    </w:p>
    <w:p w14:paraId="3D0B2BE4">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（4）资信方面</w:t>
      </w:r>
    </w:p>
    <w:p w14:paraId="408687A8">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①中标之后拒绝签订合同或拒绝履行合同，视影响生产程度严重的单次扣5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10分。</w:t>
      </w:r>
    </w:p>
    <w:p w14:paraId="79597829">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②交货后不能及时开具发票并送交至业务员，单次扣1分。</w:t>
      </w:r>
    </w:p>
    <w:p w14:paraId="307F06CB">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③未按合同明细开票，弄虚作假，视严重程度单次扣5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10分。</w:t>
      </w:r>
    </w:p>
    <w:p w14:paraId="2E4C214E">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10分。</w:t>
      </w:r>
    </w:p>
    <w:p w14:paraId="6A150682">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10分。</w:t>
      </w:r>
    </w:p>
    <w:p w14:paraId="60D16E27">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⑥因知识产权引起纠纷，除按合同规定执行外，视严重程度单次扣3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10分。</w:t>
      </w:r>
    </w:p>
    <w:p w14:paraId="6D85B113">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3.物流承运商</w:t>
      </w:r>
    </w:p>
    <w:p w14:paraId="11755CC4">
      <w:pPr>
        <w:tabs>
          <w:tab w:val="left" w:pos="851"/>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（1）车船要求方面</w:t>
      </w:r>
    </w:p>
    <w:p w14:paraId="0949E7C8">
      <w:pPr>
        <w:spacing w:line="600" w:lineRule="exact"/>
        <w:ind w:firstLine="66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①必须做到证照齐全，即车船有行驶证、道路运输证、罐检报告，人员有驾驶证、资格证、押运证等，如不全单次扣2</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5分。</w:t>
      </w:r>
    </w:p>
    <w:p w14:paraId="74AE91D2">
      <w:pPr>
        <w:spacing w:line="600" w:lineRule="exact"/>
        <w:ind w:firstLine="66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②车船状况保持完好、设施齐全，发现缺损扣1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2分。</w:t>
      </w:r>
    </w:p>
    <w:p w14:paraId="432516C1">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（2）计划完成方面</w:t>
      </w:r>
    </w:p>
    <w:p w14:paraId="0331FDEF">
      <w:pPr>
        <w:spacing w:line="600" w:lineRule="exact"/>
        <w:ind w:firstLine="63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运输单位须按发货计划安排车船完成运输任务，否则单次扣2分。</w:t>
      </w:r>
    </w:p>
    <w:p w14:paraId="7606132A">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（3）资信方面</w:t>
      </w:r>
    </w:p>
    <w:p w14:paraId="0A240172">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①中标之后拒绝签订合同或拒绝履行合同，视影响运输严重程度单次扣3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10分。</w:t>
      </w:r>
    </w:p>
    <w:p w14:paraId="27DE2A63">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②不及时开具发票并送交至业务员，单次扣1分。</w:t>
      </w:r>
    </w:p>
    <w:p w14:paraId="54538304">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③未按实际运输任务明细开票，弄虚作假，视严重程度单次扣5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10分。</w:t>
      </w:r>
    </w:p>
    <w:p w14:paraId="61BA6DF8">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10分。</w:t>
      </w:r>
    </w:p>
    <w:p w14:paraId="6795A1D8">
      <w:pPr>
        <w:spacing w:line="600" w:lineRule="exact"/>
        <w:ind w:firstLine="640" w:firstLineChars="200"/>
        <w:rPr>
          <w:rFonts w:ascii="方正仿宋简体" w:hAnsi="方正仿宋简体" w:eastAsia="方正仿宋简体" w:cs="方正仿宋简体"/>
          <w:sz w:val="32"/>
          <w:szCs w:val="32"/>
          <w:highlight w:val="yellow"/>
        </w:rPr>
      </w:pPr>
      <w:r>
        <w:rPr>
          <w:rFonts w:hint="eastAsia" w:ascii="方正仿宋简体" w:hAnsi="方正仿宋简体" w:eastAsia="方正仿宋简体" w:cs="方正仿宋简体"/>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sz w:val="32"/>
          <w:szCs w:val="32"/>
        </w:rPr>
        <w:t>10分。</w:t>
      </w:r>
    </w:p>
    <w:p w14:paraId="10D47E72">
      <w:pPr>
        <w:spacing w:line="600" w:lineRule="exact"/>
        <w:ind w:firstLine="640" w:firstLineChars="200"/>
        <w:rPr>
          <w:rFonts w:ascii="黑体" w:hAnsi="黑体" w:eastAsia="黑体" w:cs="仿宋"/>
          <w:sz w:val="34"/>
          <w:szCs w:val="34"/>
        </w:rPr>
      </w:pPr>
      <w:r>
        <w:rPr>
          <w:rFonts w:hint="eastAsia" w:ascii="方正仿宋简体" w:hAnsi="方正仿宋简体" w:eastAsia="方正仿宋简体" w:cs="方正仿宋简体"/>
          <w:sz w:val="32"/>
          <w:szCs w:val="32"/>
        </w:rPr>
        <w:t>从负面清单中消除的流程</w:t>
      </w:r>
    </w:p>
    <w:p w14:paraId="64CDE7B9">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列入负面清单中的供应商只要通过整改，其产品或服务质量满足我司要求，原则上满一年以后可以申请从负面清单中消除。</w:t>
      </w:r>
    </w:p>
    <w:p w14:paraId="3288DC8E">
      <w:pPr>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（一）</w:t>
      </w:r>
      <w:r>
        <w:rPr>
          <w:rFonts w:hint="eastAsia" w:ascii="方正仿宋简体" w:hAnsi="方正仿宋简体" w:eastAsia="方正仿宋简体" w:cs="方正仿宋简体"/>
          <w:sz w:val="32"/>
          <w:szCs w:val="32"/>
        </w:rPr>
        <w:t>供应商提出申请</w:t>
      </w:r>
    </w:p>
    <w:p w14:paraId="5F32D7C0">
      <w:pPr>
        <w:spacing w:line="600" w:lineRule="exact"/>
        <w:ind w:firstLine="640" w:firstLineChars="200"/>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1.</w:t>
      </w:r>
      <w:r>
        <w:rPr>
          <w:rFonts w:hint="eastAsia" w:ascii="方正仿宋简体" w:hAnsi="方正仿宋简体" w:eastAsia="方正仿宋简体" w:cs="方正仿宋简体"/>
          <w:sz w:val="32"/>
          <w:szCs w:val="32"/>
        </w:rPr>
        <w:t>供应商提出负面清单消除的书面申请。</w:t>
      </w:r>
    </w:p>
    <w:p w14:paraId="78AD2653">
      <w:pPr>
        <w:spacing w:line="600" w:lineRule="exact"/>
        <w:ind w:firstLine="640" w:firstLineChars="200"/>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2.</w:t>
      </w:r>
      <w:r>
        <w:rPr>
          <w:rFonts w:hint="eastAsia" w:ascii="方正仿宋简体" w:hAnsi="方正仿宋简体" w:eastAsia="方正仿宋简体" w:cs="方正仿宋简体"/>
          <w:sz w:val="32"/>
          <w:szCs w:val="32"/>
        </w:rPr>
        <w:t>供应商提供针对考核项的整改措施及效果等相关文件材料。</w:t>
      </w:r>
    </w:p>
    <w:p w14:paraId="76D91CF2">
      <w:pPr>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（二）</w:t>
      </w:r>
      <w:r>
        <w:rPr>
          <w:rFonts w:hint="eastAsia" w:ascii="方正仿宋简体" w:hAnsi="方正仿宋简体" w:eastAsia="方正仿宋简体" w:cs="方正仿宋简体"/>
          <w:sz w:val="32"/>
          <w:szCs w:val="32"/>
        </w:rPr>
        <w:t>确认与消除</w:t>
      </w:r>
    </w:p>
    <w:p w14:paraId="5B3299A6">
      <w:pPr>
        <w:spacing w:line="600" w:lineRule="exact"/>
        <w:ind w:firstLine="675"/>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1.</w:t>
      </w:r>
      <w:r>
        <w:rPr>
          <w:rFonts w:hint="eastAsia" w:ascii="方正仿宋简体" w:hAnsi="方正仿宋简体" w:eastAsia="方正仿宋简体" w:cs="方正仿宋简体"/>
          <w:sz w:val="32"/>
          <w:szCs w:val="32"/>
        </w:rPr>
        <w:t>采购部门牵头组织相关部门对供应商提供的文件材料进行确认，必要时组织现场考察。</w:t>
      </w:r>
    </w:p>
    <w:p w14:paraId="40BC3713">
      <w:pPr>
        <w:spacing w:line="600" w:lineRule="exact"/>
        <w:ind w:firstLine="675"/>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2.</w:t>
      </w:r>
      <w:r>
        <w:rPr>
          <w:rFonts w:hint="eastAsia" w:ascii="方正仿宋简体" w:hAnsi="方正仿宋简体" w:eastAsia="方正仿宋简体" w:cs="方正仿宋简体"/>
          <w:sz w:val="32"/>
          <w:szCs w:val="32"/>
        </w:rPr>
        <w:t>根据确认情况提出建议，报公司批准后从负面清单中消除。</w:t>
      </w:r>
    </w:p>
    <w:p w14:paraId="7ABEB6A4">
      <w:pPr>
        <w:rPr>
          <w:rFonts w:ascii="方正仿宋简体" w:hAnsi="方正仿宋简体" w:eastAsia="方正仿宋简体" w:cs="方正仿宋简体"/>
          <w:kern w:val="1"/>
          <w:sz w:val="32"/>
          <w:szCs w:val="32"/>
        </w:rPr>
      </w:pPr>
    </w:p>
    <w:p w14:paraId="724CE8DB">
      <w:pPr>
        <w:rPr>
          <w:rFonts w:hint="eastAsia" w:ascii="方正黑体_GBK" w:hAnsi="方正黑体_GBK" w:eastAsia="方正黑体_GBK" w:cs="方正黑体_GBK"/>
          <w:b w:val="0"/>
          <w:bCs w:val="0"/>
          <w:lang w:val="en-US" w:eastAsia="zh-CN"/>
        </w:rPr>
      </w:pPr>
      <w:r>
        <w:rPr>
          <w:rFonts w:ascii="Times New Roman"/>
          <w:color w:val="0000FF"/>
          <w:sz w:val="28"/>
          <w:szCs w:val="24"/>
        </w:rPr>
        <w:br w:type="page"/>
      </w:r>
    </w:p>
    <w:p w14:paraId="532AD1FC">
      <w:pPr>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附件</w:t>
      </w:r>
      <w:r>
        <w:rPr>
          <w:rFonts w:hint="eastAsia" w:ascii="方正黑体_GBK" w:hAnsi="方正黑体_GBK" w:eastAsia="方正黑体_GBK" w:cs="方正黑体_GBK"/>
          <w:kern w:val="0"/>
          <w:sz w:val="32"/>
          <w:szCs w:val="32"/>
          <w:lang w:val="en-US" w:eastAsia="zh-CN"/>
        </w:rPr>
        <w:t>4</w:t>
      </w:r>
      <w:r>
        <w:rPr>
          <w:rFonts w:hint="eastAsia" w:ascii="方正黑体_GBK" w:hAnsi="方正黑体_GBK" w:eastAsia="方正黑体_GBK" w:cs="方正黑体_GBK"/>
          <w:kern w:val="0"/>
          <w:sz w:val="32"/>
          <w:szCs w:val="32"/>
        </w:rPr>
        <w:t>：</w:t>
      </w:r>
    </w:p>
    <w:p w14:paraId="47CF6AF5">
      <w:pPr>
        <w:spacing w:line="360" w:lineRule="auto"/>
        <w:jc w:val="center"/>
        <w:rPr>
          <w:rFonts w:ascii="方正小标宋简体" w:hAnsi="宋体" w:eastAsia="方正小标宋简体" w:cs="宋体"/>
          <w:kern w:val="44"/>
          <w:sz w:val="44"/>
          <w:szCs w:val="20"/>
        </w:rPr>
      </w:pPr>
      <w:r>
        <w:rPr>
          <w:rFonts w:hint="eastAsia" w:ascii="方正小标宋简体" w:hAnsi="宋体" w:eastAsia="方正小标宋简体" w:cs="宋体"/>
          <w:kern w:val="44"/>
          <w:sz w:val="44"/>
          <w:szCs w:val="20"/>
        </w:rPr>
        <w:t>目     录</w:t>
      </w:r>
    </w:p>
    <w:p w14:paraId="546C9963">
      <w:pPr>
        <w:pStyle w:val="33"/>
        <w:tabs>
          <w:tab w:val="right" w:leader="hyphen" w:pos="9638"/>
        </w:tabs>
        <w:spacing w:line="300" w:lineRule="exact"/>
        <w:rPr>
          <w:rFonts w:ascii="Times New Roman" w:hAnsi="Times New Roman"/>
          <w:b w:val="0"/>
          <w:bCs w:val="0"/>
          <w:sz w:val="24"/>
          <w:szCs w:val="24"/>
        </w:rPr>
      </w:pPr>
      <w:r>
        <w:rPr>
          <w:rFonts w:hint="eastAsia" w:ascii="Times New Roman" w:hAnsi="Times New Roman"/>
          <w:b w:val="0"/>
          <w:bCs w:val="0"/>
          <w:sz w:val="24"/>
          <w:szCs w:val="24"/>
        </w:rPr>
        <w:t>第一章  投标人须知</w:t>
      </w:r>
      <w:r>
        <w:rPr>
          <w:rFonts w:hint="eastAsia" w:ascii="Times New Roman" w:hAnsi="Times New Roman"/>
          <w:b w:val="0"/>
          <w:bCs w:val="0"/>
          <w:sz w:val="24"/>
          <w:szCs w:val="24"/>
        </w:rPr>
        <w:tab/>
      </w:r>
      <w:r>
        <w:rPr>
          <w:rFonts w:hint="eastAsia" w:ascii="Times New Roman" w:hAnsi="Times New Roman"/>
          <w:b w:val="0"/>
          <w:bCs w:val="0"/>
          <w:sz w:val="24"/>
          <w:szCs w:val="24"/>
        </w:rPr>
        <w:t>17</w:t>
      </w:r>
    </w:p>
    <w:p w14:paraId="40D16B5A">
      <w:pPr>
        <w:pStyle w:val="33"/>
        <w:tabs>
          <w:tab w:val="right" w:leader="hyphen" w:pos="9638"/>
        </w:tabs>
        <w:spacing w:line="300" w:lineRule="exact"/>
        <w:rPr>
          <w:rFonts w:ascii="Times New Roman" w:hAnsi="Times New Roman"/>
          <w:b w:val="0"/>
          <w:bCs w:val="0"/>
          <w:sz w:val="24"/>
          <w:szCs w:val="24"/>
        </w:rPr>
      </w:pPr>
      <w:r>
        <w:rPr>
          <w:rFonts w:hint="eastAsia" w:ascii="Times New Roman" w:hAnsi="Times New Roman"/>
          <w:b w:val="0"/>
          <w:bCs w:val="0"/>
          <w:sz w:val="21"/>
          <w:szCs w:val="21"/>
        </w:rPr>
        <w:t>第一节  投标人须知前附表</w:t>
      </w:r>
      <w:r>
        <w:rPr>
          <w:rFonts w:hint="eastAsia" w:ascii="Times New Roman" w:hAnsi="Times New Roman"/>
          <w:b w:val="0"/>
          <w:bCs w:val="0"/>
          <w:sz w:val="24"/>
          <w:szCs w:val="24"/>
        </w:rPr>
        <w:tab/>
      </w:r>
      <w:r>
        <w:rPr>
          <w:rFonts w:hint="eastAsia" w:ascii="Times New Roman" w:hAnsi="Times New Roman"/>
          <w:b w:val="0"/>
          <w:bCs w:val="0"/>
          <w:sz w:val="24"/>
          <w:szCs w:val="24"/>
        </w:rPr>
        <w:t>17</w:t>
      </w:r>
    </w:p>
    <w:p w14:paraId="29339D6F">
      <w:pPr>
        <w:pStyle w:val="33"/>
        <w:tabs>
          <w:tab w:val="right" w:leader="hyphen" w:pos="9638"/>
        </w:tabs>
        <w:spacing w:line="300" w:lineRule="exact"/>
        <w:rPr>
          <w:rFonts w:ascii="Times New Roman" w:hAnsi="Times New Roman"/>
          <w:b w:val="0"/>
          <w:bCs w:val="0"/>
          <w:sz w:val="24"/>
          <w:szCs w:val="24"/>
        </w:rPr>
      </w:pPr>
      <w:r>
        <w:rPr>
          <w:rFonts w:hint="eastAsia" w:ascii="Times New Roman" w:hAnsi="Times New Roman"/>
          <w:b w:val="0"/>
          <w:bCs w:val="0"/>
          <w:sz w:val="21"/>
          <w:szCs w:val="21"/>
        </w:rPr>
        <w:t>第二节  投标人须知</w:t>
      </w:r>
      <w:r>
        <w:rPr>
          <w:rFonts w:hint="eastAsia" w:ascii="Times New Roman" w:hAnsi="Times New Roman"/>
          <w:b w:val="0"/>
          <w:bCs w:val="0"/>
          <w:sz w:val="24"/>
          <w:szCs w:val="24"/>
        </w:rPr>
        <w:tab/>
      </w:r>
      <w:r>
        <w:rPr>
          <w:rFonts w:hint="eastAsia" w:ascii="Times New Roman" w:hAnsi="Times New Roman"/>
          <w:b w:val="0"/>
          <w:bCs w:val="0"/>
          <w:sz w:val="24"/>
          <w:szCs w:val="24"/>
        </w:rPr>
        <w:t>22</w:t>
      </w:r>
    </w:p>
    <w:p w14:paraId="31E6EE09">
      <w:pPr>
        <w:pStyle w:val="33"/>
        <w:tabs>
          <w:tab w:val="right" w:leader="hyphen" w:pos="9638"/>
        </w:tabs>
        <w:spacing w:line="300" w:lineRule="exact"/>
        <w:rPr>
          <w:rFonts w:ascii="Times New Roman" w:hAnsi="Times New Roman"/>
          <w:b w:val="0"/>
          <w:bCs w:val="0"/>
          <w:sz w:val="24"/>
          <w:szCs w:val="24"/>
        </w:rPr>
      </w:pPr>
      <w:r>
        <w:rPr>
          <w:rFonts w:hint="eastAsia" w:ascii="Times New Roman" w:hAnsi="Times New Roman"/>
          <w:b w:val="0"/>
          <w:bCs w:val="0"/>
          <w:sz w:val="24"/>
          <w:szCs w:val="24"/>
        </w:rPr>
        <w:t>第二章  投标文件格式</w:t>
      </w:r>
      <w:r>
        <w:rPr>
          <w:rFonts w:hint="eastAsia" w:ascii="Times New Roman" w:hAnsi="Times New Roman"/>
          <w:b w:val="0"/>
          <w:bCs w:val="0"/>
          <w:sz w:val="24"/>
          <w:szCs w:val="24"/>
        </w:rPr>
        <w:tab/>
      </w:r>
      <w:r>
        <w:rPr>
          <w:rFonts w:hint="eastAsia" w:ascii="Times New Roman" w:hAnsi="Times New Roman"/>
          <w:b w:val="0"/>
          <w:bCs w:val="0"/>
          <w:sz w:val="24"/>
          <w:szCs w:val="24"/>
        </w:rPr>
        <w:t>33</w:t>
      </w:r>
    </w:p>
    <w:p w14:paraId="39B5D91E">
      <w:pPr>
        <w:pStyle w:val="33"/>
        <w:tabs>
          <w:tab w:val="right" w:leader="hyphen" w:pos="9638"/>
        </w:tabs>
        <w:spacing w:line="300" w:lineRule="exact"/>
        <w:rPr>
          <w:rFonts w:ascii="Times New Roman" w:hAnsi="Times New Roman"/>
          <w:b w:val="0"/>
          <w:bCs w:val="0"/>
          <w:sz w:val="24"/>
          <w:szCs w:val="24"/>
        </w:rPr>
      </w:pPr>
      <w:r>
        <w:rPr>
          <w:rFonts w:hint="eastAsia" w:ascii="Times New Roman" w:hAnsi="Times New Roman"/>
          <w:b w:val="0"/>
          <w:bCs w:val="0"/>
          <w:sz w:val="21"/>
          <w:szCs w:val="21"/>
        </w:rPr>
        <w:t>报价函</w:t>
      </w:r>
      <w:r>
        <w:rPr>
          <w:rFonts w:hint="eastAsia" w:ascii="Times New Roman" w:hAnsi="Times New Roman"/>
          <w:b w:val="0"/>
          <w:bCs w:val="0"/>
          <w:sz w:val="24"/>
          <w:szCs w:val="24"/>
        </w:rPr>
        <w:tab/>
      </w:r>
      <w:r>
        <w:rPr>
          <w:rFonts w:hint="eastAsia" w:ascii="Times New Roman" w:hAnsi="Times New Roman"/>
          <w:b w:val="0"/>
          <w:bCs w:val="0"/>
          <w:sz w:val="24"/>
          <w:szCs w:val="24"/>
        </w:rPr>
        <w:t>37</w:t>
      </w:r>
    </w:p>
    <w:p w14:paraId="40FE1031">
      <w:pPr>
        <w:pStyle w:val="33"/>
        <w:tabs>
          <w:tab w:val="right" w:leader="hyphen" w:pos="9638"/>
        </w:tabs>
        <w:spacing w:line="300" w:lineRule="exact"/>
        <w:rPr>
          <w:rFonts w:ascii="Times New Roman" w:hAnsi="Times New Roman"/>
          <w:b w:val="0"/>
          <w:bCs w:val="0"/>
          <w:sz w:val="21"/>
          <w:szCs w:val="21"/>
        </w:rPr>
      </w:pPr>
      <w:r>
        <w:rPr>
          <w:rFonts w:hint="eastAsia" w:ascii="Times New Roman" w:hAnsi="Times New Roman"/>
          <w:b w:val="0"/>
          <w:bCs w:val="0"/>
          <w:sz w:val="21"/>
          <w:szCs w:val="21"/>
        </w:rPr>
        <w:t>投标报价组成表</w:t>
      </w:r>
      <w:r>
        <w:rPr>
          <w:rFonts w:hint="eastAsia" w:ascii="Times New Roman" w:hAnsi="Times New Roman"/>
          <w:b w:val="0"/>
          <w:bCs w:val="0"/>
          <w:sz w:val="24"/>
          <w:szCs w:val="24"/>
        </w:rPr>
        <w:tab/>
      </w:r>
      <w:r>
        <w:rPr>
          <w:rFonts w:hint="eastAsia" w:ascii="Times New Roman" w:hAnsi="Times New Roman"/>
          <w:b w:val="0"/>
          <w:bCs w:val="0"/>
          <w:sz w:val="24"/>
          <w:szCs w:val="24"/>
        </w:rPr>
        <w:t>38</w:t>
      </w:r>
    </w:p>
    <w:p w14:paraId="2A709805">
      <w:pPr>
        <w:pStyle w:val="33"/>
        <w:tabs>
          <w:tab w:val="right" w:leader="hyphen" w:pos="9638"/>
        </w:tabs>
        <w:spacing w:line="300" w:lineRule="exact"/>
        <w:rPr>
          <w:rFonts w:ascii="Times New Roman" w:hAnsi="Times New Roman"/>
          <w:b w:val="0"/>
          <w:bCs w:val="0"/>
          <w:sz w:val="24"/>
          <w:szCs w:val="24"/>
        </w:rPr>
      </w:pPr>
      <w:r>
        <w:rPr>
          <w:rFonts w:hint="eastAsia" w:ascii="Times New Roman" w:hAnsi="Times New Roman"/>
          <w:b w:val="0"/>
          <w:bCs w:val="0"/>
          <w:sz w:val="21"/>
          <w:szCs w:val="21"/>
        </w:rPr>
        <w:t>法定代表人身份证明书</w:t>
      </w:r>
      <w:r>
        <w:rPr>
          <w:rFonts w:hint="eastAsia" w:ascii="Times New Roman" w:hAnsi="Times New Roman"/>
          <w:b w:val="0"/>
          <w:bCs w:val="0"/>
          <w:sz w:val="24"/>
          <w:szCs w:val="24"/>
        </w:rPr>
        <w:tab/>
      </w:r>
      <w:r>
        <w:rPr>
          <w:rFonts w:hint="eastAsia" w:ascii="Times New Roman" w:hAnsi="Times New Roman"/>
          <w:b w:val="0"/>
          <w:bCs w:val="0"/>
          <w:sz w:val="24"/>
          <w:szCs w:val="24"/>
        </w:rPr>
        <w:t>39</w:t>
      </w:r>
    </w:p>
    <w:p w14:paraId="53D166C5">
      <w:pPr>
        <w:pStyle w:val="33"/>
        <w:tabs>
          <w:tab w:val="right" w:leader="hyphen" w:pos="9638"/>
        </w:tabs>
        <w:spacing w:line="300" w:lineRule="exact"/>
        <w:rPr>
          <w:rFonts w:ascii="Times New Roman" w:hAnsi="Times New Roman"/>
          <w:b w:val="0"/>
          <w:bCs w:val="0"/>
          <w:sz w:val="24"/>
          <w:szCs w:val="24"/>
        </w:rPr>
      </w:pPr>
      <w:r>
        <w:rPr>
          <w:rFonts w:hint="eastAsia" w:ascii="Times New Roman" w:hAnsi="Times New Roman"/>
          <w:b w:val="0"/>
          <w:bCs w:val="0"/>
          <w:sz w:val="21"/>
          <w:szCs w:val="21"/>
        </w:rPr>
        <w:t>法定代表人授权委托书</w:t>
      </w:r>
      <w:r>
        <w:rPr>
          <w:rFonts w:hint="eastAsia" w:ascii="Times New Roman" w:hAnsi="Times New Roman"/>
          <w:b w:val="0"/>
          <w:bCs w:val="0"/>
          <w:sz w:val="24"/>
          <w:szCs w:val="24"/>
        </w:rPr>
        <w:tab/>
      </w:r>
      <w:r>
        <w:rPr>
          <w:rFonts w:hint="eastAsia" w:ascii="Times New Roman" w:hAnsi="Times New Roman"/>
          <w:b w:val="0"/>
          <w:bCs w:val="0"/>
          <w:sz w:val="24"/>
          <w:szCs w:val="24"/>
        </w:rPr>
        <w:t>40</w:t>
      </w:r>
    </w:p>
    <w:p w14:paraId="274899DC">
      <w:pPr>
        <w:pStyle w:val="33"/>
        <w:tabs>
          <w:tab w:val="right" w:leader="hyphen" w:pos="9638"/>
        </w:tabs>
        <w:spacing w:line="300" w:lineRule="exact"/>
        <w:rPr>
          <w:rFonts w:ascii="Times New Roman" w:hAnsi="Times New Roman"/>
          <w:b w:val="0"/>
          <w:bCs w:val="0"/>
          <w:sz w:val="24"/>
          <w:szCs w:val="24"/>
        </w:rPr>
      </w:pPr>
      <w:r>
        <w:rPr>
          <w:rFonts w:hint="eastAsia" w:ascii="Times New Roman" w:hAnsi="Times New Roman"/>
          <w:b w:val="0"/>
          <w:bCs w:val="0"/>
          <w:sz w:val="21"/>
          <w:szCs w:val="21"/>
        </w:rPr>
        <w:t>投标人基本情况表</w:t>
      </w:r>
      <w:r>
        <w:rPr>
          <w:rFonts w:hint="eastAsia" w:ascii="Times New Roman" w:hAnsi="Times New Roman"/>
          <w:b w:val="0"/>
          <w:bCs w:val="0"/>
          <w:sz w:val="24"/>
          <w:szCs w:val="24"/>
        </w:rPr>
        <w:tab/>
      </w:r>
      <w:r>
        <w:rPr>
          <w:rFonts w:hint="eastAsia" w:ascii="Times New Roman" w:hAnsi="Times New Roman"/>
          <w:b w:val="0"/>
          <w:bCs w:val="0"/>
          <w:sz w:val="24"/>
          <w:szCs w:val="24"/>
        </w:rPr>
        <w:t>41</w:t>
      </w:r>
    </w:p>
    <w:p w14:paraId="5820C0E8">
      <w:pPr>
        <w:pStyle w:val="33"/>
        <w:tabs>
          <w:tab w:val="right" w:leader="hyphen" w:pos="9638"/>
        </w:tabs>
        <w:spacing w:line="300" w:lineRule="exact"/>
        <w:rPr>
          <w:rFonts w:ascii="Times New Roman" w:hAnsi="Times New Roman"/>
          <w:b w:val="0"/>
          <w:bCs w:val="0"/>
          <w:sz w:val="24"/>
          <w:szCs w:val="24"/>
        </w:rPr>
      </w:pPr>
      <w:r>
        <w:rPr>
          <w:rFonts w:hint="eastAsia" w:ascii="Times New Roman" w:hAnsi="Times New Roman"/>
          <w:b w:val="0"/>
          <w:bCs w:val="0"/>
          <w:sz w:val="21"/>
          <w:szCs w:val="21"/>
        </w:rPr>
        <w:t>实施方案</w:t>
      </w:r>
      <w:r>
        <w:rPr>
          <w:rFonts w:hint="eastAsia" w:ascii="Times New Roman" w:hAnsi="Times New Roman"/>
          <w:b w:val="0"/>
          <w:bCs w:val="0"/>
          <w:sz w:val="24"/>
          <w:szCs w:val="24"/>
        </w:rPr>
        <w:tab/>
      </w:r>
      <w:r>
        <w:rPr>
          <w:rFonts w:hint="eastAsia" w:ascii="Times New Roman" w:hAnsi="Times New Roman"/>
          <w:b w:val="0"/>
          <w:bCs w:val="0"/>
          <w:sz w:val="24"/>
          <w:szCs w:val="24"/>
        </w:rPr>
        <w:t>42</w:t>
      </w:r>
    </w:p>
    <w:p w14:paraId="2A8D3154">
      <w:pPr>
        <w:pStyle w:val="33"/>
        <w:tabs>
          <w:tab w:val="right" w:leader="hyphen" w:pos="9638"/>
        </w:tabs>
        <w:spacing w:line="300" w:lineRule="exact"/>
        <w:rPr>
          <w:rFonts w:ascii="Times New Roman" w:hAnsi="Times New Roman"/>
          <w:b w:val="0"/>
          <w:bCs w:val="0"/>
          <w:sz w:val="24"/>
          <w:szCs w:val="24"/>
        </w:rPr>
      </w:pPr>
      <w:r>
        <w:rPr>
          <w:rFonts w:hint="eastAsia" w:ascii="Times New Roman" w:hAnsi="Times New Roman"/>
          <w:b w:val="0"/>
          <w:bCs w:val="0"/>
          <w:sz w:val="21"/>
          <w:szCs w:val="21"/>
        </w:rPr>
        <w:t>质量保修承诺书</w:t>
      </w:r>
      <w:r>
        <w:rPr>
          <w:rFonts w:hint="eastAsia" w:ascii="Times New Roman" w:hAnsi="Times New Roman"/>
          <w:b w:val="0"/>
          <w:bCs w:val="0"/>
          <w:sz w:val="24"/>
          <w:szCs w:val="24"/>
        </w:rPr>
        <w:tab/>
      </w:r>
      <w:r>
        <w:rPr>
          <w:rFonts w:hint="eastAsia" w:ascii="Times New Roman" w:hAnsi="Times New Roman"/>
          <w:b w:val="0"/>
          <w:bCs w:val="0"/>
          <w:sz w:val="24"/>
          <w:szCs w:val="24"/>
        </w:rPr>
        <w:t>43</w:t>
      </w:r>
    </w:p>
    <w:p w14:paraId="1A352B64">
      <w:pPr>
        <w:pStyle w:val="33"/>
        <w:tabs>
          <w:tab w:val="right" w:leader="hyphen" w:pos="9638"/>
        </w:tabs>
        <w:spacing w:line="300" w:lineRule="exact"/>
        <w:rPr>
          <w:rFonts w:ascii="Times New Roman" w:hAnsi="Times New Roman"/>
          <w:b w:val="0"/>
          <w:bCs w:val="0"/>
          <w:sz w:val="24"/>
          <w:szCs w:val="24"/>
        </w:rPr>
      </w:pPr>
      <w:r>
        <w:rPr>
          <w:rFonts w:hint="eastAsia" w:ascii="Times New Roman" w:hAnsi="Times New Roman"/>
          <w:b w:val="0"/>
          <w:bCs w:val="0"/>
          <w:sz w:val="21"/>
          <w:szCs w:val="21"/>
        </w:rPr>
        <w:t>进度计划情况表</w:t>
      </w:r>
      <w:r>
        <w:rPr>
          <w:rFonts w:hint="eastAsia" w:ascii="Times New Roman" w:hAnsi="Times New Roman"/>
          <w:b w:val="0"/>
          <w:bCs w:val="0"/>
          <w:sz w:val="24"/>
          <w:szCs w:val="24"/>
        </w:rPr>
        <w:tab/>
      </w:r>
      <w:r>
        <w:rPr>
          <w:rFonts w:hint="eastAsia" w:ascii="Times New Roman" w:hAnsi="Times New Roman"/>
          <w:b w:val="0"/>
          <w:bCs w:val="0"/>
          <w:sz w:val="24"/>
          <w:szCs w:val="24"/>
        </w:rPr>
        <w:t>46</w:t>
      </w:r>
    </w:p>
    <w:p w14:paraId="23E8E6EF">
      <w:pPr>
        <w:pStyle w:val="33"/>
        <w:tabs>
          <w:tab w:val="right" w:leader="hyphen" w:pos="9638"/>
        </w:tabs>
        <w:spacing w:line="300" w:lineRule="exact"/>
        <w:rPr>
          <w:rFonts w:ascii="Times New Roman" w:hAnsi="Times New Roman"/>
          <w:b w:val="0"/>
          <w:bCs w:val="0"/>
          <w:sz w:val="21"/>
          <w:szCs w:val="21"/>
        </w:rPr>
      </w:pPr>
      <w:r>
        <w:rPr>
          <w:rFonts w:hint="eastAsia" w:ascii="Times New Roman" w:hAnsi="Times New Roman"/>
          <w:b w:val="0"/>
          <w:bCs w:val="0"/>
          <w:sz w:val="21"/>
          <w:szCs w:val="21"/>
        </w:rPr>
        <w:t>廉洁承诺书</w:t>
      </w:r>
      <w:r>
        <w:rPr>
          <w:rFonts w:hint="eastAsia" w:ascii="Times New Roman" w:hAnsi="Times New Roman"/>
          <w:b w:val="0"/>
          <w:bCs w:val="0"/>
          <w:sz w:val="24"/>
          <w:szCs w:val="24"/>
        </w:rPr>
        <w:tab/>
      </w:r>
      <w:r>
        <w:rPr>
          <w:rFonts w:hint="eastAsia" w:ascii="Times New Roman" w:hAnsi="Times New Roman"/>
          <w:b w:val="0"/>
          <w:bCs w:val="0"/>
          <w:sz w:val="24"/>
          <w:szCs w:val="24"/>
        </w:rPr>
        <w:t>47</w:t>
      </w:r>
    </w:p>
    <w:p w14:paraId="6A841C9F">
      <w:pPr>
        <w:pStyle w:val="33"/>
        <w:tabs>
          <w:tab w:val="right" w:leader="hyphen" w:pos="9638"/>
        </w:tabs>
        <w:spacing w:line="300" w:lineRule="exact"/>
        <w:rPr>
          <w:rFonts w:ascii="Times New Roman" w:hAnsi="Times New Roman"/>
          <w:b w:val="0"/>
          <w:bCs w:val="0"/>
          <w:sz w:val="24"/>
          <w:szCs w:val="24"/>
        </w:rPr>
      </w:pPr>
      <w:r>
        <w:rPr>
          <w:rFonts w:hint="eastAsia" w:ascii="Times New Roman" w:hAnsi="Times New Roman"/>
          <w:b w:val="0"/>
          <w:bCs w:val="0"/>
          <w:sz w:val="21"/>
          <w:szCs w:val="21"/>
        </w:rPr>
        <w:t>其他资料</w:t>
      </w:r>
      <w:r>
        <w:rPr>
          <w:rFonts w:hint="eastAsia" w:ascii="Times New Roman" w:hAnsi="Times New Roman"/>
          <w:b w:val="0"/>
          <w:bCs w:val="0"/>
          <w:sz w:val="24"/>
          <w:szCs w:val="24"/>
        </w:rPr>
        <w:tab/>
      </w:r>
      <w:r>
        <w:rPr>
          <w:rFonts w:hint="eastAsia" w:ascii="Times New Roman" w:hAnsi="Times New Roman"/>
          <w:b w:val="0"/>
          <w:bCs w:val="0"/>
          <w:sz w:val="24"/>
          <w:szCs w:val="24"/>
        </w:rPr>
        <w:t>48</w:t>
      </w:r>
    </w:p>
    <w:p w14:paraId="406C0AAF">
      <w:pPr>
        <w:pStyle w:val="33"/>
        <w:tabs>
          <w:tab w:val="right" w:leader="hyphen" w:pos="9638"/>
        </w:tabs>
        <w:spacing w:line="300" w:lineRule="exact"/>
        <w:rPr>
          <w:rFonts w:ascii="Times New Roman" w:hAnsi="Times New Roman"/>
          <w:b w:val="0"/>
          <w:bCs w:val="0"/>
          <w:sz w:val="24"/>
          <w:szCs w:val="24"/>
        </w:rPr>
      </w:pPr>
      <w:r>
        <w:rPr>
          <w:rFonts w:hint="eastAsia" w:ascii="Times New Roman" w:hAnsi="Times New Roman"/>
          <w:b w:val="0"/>
          <w:bCs w:val="0"/>
          <w:sz w:val="24"/>
          <w:szCs w:val="24"/>
        </w:rPr>
        <w:t>第三章  技术要求</w:t>
      </w:r>
      <w:r>
        <w:rPr>
          <w:rFonts w:hint="eastAsia" w:ascii="Times New Roman" w:hAnsi="Times New Roman"/>
          <w:b w:val="0"/>
          <w:bCs w:val="0"/>
          <w:sz w:val="24"/>
          <w:szCs w:val="24"/>
        </w:rPr>
        <w:tab/>
      </w:r>
      <w:r>
        <w:rPr>
          <w:rFonts w:hint="eastAsia" w:ascii="Times New Roman" w:hAnsi="Times New Roman"/>
          <w:b w:val="0"/>
          <w:bCs w:val="0"/>
          <w:sz w:val="24"/>
          <w:szCs w:val="24"/>
        </w:rPr>
        <w:t>49</w:t>
      </w:r>
    </w:p>
    <w:p w14:paraId="74032B20">
      <w:pPr>
        <w:pStyle w:val="33"/>
        <w:tabs>
          <w:tab w:val="right" w:leader="hyphen" w:pos="9638"/>
        </w:tabs>
        <w:spacing w:line="300" w:lineRule="exact"/>
        <w:rPr>
          <w:b w:val="0"/>
          <w:bCs w:val="0"/>
        </w:rPr>
      </w:pPr>
      <w:r>
        <w:rPr>
          <w:rFonts w:hint="eastAsia" w:ascii="Times New Roman" w:hAnsi="Times New Roman"/>
          <w:b w:val="0"/>
          <w:bCs w:val="0"/>
          <w:sz w:val="24"/>
          <w:szCs w:val="24"/>
        </w:rPr>
        <w:t>第四章  评标办法</w:t>
      </w:r>
      <w:r>
        <w:rPr>
          <w:rFonts w:hint="eastAsia" w:ascii="Times New Roman" w:hAnsi="Times New Roman"/>
          <w:b w:val="0"/>
          <w:bCs w:val="0"/>
          <w:sz w:val="24"/>
          <w:szCs w:val="24"/>
        </w:rPr>
        <w:tab/>
      </w:r>
      <w:r>
        <w:rPr>
          <w:rFonts w:hint="eastAsia" w:ascii="Times New Roman" w:hAnsi="Times New Roman"/>
          <w:b w:val="0"/>
          <w:bCs w:val="0"/>
          <w:sz w:val="24"/>
          <w:szCs w:val="24"/>
        </w:rPr>
        <w:t>50</w:t>
      </w:r>
    </w:p>
    <w:p w14:paraId="61EB7D30">
      <w:pPr>
        <w:pStyle w:val="33"/>
        <w:tabs>
          <w:tab w:val="right" w:leader="hyphen" w:pos="9638"/>
        </w:tabs>
        <w:spacing w:line="300" w:lineRule="exact"/>
        <w:rPr>
          <w:rFonts w:ascii="Times New Roman" w:hAnsi="Times New Roman"/>
          <w:b w:val="0"/>
          <w:bCs w:val="0"/>
          <w:sz w:val="24"/>
          <w:szCs w:val="24"/>
        </w:rPr>
      </w:pPr>
      <w:r>
        <w:rPr>
          <w:rFonts w:hint="eastAsia" w:ascii="Times New Roman" w:hAnsi="Times New Roman"/>
          <w:b w:val="0"/>
          <w:bCs w:val="0"/>
          <w:sz w:val="21"/>
          <w:szCs w:val="21"/>
        </w:rPr>
        <w:t>第一节  评标办法前附表</w:t>
      </w:r>
      <w:r>
        <w:rPr>
          <w:rFonts w:hint="eastAsia" w:ascii="Times New Roman" w:hAnsi="Times New Roman"/>
          <w:b w:val="0"/>
          <w:bCs w:val="0"/>
          <w:sz w:val="24"/>
          <w:szCs w:val="24"/>
        </w:rPr>
        <w:tab/>
      </w:r>
      <w:r>
        <w:rPr>
          <w:rFonts w:hint="eastAsia" w:ascii="Times New Roman" w:hAnsi="Times New Roman"/>
          <w:b w:val="0"/>
          <w:bCs w:val="0"/>
          <w:sz w:val="24"/>
          <w:szCs w:val="24"/>
        </w:rPr>
        <w:t>50</w:t>
      </w:r>
    </w:p>
    <w:p w14:paraId="738CD6B8">
      <w:pPr>
        <w:pStyle w:val="33"/>
        <w:tabs>
          <w:tab w:val="right" w:leader="hyphen" w:pos="9638"/>
        </w:tabs>
        <w:spacing w:line="300" w:lineRule="exact"/>
        <w:rPr>
          <w:rFonts w:ascii="Times New Roman" w:hAnsi="Times New Roman"/>
          <w:b w:val="0"/>
          <w:bCs w:val="0"/>
          <w:sz w:val="24"/>
          <w:szCs w:val="24"/>
        </w:rPr>
      </w:pPr>
      <w:r>
        <w:rPr>
          <w:rFonts w:hint="eastAsia" w:ascii="Times New Roman" w:hAnsi="Times New Roman"/>
          <w:b w:val="0"/>
          <w:bCs w:val="0"/>
          <w:sz w:val="21"/>
          <w:szCs w:val="21"/>
        </w:rPr>
        <w:t>第二节  评标办法</w:t>
      </w:r>
      <w:r>
        <w:rPr>
          <w:rFonts w:hint="eastAsia" w:ascii="Times New Roman" w:hAnsi="Times New Roman"/>
          <w:b w:val="0"/>
          <w:bCs w:val="0"/>
          <w:sz w:val="24"/>
          <w:szCs w:val="24"/>
        </w:rPr>
        <w:tab/>
      </w:r>
      <w:r>
        <w:rPr>
          <w:rFonts w:hint="eastAsia" w:ascii="Times New Roman" w:hAnsi="Times New Roman"/>
          <w:b w:val="0"/>
          <w:bCs w:val="0"/>
          <w:sz w:val="24"/>
          <w:szCs w:val="24"/>
        </w:rPr>
        <w:t>51</w:t>
      </w:r>
    </w:p>
    <w:p w14:paraId="28305ED5">
      <w:pPr>
        <w:pStyle w:val="33"/>
        <w:tabs>
          <w:tab w:val="right" w:leader="hyphen" w:pos="9638"/>
        </w:tabs>
        <w:spacing w:line="300" w:lineRule="exact"/>
        <w:rPr>
          <w:rFonts w:ascii="Times New Roman" w:hAnsi="Times New Roman"/>
          <w:b w:val="0"/>
          <w:bCs w:val="0"/>
          <w:sz w:val="24"/>
          <w:szCs w:val="24"/>
        </w:rPr>
      </w:pPr>
      <w:r>
        <w:rPr>
          <w:rFonts w:hint="eastAsia" w:ascii="Times New Roman" w:hAnsi="Times New Roman"/>
          <w:b w:val="0"/>
          <w:bCs w:val="0"/>
          <w:sz w:val="21"/>
          <w:szCs w:val="21"/>
        </w:rPr>
        <w:t>第三节  评标程序</w:t>
      </w:r>
      <w:r>
        <w:rPr>
          <w:rFonts w:hint="eastAsia" w:ascii="Times New Roman" w:hAnsi="Times New Roman"/>
          <w:b w:val="0"/>
          <w:bCs w:val="0"/>
          <w:sz w:val="24"/>
          <w:szCs w:val="24"/>
        </w:rPr>
        <w:tab/>
      </w:r>
      <w:r>
        <w:rPr>
          <w:rFonts w:hint="eastAsia" w:ascii="Times New Roman" w:hAnsi="Times New Roman"/>
          <w:b w:val="0"/>
          <w:bCs w:val="0"/>
          <w:sz w:val="24"/>
          <w:szCs w:val="24"/>
        </w:rPr>
        <w:t>52</w:t>
      </w:r>
    </w:p>
    <w:p w14:paraId="395E88B3"/>
    <w:p w14:paraId="0397BF3C"/>
    <w:p w14:paraId="6F44CE52">
      <w:pPr>
        <w:pStyle w:val="40"/>
        <w:tabs>
          <w:tab w:val="right" w:leader="hyphen" w:pos="9638"/>
        </w:tabs>
      </w:pPr>
      <w:r>
        <w:rPr>
          <w:rFonts w:ascii="Times New Roman" w:hAnsi="Times New Roman"/>
          <w:sz w:val="24"/>
          <w:szCs w:val="24"/>
        </w:rPr>
        <w:fldChar w:fldCharType="begin"/>
      </w:r>
      <w:r>
        <w:rPr>
          <w:rStyle w:val="59"/>
          <w:rFonts w:ascii="Times New Roman" w:hAnsi="Times New Roman"/>
          <w:color w:val="auto"/>
          <w:sz w:val="24"/>
          <w:szCs w:val="24"/>
        </w:rPr>
        <w:instrText xml:space="preserve"> TOC \o "1-2" \h \z \u </w:instrText>
      </w:r>
      <w:r>
        <w:rPr>
          <w:rFonts w:ascii="Times New Roman" w:hAnsi="Times New Roman"/>
          <w:sz w:val="24"/>
          <w:szCs w:val="24"/>
        </w:rPr>
        <w:fldChar w:fldCharType="separate"/>
      </w:r>
    </w:p>
    <w:p w14:paraId="0EFAE119">
      <w:pPr>
        <w:pStyle w:val="40"/>
        <w:tabs>
          <w:tab w:val="right" w:leader="dot" w:pos="9628"/>
        </w:tabs>
        <w:rPr>
          <w:rFonts w:ascii="Times New Roman" w:hAnsi="Times New Roman"/>
        </w:rPr>
      </w:pPr>
      <w:r>
        <w:rPr>
          <w:rFonts w:ascii="Times New Roman" w:hAnsi="Times New Roman"/>
          <w:szCs w:val="24"/>
        </w:rPr>
        <w:fldChar w:fldCharType="end"/>
      </w:r>
    </w:p>
    <w:p w14:paraId="086F728B">
      <w:pPr>
        <w:spacing w:line="360" w:lineRule="auto"/>
        <w:ind w:firstLine="525" w:firstLineChars="250"/>
        <w:jc w:val="left"/>
        <w:sectPr>
          <w:headerReference r:id="rId9" w:type="first"/>
          <w:footerReference r:id="rId11" w:type="first"/>
          <w:headerReference r:id="rId8" w:type="default"/>
          <w:footerReference r:id="rId10" w:type="default"/>
          <w:pgSz w:w="11906" w:h="16838"/>
          <w:pgMar w:top="822" w:right="1134" w:bottom="822" w:left="1134" w:header="720" w:footer="567" w:gutter="0"/>
          <w:cols w:space="720" w:num="1"/>
          <w:titlePg/>
          <w:docGrid w:type="lines" w:linePitch="331" w:charSpace="0"/>
        </w:sectPr>
      </w:pPr>
    </w:p>
    <w:p w14:paraId="06F4E562">
      <w:pPr>
        <w:pStyle w:val="2"/>
        <w:jc w:val="center"/>
        <w:rPr>
          <w:rFonts w:ascii="方正小标宋简体" w:hAnsi="宋体" w:eastAsia="方正小标宋简体" w:cs="宋体"/>
          <w:b w:val="0"/>
          <w:sz w:val="44"/>
        </w:rPr>
      </w:pPr>
      <w:bookmarkStart w:id="0" w:name="_Toc4790"/>
      <w:bookmarkStart w:id="1" w:name="_Toc28724"/>
      <w:bookmarkStart w:id="2" w:name="_Toc28148"/>
      <w:bookmarkStart w:id="3" w:name="_Toc25263"/>
      <w:bookmarkStart w:id="4" w:name="_Toc6389"/>
      <w:bookmarkStart w:id="5" w:name="_Toc23511"/>
      <w:bookmarkStart w:id="6" w:name="_Toc31273"/>
      <w:bookmarkStart w:id="7" w:name="_Toc22776"/>
      <w:r>
        <w:rPr>
          <w:rFonts w:hint="eastAsia" w:ascii="方正小标宋简体" w:hAnsi="宋体" w:eastAsia="方正小标宋简体" w:cs="宋体"/>
          <w:b w:val="0"/>
          <w:sz w:val="44"/>
        </w:rPr>
        <w:t>第一章  投标人须知</w:t>
      </w:r>
      <w:bookmarkEnd w:id="0"/>
      <w:bookmarkEnd w:id="1"/>
      <w:bookmarkEnd w:id="2"/>
      <w:bookmarkEnd w:id="3"/>
      <w:bookmarkEnd w:id="4"/>
      <w:bookmarkEnd w:id="5"/>
      <w:bookmarkEnd w:id="6"/>
      <w:bookmarkEnd w:id="7"/>
    </w:p>
    <w:p w14:paraId="5828B559">
      <w:pPr>
        <w:pStyle w:val="3"/>
        <w:ind w:left="425"/>
        <w:jc w:val="center"/>
        <w:rPr>
          <w:rFonts w:ascii="方正仿宋简体" w:hAnsi="方正仿宋简体" w:eastAsia="方正仿宋简体" w:cs="方正仿宋简体"/>
          <w:b w:val="0"/>
          <w:sz w:val="32"/>
          <w:szCs w:val="32"/>
        </w:rPr>
      </w:pPr>
      <w:bookmarkStart w:id="8" w:name="_Toc3961"/>
      <w:bookmarkStart w:id="9" w:name="_Toc5735"/>
      <w:bookmarkStart w:id="10" w:name="_Toc8988"/>
      <w:bookmarkStart w:id="11" w:name="_Toc28601"/>
      <w:bookmarkStart w:id="12" w:name="_Toc29048"/>
      <w:bookmarkStart w:id="13" w:name="_Toc2458"/>
      <w:bookmarkStart w:id="14" w:name="_Toc1719"/>
      <w:bookmarkStart w:id="15" w:name="_Toc2751"/>
      <w:r>
        <w:rPr>
          <w:rFonts w:hint="eastAsia" w:ascii="方正仿宋简体" w:hAnsi="方正仿宋简体" w:eastAsia="方正仿宋简体" w:cs="方正仿宋简体"/>
          <w:b w:val="0"/>
          <w:sz w:val="32"/>
          <w:szCs w:val="32"/>
        </w:rPr>
        <w:t>第一节  投标人须知前附表</w:t>
      </w:r>
      <w:bookmarkEnd w:id="8"/>
      <w:bookmarkEnd w:id="9"/>
      <w:bookmarkEnd w:id="10"/>
      <w:bookmarkEnd w:id="11"/>
      <w:bookmarkEnd w:id="12"/>
      <w:bookmarkEnd w:id="13"/>
      <w:bookmarkEnd w:id="14"/>
      <w:bookmarkEnd w:id="15"/>
    </w:p>
    <w:tbl>
      <w:tblPr>
        <w:tblStyle w:val="52"/>
        <w:tblW w:w="10291" w:type="dxa"/>
        <w:jc w:val="center"/>
        <w:tblLayout w:type="fixed"/>
        <w:tblCellMar>
          <w:top w:w="0" w:type="dxa"/>
          <w:left w:w="108" w:type="dxa"/>
          <w:bottom w:w="0" w:type="dxa"/>
          <w:right w:w="108" w:type="dxa"/>
        </w:tblCellMar>
      </w:tblPr>
      <w:tblGrid>
        <w:gridCol w:w="1291"/>
        <w:gridCol w:w="3132"/>
        <w:gridCol w:w="5868"/>
      </w:tblGrid>
      <w:tr w14:paraId="1602D190">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0E455011">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宋体" w:hAnsi="宋体"/>
                <w:szCs w:val="21"/>
              </w:rPr>
            </w:pPr>
            <w:r>
              <w:rPr>
                <w:rFonts w:ascii="宋体" w:hAnsi="宋体"/>
                <w:szCs w:val="21"/>
              </w:rPr>
              <w:t>条款号</w:t>
            </w:r>
          </w:p>
        </w:tc>
        <w:tc>
          <w:tcPr>
            <w:tcW w:w="3132" w:type="dxa"/>
            <w:tcBorders>
              <w:top w:val="single" w:color="auto" w:sz="4" w:space="0"/>
              <w:left w:val="single" w:color="auto" w:sz="4" w:space="0"/>
              <w:bottom w:val="single" w:color="auto" w:sz="4" w:space="0"/>
              <w:right w:val="single" w:color="auto" w:sz="4" w:space="0"/>
            </w:tcBorders>
            <w:vAlign w:val="center"/>
          </w:tcPr>
          <w:p w14:paraId="28D7D27C">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ascii="宋体" w:hAnsi="宋体"/>
                <w:szCs w:val="21"/>
              </w:rPr>
              <w:t>条  款  名  称</w:t>
            </w:r>
          </w:p>
        </w:tc>
        <w:tc>
          <w:tcPr>
            <w:tcW w:w="5868" w:type="dxa"/>
            <w:tcBorders>
              <w:top w:val="single" w:color="auto" w:sz="4" w:space="0"/>
              <w:left w:val="single" w:color="auto" w:sz="4" w:space="0"/>
              <w:bottom w:val="single" w:color="auto" w:sz="4" w:space="0"/>
              <w:right w:val="single" w:color="auto" w:sz="4" w:space="0"/>
            </w:tcBorders>
            <w:vAlign w:val="center"/>
          </w:tcPr>
          <w:p w14:paraId="364A9AE3">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ascii="宋体" w:hAnsi="宋体"/>
                <w:szCs w:val="21"/>
              </w:rPr>
              <w:t>编  列  内  容</w:t>
            </w:r>
          </w:p>
        </w:tc>
      </w:tr>
      <w:tr w14:paraId="70543CC0">
        <w:tblPrEx>
          <w:tblCellMar>
            <w:top w:w="0" w:type="dxa"/>
            <w:left w:w="108" w:type="dxa"/>
            <w:bottom w:w="0" w:type="dxa"/>
            <w:right w:w="108" w:type="dxa"/>
          </w:tblCellMar>
        </w:tblPrEx>
        <w:trPr>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6D35539F">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cs="Arial"/>
                <w:szCs w:val="21"/>
              </w:rPr>
            </w:pPr>
            <w:r>
              <w:rPr>
                <w:rFonts w:hint="eastAsia" w:ascii="宋体" w:hAnsi="宋体" w:cs="Arial"/>
                <w:szCs w:val="21"/>
              </w:rPr>
              <w:t>1.1项目概况</w:t>
            </w:r>
          </w:p>
        </w:tc>
      </w:tr>
      <w:tr w14:paraId="1BFB28C9">
        <w:tblPrEx>
          <w:tblCellMar>
            <w:top w:w="0" w:type="dxa"/>
            <w:left w:w="108" w:type="dxa"/>
            <w:bottom w:w="0" w:type="dxa"/>
            <w:right w:w="108" w:type="dxa"/>
          </w:tblCellMar>
        </w:tblPrEx>
        <w:trPr>
          <w:trHeight w:val="257" w:hRule="atLeast"/>
          <w:jc w:val="center"/>
        </w:trPr>
        <w:tc>
          <w:tcPr>
            <w:tcW w:w="1291" w:type="dxa"/>
            <w:tcBorders>
              <w:top w:val="single" w:color="auto" w:sz="4" w:space="0"/>
              <w:left w:val="single" w:color="auto" w:sz="4" w:space="0"/>
              <w:bottom w:val="single" w:color="auto" w:sz="4" w:space="0"/>
              <w:right w:val="single" w:color="auto" w:sz="4" w:space="0"/>
            </w:tcBorders>
            <w:vAlign w:val="center"/>
          </w:tcPr>
          <w:p w14:paraId="13F5225A">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宋体" w:hAnsi="宋体"/>
                <w:szCs w:val="21"/>
              </w:rPr>
            </w:pPr>
            <w:r>
              <w:rPr>
                <w:rFonts w:ascii="宋体" w:hAnsi="宋体"/>
                <w:szCs w:val="21"/>
              </w:rPr>
              <w:t>1.1.2</w:t>
            </w:r>
          </w:p>
        </w:tc>
        <w:tc>
          <w:tcPr>
            <w:tcW w:w="3132" w:type="dxa"/>
            <w:tcBorders>
              <w:top w:val="single" w:color="auto" w:sz="4" w:space="0"/>
              <w:left w:val="single" w:color="auto" w:sz="4" w:space="0"/>
              <w:bottom w:val="single" w:color="auto" w:sz="4" w:space="0"/>
              <w:right w:val="single" w:color="auto" w:sz="4" w:space="0"/>
            </w:tcBorders>
            <w:vAlign w:val="center"/>
          </w:tcPr>
          <w:p w14:paraId="4026DB61">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ascii="宋体" w:hAnsi="宋体" w:cs="Arial"/>
                <w:szCs w:val="21"/>
              </w:rPr>
              <w:t>项目名称</w:t>
            </w:r>
          </w:p>
        </w:tc>
        <w:tc>
          <w:tcPr>
            <w:tcW w:w="5868" w:type="dxa"/>
            <w:tcBorders>
              <w:top w:val="single" w:color="auto" w:sz="4" w:space="0"/>
              <w:left w:val="single" w:color="auto" w:sz="4" w:space="0"/>
              <w:bottom w:val="single" w:color="auto" w:sz="4" w:space="0"/>
              <w:right w:val="single" w:color="auto" w:sz="4" w:space="0"/>
            </w:tcBorders>
            <w:vAlign w:val="center"/>
          </w:tcPr>
          <w:p w14:paraId="261F21FE">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cs="Arial"/>
                <w:szCs w:val="21"/>
              </w:rPr>
            </w:pPr>
            <w:r>
              <w:rPr>
                <w:rFonts w:hint="eastAsia" w:ascii="宋体" w:hAnsi="宋体"/>
                <w:szCs w:val="21"/>
                <w:lang w:val="zh-CN"/>
              </w:rPr>
              <w:t>消防提升改造项目—</w:t>
            </w:r>
            <w:r>
              <w:rPr>
                <w:rFonts w:hint="eastAsia" w:ascii="宋体" w:hAnsi="宋体"/>
                <w:szCs w:val="21"/>
              </w:rPr>
              <w:t>土建施工</w:t>
            </w:r>
          </w:p>
        </w:tc>
      </w:tr>
      <w:tr w14:paraId="459DB311">
        <w:tblPrEx>
          <w:tblCellMar>
            <w:top w:w="0" w:type="dxa"/>
            <w:left w:w="108" w:type="dxa"/>
            <w:bottom w:w="0" w:type="dxa"/>
            <w:right w:w="108" w:type="dxa"/>
          </w:tblCellMar>
        </w:tblPrEx>
        <w:trPr>
          <w:trHeight w:val="435" w:hRule="atLeast"/>
          <w:jc w:val="center"/>
        </w:trPr>
        <w:tc>
          <w:tcPr>
            <w:tcW w:w="1291" w:type="dxa"/>
            <w:tcBorders>
              <w:top w:val="single" w:color="auto" w:sz="4" w:space="0"/>
              <w:left w:val="single" w:color="auto" w:sz="4" w:space="0"/>
              <w:bottom w:val="single" w:color="auto" w:sz="4" w:space="0"/>
              <w:right w:val="single" w:color="auto" w:sz="4" w:space="0"/>
            </w:tcBorders>
            <w:vAlign w:val="center"/>
          </w:tcPr>
          <w:p w14:paraId="2E508D77">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宋体" w:hAnsi="宋体"/>
                <w:szCs w:val="21"/>
              </w:rPr>
            </w:pPr>
            <w:r>
              <w:rPr>
                <w:rFonts w:ascii="宋体" w:hAnsi="宋体"/>
                <w:szCs w:val="21"/>
              </w:rPr>
              <w:t>1.1.3</w:t>
            </w:r>
          </w:p>
        </w:tc>
        <w:tc>
          <w:tcPr>
            <w:tcW w:w="3132" w:type="dxa"/>
            <w:tcBorders>
              <w:top w:val="single" w:color="auto" w:sz="4" w:space="0"/>
              <w:left w:val="single" w:color="auto" w:sz="4" w:space="0"/>
              <w:bottom w:val="single" w:color="auto" w:sz="4" w:space="0"/>
              <w:right w:val="single" w:color="auto" w:sz="4" w:space="0"/>
            </w:tcBorders>
            <w:vAlign w:val="center"/>
          </w:tcPr>
          <w:p w14:paraId="49FA54D9">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hint="eastAsia" w:ascii="宋体" w:hAnsi="宋体" w:cs="Arial"/>
                <w:szCs w:val="21"/>
              </w:rPr>
              <w:t>标段划分</w:t>
            </w:r>
          </w:p>
        </w:tc>
        <w:tc>
          <w:tcPr>
            <w:tcW w:w="5868" w:type="dxa"/>
            <w:tcBorders>
              <w:top w:val="single" w:color="auto" w:sz="4" w:space="0"/>
              <w:left w:val="single" w:color="auto" w:sz="4" w:space="0"/>
              <w:bottom w:val="single" w:color="auto" w:sz="4" w:space="0"/>
              <w:right w:val="single" w:color="auto" w:sz="4" w:space="0"/>
            </w:tcBorders>
            <w:vAlign w:val="center"/>
          </w:tcPr>
          <w:p w14:paraId="58A99AC0">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■不划分标段</w:t>
            </w:r>
            <w:r>
              <w:rPr>
                <w:rFonts w:ascii="宋体" w:hAnsi="宋体"/>
                <w:szCs w:val="21"/>
              </w:rPr>
              <w:t xml:space="preserve"> </w:t>
            </w:r>
          </w:p>
          <w:p w14:paraId="066216FA">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ascii="宋体" w:hAnsi="宋体"/>
                <w:szCs w:val="21"/>
              </w:rPr>
              <w:t>口</w:t>
            </w:r>
            <w:r>
              <w:rPr>
                <w:rFonts w:hint="eastAsia" w:ascii="宋体" w:hAnsi="宋体"/>
                <w:szCs w:val="21"/>
              </w:rPr>
              <w:t>划分标段：</w:t>
            </w:r>
          </w:p>
        </w:tc>
      </w:tr>
      <w:tr w14:paraId="72A4DEE4">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5D3D677C">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宋体" w:hAnsi="宋体"/>
                <w:szCs w:val="21"/>
              </w:rPr>
            </w:pPr>
            <w:r>
              <w:rPr>
                <w:rFonts w:ascii="宋体" w:hAnsi="宋体"/>
                <w:szCs w:val="21"/>
              </w:rPr>
              <w:t>1.1.4</w:t>
            </w:r>
          </w:p>
        </w:tc>
        <w:tc>
          <w:tcPr>
            <w:tcW w:w="3132" w:type="dxa"/>
            <w:tcBorders>
              <w:top w:val="single" w:color="auto" w:sz="4" w:space="0"/>
              <w:left w:val="single" w:color="auto" w:sz="4" w:space="0"/>
              <w:bottom w:val="single" w:color="auto" w:sz="4" w:space="0"/>
              <w:right w:val="single" w:color="auto" w:sz="4" w:space="0"/>
            </w:tcBorders>
            <w:vAlign w:val="center"/>
          </w:tcPr>
          <w:p w14:paraId="414BBF14">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ascii="宋体" w:hAnsi="宋体" w:cs="Arial"/>
                <w:szCs w:val="21"/>
              </w:rPr>
              <w:t>招标人</w:t>
            </w:r>
          </w:p>
        </w:tc>
        <w:tc>
          <w:tcPr>
            <w:tcW w:w="5868" w:type="dxa"/>
            <w:tcBorders>
              <w:top w:val="single" w:color="auto" w:sz="4" w:space="0"/>
              <w:left w:val="single" w:color="auto" w:sz="4" w:space="0"/>
              <w:bottom w:val="single" w:color="auto" w:sz="4" w:space="0"/>
              <w:right w:val="single" w:color="auto" w:sz="4" w:space="0"/>
            </w:tcBorders>
            <w:vAlign w:val="center"/>
          </w:tcPr>
          <w:p w14:paraId="0DDE474B">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名    称：镇江海纳川物流产业发展有限责任公司</w:t>
            </w:r>
          </w:p>
          <w:p w14:paraId="08538C73">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地       址：江苏省镇江市京口区求索路66号</w:t>
            </w:r>
          </w:p>
        </w:tc>
      </w:tr>
      <w:tr w14:paraId="0E280C7A">
        <w:tblPrEx>
          <w:tblCellMar>
            <w:top w:w="0" w:type="dxa"/>
            <w:left w:w="108" w:type="dxa"/>
            <w:bottom w:w="0" w:type="dxa"/>
            <w:right w:w="108" w:type="dxa"/>
          </w:tblCellMar>
        </w:tblPrEx>
        <w:trPr>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1608860F">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1.2招标组织形式</w:t>
            </w:r>
          </w:p>
        </w:tc>
      </w:tr>
      <w:tr w14:paraId="0E29DC7A">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501B1D47">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宋体" w:hAnsi="宋体"/>
                <w:szCs w:val="21"/>
              </w:rPr>
            </w:pPr>
            <w:r>
              <w:rPr>
                <w:rFonts w:hint="eastAsia" w:ascii="宋体" w:hAnsi="宋体"/>
                <w:szCs w:val="21"/>
              </w:rPr>
              <w:t>1.2</w:t>
            </w:r>
          </w:p>
        </w:tc>
        <w:tc>
          <w:tcPr>
            <w:tcW w:w="3132" w:type="dxa"/>
            <w:tcBorders>
              <w:top w:val="single" w:color="auto" w:sz="4" w:space="0"/>
              <w:left w:val="single" w:color="auto" w:sz="4" w:space="0"/>
              <w:bottom w:val="single" w:color="auto" w:sz="4" w:space="0"/>
              <w:right w:val="single" w:color="auto" w:sz="4" w:space="0"/>
            </w:tcBorders>
            <w:vAlign w:val="center"/>
          </w:tcPr>
          <w:p w14:paraId="5F9CF943">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ascii="宋体" w:hAnsi="宋体" w:cs="Arial"/>
                <w:szCs w:val="21"/>
              </w:rPr>
              <w:t>招标组织形式</w:t>
            </w:r>
          </w:p>
        </w:tc>
        <w:tc>
          <w:tcPr>
            <w:tcW w:w="5868" w:type="dxa"/>
            <w:tcBorders>
              <w:top w:val="single" w:color="auto" w:sz="4" w:space="0"/>
              <w:left w:val="single" w:color="auto" w:sz="4" w:space="0"/>
              <w:bottom w:val="single" w:color="auto" w:sz="4" w:space="0"/>
              <w:right w:val="single" w:color="auto" w:sz="4" w:space="0"/>
            </w:tcBorders>
            <w:vAlign w:val="center"/>
          </w:tcPr>
          <w:p w14:paraId="3EF79A39">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■自行招标</w:t>
            </w:r>
          </w:p>
          <w:p w14:paraId="40153C50">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ascii="宋体" w:hAnsi="宋体"/>
                <w:szCs w:val="21"/>
              </w:rPr>
              <w:t>口</w:t>
            </w:r>
            <w:r>
              <w:rPr>
                <w:rFonts w:hint="eastAsia" w:ascii="宋体" w:hAnsi="宋体"/>
                <w:szCs w:val="21"/>
              </w:rPr>
              <w:t>委托招标代理机构</w:t>
            </w:r>
          </w:p>
        </w:tc>
      </w:tr>
      <w:tr w14:paraId="0256DC4E">
        <w:tblPrEx>
          <w:tblCellMar>
            <w:top w:w="0" w:type="dxa"/>
            <w:left w:w="108" w:type="dxa"/>
            <w:bottom w:w="0" w:type="dxa"/>
            <w:right w:w="108" w:type="dxa"/>
          </w:tblCellMar>
        </w:tblPrEx>
        <w:trPr>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19141D6A">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cs="Arial"/>
                <w:szCs w:val="21"/>
              </w:rPr>
            </w:pPr>
            <w:r>
              <w:rPr>
                <w:rFonts w:hint="eastAsia" w:ascii="宋体" w:hAnsi="宋体" w:cs="Arial"/>
                <w:szCs w:val="21"/>
              </w:rPr>
              <w:t>1.3资金来源和落实情况</w:t>
            </w:r>
          </w:p>
        </w:tc>
      </w:tr>
      <w:tr w14:paraId="4A612E09">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380A85AE">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宋体" w:hAnsi="宋体"/>
                <w:szCs w:val="21"/>
              </w:rPr>
            </w:pPr>
            <w:r>
              <w:rPr>
                <w:rFonts w:ascii="宋体" w:hAnsi="宋体"/>
                <w:szCs w:val="21"/>
              </w:rPr>
              <w:t>1.</w:t>
            </w:r>
            <w:r>
              <w:rPr>
                <w:rFonts w:hint="eastAsia" w:ascii="宋体" w:hAnsi="宋体"/>
                <w:szCs w:val="21"/>
              </w:rPr>
              <w:t>3</w:t>
            </w:r>
            <w:r>
              <w:rPr>
                <w:rFonts w:ascii="宋体" w:hAnsi="宋体"/>
                <w:szCs w:val="21"/>
              </w:rPr>
              <w:t>.</w:t>
            </w:r>
            <w:r>
              <w:rPr>
                <w:rFonts w:hint="eastAsia" w:ascii="宋体" w:hAnsi="宋体"/>
                <w:szCs w:val="21"/>
              </w:rPr>
              <w:t>2</w:t>
            </w:r>
          </w:p>
        </w:tc>
        <w:tc>
          <w:tcPr>
            <w:tcW w:w="3132" w:type="dxa"/>
            <w:tcBorders>
              <w:top w:val="single" w:color="auto" w:sz="4" w:space="0"/>
              <w:left w:val="single" w:color="auto" w:sz="4" w:space="0"/>
              <w:bottom w:val="single" w:color="auto" w:sz="4" w:space="0"/>
              <w:right w:val="single" w:color="auto" w:sz="4" w:space="0"/>
            </w:tcBorders>
            <w:vAlign w:val="center"/>
          </w:tcPr>
          <w:p w14:paraId="579343DD">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ascii="宋体" w:hAnsi="宋体"/>
                <w:szCs w:val="21"/>
              </w:rPr>
              <w:t>资金来源</w:t>
            </w:r>
          </w:p>
        </w:tc>
        <w:tc>
          <w:tcPr>
            <w:tcW w:w="5868" w:type="dxa"/>
            <w:tcBorders>
              <w:top w:val="single" w:color="auto" w:sz="4" w:space="0"/>
              <w:left w:val="single" w:color="auto" w:sz="4" w:space="0"/>
              <w:bottom w:val="single" w:color="auto" w:sz="4" w:space="0"/>
              <w:right w:val="single" w:color="auto" w:sz="4" w:space="0"/>
            </w:tcBorders>
            <w:vAlign w:val="center"/>
          </w:tcPr>
          <w:p w14:paraId="254EED89">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hint="eastAsia" w:ascii="宋体" w:hAnsi="宋体" w:cs="Arial"/>
                <w:szCs w:val="21"/>
              </w:rPr>
              <w:t>招标人自筹，且已到位。</w:t>
            </w:r>
          </w:p>
        </w:tc>
      </w:tr>
      <w:tr w14:paraId="4D57992A">
        <w:tblPrEx>
          <w:tblCellMar>
            <w:top w:w="0" w:type="dxa"/>
            <w:left w:w="108" w:type="dxa"/>
            <w:bottom w:w="0" w:type="dxa"/>
            <w:right w:w="108" w:type="dxa"/>
          </w:tblCellMar>
        </w:tblPrEx>
        <w:trPr>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5D657F4D">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1.4招标人式和资格审查方式</w:t>
            </w:r>
          </w:p>
        </w:tc>
      </w:tr>
      <w:tr w14:paraId="780EA9E2">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0F42EDA2">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宋体" w:hAnsi="宋体"/>
                <w:szCs w:val="21"/>
              </w:rPr>
            </w:pPr>
            <w:r>
              <w:rPr>
                <w:rFonts w:ascii="宋体" w:hAnsi="宋体"/>
                <w:szCs w:val="21"/>
              </w:rPr>
              <w:t>1.</w:t>
            </w:r>
            <w:r>
              <w:rPr>
                <w:rFonts w:hint="eastAsia" w:ascii="宋体" w:hAnsi="宋体"/>
                <w:szCs w:val="21"/>
              </w:rPr>
              <w:t>4</w:t>
            </w:r>
            <w:r>
              <w:rPr>
                <w:rFonts w:ascii="宋体" w:hAnsi="宋体"/>
                <w:szCs w:val="21"/>
              </w:rPr>
              <w:t>.</w:t>
            </w:r>
            <w:r>
              <w:rPr>
                <w:rFonts w:hint="eastAsia" w:ascii="宋体" w:hAnsi="宋体"/>
                <w:szCs w:val="21"/>
              </w:rPr>
              <w:t>1</w:t>
            </w:r>
          </w:p>
        </w:tc>
        <w:tc>
          <w:tcPr>
            <w:tcW w:w="3132" w:type="dxa"/>
            <w:tcBorders>
              <w:top w:val="single" w:color="auto" w:sz="4" w:space="0"/>
              <w:left w:val="single" w:color="auto" w:sz="4" w:space="0"/>
              <w:bottom w:val="single" w:color="auto" w:sz="4" w:space="0"/>
              <w:right w:val="single" w:color="auto" w:sz="4" w:space="0"/>
            </w:tcBorders>
            <w:vAlign w:val="center"/>
          </w:tcPr>
          <w:p w14:paraId="2F006856">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hint="eastAsia" w:ascii="宋体" w:hAnsi="宋体" w:cs="Arial"/>
                <w:szCs w:val="21"/>
              </w:rPr>
              <w:t>招标人式</w:t>
            </w:r>
          </w:p>
        </w:tc>
        <w:tc>
          <w:tcPr>
            <w:tcW w:w="5868" w:type="dxa"/>
            <w:tcBorders>
              <w:top w:val="single" w:color="auto" w:sz="4" w:space="0"/>
              <w:left w:val="single" w:color="auto" w:sz="4" w:space="0"/>
              <w:bottom w:val="single" w:color="auto" w:sz="4" w:space="0"/>
              <w:right w:val="single" w:color="auto" w:sz="4" w:space="0"/>
            </w:tcBorders>
            <w:vAlign w:val="center"/>
          </w:tcPr>
          <w:p w14:paraId="22BE1174">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■公开招标</w:t>
            </w:r>
          </w:p>
          <w:p w14:paraId="70A032D9">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□邀请招标</w:t>
            </w:r>
          </w:p>
        </w:tc>
      </w:tr>
      <w:tr w14:paraId="554DF6A3">
        <w:tblPrEx>
          <w:tblCellMar>
            <w:top w:w="0" w:type="dxa"/>
            <w:left w:w="108" w:type="dxa"/>
            <w:bottom w:w="0" w:type="dxa"/>
            <w:right w:w="108" w:type="dxa"/>
          </w:tblCellMar>
        </w:tblPrEx>
        <w:trPr>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7DCDAC43">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1.5招标范围、工期和质量要求</w:t>
            </w:r>
          </w:p>
        </w:tc>
      </w:tr>
      <w:tr w14:paraId="40C316FD">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768B8ED6">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宋体" w:hAnsi="宋体"/>
                <w:szCs w:val="21"/>
              </w:rPr>
            </w:pPr>
            <w:r>
              <w:rPr>
                <w:rFonts w:ascii="宋体" w:hAnsi="宋体"/>
                <w:szCs w:val="21"/>
              </w:rPr>
              <w:t>1.</w:t>
            </w:r>
            <w:r>
              <w:rPr>
                <w:rFonts w:hint="eastAsia" w:ascii="宋体" w:hAnsi="宋体"/>
                <w:szCs w:val="21"/>
              </w:rPr>
              <w:t>5</w:t>
            </w:r>
            <w:r>
              <w:rPr>
                <w:rFonts w:ascii="宋体" w:hAnsi="宋体"/>
                <w:szCs w:val="21"/>
              </w:rPr>
              <w:t>.1</w:t>
            </w:r>
          </w:p>
        </w:tc>
        <w:tc>
          <w:tcPr>
            <w:tcW w:w="3132" w:type="dxa"/>
            <w:tcBorders>
              <w:top w:val="single" w:color="auto" w:sz="4" w:space="0"/>
              <w:left w:val="single" w:color="auto" w:sz="4" w:space="0"/>
              <w:bottom w:val="single" w:color="auto" w:sz="4" w:space="0"/>
              <w:right w:val="single" w:color="auto" w:sz="4" w:space="0"/>
            </w:tcBorders>
            <w:vAlign w:val="center"/>
          </w:tcPr>
          <w:p w14:paraId="6733EF40">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ascii="宋体" w:hAnsi="宋体"/>
                <w:szCs w:val="21"/>
              </w:rPr>
              <w:t>招标范围</w:t>
            </w:r>
          </w:p>
        </w:tc>
        <w:tc>
          <w:tcPr>
            <w:tcW w:w="5868" w:type="dxa"/>
            <w:tcBorders>
              <w:top w:val="single" w:color="auto" w:sz="4" w:space="0"/>
              <w:left w:val="single" w:color="auto" w:sz="4" w:space="0"/>
              <w:bottom w:val="single" w:color="auto" w:sz="4" w:space="0"/>
              <w:right w:val="single" w:color="auto" w:sz="4" w:space="0"/>
            </w:tcBorders>
            <w:vAlign w:val="center"/>
          </w:tcPr>
          <w:p w14:paraId="65F6995F">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见施工图、工作量清单及施工要求</w:t>
            </w:r>
          </w:p>
        </w:tc>
      </w:tr>
      <w:tr w14:paraId="4D2C311F">
        <w:tblPrEx>
          <w:tblCellMar>
            <w:top w:w="0" w:type="dxa"/>
            <w:left w:w="108" w:type="dxa"/>
            <w:bottom w:w="0" w:type="dxa"/>
            <w:right w:w="108" w:type="dxa"/>
          </w:tblCellMar>
        </w:tblPrEx>
        <w:trPr>
          <w:trHeight w:val="410" w:hRule="atLeast"/>
          <w:jc w:val="center"/>
        </w:trPr>
        <w:tc>
          <w:tcPr>
            <w:tcW w:w="1291" w:type="dxa"/>
            <w:tcBorders>
              <w:top w:val="single" w:color="auto" w:sz="4" w:space="0"/>
              <w:left w:val="single" w:color="auto" w:sz="4" w:space="0"/>
              <w:bottom w:val="single" w:color="auto" w:sz="4" w:space="0"/>
              <w:right w:val="single" w:color="auto" w:sz="4" w:space="0"/>
            </w:tcBorders>
            <w:vAlign w:val="center"/>
          </w:tcPr>
          <w:p w14:paraId="71B5E6C7">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宋体" w:hAnsi="宋体"/>
                <w:szCs w:val="21"/>
              </w:rPr>
            </w:pPr>
            <w:r>
              <w:rPr>
                <w:rFonts w:ascii="宋体" w:hAnsi="宋体"/>
                <w:szCs w:val="21"/>
              </w:rPr>
              <w:t>1.</w:t>
            </w:r>
            <w:r>
              <w:rPr>
                <w:rFonts w:hint="eastAsia" w:ascii="宋体" w:hAnsi="宋体"/>
                <w:szCs w:val="21"/>
              </w:rPr>
              <w:t>5</w:t>
            </w:r>
            <w:r>
              <w:rPr>
                <w:rFonts w:ascii="宋体" w:hAnsi="宋体"/>
                <w:szCs w:val="21"/>
              </w:rPr>
              <w:t>.2</w:t>
            </w:r>
          </w:p>
        </w:tc>
        <w:tc>
          <w:tcPr>
            <w:tcW w:w="3132" w:type="dxa"/>
            <w:tcBorders>
              <w:top w:val="single" w:color="auto" w:sz="4" w:space="0"/>
              <w:left w:val="single" w:color="auto" w:sz="4" w:space="0"/>
              <w:bottom w:val="single" w:color="auto" w:sz="4" w:space="0"/>
              <w:right w:val="single" w:color="auto" w:sz="4" w:space="0"/>
            </w:tcBorders>
            <w:vAlign w:val="center"/>
          </w:tcPr>
          <w:p w14:paraId="34CF68BD">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b/>
                <w:szCs w:val="21"/>
              </w:rPr>
            </w:pPr>
            <w:r>
              <w:rPr>
                <w:rFonts w:hint="eastAsia" w:ascii="宋体" w:hAnsi="宋体"/>
                <w:b/>
                <w:szCs w:val="21"/>
              </w:rPr>
              <w:t>施工工期要求</w:t>
            </w:r>
          </w:p>
        </w:tc>
        <w:tc>
          <w:tcPr>
            <w:tcW w:w="5868" w:type="dxa"/>
            <w:tcBorders>
              <w:top w:val="single" w:color="auto" w:sz="4" w:space="0"/>
              <w:left w:val="single" w:color="auto" w:sz="4" w:space="0"/>
              <w:bottom w:val="single" w:color="auto" w:sz="4" w:space="0"/>
              <w:right w:val="single" w:color="auto" w:sz="4" w:space="0"/>
            </w:tcBorders>
            <w:vAlign w:val="center"/>
          </w:tcPr>
          <w:p w14:paraId="08F4996C">
            <w:pPr>
              <w:keepNext w:val="0"/>
              <w:keepLines w:val="0"/>
              <w:pageBreakBefore w:val="0"/>
              <w:widowControl w:val="0"/>
              <w:kinsoku/>
              <w:wordWrap/>
              <w:overflowPunct/>
              <w:topLinePunct w:val="0"/>
              <w:autoSpaceDE/>
              <w:autoSpaceDN/>
              <w:bidi w:val="0"/>
              <w:adjustRightInd/>
              <w:snapToGrid/>
              <w:spacing w:line="400" w:lineRule="exact"/>
              <w:jc w:val="left"/>
              <w:rPr>
                <w:rFonts w:ascii="宋体" w:hAnsi="宋体"/>
                <w:b/>
                <w:szCs w:val="21"/>
              </w:rPr>
            </w:pPr>
            <w:r>
              <w:rPr>
                <w:rFonts w:hint="eastAsia" w:ascii="宋体" w:hAnsi="宋体"/>
                <w:b/>
                <w:szCs w:val="21"/>
                <w:lang w:val="en-US" w:eastAsia="zh-CN"/>
              </w:rPr>
              <w:t>100天（自然日）</w:t>
            </w:r>
            <w:r>
              <w:rPr>
                <w:rFonts w:hint="eastAsia" w:ascii="宋体" w:hAnsi="宋体"/>
                <w:b/>
                <w:szCs w:val="21"/>
              </w:rPr>
              <w:t>（不能满足施工工期要求，判为无效投标）</w:t>
            </w:r>
          </w:p>
        </w:tc>
      </w:tr>
      <w:tr w14:paraId="09392798">
        <w:tblPrEx>
          <w:tblCellMar>
            <w:top w:w="0" w:type="dxa"/>
            <w:left w:w="108" w:type="dxa"/>
            <w:bottom w:w="0" w:type="dxa"/>
            <w:right w:w="108" w:type="dxa"/>
          </w:tblCellMar>
        </w:tblPrEx>
        <w:trPr>
          <w:trHeight w:val="299" w:hRule="atLeast"/>
          <w:jc w:val="center"/>
        </w:trPr>
        <w:tc>
          <w:tcPr>
            <w:tcW w:w="1291" w:type="dxa"/>
            <w:tcBorders>
              <w:top w:val="single" w:color="auto" w:sz="4" w:space="0"/>
              <w:left w:val="single" w:color="auto" w:sz="4" w:space="0"/>
              <w:bottom w:val="single" w:color="auto" w:sz="4" w:space="0"/>
              <w:right w:val="single" w:color="auto" w:sz="4" w:space="0"/>
            </w:tcBorders>
            <w:vAlign w:val="center"/>
          </w:tcPr>
          <w:p w14:paraId="52CAA9B7">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宋体" w:hAnsi="宋体"/>
                <w:szCs w:val="21"/>
              </w:rPr>
            </w:pPr>
            <w:r>
              <w:rPr>
                <w:rFonts w:ascii="宋体" w:hAnsi="宋体"/>
                <w:szCs w:val="21"/>
              </w:rPr>
              <w:t>1.</w:t>
            </w:r>
            <w:r>
              <w:rPr>
                <w:rFonts w:hint="eastAsia" w:ascii="宋体" w:hAnsi="宋体"/>
                <w:szCs w:val="21"/>
              </w:rPr>
              <w:t>5</w:t>
            </w:r>
            <w:r>
              <w:rPr>
                <w:rFonts w:ascii="宋体" w:hAnsi="宋体"/>
                <w:szCs w:val="21"/>
              </w:rPr>
              <w:t>.3</w:t>
            </w:r>
          </w:p>
        </w:tc>
        <w:tc>
          <w:tcPr>
            <w:tcW w:w="3132" w:type="dxa"/>
            <w:tcBorders>
              <w:top w:val="single" w:color="auto" w:sz="4" w:space="0"/>
              <w:left w:val="single" w:color="auto" w:sz="4" w:space="0"/>
              <w:bottom w:val="single" w:color="auto" w:sz="4" w:space="0"/>
              <w:right w:val="single" w:color="auto" w:sz="4" w:space="0"/>
            </w:tcBorders>
            <w:vAlign w:val="center"/>
          </w:tcPr>
          <w:p w14:paraId="52523FC8">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ascii="宋体" w:hAnsi="宋体"/>
                <w:szCs w:val="21"/>
              </w:rPr>
              <w:t>质量要求</w:t>
            </w:r>
          </w:p>
        </w:tc>
        <w:tc>
          <w:tcPr>
            <w:tcW w:w="5868" w:type="dxa"/>
            <w:tcBorders>
              <w:top w:val="single" w:color="auto" w:sz="4" w:space="0"/>
              <w:left w:val="single" w:color="auto" w:sz="4" w:space="0"/>
              <w:bottom w:val="single" w:color="auto" w:sz="4" w:space="0"/>
              <w:right w:val="single" w:color="auto" w:sz="4" w:space="0"/>
            </w:tcBorders>
            <w:vAlign w:val="center"/>
          </w:tcPr>
          <w:p w14:paraId="5F8CFC32">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hint="eastAsia" w:ascii="宋体" w:hAnsi="宋体"/>
                <w:szCs w:val="21"/>
              </w:rPr>
              <w:t>见技术标准及要求</w:t>
            </w:r>
          </w:p>
        </w:tc>
      </w:tr>
      <w:tr w14:paraId="42418FF7">
        <w:tblPrEx>
          <w:tblCellMar>
            <w:top w:w="0" w:type="dxa"/>
            <w:left w:w="108" w:type="dxa"/>
            <w:bottom w:w="0" w:type="dxa"/>
            <w:right w:w="108" w:type="dxa"/>
          </w:tblCellMar>
        </w:tblPrEx>
        <w:trPr>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1691E4D3">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hint="eastAsia" w:ascii="宋体" w:hAnsi="宋体"/>
                <w:szCs w:val="21"/>
              </w:rPr>
              <w:t>1.6投标人资格要求</w:t>
            </w:r>
          </w:p>
        </w:tc>
      </w:tr>
      <w:tr w14:paraId="333A1374">
        <w:tblPrEx>
          <w:tblCellMar>
            <w:top w:w="0" w:type="dxa"/>
            <w:left w:w="108" w:type="dxa"/>
            <w:bottom w:w="0" w:type="dxa"/>
            <w:right w:w="108" w:type="dxa"/>
          </w:tblCellMar>
        </w:tblPrEx>
        <w:trPr>
          <w:trHeight w:val="90" w:hRule="atLeast"/>
          <w:jc w:val="center"/>
        </w:trPr>
        <w:tc>
          <w:tcPr>
            <w:tcW w:w="1291" w:type="dxa"/>
            <w:tcBorders>
              <w:top w:val="single" w:color="auto" w:sz="4" w:space="0"/>
              <w:left w:val="single" w:color="auto" w:sz="4" w:space="0"/>
              <w:bottom w:val="single" w:color="auto" w:sz="4" w:space="0"/>
              <w:right w:val="single" w:color="auto" w:sz="4" w:space="0"/>
            </w:tcBorders>
            <w:vAlign w:val="center"/>
          </w:tcPr>
          <w:p w14:paraId="462F7CC9">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宋体" w:hAnsi="宋体"/>
                <w:szCs w:val="21"/>
              </w:rPr>
            </w:pPr>
            <w:r>
              <w:rPr>
                <w:rFonts w:ascii="宋体" w:hAnsi="宋体"/>
                <w:szCs w:val="21"/>
              </w:rPr>
              <w:t>1.</w:t>
            </w:r>
            <w:r>
              <w:rPr>
                <w:rFonts w:hint="eastAsia" w:ascii="宋体" w:hAnsi="宋体"/>
                <w:szCs w:val="21"/>
              </w:rPr>
              <w:t>6</w:t>
            </w:r>
            <w:r>
              <w:rPr>
                <w:rFonts w:ascii="宋体" w:hAnsi="宋体"/>
                <w:szCs w:val="21"/>
              </w:rPr>
              <w:t>.</w:t>
            </w:r>
            <w:r>
              <w:rPr>
                <w:rFonts w:hint="eastAsia" w:ascii="宋体" w:hAnsi="宋体"/>
                <w:szCs w:val="21"/>
              </w:rPr>
              <w:t>2</w:t>
            </w:r>
          </w:p>
        </w:tc>
        <w:tc>
          <w:tcPr>
            <w:tcW w:w="3132" w:type="dxa"/>
            <w:tcBorders>
              <w:top w:val="single" w:color="auto" w:sz="4" w:space="0"/>
              <w:left w:val="single" w:color="auto" w:sz="4" w:space="0"/>
              <w:bottom w:val="single" w:color="auto" w:sz="4" w:space="0"/>
              <w:right w:val="single" w:color="auto" w:sz="4" w:space="0"/>
            </w:tcBorders>
            <w:vAlign w:val="center"/>
          </w:tcPr>
          <w:p w14:paraId="0C60F020">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ascii="宋体" w:hAnsi="宋体"/>
                <w:szCs w:val="21"/>
              </w:rPr>
              <w:t>投标人资质条件、能力和信誉</w:t>
            </w:r>
          </w:p>
        </w:tc>
        <w:tc>
          <w:tcPr>
            <w:tcW w:w="5868" w:type="dxa"/>
            <w:tcBorders>
              <w:top w:val="single" w:color="auto" w:sz="4" w:space="0"/>
              <w:left w:val="single" w:color="auto" w:sz="4" w:space="0"/>
              <w:bottom w:val="single" w:color="auto" w:sz="4" w:space="0"/>
              <w:right w:val="single" w:color="auto" w:sz="4" w:space="0"/>
            </w:tcBorders>
            <w:vAlign w:val="center"/>
          </w:tcPr>
          <w:p w14:paraId="7AD86CFB">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hint="eastAsia" w:ascii="宋体" w:hAnsi="宋体"/>
                <w:szCs w:val="21"/>
              </w:rPr>
              <w:t>（一）投标人必须具备中华人民共和国境内生产或经营应具备的合法资质；</w:t>
            </w:r>
          </w:p>
          <w:p w14:paraId="62DF1486">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hint="eastAsia" w:ascii="宋体" w:hAnsi="宋体"/>
                <w:szCs w:val="21"/>
              </w:rPr>
              <w:t>（二）不接受被列入失信被执行人、重大违法案件当事人投标；</w:t>
            </w:r>
          </w:p>
          <w:p w14:paraId="74FEF025">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hint="eastAsia" w:ascii="宋体" w:hAnsi="宋体"/>
                <w:szCs w:val="21"/>
              </w:rPr>
              <w:t>（三）投标人实缴注册资金应不低于人民币1000万元；（天眼查或提供实缴注册资金证明）</w:t>
            </w:r>
          </w:p>
          <w:p w14:paraId="4E373C77">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hint="eastAsia" w:ascii="宋体" w:hAnsi="宋体"/>
                <w:szCs w:val="21"/>
              </w:rPr>
              <w:t>（四）投标人应具备良好的售后服务能力，要求电话联系后 8 小时内必须给予回复，明确解决方案；</w:t>
            </w:r>
          </w:p>
          <w:p w14:paraId="36A11756">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hint="eastAsia" w:ascii="宋体" w:hAnsi="宋体"/>
                <w:szCs w:val="21"/>
              </w:rPr>
              <w:t>（五） 投标人须具有与本次招标要求的资质等级和业绩；</w:t>
            </w:r>
          </w:p>
          <w:p w14:paraId="7E549205">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hint="eastAsia" w:ascii="宋体" w:hAnsi="宋体"/>
                <w:szCs w:val="21"/>
              </w:rPr>
              <w:t>（六）不接受被列入海纳川供应商负面清单中的单位投标；</w:t>
            </w:r>
          </w:p>
          <w:p w14:paraId="756AA27A">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（七）本次招标不接受联合体、合作体投标。</w:t>
            </w:r>
          </w:p>
        </w:tc>
      </w:tr>
      <w:tr w14:paraId="4814CEDD">
        <w:tblPrEx>
          <w:tblCellMar>
            <w:top w:w="0" w:type="dxa"/>
            <w:left w:w="108" w:type="dxa"/>
            <w:bottom w:w="0" w:type="dxa"/>
            <w:right w:w="108" w:type="dxa"/>
          </w:tblCellMar>
        </w:tblPrEx>
        <w:trPr>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0036F6E2">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1.</w:t>
            </w:r>
            <w:r>
              <w:rPr>
                <w:rFonts w:ascii="宋体" w:hAnsi="宋体"/>
                <w:szCs w:val="21"/>
              </w:rPr>
              <w:t>7</w:t>
            </w:r>
            <w:r>
              <w:rPr>
                <w:rFonts w:hint="eastAsia" w:ascii="宋体" w:hAnsi="宋体"/>
                <w:szCs w:val="21"/>
              </w:rPr>
              <w:t>踏勘现场</w:t>
            </w:r>
          </w:p>
        </w:tc>
      </w:tr>
      <w:tr w14:paraId="64AE2FF7">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25BFC15A">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宋体" w:hAnsi="宋体"/>
                <w:szCs w:val="21"/>
              </w:rPr>
            </w:pPr>
            <w:r>
              <w:rPr>
                <w:rFonts w:ascii="宋体" w:hAnsi="宋体"/>
                <w:szCs w:val="21"/>
              </w:rPr>
              <w:t>1.7.1</w:t>
            </w:r>
          </w:p>
        </w:tc>
        <w:tc>
          <w:tcPr>
            <w:tcW w:w="3132" w:type="dxa"/>
            <w:tcBorders>
              <w:top w:val="single" w:color="auto" w:sz="4" w:space="0"/>
              <w:left w:val="single" w:color="auto" w:sz="4" w:space="0"/>
              <w:bottom w:val="single" w:color="auto" w:sz="4" w:space="0"/>
              <w:right w:val="single" w:color="auto" w:sz="4" w:space="0"/>
            </w:tcBorders>
            <w:vAlign w:val="center"/>
          </w:tcPr>
          <w:p w14:paraId="0C9280BB">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ascii="宋体" w:hAnsi="宋体"/>
                <w:szCs w:val="21"/>
              </w:rPr>
              <w:t>踏勘</w:t>
            </w:r>
            <w:r>
              <w:rPr>
                <w:rFonts w:hint="eastAsia" w:ascii="宋体" w:hAnsi="宋体"/>
                <w:szCs w:val="21"/>
              </w:rPr>
              <w:t>现场</w:t>
            </w:r>
          </w:p>
        </w:tc>
        <w:tc>
          <w:tcPr>
            <w:tcW w:w="5868" w:type="dxa"/>
            <w:tcBorders>
              <w:top w:val="single" w:color="auto" w:sz="4" w:space="0"/>
              <w:left w:val="single" w:color="auto" w:sz="4" w:space="0"/>
              <w:bottom w:val="single" w:color="auto" w:sz="4" w:space="0"/>
              <w:right w:val="single" w:color="auto" w:sz="4" w:space="0"/>
            </w:tcBorders>
            <w:vAlign w:val="center"/>
          </w:tcPr>
          <w:p w14:paraId="338F67EE">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highlight w:val="yellow"/>
              </w:rPr>
            </w:pPr>
            <w:r>
              <w:rPr>
                <w:rFonts w:hint="eastAsia" w:ascii="宋体" w:hAnsi="宋体"/>
                <w:szCs w:val="21"/>
                <w:highlight w:val="yellow"/>
              </w:rPr>
              <w:t>统一现场踏勘时间  2025</w:t>
            </w:r>
            <w:r>
              <w:rPr>
                <w:rFonts w:ascii="宋体" w:hAnsi="宋体"/>
                <w:szCs w:val="21"/>
                <w:highlight w:val="yellow"/>
              </w:rPr>
              <w:t xml:space="preserve"> </w:t>
            </w:r>
            <w:r>
              <w:rPr>
                <w:rFonts w:hint="eastAsia" w:ascii="宋体" w:hAnsi="宋体"/>
                <w:szCs w:val="21"/>
                <w:highlight w:val="yellow"/>
              </w:rPr>
              <w:t xml:space="preserve">年 1月 </w:t>
            </w:r>
            <w:r>
              <w:rPr>
                <w:rFonts w:hint="eastAsia" w:ascii="宋体" w:hAnsi="宋体"/>
                <w:szCs w:val="21"/>
                <w:highlight w:val="yellow"/>
                <w:lang w:val="en-US" w:eastAsia="zh-CN"/>
              </w:rPr>
              <w:t>22</w:t>
            </w:r>
            <w:r>
              <w:rPr>
                <w:rFonts w:hint="eastAsia" w:ascii="宋体" w:hAnsi="宋体"/>
                <w:szCs w:val="21"/>
                <w:highlight w:val="yellow"/>
              </w:rPr>
              <w:t>日</w:t>
            </w:r>
            <w:r>
              <w:rPr>
                <w:rFonts w:hint="eastAsia" w:ascii="宋体" w:hAnsi="宋体"/>
                <w:szCs w:val="21"/>
                <w:highlight w:val="yellow"/>
                <w:lang w:val="en-US" w:eastAsia="zh-CN"/>
              </w:rPr>
              <w:t>13:30</w:t>
            </w:r>
          </w:p>
          <w:p w14:paraId="12EBCAD1">
            <w:pPr>
              <w:keepNext w:val="0"/>
              <w:keepLines w:val="0"/>
              <w:pageBreakBefore w:val="0"/>
              <w:widowControl w:val="0"/>
              <w:kinsoku/>
              <w:wordWrap/>
              <w:overflowPunct/>
              <w:topLinePunct w:val="0"/>
              <w:autoSpaceDE/>
              <w:autoSpaceDN/>
              <w:bidi w:val="0"/>
              <w:adjustRightInd/>
              <w:snapToGrid/>
              <w:spacing w:line="400" w:lineRule="exact"/>
              <w:rPr>
                <w:rFonts w:hint="default" w:ascii="宋体" w:hAnsi="宋体" w:eastAsia="宋体"/>
                <w:szCs w:val="21"/>
                <w:lang w:val="en-US" w:eastAsia="zh-CN"/>
              </w:rPr>
            </w:pPr>
            <w:r>
              <w:rPr>
                <w:rFonts w:hint="eastAsia" w:ascii="宋体" w:hAnsi="宋体"/>
                <w:szCs w:val="21"/>
              </w:rPr>
              <w:t>联系人：</w:t>
            </w:r>
            <w:r>
              <w:rPr>
                <w:rFonts w:hint="eastAsia" w:ascii="宋体" w:hAnsi="宋体"/>
                <w:szCs w:val="21"/>
                <w:lang w:val="en-US" w:eastAsia="zh-CN"/>
              </w:rPr>
              <w:t>米雨</w:t>
            </w:r>
            <w:r>
              <w:rPr>
                <w:rFonts w:hint="eastAsia" w:ascii="宋体" w:hAnsi="宋体"/>
                <w:szCs w:val="21"/>
              </w:rPr>
              <w:t>，电话：</w:t>
            </w:r>
            <w:r>
              <w:rPr>
                <w:rFonts w:hint="eastAsia" w:ascii="宋体" w:hAnsi="宋体"/>
                <w:szCs w:val="21"/>
                <w:lang w:val="en-US" w:eastAsia="zh-CN"/>
              </w:rPr>
              <w:t>15952865660</w:t>
            </w:r>
          </w:p>
          <w:p w14:paraId="1D6A5BCE">
            <w:pPr>
              <w:keepNext w:val="0"/>
              <w:keepLines w:val="0"/>
              <w:pageBreakBefore w:val="0"/>
              <w:widowControl w:val="0"/>
              <w:kinsoku/>
              <w:wordWrap/>
              <w:overflowPunct/>
              <w:topLinePunct w:val="0"/>
              <w:autoSpaceDE/>
              <w:autoSpaceDN/>
              <w:bidi w:val="0"/>
              <w:adjustRightInd/>
              <w:snapToGrid/>
              <w:spacing w:line="400" w:lineRule="exact"/>
              <w:rPr>
                <w:rFonts w:ascii="宋体" w:hAnsi="宋体"/>
                <w:b/>
                <w:szCs w:val="21"/>
              </w:rPr>
            </w:pPr>
            <w:r>
              <w:rPr>
                <w:rFonts w:hint="eastAsia" w:ascii="宋体" w:hAnsi="宋体"/>
                <w:b/>
                <w:color w:val="FF0000"/>
                <w:szCs w:val="21"/>
              </w:rPr>
              <w:t>投标人必须参加现场踏勘，否则投标文件无效。</w:t>
            </w:r>
          </w:p>
        </w:tc>
      </w:tr>
      <w:tr w14:paraId="066FF681">
        <w:tblPrEx>
          <w:tblCellMar>
            <w:top w:w="0" w:type="dxa"/>
            <w:left w:w="108" w:type="dxa"/>
            <w:bottom w:w="0" w:type="dxa"/>
            <w:right w:w="108" w:type="dxa"/>
          </w:tblCellMar>
        </w:tblPrEx>
        <w:trPr>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01A69C72">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1.</w:t>
            </w:r>
            <w:r>
              <w:rPr>
                <w:rFonts w:ascii="宋体" w:hAnsi="宋体"/>
                <w:szCs w:val="21"/>
              </w:rPr>
              <w:t>8</w:t>
            </w:r>
            <w:r>
              <w:rPr>
                <w:rFonts w:hint="eastAsia" w:ascii="宋体" w:hAnsi="宋体"/>
                <w:szCs w:val="21"/>
              </w:rPr>
              <w:t>投标预备会</w:t>
            </w:r>
          </w:p>
        </w:tc>
      </w:tr>
      <w:tr w14:paraId="74BD19DC">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6042ADDE">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宋体" w:hAnsi="宋体"/>
                <w:szCs w:val="21"/>
              </w:rPr>
            </w:pPr>
            <w:r>
              <w:rPr>
                <w:rFonts w:ascii="宋体" w:hAnsi="宋体"/>
                <w:szCs w:val="21"/>
              </w:rPr>
              <w:t>1.8.1</w:t>
            </w:r>
          </w:p>
        </w:tc>
        <w:tc>
          <w:tcPr>
            <w:tcW w:w="3132" w:type="dxa"/>
            <w:tcBorders>
              <w:top w:val="single" w:color="auto" w:sz="4" w:space="0"/>
              <w:left w:val="single" w:color="auto" w:sz="4" w:space="0"/>
              <w:bottom w:val="single" w:color="auto" w:sz="4" w:space="0"/>
              <w:right w:val="single" w:color="auto" w:sz="4" w:space="0"/>
            </w:tcBorders>
            <w:vAlign w:val="center"/>
          </w:tcPr>
          <w:p w14:paraId="5E11A7DE">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ascii="宋体" w:hAnsi="宋体"/>
                <w:szCs w:val="21"/>
              </w:rPr>
              <w:t>投标预备会</w:t>
            </w:r>
          </w:p>
        </w:tc>
        <w:tc>
          <w:tcPr>
            <w:tcW w:w="5868" w:type="dxa"/>
            <w:tcBorders>
              <w:top w:val="single" w:color="auto" w:sz="4" w:space="0"/>
              <w:left w:val="single" w:color="auto" w:sz="4" w:space="0"/>
              <w:bottom w:val="single" w:color="auto" w:sz="4" w:space="0"/>
              <w:right w:val="single" w:color="auto" w:sz="4" w:space="0"/>
            </w:tcBorders>
            <w:vAlign w:val="center"/>
          </w:tcPr>
          <w:p w14:paraId="7E686394">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■不</w:t>
            </w:r>
            <w:r>
              <w:rPr>
                <w:rFonts w:ascii="宋体" w:hAnsi="宋体"/>
                <w:szCs w:val="21"/>
              </w:rPr>
              <w:t>召开</w:t>
            </w:r>
          </w:p>
          <w:p w14:paraId="6CF2FED6">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w:t>
            </w:r>
            <w:r>
              <w:rPr>
                <w:rFonts w:ascii="宋体" w:hAnsi="宋体"/>
                <w:szCs w:val="21"/>
              </w:rPr>
              <w:t>召开</w:t>
            </w:r>
            <w:r>
              <w:rPr>
                <w:rFonts w:hint="eastAsia" w:ascii="宋体" w:hAnsi="宋体"/>
                <w:szCs w:val="21"/>
              </w:rPr>
              <w:t>，</w:t>
            </w:r>
            <w:r>
              <w:rPr>
                <w:rFonts w:ascii="宋体" w:hAnsi="宋体"/>
                <w:szCs w:val="21"/>
              </w:rPr>
              <w:t>召开时间：</w:t>
            </w:r>
          </w:p>
          <w:p w14:paraId="641BE8D2">
            <w:pPr>
              <w:keepNext w:val="0"/>
              <w:keepLines w:val="0"/>
              <w:pageBreakBefore w:val="0"/>
              <w:widowControl w:val="0"/>
              <w:kinsoku/>
              <w:wordWrap/>
              <w:overflowPunct/>
              <w:topLinePunct w:val="0"/>
              <w:autoSpaceDE/>
              <w:autoSpaceDN/>
              <w:bidi w:val="0"/>
              <w:adjustRightInd/>
              <w:snapToGrid/>
              <w:spacing w:line="400" w:lineRule="exact"/>
              <w:ind w:firstLine="840" w:firstLineChars="400"/>
              <w:rPr>
                <w:rFonts w:ascii="宋体" w:hAnsi="宋体"/>
                <w:szCs w:val="21"/>
              </w:rPr>
            </w:pPr>
            <w:r>
              <w:rPr>
                <w:rFonts w:ascii="宋体" w:hAnsi="宋体"/>
                <w:szCs w:val="21"/>
              </w:rPr>
              <w:t>召开地点：</w:t>
            </w:r>
          </w:p>
        </w:tc>
      </w:tr>
      <w:tr w14:paraId="216BADA1">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79FF9864">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宋体" w:hAnsi="宋体"/>
                <w:szCs w:val="21"/>
              </w:rPr>
            </w:pPr>
            <w:r>
              <w:rPr>
                <w:rFonts w:ascii="宋体" w:hAnsi="宋体"/>
                <w:szCs w:val="21"/>
              </w:rPr>
              <w:t>1.8.2</w:t>
            </w:r>
          </w:p>
        </w:tc>
        <w:tc>
          <w:tcPr>
            <w:tcW w:w="3132" w:type="dxa"/>
            <w:tcBorders>
              <w:top w:val="single" w:color="auto" w:sz="4" w:space="0"/>
              <w:left w:val="single" w:color="auto" w:sz="4" w:space="0"/>
              <w:bottom w:val="single" w:color="auto" w:sz="4" w:space="0"/>
              <w:right w:val="single" w:color="auto" w:sz="4" w:space="0"/>
            </w:tcBorders>
            <w:vAlign w:val="center"/>
          </w:tcPr>
          <w:p w14:paraId="7649E865">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ascii="宋体" w:hAnsi="宋体"/>
                <w:szCs w:val="21"/>
              </w:rPr>
              <w:t>投标人提出问题的截止时间</w:t>
            </w:r>
          </w:p>
        </w:tc>
        <w:tc>
          <w:tcPr>
            <w:tcW w:w="5868" w:type="dxa"/>
            <w:tcBorders>
              <w:top w:val="single" w:color="auto" w:sz="4" w:space="0"/>
              <w:left w:val="single" w:color="auto" w:sz="4" w:space="0"/>
              <w:bottom w:val="single" w:color="auto" w:sz="4" w:space="0"/>
              <w:right w:val="single" w:color="auto" w:sz="4" w:space="0"/>
            </w:tcBorders>
            <w:vAlign w:val="center"/>
          </w:tcPr>
          <w:p w14:paraId="1A9E354B">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w:t>
            </w:r>
            <w:r>
              <w:rPr>
                <w:rFonts w:hint="eastAsia" w:ascii="宋体" w:hAnsi="宋体" w:cs="宋体"/>
                <w:szCs w:val="21"/>
              </w:rPr>
              <w:t>无</w:t>
            </w:r>
            <w:r>
              <w:rPr>
                <w:rFonts w:hint="eastAsia" w:ascii="宋体" w:hAnsi="宋体"/>
                <w:szCs w:val="21"/>
              </w:rPr>
              <w:t xml:space="preserve">     </w:t>
            </w:r>
            <w:r>
              <w:rPr>
                <w:rFonts w:ascii="Segoe UI Symbol" w:hAnsi="Segoe UI Symbol" w:cs="Segoe UI Symbol"/>
                <w:szCs w:val="21"/>
              </w:rPr>
              <w:t>☑</w:t>
            </w:r>
            <w:r>
              <w:rPr>
                <w:rFonts w:hint="eastAsia" w:ascii="宋体" w:hAnsi="宋体"/>
                <w:szCs w:val="21"/>
              </w:rPr>
              <w:t>有：</w:t>
            </w:r>
            <w:r>
              <w:rPr>
                <w:rFonts w:ascii="宋体" w:hAnsi="宋体"/>
                <w:szCs w:val="21"/>
              </w:rPr>
              <w:t>投标截止时间</w:t>
            </w:r>
            <w:r>
              <w:rPr>
                <w:rFonts w:hint="eastAsia" w:ascii="宋体" w:hAnsi="宋体"/>
                <w:szCs w:val="21"/>
              </w:rPr>
              <w:t>2日</w:t>
            </w:r>
            <w:r>
              <w:rPr>
                <w:rFonts w:ascii="宋体" w:hAnsi="宋体"/>
                <w:szCs w:val="21"/>
              </w:rPr>
              <w:t>前</w:t>
            </w:r>
          </w:p>
        </w:tc>
      </w:tr>
      <w:tr w14:paraId="4308E660">
        <w:tblPrEx>
          <w:tblCellMar>
            <w:top w:w="0" w:type="dxa"/>
            <w:left w:w="108" w:type="dxa"/>
            <w:bottom w:w="0" w:type="dxa"/>
            <w:right w:w="108" w:type="dxa"/>
          </w:tblCellMar>
        </w:tblPrEx>
        <w:trPr>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459D0AB9">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1.</w:t>
            </w:r>
            <w:r>
              <w:rPr>
                <w:rFonts w:ascii="宋体" w:hAnsi="宋体"/>
                <w:szCs w:val="21"/>
              </w:rPr>
              <w:t>9</w:t>
            </w:r>
            <w:r>
              <w:rPr>
                <w:rFonts w:hint="eastAsia" w:ascii="宋体" w:hAnsi="宋体"/>
                <w:szCs w:val="21"/>
              </w:rPr>
              <w:t>偏离</w:t>
            </w:r>
          </w:p>
        </w:tc>
      </w:tr>
      <w:tr w14:paraId="21B5FA98">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47A74DD2">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宋体" w:hAnsi="宋体"/>
                <w:szCs w:val="21"/>
              </w:rPr>
            </w:pPr>
            <w:r>
              <w:rPr>
                <w:rFonts w:hint="eastAsia" w:ascii="宋体" w:hAnsi="宋体"/>
                <w:szCs w:val="21"/>
              </w:rPr>
              <w:t>1.</w:t>
            </w:r>
            <w:r>
              <w:rPr>
                <w:rFonts w:ascii="宋体" w:hAnsi="宋体"/>
                <w:szCs w:val="21"/>
              </w:rPr>
              <w:t>9.1</w:t>
            </w:r>
          </w:p>
        </w:tc>
        <w:tc>
          <w:tcPr>
            <w:tcW w:w="3132" w:type="dxa"/>
            <w:tcBorders>
              <w:top w:val="single" w:color="auto" w:sz="4" w:space="0"/>
              <w:left w:val="single" w:color="auto" w:sz="4" w:space="0"/>
              <w:bottom w:val="single" w:color="auto" w:sz="4" w:space="0"/>
              <w:right w:val="single" w:color="auto" w:sz="4" w:space="0"/>
            </w:tcBorders>
            <w:vAlign w:val="center"/>
          </w:tcPr>
          <w:p w14:paraId="7DFB5D74">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hint="eastAsia" w:ascii="宋体" w:hAnsi="宋体"/>
                <w:szCs w:val="21"/>
              </w:rPr>
              <w:t>偏离</w:t>
            </w:r>
          </w:p>
        </w:tc>
        <w:tc>
          <w:tcPr>
            <w:tcW w:w="5868" w:type="dxa"/>
            <w:tcBorders>
              <w:top w:val="single" w:color="auto" w:sz="4" w:space="0"/>
              <w:left w:val="single" w:color="auto" w:sz="4" w:space="0"/>
              <w:bottom w:val="single" w:color="auto" w:sz="4" w:space="0"/>
              <w:right w:val="single" w:color="auto" w:sz="4" w:space="0"/>
            </w:tcBorders>
            <w:vAlign w:val="center"/>
          </w:tcPr>
          <w:p w14:paraId="60ACF028">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招标文件中标注“本条不可偏离”或 “*”条款为招标文件</w:t>
            </w:r>
            <w:r>
              <w:rPr>
                <w:rFonts w:ascii="宋体" w:hAnsi="宋体"/>
                <w:szCs w:val="21"/>
              </w:rPr>
              <w:t>实质性条款，如</w:t>
            </w:r>
            <w:r>
              <w:rPr>
                <w:rFonts w:hint="eastAsia" w:ascii="宋体" w:hAnsi="宋体"/>
                <w:szCs w:val="21"/>
              </w:rPr>
              <w:t>不满足</w:t>
            </w:r>
            <w:r>
              <w:rPr>
                <w:rFonts w:ascii="宋体" w:hAnsi="宋体"/>
                <w:szCs w:val="21"/>
              </w:rPr>
              <w:t>投标</w:t>
            </w:r>
            <w:r>
              <w:rPr>
                <w:rFonts w:hint="eastAsia" w:ascii="宋体" w:hAnsi="宋体"/>
                <w:szCs w:val="21"/>
              </w:rPr>
              <w:t>将被</w:t>
            </w:r>
            <w:r>
              <w:rPr>
                <w:rFonts w:ascii="宋体" w:hAnsi="宋体"/>
                <w:szCs w:val="21"/>
              </w:rPr>
              <w:t>拒绝。</w:t>
            </w:r>
          </w:p>
        </w:tc>
      </w:tr>
      <w:tr w14:paraId="7C54427B">
        <w:tblPrEx>
          <w:tblCellMar>
            <w:top w:w="0" w:type="dxa"/>
            <w:left w:w="108" w:type="dxa"/>
            <w:bottom w:w="0" w:type="dxa"/>
            <w:right w:w="108" w:type="dxa"/>
          </w:tblCellMar>
        </w:tblPrEx>
        <w:trPr>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550EA174">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2.1招标文件的组成</w:t>
            </w:r>
          </w:p>
        </w:tc>
      </w:tr>
      <w:tr w14:paraId="39065765">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30EAAEEA">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宋体" w:hAnsi="宋体"/>
                <w:szCs w:val="21"/>
              </w:rPr>
            </w:pPr>
            <w:r>
              <w:rPr>
                <w:rFonts w:ascii="宋体" w:hAnsi="宋体"/>
                <w:szCs w:val="21"/>
              </w:rPr>
              <w:t>2.1</w:t>
            </w:r>
          </w:p>
        </w:tc>
        <w:tc>
          <w:tcPr>
            <w:tcW w:w="3132" w:type="dxa"/>
            <w:tcBorders>
              <w:top w:val="single" w:color="auto" w:sz="4" w:space="0"/>
              <w:left w:val="single" w:color="auto" w:sz="4" w:space="0"/>
              <w:bottom w:val="single" w:color="auto" w:sz="4" w:space="0"/>
              <w:right w:val="single" w:color="auto" w:sz="4" w:space="0"/>
            </w:tcBorders>
            <w:vAlign w:val="center"/>
          </w:tcPr>
          <w:p w14:paraId="208182C8">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hint="eastAsia" w:ascii="宋体" w:hAnsi="宋体"/>
                <w:szCs w:val="21"/>
              </w:rPr>
              <w:t>招标文件</w:t>
            </w:r>
            <w:r>
              <w:rPr>
                <w:rFonts w:ascii="宋体" w:hAnsi="宋体"/>
                <w:szCs w:val="21"/>
              </w:rPr>
              <w:t>的组成</w:t>
            </w:r>
          </w:p>
        </w:tc>
        <w:tc>
          <w:tcPr>
            <w:tcW w:w="5868" w:type="dxa"/>
            <w:tcBorders>
              <w:top w:val="single" w:color="auto" w:sz="4" w:space="0"/>
              <w:left w:val="single" w:color="auto" w:sz="4" w:space="0"/>
              <w:bottom w:val="single" w:color="auto" w:sz="4" w:space="0"/>
              <w:right w:val="single" w:color="auto" w:sz="4" w:space="0"/>
            </w:tcBorders>
            <w:vAlign w:val="center"/>
          </w:tcPr>
          <w:p w14:paraId="5DC0BC5E">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（1）投标人须知</w:t>
            </w:r>
          </w:p>
          <w:p w14:paraId="04FCE2CB">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（2）投标文件格式</w:t>
            </w:r>
          </w:p>
          <w:p w14:paraId="5473835F">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（3）技术要求</w:t>
            </w:r>
          </w:p>
          <w:p w14:paraId="7F394D8B">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（4）评标办法</w:t>
            </w:r>
          </w:p>
        </w:tc>
      </w:tr>
      <w:tr w14:paraId="011F33D0">
        <w:tblPrEx>
          <w:tblCellMar>
            <w:top w:w="0" w:type="dxa"/>
            <w:left w:w="108" w:type="dxa"/>
            <w:bottom w:w="0" w:type="dxa"/>
            <w:right w:w="108" w:type="dxa"/>
          </w:tblCellMar>
        </w:tblPrEx>
        <w:trPr>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41175B8E">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hint="eastAsia" w:ascii="宋体" w:hAnsi="宋体"/>
                <w:szCs w:val="21"/>
              </w:rPr>
              <w:t>2.2招标文件的澄清</w:t>
            </w:r>
          </w:p>
        </w:tc>
      </w:tr>
      <w:tr w14:paraId="7EB02ED1">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3BE07DC1">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宋体" w:hAnsi="宋体"/>
                <w:szCs w:val="21"/>
              </w:rPr>
            </w:pPr>
            <w:r>
              <w:rPr>
                <w:rFonts w:ascii="宋体" w:hAnsi="宋体"/>
                <w:szCs w:val="21"/>
              </w:rPr>
              <w:t>2.2.1</w:t>
            </w:r>
          </w:p>
        </w:tc>
        <w:tc>
          <w:tcPr>
            <w:tcW w:w="3132" w:type="dxa"/>
            <w:tcBorders>
              <w:top w:val="single" w:color="auto" w:sz="4" w:space="0"/>
              <w:left w:val="single" w:color="auto" w:sz="4" w:space="0"/>
              <w:bottom w:val="single" w:color="auto" w:sz="4" w:space="0"/>
              <w:right w:val="single" w:color="auto" w:sz="4" w:space="0"/>
            </w:tcBorders>
            <w:vAlign w:val="center"/>
          </w:tcPr>
          <w:p w14:paraId="09DAA675">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ascii="宋体" w:hAnsi="宋体"/>
                <w:szCs w:val="21"/>
              </w:rPr>
              <w:t>投标人要求澄清招标文件的截止时间</w:t>
            </w:r>
          </w:p>
        </w:tc>
        <w:tc>
          <w:tcPr>
            <w:tcW w:w="5868" w:type="dxa"/>
            <w:tcBorders>
              <w:top w:val="single" w:color="auto" w:sz="4" w:space="0"/>
              <w:left w:val="single" w:color="auto" w:sz="4" w:space="0"/>
              <w:bottom w:val="single" w:color="auto" w:sz="4" w:space="0"/>
              <w:right w:val="single" w:color="auto" w:sz="4" w:space="0"/>
            </w:tcBorders>
            <w:vAlign w:val="center"/>
          </w:tcPr>
          <w:p w14:paraId="5A3A0D4C">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hint="eastAsia" w:ascii="宋体" w:hAnsi="宋体"/>
                <w:szCs w:val="21"/>
              </w:rPr>
              <w:t>投标截止时间前2天</w:t>
            </w:r>
          </w:p>
        </w:tc>
      </w:tr>
      <w:tr w14:paraId="3C76FF76">
        <w:tblPrEx>
          <w:tblCellMar>
            <w:top w:w="0" w:type="dxa"/>
            <w:left w:w="108" w:type="dxa"/>
            <w:bottom w:w="0" w:type="dxa"/>
            <w:right w:w="108" w:type="dxa"/>
          </w:tblCellMar>
        </w:tblPrEx>
        <w:trPr>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122A5CEC">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仿宋_GB2312" w:hAnsi="宋体" w:eastAsia="仿宋_GB2312"/>
                <w:sz w:val="24"/>
                <w:szCs w:val="20"/>
              </w:rPr>
            </w:pPr>
            <w:r>
              <w:rPr>
                <w:rFonts w:hint="eastAsia" w:ascii="宋体" w:hAnsi="宋体"/>
                <w:szCs w:val="21"/>
              </w:rPr>
              <w:t>3.</w:t>
            </w:r>
            <w:r>
              <w:rPr>
                <w:rFonts w:ascii="宋体" w:hAnsi="宋体"/>
                <w:szCs w:val="21"/>
              </w:rPr>
              <w:t>1</w:t>
            </w:r>
            <w:r>
              <w:rPr>
                <w:rFonts w:hint="eastAsia" w:ascii="宋体" w:hAnsi="宋体"/>
                <w:szCs w:val="21"/>
              </w:rPr>
              <w:t>投标</w:t>
            </w:r>
            <w:r>
              <w:rPr>
                <w:rFonts w:ascii="宋体" w:hAnsi="宋体"/>
                <w:szCs w:val="21"/>
              </w:rPr>
              <w:t>文件的组成</w:t>
            </w:r>
          </w:p>
        </w:tc>
      </w:tr>
      <w:tr w14:paraId="26F6D143">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30EA2442">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宋体" w:hAnsi="宋体"/>
                <w:szCs w:val="21"/>
              </w:rPr>
            </w:pPr>
            <w:r>
              <w:rPr>
                <w:rFonts w:hint="eastAsia" w:ascii="宋体" w:hAnsi="宋体"/>
                <w:szCs w:val="21"/>
              </w:rPr>
              <w:t>3.</w:t>
            </w:r>
            <w:r>
              <w:rPr>
                <w:rFonts w:ascii="宋体" w:hAnsi="宋体"/>
                <w:szCs w:val="21"/>
              </w:rPr>
              <w:t>1.1</w:t>
            </w:r>
          </w:p>
        </w:tc>
        <w:tc>
          <w:tcPr>
            <w:tcW w:w="3132" w:type="dxa"/>
            <w:tcBorders>
              <w:top w:val="single" w:color="auto" w:sz="4" w:space="0"/>
              <w:left w:val="single" w:color="auto" w:sz="4" w:space="0"/>
              <w:bottom w:val="single" w:color="auto" w:sz="4" w:space="0"/>
              <w:right w:val="single" w:color="auto" w:sz="4" w:space="0"/>
            </w:tcBorders>
            <w:vAlign w:val="center"/>
          </w:tcPr>
          <w:p w14:paraId="57F2068A">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hint="eastAsia" w:ascii="宋体" w:hAnsi="宋体"/>
                <w:szCs w:val="21"/>
              </w:rPr>
              <w:t>投标</w:t>
            </w:r>
            <w:r>
              <w:rPr>
                <w:rFonts w:ascii="宋体" w:hAnsi="宋体"/>
                <w:szCs w:val="21"/>
              </w:rPr>
              <w:t>文件的组成</w:t>
            </w:r>
          </w:p>
        </w:tc>
        <w:tc>
          <w:tcPr>
            <w:tcW w:w="5868" w:type="dxa"/>
            <w:tcBorders>
              <w:top w:val="single" w:color="auto" w:sz="4" w:space="0"/>
              <w:left w:val="single" w:color="auto" w:sz="4" w:space="0"/>
              <w:bottom w:val="single" w:color="auto" w:sz="4" w:space="0"/>
              <w:right w:val="single" w:color="auto" w:sz="4" w:space="0"/>
            </w:tcBorders>
            <w:vAlign w:val="center"/>
          </w:tcPr>
          <w:p w14:paraId="3AE26BFA">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bookmarkStart w:id="16" w:name="_Ref467052588"/>
            <w:r>
              <w:rPr>
                <w:rFonts w:hint="eastAsia" w:ascii="宋体" w:hAnsi="宋体"/>
                <w:szCs w:val="21"/>
              </w:rPr>
              <w:t>投标文件由投标函部分、商务部分和技术部分三部分组成。</w:t>
            </w:r>
            <w:r>
              <w:rPr>
                <w:rFonts w:hint="eastAsia" w:ascii="宋体" w:hAnsi="宋体"/>
                <w:color w:val="FF0000"/>
                <w:szCs w:val="21"/>
              </w:rPr>
              <w:t>相关证明文件需加盖公章</w:t>
            </w:r>
            <w:r>
              <w:rPr>
                <w:rFonts w:hint="eastAsia" w:ascii="宋体" w:hAnsi="宋体"/>
                <w:szCs w:val="21"/>
              </w:rPr>
              <w:t>。</w:t>
            </w:r>
          </w:p>
          <w:p w14:paraId="1595F2BB">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投标函部分主要包括下列内容：</w:t>
            </w:r>
          </w:p>
          <w:bookmarkEnd w:id="16"/>
          <w:p w14:paraId="2CA3AFB8">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（1）投标函（统一格式）</w:t>
            </w:r>
          </w:p>
          <w:p w14:paraId="065A7542">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（2）开标一览表（统一格式）</w:t>
            </w:r>
          </w:p>
          <w:p w14:paraId="3BFBD39B">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（3）法定代表人资格证明书、法定代表人授权委托书（统一格式）</w:t>
            </w:r>
          </w:p>
          <w:p w14:paraId="29E4A1AD">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商务部分主要包括下列内容：</w:t>
            </w:r>
          </w:p>
          <w:p w14:paraId="2983C6CA">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（1）投标分项报价表（统一格式）</w:t>
            </w:r>
          </w:p>
          <w:p w14:paraId="4DE77085">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bookmarkStart w:id="17" w:name="_Hlt520274929"/>
            <w:bookmarkStart w:id="18" w:name="_Hlt520276204"/>
            <w:r>
              <w:rPr>
                <w:rFonts w:hint="eastAsia" w:ascii="宋体" w:hAnsi="宋体"/>
                <w:szCs w:val="21"/>
              </w:rPr>
              <w:t>（2）资格证明文件</w:t>
            </w:r>
            <w:bookmarkEnd w:id="17"/>
            <w:bookmarkEnd w:id="18"/>
          </w:p>
          <w:p w14:paraId="0D92D375">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1）投标人必须具备中华人民共和国境内生产或经营应具备的合法资质;报价时需提供企业法人营业执照</w:t>
            </w:r>
            <w:r>
              <w:rPr>
                <w:rFonts w:hint="eastAsia" w:ascii="宋体" w:hAnsi="宋体"/>
                <w:color w:val="FF0000"/>
                <w:szCs w:val="21"/>
              </w:rPr>
              <w:t>（三证合一）</w:t>
            </w:r>
          </w:p>
          <w:p w14:paraId="543C806F">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（提供投标人有效的营业执照复印件加盖公章）；</w:t>
            </w:r>
          </w:p>
          <w:p w14:paraId="796C6415">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2）202</w:t>
            </w:r>
            <w:r>
              <w:rPr>
                <w:rFonts w:hint="eastAsia" w:ascii="宋体" w:hAnsi="宋体"/>
                <w:szCs w:val="21"/>
                <w:lang w:val="en-US" w:eastAsia="zh-CN"/>
              </w:rPr>
              <w:t>2</w:t>
            </w:r>
            <w:r>
              <w:rPr>
                <w:rFonts w:hint="eastAsia" w:ascii="宋体" w:hAnsi="宋体"/>
                <w:szCs w:val="21"/>
              </w:rPr>
              <w:t>年1月1日至投标日止无违约历史（投标人需提供声明，格式自拟）；</w:t>
            </w:r>
          </w:p>
          <w:p w14:paraId="21FA16CA">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3）202</w:t>
            </w:r>
            <w:r>
              <w:rPr>
                <w:rFonts w:hint="eastAsia" w:ascii="宋体" w:hAnsi="宋体"/>
                <w:szCs w:val="21"/>
                <w:lang w:val="en-US" w:eastAsia="zh-CN"/>
              </w:rPr>
              <w:t>2</w:t>
            </w:r>
            <w:r>
              <w:rPr>
                <w:rFonts w:hint="eastAsia" w:ascii="宋体" w:hAnsi="宋体"/>
                <w:szCs w:val="21"/>
              </w:rPr>
              <w:t>年1月1日至投标日止在经营活动中没有重大违法记录（投标人需提供声明或证明）；</w:t>
            </w:r>
          </w:p>
          <w:p w14:paraId="24D34823">
            <w:pPr>
              <w:keepNext w:val="0"/>
              <w:keepLines w:val="0"/>
              <w:pageBreakBefore w:val="0"/>
              <w:widowControl w:val="0"/>
              <w:numPr>
                <w:ilvl w:val="0"/>
                <w:numId w:val="10"/>
              </w:numPr>
              <w:kinsoku/>
              <w:wordWrap/>
              <w:overflowPunct/>
              <w:topLinePunct w:val="0"/>
              <w:autoSpaceDE/>
              <w:autoSpaceDN/>
              <w:bidi w:val="0"/>
              <w:adjustRightInd/>
              <w:snapToGrid/>
              <w:spacing w:line="400" w:lineRule="exact"/>
              <w:rPr>
                <w:rFonts w:ascii="宋体" w:hAnsi="宋体"/>
                <w:szCs w:val="21"/>
              </w:rPr>
            </w:pPr>
            <w:r>
              <w:rPr>
                <w:rFonts w:hint="eastAsia" w:ascii="宋体" w:hAnsi="宋体"/>
                <w:color w:val="FF0000"/>
                <w:szCs w:val="21"/>
              </w:rPr>
              <w:t>建筑工程施工总承包贰级</w:t>
            </w:r>
            <w:r>
              <w:rPr>
                <w:rFonts w:hint="eastAsia" w:ascii="宋体" w:hAnsi="宋体"/>
                <w:color w:val="FF0000"/>
                <w:szCs w:val="21"/>
                <w:lang w:eastAsia="zh-CN"/>
              </w:rPr>
              <w:t>（</w:t>
            </w:r>
            <w:r>
              <w:rPr>
                <w:rFonts w:hint="eastAsia" w:ascii="宋体" w:hAnsi="宋体"/>
                <w:color w:val="FF0000"/>
                <w:szCs w:val="21"/>
                <w:lang w:val="en-US" w:eastAsia="zh-CN"/>
              </w:rPr>
              <w:t>含</w:t>
            </w:r>
            <w:r>
              <w:rPr>
                <w:rFonts w:hint="eastAsia" w:ascii="宋体" w:hAnsi="宋体"/>
                <w:color w:val="FF0000"/>
                <w:szCs w:val="21"/>
                <w:lang w:eastAsia="zh-CN"/>
              </w:rPr>
              <w:t>）</w:t>
            </w:r>
            <w:r>
              <w:rPr>
                <w:rFonts w:hint="eastAsia" w:ascii="宋体" w:hAnsi="宋体"/>
                <w:color w:val="FF0000"/>
                <w:szCs w:val="21"/>
                <w:lang w:val="en-US" w:eastAsia="zh-CN"/>
              </w:rPr>
              <w:t>及</w:t>
            </w:r>
            <w:r>
              <w:rPr>
                <w:rFonts w:hint="eastAsia" w:ascii="宋体" w:hAnsi="宋体"/>
                <w:color w:val="FF0000"/>
                <w:szCs w:val="21"/>
              </w:rPr>
              <w:t>以上资质、地基基础工程专业承包贰级</w:t>
            </w:r>
            <w:r>
              <w:rPr>
                <w:rFonts w:hint="eastAsia" w:ascii="宋体" w:hAnsi="宋体"/>
                <w:color w:val="FF0000"/>
                <w:szCs w:val="21"/>
                <w:lang w:eastAsia="zh-CN"/>
              </w:rPr>
              <w:t>（</w:t>
            </w:r>
            <w:r>
              <w:rPr>
                <w:rFonts w:hint="eastAsia" w:ascii="宋体" w:hAnsi="宋体"/>
                <w:color w:val="FF0000"/>
                <w:szCs w:val="21"/>
                <w:lang w:val="en-US" w:eastAsia="zh-CN"/>
              </w:rPr>
              <w:t>含</w:t>
            </w:r>
            <w:r>
              <w:rPr>
                <w:rFonts w:hint="eastAsia" w:ascii="宋体" w:hAnsi="宋体"/>
                <w:color w:val="FF0000"/>
                <w:szCs w:val="21"/>
                <w:lang w:eastAsia="zh-CN"/>
              </w:rPr>
              <w:t>）</w:t>
            </w:r>
            <w:r>
              <w:rPr>
                <w:rFonts w:hint="eastAsia" w:ascii="宋体" w:hAnsi="宋体"/>
                <w:color w:val="FF0000"/>
                <w:szCs w:val="21"/>
              </w:rPr>
              <w:t>及以上资质（以上资格证明文件均可提供复印件，但需加盖公章。注：在招标单位1年内有业绩且以上资格证明文件均合法有效的企业可不提供以上资格证明文件）</w:t>
            </w:r>
          </w:p>
          <w:p w14:paraId="4F38138F">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4.</w:t>
            </w:r>
            <w:r>
              <w:rPr>
                <w:rFonts w:hint="eastAsia" w:ascii="宋体" w:hAnsi="宋体"/>
                <w:szCs w:val="21"/>
                <w:lang w:val="zh-CN" w:eastAsia="zh-CN"/>
              </w:rPr>
              <w:t>投标人需提供</w:t>
            </w:r>
            <w:r>
              <w:rPr>
                <w:rFonts w:hint="eastAsia" w:ascii="宋体" w:hAnsi="宋体"/>
                <w:szCs w:val="21"/>
                <w:lang w:val="en-US" w:eastAsia="zh-CN"/>
              </w:rPr>
              <w:t>3份（含）以上建筑工程</w:t>
            </w:r>
            <w:r>
              <w:rPr>
                <w:rFonts w:hint="eastAsia" w:ascii="宋体" w:hAnsi="宋体"/>
                <w:szCs w:val="21"/>
                <w:lang w:val="zh-CN" w:eastAsia="zh-CN"/>
              </w:rPr>
              <w:t>施工</w:t>
            </w:r>
            <w:r>
              <w:rPr>
                <w:rFonts w:hint="eastAsia" w:ascii="宋体" w:hAnsi="宋体"/>
                <w:szCs w:val="21"/>
                <w:lang w:val="en-US" w:eastAsia="zh-CN"/>
              </w:rPr>
              <w:t>业绩合同</w:t>
            </w:r>
            <w:r>
              <w:rPr>
                <w:rFonts w:hint="eastAsia" w:ascii="宋体" w:hAnsi="宋体"/>
                <w:szCs w:val="21"/>
                <w:lang w:val="zh-CN" w:eastAsia="zh-CN"/>
              </w:rPr>
              <w:t>，</w:t>
            </w:r>
            <w:r>
              <w:rPr>
                <w:rFonts w:hint="eastAsia" w:ascii="宋体" w:hAnsi="宋体"/>
                <w:szCs w:val="21"/>
                <w:lang w:val="zh-CN"/>
              </w:rPr>
              <w:t>每份业绩合同金额大于150万元（</w:t>
            </w:r>
            <w:r>
              <w:rPr>
                <w:rFonts w:hint="eastAsia" w:ascii="宋体" w:hAnsi="宋体"/>
                <w:szCs w:val="21"/>
                <w:lang w:val="en-US" w:eastAsia="zh-CN"/>
              </w:rPr>
              <w:t>含</w:t>
            </w:r>
            <w:r>
              <w:rPr>
                <w:rFonts w:hint="eastAsia" w:ascii="宋体" w:hAnsi="宋体"/>
                <w:szCs w:val="21"/>
                <w:lang w:val="zh-CN"/>
              </w:rPr>
              <w:t>），时间从2021年1月1日至投标截止日，相关业绩</w:t>
            </w:r>
            <w:r>
              <w:rPr>
                <w:rFonts w:hint="eastAsia" w:ascii="宋体" w:hAnsi="宋体"/>
                <w:szCs w:val="21"/>
              </w:rPr>
              <w:t>证明包括但不限于</w:t>
            </w:r>
            <w:r>
              <w:rPr>
                <w:rFonts w:hint="eastAsia" w:ascii="宋体" w:hAnsi="宋体"/>
                <w:szCs w:val="21"/>
                <w:lang w:val="zh-CN"/>
              </w:rPr>
              <w:t>项目合同首末页、合同价、</w:t>
            </w:r>
            <w:r>
              <w:rPr>
                <w:rFonts w:hint="eastAsia" w:ascii="宋体" w:hAnsi="宋体"/>
                <w:szCs w:val="21"/>
              </w:rPr>
              <w:t>合同内容、</w:t>
            </w:r>
            <w:r>
              <w:rPr>
                <w:rFonts w:hint="eastAsia" w:ascii="宋体" w:hAnsi="宋体"/>
                <w:szCs w:val="21"/>
                <w:lang w:val="zh-CN"/>
              </w:rPr>
              <w:t>合同期限</w:t>
            </w:r>
            <w:r>
              <w:rPr>
                <w:rFonts w:hint="eastAsia" w:ascii="宋体" w:hAnsi="宋体"/>
                <w:szCs w:val="21"/>
                <w:highlight w:val="none"/>
              </w:rPr>
              <w:t>等，同时须提供与合同相对应竣工验收证明（包含但不限于单位工程竣工验收单、共检单）</w:t>
            </w:r>
            <w:r>
              <w:rPr>
                <w:rFonts w:hint="eastAsia" w:ascii="宋体" w:hAnsi="宋体"/>
                <w:szCs w:val="21"/>
                <w:highlight w:val="none"/>
                <w:lang w:val="zh-CN"/>
              </w:rPr>
              <w:t>(投标人需提供</w:t>
            </w:r>
            <w:r>
              <w:rPr>
                <w:rFonts w:hint="eastAsia" w:ascii="宋体" w:hAnsi="宋体"/>
                <w:szCs w:val="21"/>
                <w:highlight w:val="none"/>
              </w:rPr>
              <w:t>相关材料</w:t>
            </w:r>
            <w:r>
              <w:rPr>
                <w:rFonts w:hint="eastAsia" w:ascii="宋体" w:hAnsi="宋体"/>
                <w:szCs w:val="21"/>
                <w:highlight w:val="none"/>
                <w:lang w:val="zh-CN"/>
              </w:rPr>
              <w:t>复印件并加盖公章)，</w:t>
            </w:r>
            <w:r>
              <w:rPr>
                <w:rFonts w:hint="eastAsia" w:ascii="宋体" w:hAnsi="宋体"/>
                <w:szCs w:val="21"/>
              </w:rPr>
              <w:t>提供材料须完整、清晰、整洁（若经发现证明材料弄虚作假，按废标处理）；</w:t>
            </w:r>
          </w:p>
          <w:p w14:paraId="0B2ACB5F">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6）本次招标不接受联合体、合作体投标。</w:t>
            </w:r>
          </w:p>
          <w:p w14:paraId="435BF492">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7）需提供该公司安全管理机构设置说明；安全生产许可证（以上资格证明文件均可提供复印件，但需加盖公章）；</w:t>
            </w:r>
          </w:p>
          <w:p w14:paraId="42E82BA3">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8）</w:t>
            </w:r>
            <w:r>
              <w:rPr>
                <w:rFonts w:hint="eastAsia" w:ascii="宋体" w:hAnsi="宋体"/>
                <w:szCs w:val="21"/>
                <w:lang w:val="zh-CN"/>
              </w:rPr>
              <w:t>提供开标前3个月内中国人民银行征信中心出具的企业信用报告并加盖企业公章。</w:t>
            </w:r>
          </w:p>
          <w:p w14:paraId="20BCBD16">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其他商务文件：</w:t>
            </w:r>
          </w:p>
          <w:p w14:paraId="3826F65A">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（1）工程保修服务承诺；</w:t>
            </w:r>
          </w:p>
          <w:p w14:paraId="150115C6">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（2）投标人认为其它必要的内容。</w:t>
            </w:r>
          </w:p>
        </w:tc>
      </w:tr>
      <w:tr w14:paraId="6750F4E2">
        <w:tblPrEx>
          <w:tblCellMar>
            <w:top w:w="0" w:type="dxa"/>
            <w:left w:w="108" w:type="dxa"/>
            <w:bottom w:w="0" w:type="dxa"/>
            <w:right w:w="108" w:type="dxa"/>
          </w:tblCellMar>
        </w:tblPrEx>
        <w:trPr>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7FD80999">
            <w:pPr>
              <w:pStyle w:val="242"/>
              <w:keepNext w:val="0"/>
              <w:keepLines w:val="0"/>
              <w:pageBreakBefore w:val="0"/>
              <w:widowControl w:val="0"/>
              <w:kinsoku/>
              <w:wordWrap/>
              <w:overflowPunct/>
              <w:topLinePunct w:val="0"/>
              <w:autoSpaceDE/>
              <w:autoSpaceDN/>
              <w:bidi w:val="0"/>
              <w:adjustRightInd/>
              <w:snapToGrid/>
              <w:spacing w:line="400" w:lineRule="exact"/>
              <w:rPr>
                <w:rFonts w:ascii="宋体" w:hAnsi="宋体"/>
              </w:rPr>
            </w:pPr>
            <w:r>
              <w:rPr>
                <w:rFonts w:hint="eastAsia" w:ascii="宋体" w:hAnsi="宋体"/>
              </w:rPr>
              <w:t>3.</w:t>
            </w:r>
            <w:r>
              <w:rPr>
                <w:rFonts w:ascii="宋体" w:hAnsi="宋体"/>
              </w:rPr>
              <w:t>2</w:t>
            </w:r>
            <w:r>
              <w:rPr>
                <w:rFonts w:hint="eastAsia" w:ascii="宋体" w:hAnsi="宋体"/>
              </w:rPr>
              <w:t>投标报价</w:t>
            </w:r>
          </w:p>
        </w:tc>
      </w:tr>
      <w:tr w14:paraId="41F159C6">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4AD3150C">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宋体" w:hAnsi="宋体"/>
                <w:szCs w:val="21"/>
              </w:rPr>
            </w:pPr>
            <w:r>
              <w:rPr>
                <w:rFonts w:hint="eastAsia" w:ascii="宋体" w:hAnsi="宋体"/>
                <w:szCs w:val="21"/>
              </w:rPr>
              <w:t>3.</w:t>
            </w:r>
            <w:r>
              <w:rPr>
                <w:rFonts w:ascii="宋体" w:hAnsi="宋体"/>
                <w:szCs w:val="21"/>
              </w:rPr>
              <w:t>2.1</w:t>
            </w:r>
          </w:p>
        </w:tc>
        <w:tc>
          <w:tcPr>
            <w:tcW w:w="3132" w:type="dxa"/>
            <w:tcBorders>
              <w:top w:val="single" w:color="auto" w:sz="4" w:space="0"/>
              <w:left w:val="single" w:color="auto" w:sz="4" w:space="0"/>
              <w:bottom w:val="single" w:color="auto" w:sz="4" w:space="0"/>
              <w:right w:val="single" w:color="auto" w:sz="4" w:space="0"/>
            </w:tcBorders>
            <w:vAlign w:val="center"/>
          </w:tcPr>
          <w:p w14:paraId="5CD5883D">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hint="eastAsia" w:ascii="宋体" w:hAnsi="宋体" w:cs="Arial"/>
                <w:szCs w:val="21"/>
              </w:rPr>
              <w:t>*</w:t>
            </w:r>
            <w:r>
              <w:rPr>
                <w:rFonts w:ascii="宋体" w:hAnsi="宋体" w:cs="Arial"/>
                <w:szCs w:val="21"/>
              </w:rPr>
              <w:t>投标报价</w:t>
            </w:r>
          </w:p>
        </w:tc>
        <w:tc>
          <w:tcPr>
            <w:tcW w:w="5868" w:type="dxa"/>
            <w:tcBorders>
              <w:top w:val="single" w:color="auto" w:sz="4" w:space="0"/>
              <w:left w:val="single" w:color="auto" w:sz="4" w:space="0"/>
              <w:bottom w:val="single" w:color="auto" w:sz="4" w:space="0"/>
              <w:right w:val="single" w:color="auto" w:sz="4" w:space="0"/>
            </w:tcBorders>
            <w:vAlign w:val="center"/>
          </w:tcPr>
          <w:p w14:paraId="79EA8643">
            <w:pPr>
              <w:pStyle w:val="242"/>
              <w:keepNext w:val="0"/>
              <w:keepLines w:val="0"/>
              <w:pageBreakBefore w:val="0"/>
              <w:widowControl w:val="0"/>
              <w:kinsoku/>
              <w:wordWrap/>
              <w:overflowPunct/>
              <w:topLinePunct w:val="0"/>
              <w:autoSpaceDE/>
              <w:autoSpaceDN/>
              <w:bidi w:val="0"/>
              <w:adjustRightInd/>
              <w:snapToGrid/>
              <w:spacing w:line="400" w:lineRule="exact"/>
              <w:rPr>
                <w:rFonts w:hAnsi="宋体"/>
                <w:szCs w:val="21"/>
              </w:rPr>
            </w:pPr>
            <w:r>
              <w:rPr>
                <w:rFonts w:hAnsi="宋体"/>
                <w:szCs w:val="21"/>
              </w:rPr>
              <w:t>投标人的投标总价将被认为满足</w:t>
            </w:r>
            <w:r>
              <w:rPr>
                <w:rFonts w:hint="eastAsia" w:hAnsi="宋体"/>
                <w:szCs w:val="21"/>
              </w:rPr>
              <w:t>本项目技术要求中所要求的</w:t>
            </w:r>
            <w:r>
              <w:rPr>
                <w:rFonts w:hAnsi="宋体"/>
                <w:szCs w:val="21"/>
              </w:rPr>
              <w:t>全部费用</w:t>
            </w:r>
            <w:r>
              <w:rPr>
                <w:rFonts w:hint="eastAsia" w:hAnsi="宋体"/>
                <w:szCs w:val="21"/>
              </w:rPr>
              <w:t>。</w:t>
            </w:r>
          </w:p>
          <w:p w14:paraId="31928DAC">
            <w:pPr>
              <w:keepNext w:val="0"/>
              <w:keepLines w:val="0"/>
              <w:pageBreakBefore w:val="0"/>
              <w:widowControl w:val="0"/>
              <w:kinsoku/>
              <w:wordWrap/>
              <w:overflowPunct/>
              <w:topLinePunct w:val="0"/>
              <w:autoSpaceDE/>
              <w:autoSpaceDN/>
              <w:bidi w:val="0"/>
              <w:adjustRightInd/>
              <w:snapToGrid/>
              <w:spacing w:line="400" w:lineRule="exact"/>
              <w:rPr>
                <w:rFonts w:hAnsi="宋体"/>
                <w:b/>
                <w:szCs w:val="21"/>
              </w:rPr>
            </w:pPr>
            <w:r>
              <w:rPr>
                <w:rFonts w:hint="eastAsia" w:ascii="宋体" w:hAnsi="宋体"/>
                <w:b/>
                <w:szCs w:val="21"/>
              </w:rPr>
              <w:t>7）招标控制价：</w:t>
            </w:r>
            <w:r>
              <w:rPr>
                <w:rFonts w:hint="eastAsia" w:ascii="宋体" w:hAnsi="宋体"/>
                <w:b/>
                <w:szCs w:val="21"/>
                <w:lang w:val="en-US" w:eastAsia="zh-CN"/>
              </w:rPr>
              <w:t>318.12万</w:t>
            </w:r>
            <w:r>
              <w:rPr>
                <w:rFonts w:ascii="宋体" w:hAnsi="宋体"/>
                <w:b/>
                <w:szCs w:val="21"/>
                <w:highlight w:val="none"/>
              </w:rPr>
              <w:t>元（</w:t>
            </w:r>
            <w:r>
              <w:rPr>
                <w:rFonts w:ascii="宋体" w:hAnsi="宋体"/>
                <w:b/>
                <w:szCs w:val="21"/>
              </w:rPr>
              <w:t>报价高于控制价报价，判为无效投标）</w:t>
            </w:r>
          </w:p>
          <w:p w14:paraId="2B6B7328">
            <w:pPr>
              <w:pStyle w:val="242"/>
              <w:keepNext w:val="0"/>
              <w:keepLines w:val="0"/>
              <w:pageBreakBefore w:val="0"/>
              <w:widowControl w:val="0"/>
              <w:kinsoku/>
              <w:wordWrap/>
              <w:overflowPunct/>
              <w:topLinePunct w:val="0"/>
              <w:autoSpaceDE/>
              <w:autoSpaceDN/>
              <w:bidi w:val="0"/>
              <w:adjustRightInd/>
              <w:snapToGrid/>
              <w:spacing w:line="400" w:lineRule="exact"/>
              <w:rPr>
                <w:rFonts w:hAnsi="宋体"/>
                <w:szCs w:val="21"/>
              </w:rPr>
            </w:pPr>
            <w:r>
              <w:rPr>
                <w:rFonts w:hint="eastAsia" w:hAnsi="宋体"/>
                <w:szCs w:val="21"/>
              </w:rPr>
              <w:t>报价方式:报价为含增值税送到价。如国家税率调整，按合同含税价格/（1+合同约定税率）*（1+国家规定的新税率）调整合同价格开具发票</w:t>
            </w:r>
          </w:p>
          <w:p w14:paraId="1C7D3A1C">
            <w:pPr>
              <w:keepNext w:val="0"/>
              <w:keepLines w:val="0"/>
              <w:pageBreakBefore w:val="0"/>
              <w:widowControl w:val="0"/>
              <w:kinsoku/>
              <w:wordWrap/>
              <w:overflowPunct/>
              <w:topLinePunct w:val="0"/>
              <w:autoSpaceDE/>
              <w:autoSpaceDN/>
              <w:bidi w:val="0"/>
              <w:adjustRightInd/>
              <w:snapToGrid/>
              <w:spacing w:line="400" w:lineRule="exact"/>
              <w:rPr>
                <w:rFonts w:hAnsi="宋体"/>
                <w:szCs w:val="21"/>
              </w:rPr>
            </w:pPr>
            <w:r>
              <w:rPr>
                <w:rFonts w:hint="eastAsia" w:hAnsi="宋体"/>
                <w:szCs w:val="21"/>
              </w:rPr>
              <w:t>投标</w:t>
            </w:r>
            <w:r>
              <w:rPr>
                <w:rFonts w:hAnsi="宋体"/>
                <w:szCs w:val="21"/>
              </w:rPr>
              <w:t>货币：人民币</w:t>
            </w:r>
          </w:p>
          <w:p w14:paraId="0630D674">
            <w:pPr>
              <w:pStyle w:val="242"/>
              <w:keepNext w:val="0"/>
              <w:keepLines w:val="0"/>
              <w:pageBreakBefore w:val="0"/>
              <w:widowControl w:val="0"/>
              <w:kinsoku/>
              <w:wordWrap/>
              <w:overflowPunct/>
              <w:topLinePunct w:val="0"/>
              <w:autoSpaceDE/>
              <w:autoSpaceDN/>
              <w:bidi w:val="0"/>
              <w:adjustRightInd/>
              <w:snapToGrid/>
              <w:spacing w:line="400" w:lineRule="exact"/>
              <w:rPr>
                <w:rFonts w:hAnsi="宋体"/>
                <w:b/>
                <w:szCs w:val="21"/>
              </w:rPr>
            </w:pPr>
            <w:r>
              <w:rPr>
                <w:rFonts w:hint="eastAsia" w:ascii="宋体" w:hAnsi="宋体"/>
                <w:b/>
                <w:szCs w:val="21"/>
              </w:rPr>
              <w:t>8）本工程施工地点处于危化品仓储，施工涉及到危化品重大危险源、特殊作业等，每天须办理、审批危险作业票证，施工时间原则上只安排在白班正常工作时段，期间包含相关施工准备、票证办理和工艺处置等所需时间。投标人报价中需充分考虑实际施工效率。</w:t>
            </w:r>
          </w:p>
        </w:tc>
      </w:tr>
      <w:tr w14:paraId="6CAA2942">
        <w:tblPrEx>
          <w:tblCellMar>
            <w:top w:w="0" w:type="dxa"/>
            <w:left w:w="108" w:type="dxa"/>
            <w:bottom w:w="0" w:type="dxa"/>
            <w:right w:w="108" w:type="dxa"/>
          </w:tblCellMar>
        </w:tblPrEx>
        <w:trPr>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56AE2292">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cs="Arial"/>
                <w:szCs w:val="21"/>
              </w:rPr>
            </w:pPr>
            <w:r>
              <w:rPr>
                <w:rFonts w:hint="eastAsia" w:ascii="宋体" w:hAnsi="宋体" w:cs="Arial"/>
                <w:szCs w:val="21"/>
              </w:rPr>
              <w:t>3.</w:t>
            </w:r>
            <w:r>
              <w:rPr>
                <w:rFonts w:ascii="宋体" w:hAnsi="宋体" w:cs="Arial"/>
                <w:szCs w:val="21"/>
              </w:rPr>
              <w:t>3</w:t>
            </w:r>
            <w:r>
              <w:rPr>
                <w:rFonts w:hint="eastAsia" w:ascii="宋体" w:hAnsi="宋体" w:cs="Arial"/>
                <w:szCs w:val="21"/>
              </w:rPr>
              <w:t>投标有效期</w:t>
            </w:r>
          </w:p>
        </w:tc>
      </w:tr>
      <w:tr w14:paraId="4B28D8BD">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27CD2BF7">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宋体" w:hAnsi="宋体"/>
                <w:szCs w:val="21"/>
              </w:rPr>
            </w:pPr>
            <w:r>
              <w:rPr>
                <w:rFonts w:ascii="宋体" w:hAnsi="宋体"/>
                <w:szCs w:val="21"/>
              </w:rPr>
              <w:t>3.3</w:t>
            </w:r>
            <w:r>
              <w:rPr>
                <w:rFonts w:hint="eastAsia" w:ascii="宋体" w:hAnsi="宋体"/>
                <w:szCs w:val="21"/>
              </w:rPr>
              <w:t>.1</w:t>
            </w:r>
          </w:p>
        </w:tc>
        <w:tc>
          <w:tcPr>
            <w:tcW w:w="3132" w:type="dxa"/>
            <w:tcBorders>
              <w:top w:val="single" w:color="auto" w:sz="4" w:space="0"/>
              <w:left w:val="single" w:color="auto" w:sz="4" w:space="0"/>
              <w:bottom w:val="single" w:color="auto" w:sz="4" w:space="0"/>
              <w:right w:val="single" w:color="auto" w:sz="4" w:space="0"/>
            </w:tcBorders>
            <w:vAlign w:val="center"/>
          </w:tcPr>
          <w:p w14:paraId="031A382E">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hint="eastAsia" w:ascii="宋体" w:hAnsi="宋体" w:cs="Arial"/>
                <w:szCs w:val="21"/>
              </w:rPr>
              <w:t>*</w:t>
            </w:r>
            <w:r>
              <w:rPr>
                <w:rFonts w:ascii="宋体" w:hAnsi="宋体"/>
                <w:szCs w:val="21"/>
              </w:rPr>
              <w:t>投标有效期</w:t>
            </w:r>
          </w:p>
        </w:tc>
        <w:tc>
          <w:tcPr>
            <w:tcW w:w="5868" w:type="dxa"/>
            <w:tcBorders>
              <w:top w:val="single" w:color="auto" w:sz="4" w:space="0"/>
              <w:left w:val="single" w:color="auto" w:sz="4" w:space="0"/>
              <w:bottom w:val="single" w:color="auto" w:sz="4" w:space="0"/>
              <w:right w:val="single" w:color="auto" w:sz="4" w:space="0"/>
            </w:tcBorders>
            <w:vAlign w:val="center"/>
          </w:tcPr>
          <w:p w14:paraId="0A220368">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ascii="宋体" w:hAnsi="宋体" w:cs="Arial"/>
                <w:szCs w:val="21"/>
              </w:rPr>
              <w:t>自开标日起90日历日</w:t>
            </w:r>
          </w:p>
        </w:tc>
      </w:tr>
      <w:tr w14:paraId="0AFAD8BA">
        <w:tblPrEx>
          <w:tblCellMar>
            <w:top w:w="0" w:type="dxa"/>
            <w:left w:w="108" w:type="dxa"/>
            <w:bottom w:w="0" w:type="dxa"/>
            <w:right w:w="108" w:type="dxa"/>
          </w:tblCellMar>
        </w:tblPrEx>
        <w:trPr>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24C2963B">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3.</w:t>
            </w:r>
            <w:r>
              <w:rPr>
                <w:rFonts w:ascii="宋体" w:hAnsi="宋体"/>
                <w:szCs w:val="21"/>
              </w:rPr>
              <w:t>4</w:t>
            </w:r>
            <w:r>
              <w:rPr>
                <w:rFonts w:hint="eastAsia" w:ascii="宋体" w:hAnsi="宋体"/>
                <w:szCs w:val="21"/>
              </w:rPr>
              <w:t>投标保证金</w:t>
            </w:r>
          </w:p>
        </w:tc>
      </w:tr>
      <w:tr w14:paraId="63DD2B08">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13134AA3">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宋体" w:hAnsi="宋体"/>
                <w:szCs w:val="21"/>
              </w:rPr>
            </w:pPr>
            <w:r>
              <w:rPr>
                <w:rFonts w:ascii="宋体" w:hAnsi="宋体"/>
                <w:szCs w:val="21"/>
              </w:rPr>
              <w:t>3.4.1</w:t>
            </w:r>
          </w:p>
        </w:tc>
        <w:tc>
          <w:tcPr>
            <w:tcW w:w="3132" w:type="dxa"/>
            <w:tcBorders>
              <w:top w:val="single" w:color="auto" w:sz="4" w:space="0"/>
              <w:left w:val="single" w:color="auto" w:sz="4" w:space="0"/>
              <w:bottom w:val="single" w:color="auto" w:sz="4" w:space="0"/>
              <w:right w:val="single" w:color="auto" w:sz="4" w:space="0"/>
            </w:tcBorders>
            <w:vAlign w:val="center"/>
          </w:tcPr>
          <w:p w14:paraId="3325D283">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highlight w:val="none"/>
              </w:rPr>
            </w:pPr>
            <w:r>
              <w:rPr>
                <w:rFonts w:hint="eastAsia" w:ascii="宋体" w:hAnsi="宋体" w:cs="Arial"/>
                <w:szCs w:val="21"/>
                <w:highlight w:val="none"/>
              </w:rPr>
              <w:t>*</w:t>
            </w:r>
            <w:r>
              <w:rPr>
                <w:rFonts w:ascii="宋体" w:hAnsi="宋体"/>
                <w:szCs w:val="21"/>
                <w:highlight w:val="none"/>
              </w:rPr>
              <w:t>投标保证金</w:t>
            </w:r>
          </w:p>
        </w:tc>
        <w:tc>
          <w:tcPr>
            <w:tcW w:w="5868" w:type="dxa"/>
            <w:tcBorders>
              <w:top w:val="single" w:color="auto" w:sz="4" w:space="0"/>
              <w:left w:val="single" w:color="auto" w:sz="4" w:space="0"/>
              <w:bottom w:val="single" w:color="auto" w:sz="4" w:space="0"/>
              <w:right w:val="single" w:color="auto" w:sz="4" w:space="0"/>
            </w:tcBorders>
            <w:vAlign w:val="center"/>
          </w:tcPr>
          <w:p w14:paraId="4C539B5C">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highlight w:val="none"/>
              </w:rPr>
            </w:pPr>
            <w:r>
              <w:rPr>
                <w:rFonts w:hint="eastAsia" w:ascii="宋体" w:hAnsi="宋体"/>
                <w:szCs w:val="21"/>
                <w:highlight w:val="none"/>
                <w:lang w:eastAsia="zh-CN"/>
              </w:rPr>
              <w:t>□</w:t>
            </w:r>
            <w:r>
              <w:rPr>
                <w:rFonts w:hint="eastAsia" w:ascii="宋体" w:hAnsi="宋体"/>
                <w:szCs w:val="21"/>
                <w:highlight w:val="none"/>
              </w:rPr>
              <w:t>不需要</w:t>
            </w:r>
          </w:p>
          <w:p w14:paraId="63B96F36">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highlight w:val="none"/>
              </w:rPr>
            </w:pPr>
            <w:r>
              <w:rPr>
                <w:rFonts w:hint="eastAsia" w:ascii="宋体" w:hAnsi="宋体"/>
                <w:szCs w:val="21"/>
                <w:highlight w:val="none"/>
                <w:lang w:eastAsia="zh-CN"/>
              </w:rPr>
              <w:t>☑</w:t>
            </w:r>
            <w:r>
              <w:rPr>
                <w:rFonts w:hint="eastAsia" w:ascii="宋体" w:hAnsi="宋体"/>
                <w:szCs w:val="21"/>
                <w:highlight w:val="none"/>
              </w:rPr>
              <w:t>需要：</w:t>
            </w:r>
          </w:p>
          <w:p w14:paraId="5DF2B600">
            <w:pPr>
              <w:keepNext w:val="0"/>
              <w:keepLines w:val="0"/>
              <w:pageBreakBefore w:val="0"/>
              <w:widowControl w:val="0"/>
              <w:kinsoku/>
              <w:wordWrap/>
              <w:overflowPunct/>
              <w:topLinePunct w:val="0"/>
              <w:autoSpaceDE/>
              <w:autoSpaceDN/>
              <w:bidi w:val="0"/>
              <w:adjustRightInd/>
              <w:snapToGrid/>
              <w:spacing w:line="400" w:lineRule="exact"/>
              <w:rPr>
                <w:rFonts w:hint="default" w:ascii="宋体" w:hAnsi="宋体" w:eastAsia="宋体"/>
                <w:sz w:val="24"/>
                <w:highlight w:val="none"/>
                <w:lang w:val="en-US" w:eastAsia="zh-CN"/>
              </w:rPr>
            </w:pPr>
            <w:r>
              <w:rPr>
                <w:rFonts w:ascii="宋体" w:hAnsi="宋体"/>
                <w:szCs w:val="21"/>
                <w:highlight w:val="none"/>
              </w:rPr>
              <w:t>保证金数额：</w:t>
            </w:r>
            <w:r>
              <w:rPr>
                <w:rFonts w:hint="eastAsia" w:ascii="宋体" w:hAnsi="宋体"/>
                <w:szCs w:val="21"/>
                <w:highlight w:val="none"/>
                <w:lang w:val="en-US" w:eastAsia="zh-CN"/>
              </w:rPr>
              <w:t>3万元</w:t>
            </w:r>
          </w:p>
        </w:tc>
      </w:tr>
      <w:tr w14:paraId="28A51E8C">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2B8BF90C">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宋体" w:hAnsi="宋体"/>
                <w:szCs w:val="21"/>
              </w:rPr>
            </w:pPr>
            <w:r>
              <w:rPr>
                <w:rFonts w:hint="eastAsia" w:ascii="宋体" w:hAnsi="宋体"/>
                <w:szCs w:val="21"/>
              </w:rPr>
              <w:t>3.</w:t>
            </w:r>
            <w:r>
              <w:rPr>
                <w:rFonts w:ascii="宋体" w:hAnsi="宋体"/>
                <w:szCs w:val="21"/>
              </w:rPr>
              <w:t>4</w:t>
            </w:r>
            <w:r>
              <w:rPr>
                <w:rFonts w:hint="eastAsia" w:ascii="宋体" w:hAnsi="宋体"/>
                <w:szCs w:val="21"/>
              </w:rPr>
              <w:t>.2</w:t>
            </w:r>
          </w:p>
        </w:tc>
        <w:tc>
          <w:tcPr>
            <w:tcW w:w="3132" w:type="dxa"/>
            <w:tcBorders>
              <w:top w:val="single" w:color="auto" w:sz="4" w:space="0"/>
              <w:left w:val="single" w:color="auto" w:sz="4" w:space="0"/>
              <w:bottom w:val="single" w:color="auto" w:sz="4" w:space="0"/>
              <w:right w:val="single" w:color="auto" w:sz="4" w:space="0"/>
            </w:tcBorders>
            <w:vAlign w:val="center"/>
          </w:tcPr>
          <w:p w14:paraId="47D3E16C">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cs="Arial"/>
                <w:szCs w:val="21"/>
                <w:highlight w:val="red"/>
              </w:rPr>
            </w:pPr>
            <w:r>
              <w:rPr>
                <w:rFonts w:hint="eastAsia" w:ascii="宋体" w:hAnsi="宋体" w:cs="Arial"/>
                <w:szCs w:val="21"/>
                <w:highlight w:val="none"/>
              </w:rPr>
              <w:t>*投标保证金支付方式</w:t>
            </w:r>
          </w:p>
        </w:tc>
        <w:tc>
          <w:tcPr>
            <w:tcW w:w="5868" w:type="dxa"/>
            <w:tcBorders>
              <w:top w:val="single" w:color="auto" w:sz="4" w:space="0"/>
              <w:left w:val="single" w:color="auto" w:sz="4" w:space="0"/>
              <w:bottom w:val="single" w:color="auto" w:sz="4" w:space="0"/>
              <w:right w:val="single" w:color="auto" w:sz="4" w:space="0"/>
            </w:tcBorders>
            <w:vAlign w:val="center"/>
          </w:tcPr>
          <w:p w14:paraId="66A80410">
            <w:pPr>
              <w:keepNext w:val="0"/>
              <w:keepLines w:val="0"/>
              <w:pageBreakBefore w:val="0"/>
              <w:widowControl w:val="0"/>
              <w:kinsoku/>
              <w:wordWrap/>
              <w:overflowPunct/>
              <w:topLinePunct w:val="0"/>
              <w:autoSpaceDE/>
              <w:autoSpaceDN/>
              <w:bidi w:val="0"/>
              <w:adjustRightInd/>
              <w:snapToGrid/>
              <w:spacing w:line="400" w:lineRule="exact"/>
              <w:rPr>
                <w:rFonts w:hint="default" w:ascii="宋体" w:hAnsi="宋体" w:eastAsia="宋体"/>
                <w:szCs w:val="21"/>
                <w:highlight w:val="red"/>
                <w:lang w:val="en-US" w:eastAsia="zh-CN"/>
              </w:rPr>
            </w:pPr>
            <w:r>
              <w:rPr>
                <w:rFonts w:hint="eastAsia" w:ascii="宋体" w:hAnsi="宋体"/>
                <w:szCs w:val="21"/>
                <w:highlight w:val="none"/>
              </w:rPr>
              <w:t>银行汇票、网银转账、电汇等</w:t>
            </w:r>
          </w:p>
        </w:tc>
      </w:tr>
      <w:tr w14:paraId="0BCA10F3">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0A030EBC">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宋体" w:hAnsi="宋体"/>
                <w:szCs w:val="21"/>
              </w:rPr>
            </w:pPr>
            <w:r>
              <w:rPr>
                <w:rFonts w:hint="eastAsia" w:ascii="宋体" w:hAnsi="宋体"/>
                <w:szCs w:val="21"/>
              </w:rPr>
              <w:t>3.</w:t>
            </w:r>
            <w:r>
              <w:rPr>
                <w:rFonts w:ascii="宋体" w:hAnsi="宋体"/>
                <w:szCs w:val="21"/>
              </w:rPr>
              <w:t>4</w:t>
            </w:r>
            <w:r>
              <w:rPr>
                <w:rFonts w:hint="eastAsia" w:ascii="宋体" w:hAnsi="宋体"/>
                <w:szCs w:val="21"/>
              </w:rPr>
              <w:t>.3</w:t>
            </w:r>
          </w:p>
        </w:tc>
        <w:tc>
          <w:tcPr>
            <w:tcW w:w="3132" w:type="dxa"/>
            <w:tcBorders>
              <w:top w:val="single" w:color="auto" w:sz="4" w:space="0"/>
              <w:left w:val="single" w:color="auto" w:sz="4" w:space="0"/>
              <w:bottom w:val="single" w:color="auto" w:sz="4" w:space="0"/>
              <w:right w:val="single" w:color="auto" w:sz="4" w:space="0"/>
            </w:tcBorders>
            <w:vAlign w:val="center"/>
          </w:tcPr>
          <w:p w14:paraId="40A3D190">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cs="Arial"/>
                <w:szCs w:val="21"/>
                <w:highlight w:val="red"/>
              </w:rPr>
            </w:pPr>
            <w:r>
              <w:rPr>
                <w:rFonts w:hint="eastAsia" w:ascii="宋体" w:hAnsi="宋体" w:cs="Arial"/>
                <w:szCs w:val="21"/>
                <w:highlight w:val="none"/>
              </w:rPr>
              <w:t>投标保证金退款方式</w:t>
            </w:r>
          </w:p>
        </w:tc>
        <w:tc>
          <w:tcPr>
            <w:tcW w:w="5868" w:type="dxa"/>
            <w:tcBorders>
              <w:top w:val="single" w:color="auto" w:sz="4" w:space="0"/>
              <w:left w:val="single" w:color="auto" w:sz="4" w:space="0"/>
              <w:bottom w:val="single" w:color="auto" w:sz="4" w:space="0"/>
              <w:right w:val="single" w:color="auto" w:sz="4" w:space="0"/>
            </w:tcBorders>
            <w:vAlign w:val="center"/>
          </w:tcPr>
          <w:p w14:paraId="1621911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szCs w:val="21"/>
                <w:highlight w:val="red"/>
              </w:rPr>
            </w:pPr>
            <w:r>
              <w:rPr>
                <w:rFonts w:hint="eastAsia" w:ascii="宋体" w:hAnsi="宋体"/>
                <w:szCs w:val="21"/>
              </w:rPr>
              <w:t>中标通知书发出后30日内，向未中标的投标人退还保证金；</w:t>
            </w:r>
            <w:r>
              <w:rPr>
                <w:rFonts w:hint="eastAsia" w:ascii="宋体" w:hAnsi="宋体"/>
                <w:szCs w:val="21"/>
                <w:lang w:eastAsia="zh-CN"/>
              </w:rPr>
              <w:t>招标人</w:t>
            </w:r>
            <w:r>
              <w:rPr>
                <w:rFonts w:hint="eastAsia" w:ascii="宋体" w:hAnsi="宋体"/>
                <w:szCs w:val="21"/>
              </w:rPr>
              <w:t>与中标方签订合同并缴纳安全风险抵押金后30日内，向中标人退还投标保证金。投标人逾期未来退还投标保证金的，招标人将不支付资金占用费。</w:t>
            </w:r>
          </w:p>
        </w:tc>
      </w:tr>
      <w:tr w14:paraId="51F3118C">
        <w:tblPrEx>
          <w:tblCellMar>
            <w:top w:w="0" w:type="dxa"/>
            <w:left w:w="108" w:type="dxa"/>
            <w:bottom w:w="0" w:type="dxa"/>
            <w:right w:w="108" w:type="dxa"/>
          </w:tblCellMar>
        </w:tblPrEx>
        <w:trPr>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65C9AB10">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ascii="宋体" w:hAnsi="宋体"/>
                <w:szCs w:val="21"/>
              </w:rPr>
              <w:t>4</w:t>
            </w:r>
            <w:r>
              <w:rPr>
                <w:rFonts w:hint="eastAsia" w:ascii="宋体" w:hAnsi="宋体"/>
                <w:szCs w:val="21"/>
              </w:rPr>
              <w:t>.</w:t>
            </w:r>
            <w:r>
              <w:rPr>
                <w:rFonts w:ascii="宋体" w:hAnsi="宋体"/>
                <w:szCs w:val="21"/>
              </w:rPr>
              <w:t>1</w:t>
            </w:r>
            <w:r>
              <w:rPr>
                <w:rFonts w:hint="eastAsia" w:ascii="宋体" w:hAnsi="宋体"/>
                <w:szCs w:val="21"/>
              </w:rPr>
              <w:t>备选投标人案</w:t>
            </w:r>
          </w:p>
        </w:tc>
      </w:tr>
      <w:tr w14:paraId="4F5110EF">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65F3E461">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宋体" w:hAnsi="宋体"/>
                <w:szCs w:val="21"/>
              </w:rPr>
            </w:pPr>
            <w:r>
              <w:rPr>
                <w:rFonts w:ascii="宋体" w:hAnsi="宋体"/>
                <w:szCs w:val="21"/>
              </w:rPr>
              <w:t>4.1.1</w:t>
            </w:r>
          </w:p>
        </w:tc>
        <w:tc>
          <w:tcPr>
            <w:tcW w:w="3132" w:type="dxa"/>
            <w:tcBorders>
              <w:top w:val="single" w:color="auto" w:sz="4" w:space="0"/>
              <w:left w:val="single" w:color="auto" w:sz="4" w:space="0"/>
              <w:bottom w:val="single" w:color="auto" w:sz="4" w:space="0"/>
              <w:right w:val="single" w:color="auto" w:sz="4" w:space="0"/>
            </w:tcBorders>
            <w:vAlign w:val="center"/>
          </w:tcPr>
          <w:p w14:paraId="255F670E">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ascii="宋体" w:hAnsi="宋体"/>
                <w:szCs w:val="21"/>
              </w:rPr>
              <w:t>是否允许</w:t>
            </w:r>
            <w:r>
              <w:rPr>
                <w:rFonts w:hint="eastAsia" w:ascii="宋体" w:hAnsi="宋体"/>
                <w:szCs w:val="21"/>
              </w:rPr>
              <w:t>递交备</w:t>
            </w:r>
            <w:r>
              <w:rPr>
                <w:rFonts w:ascii="宋体" w:hAnsi="宋体"/>
                <w:szCs w:val="21"/>
              </w:rPr>
              <w:t>选</w:t>
            </w:r>
            <w:r>
              <w:rPr>
                <w:rFonts w:hint="eastAsia" w:ascii="宋体" w:hAnsi="宋体"/>
                <w:szCs w:val="21"/>
              </w:rPr>
              <w:t>投标人</w:t>
            </w:r>
            <w:r>
              <w:rPr>
                <w:rFonts w:ascii="宋体" w:hAnsi="宋体"/>
                <w:szCs w:val="21"/>
              </w:rPr>
              <w:t>案</w:t>
            </w:r>
          </w:p>
        </w:tc>
        <w:tc>
          <w:tcPr>
            <w:tcW w:w="5868" w:type="dxa"/>
            <w:tcBorders>
              <w:top w:val="single" w:color="auto" w:sz="4" w:space="0"/>
              <w:left w:val="single" w:color="auto" w:sz="4" w:space="0"/>
              <w:bottom w:val="single" w:color="auto" w:sz="4" w:space="0"/>
              <w:right w:val="single" w:color="auto" w:sz="4" w:space="0"/>
            </w:tcBorders>
            <w:vAlign w:val="center"/>
          </w:tcPr>
          <w:p w14:paraId="4AE3EB94">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hint="eastAsia" w:ascii="宋体" w:hAnsi="宋体"/>
                <w:szCs w:val="21"/>
              </w:rPr>
              <w:t>■不允许          □允许</w:t>
            </w:r>
          </w:p>
        </w:tc>
      </w:tr>
      <w:tr w14:paraId="73934B85">
        <w:tblPrEx>
          <w:tblCellMar>
            <w:top w:w="0" w:type="dxa"/>
            <w:left w:w="108" w:type="dxa"/>
            <w:bottom w:w="0" w:type="dxa"/>
            <w:right w:w="108" w:type="dxa"/>
          </w:tblCellMar>
        </w:tblPrEx>
        <w:trPr>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4EB65319">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ascii="宋体" w:hAnsi="宋体"/>
                <w:szCs w:val="21"/>
              </w:rPr>
              <w:t>5</w:t>
            </w:r>
            <w:r>
              <w:rPr>
                <w:rFonts w:hint="eastAsia" w:ascii="宋体" w:hAnsi="宋体"/>
                <w:szCs w:val="21"/>
              </w:rPr>
              <w:t>.</w:t>
            </w:r>
            <w:r>
              <w:rPr>
                <w:rFonts w:ascii="宋体" w:hAnsi="宋体"/>
                <w:szCs w:val="21"/>
              </w:rPr>
              <w:t>1</w:t>
            </w:r>
            <w:r>
              <w:rPr>
                <w:rFonts w:hint="eastAsia" w:ascii="宋体" w:hAnsi="宋体"/>
                <w:szCs w:val="21"/>
              </w:rPr>
              <w:t>投标文件的编制</w:t>
            </w:r>
          </w:p>
        </w:tc>
      </w:tr>
      <w:tr w14:paraId="5E649D68">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413D1966">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宋体" w:hAnsi="宋体"/>
                <w:szCs w:val="21"/>
              </w:rPr>
            </w:pPr>
            <w:r>
              <w:rPr>
                <w:rFonts w:ascii="宋体" w:hAnsi="宋体"/>
                <w:szCs w:val="21"/>
              </w:rPr>
              <w:t>5.1.1</w:t>
            </w:r>
          </w:p>
        </w:tc>
        <w:tc>
          <w:tcPr>
            <w:tcW w:w="3132" w:type="dxa"/>
            <w:tcBorders>
              <w:top w:val="single" w:color="auto" w:sz="4" w:space="0"/>
              <w:left w:val="single" w:color="auto" w:sz="4" w:space="0"/>
              <w:bottom w:val="single" w:color="auto" w:sz="4" w:space="0"/>
              <w:right w:val="single" w:color="auto" w:sz="4" w:space="0"/>
            </w:tcBorders>
            <w:vAlign w:val="center"/>
          </w:tcPr>
          <w:p w14:paraId="1AAAB035">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hint="eastAsia" w:ascii="宋体" w:hAnsi="宋体" w:cs="Arial"/>
                <w:szCs w:val="21"/>
              </w:rPr>
              <w:t>*</w:t>
            </w:r>
            <w:r>
              <w:rPr>
                <w:rFonts w:ascii="宋体" w:hAnsi="宋体"/>
                <w:szCs w:val="21"/>
              </w:rPr>
              <w:t>签字或盖章要求</w:t>
            </w:r>
          </w:p>
        </w:tc>
        <w:tc>
          <w:tcPr>
            <w:tcW w:w="5868" w:type="dxa"/>
            <w:tcBorders>
              <w:top w:val="single" w:color="auto" w:sz="4" w:space="0"/>
              <w:left w:val="single" w:color="auto" w:sz="4" w:space="0"/>
              <w:bottom w:val="single" w:color="auto" w:sz="4" w:space="0"/>
              <w:right w:val="single" w:color="auto" w:sz="4" w:space="0"/>
            </w:tcBorders>
            <w:vAlign w:val="center"/>
          </w:tcPr>
          <w:p w14:paraId="57A83F10">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ascii="宋体" w:hAnsi="宋体"/>
                <w:szCs w:val="21"/>
              </w:rPr>
              <w:t>(1)招标文件中所有标注</w:t>
            </w:r>
            <w:r>
              <w:rPr>
                <w:rFonts w:hint="eastAsia" w:ascii="宋体" w:hAnsi="宋体"/>
                <w:szCs w:val="21"/>
              </w:rPr>
              <w:t>“</w:t>
            </w:r>
            <w:r>
              <w:rPr>
                <w:rFonts w:ascii="宋体" w:hAnsi="宋体"/>
                <w:szCs w:val="21"/>
              </w:rPr>
              <w:t>盖章</w:t>
            </w:r>
            <w:r>
              <w:rPr>
                <w:rFonts w:hint="eastAsia" w:ascii="宋体" w:hAnsi="宋体"/>
                <w:szCs w:val="21"/>
              </w:rPr>
              <w:t>”</w:t>
            </w:r>
            <w:r>
              <w:rPr>
                <w:rFonts w:ascii="宋体" w:hAnsi="宋体"/>
                <w:szCs w:val="21"/>
              </w:rPr>
              <w:t>处均指单位公章，</w:t>
            </w:r>
            <w:r>
              <w:rPr>
                <w:rFonts w:hint="eastAsia" w:ascii="宋体" w:hAnsi="宋体"/>
                <w:szCs w:val="21"/>
              </w:rPr>
              <w:t>如需</w:t>
            </w:r>
            <w:r>
              <w:rPr>
                <w:rFonts w:ascii="宋体" w:hAnsi="宋体"/>
                <w:szCs w:val="21"/>
              </w:rPr>
              <w:t>以</w:t>
            </w:r>
            <w:r>
              <w:rPr>
                <w:rFonts w:hint="eastAsia" w:ascii="宋体" w:hAnsi="宋体"/>
                <w:szCs w:val="21"/>
              </w:rPr>
              <w:t xml:space="preserve"> “</w:t>
            </w:r>
            <w:r>
              <w:rPr>
                <w:rFonts w:ascii="宋体" w:hAnsi="宋体"/>
                <w:szCs w:val="21"/>
              </w:rPr>
              <w:t>专用章</w:t>
            </w:r>
            <w:r>
              <w:rPr>
                <w:rFonts w:hint="eastAsia" w:ascii="宋体" w:hAnsi="宋体"/>
                <w:szCs w:val="21"/>
              </w:rPr>
              <w:t>”</w:t>
            </w:r>
            <w:r>
              <w:rPr>
                <w:rFonts w:ascii="宋体" w:hAnsi="宋体"/>
                <w:szCs w:val="21"/>
              </w:rPr>
              <w:t>等代替</w:t>
            </w:r>
            <w:r>
              <w:rPr>
                <w:rFonts w:hint="eastAsia" w:ascii="宋体" w:hAnsi="宋体"/>
                <w:szCs w:val="21"/>
              </w:rPr>
              <w:t>，则必须附投标人公章对“</w:t>
            </w:r>
            <w:r>
              <w:rPr>
                <w:rFonts w:ascii="宋体" w:hAnsi="宋体"/>
                <w:szCs w:val="21"/>
              </w:rPr>
              <w:t>专用章</w:t>
            </w:r>
            <w:r>
              <w:rPr>
                <w:rFonts w:hint="eastAsia" w:ascii="宋体" w:hAnsi="宋体"/>
                <w:szCs w:val="21"/>
              </w:rPr>
              <w:t>”</w:t>
            </w:r>
            <w:r>
              <w:rPr>
                <w:rFonts w:ascii="宋体" w:hAnsi="宋体"/>
                <w:szCs w:val="21"/>
              </w:rPr>
              <w:t>等</w:t>
            </w:r>
            <w:r>
              <w:rPr>
                <w:rFonts w:hint="eastAsia" w:ascii="宋体" w:hAnsi="宋体"/>
                <w:szCs w:val="21"/>
              </w:rPr>
              <w:t>的授权</w:t>
            </w:r>
            <w:r>
              <w:rPr>
                <w:rFonts w:ascii="宋体" w:hAnsi="宋体"/>
                <w:szCs w:val="21"/>
              </w:rPr>
              <w:t>(</w:t>
            </w:r>
            <w:r>
              <w:rPr>
                <w:rFonts w:hint="eastAsia" w:ascii="宋体" w:hAnsi="宋体"/>
                <w:szCs w:val="21"/>
              </w:rPr>
              <w:t>格式自制，且正本中必须附原件</w:t>
            </w:r>
            <w:r>
              <w:rPr>
                <w:rFonts w:ascii="宋体" w:hAnsi="宋体"/>
                <w:szCs w:val="21"/>
              </w:rPr>
              <w:t>)</w:t>
            </w:r>
            <w:r>
              <w:rPr>
                <w:rFonts w:hint="eastAsia" w:ascii="宋体" w:hAnsi="宋体"/>
                <w:szCs w:val="21"/>
              </w:rPr>
              <w:t>。</w:t>
            </w:r>
          </w:p>
          <w:p w14:paraId="2B1EF732">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highlight w:val="yellow"/>
              </w:rPr>
            </w:pPr>
            <w:r>
              <w:rPr>
                <w:rFonts w:ascii="宋体" w:hAnsi="宋体"/>
                <w:szCs w:val="21"/>
              </w:rPr>
              <w:t>(2)招标文件中所有标注</w:t>
            </w:r>
            <w:r>
              <w:rPr>
                <w:rFonts w:hint="eastAsia" w:ascii="宋体" w:hAnsi="宋体"/>
                <w:szCs w:val="21"/>
              </w:rPr>
              <w:t>“</w:t>
            </w:r>
            <w:r>
              <w:rPr>
                <w:rFonts w:ascii="宋体" w:hAnsi="宋体"/>
                <w:szCs w:val="21"/>
              </w:rPr>
              <w:t>签字</w:t>
            </w:r>
            <w:r>
              <w:rPr>
                <w:rFonts w:hint="eastAsia" w:ascii="宋体" w:hAnsi="宋体"/>
                <w:szCs w:val="21"/>
              </w:rPr>
              <w:t>”</w:t>
            </w:r>
            <w:r>
              <w:rPr>
                <w:rFonts w:ascii="宋体" w:hAnsi="宋体"/>
                <w:szCs w:val="21"/>
              </w:rPr>
              <w:t>处均指书写签字或签名章</w:t>
            </w:r>
            <w:r>
              <w:rPr>
                <w:rFonts w:hint="eastAsia" w:ascii="宋体" w:hAnsi="宋体"/>
                <w:szCs w:val="21"/>
              </w:rPr>
              <w:t>或</w:t>
            </w:r>
            <w:r>
              <w:rPr>
                <w:rFonts w:ascii="宋体" w:hAnsi="宋体"/>
                <w:szCs w:val="21"/>
              </w:rPr>
              <w:t>人名章，不能以打印体等代替。</w:t>
            </w:r>
          </w:p>
        </w:tc>
      </w:tr>
      <w:tr w14:paraId="013219A0">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46E065B8">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宋体" w:hAnsi="宋体"/>
                <w:szCs w:val="21"/>
              </w:rPr>
            </w:pPr>
            <w:r>
              <w:rPr>
                <w:rFonts w:ascii="宋体" w:hAnsi="宋体"/>
                <w:szCs w:val="21"/>
              </w:rPr>
              <w:t>5.1.2</w:t>
            </w:r>
          </w:p>
        </w:tc>
        <w:tc>
          <w:tcPr>
            <w:tcW w:w="3132" w:type="dxa"/>
            <w:tcBorders>
              <w:top w:val="single" w:color="auto" w:sz="4" w:space="0"/>
              <w:left w:val="single" w:color="auto" w:sz="4" w:space="0"/>
              <w:bottom w:val="single" w:color="auto" w:sz="4" w:space="0"/>
              <w:right w:val="single" w:color="auto" w:sz="4" w:space="0"/>
            </w:tcBorders>
            <w:vAlign w:val="center"/>
          </w:tcPr>
          <w:p w14:paraId="66942423">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hint="eastAsia" w:ascii="宋体" w:hAnsi="宋体" w:cs="Arial"/>
                <w:szCs w:val="21"/>
              </w:rPr>
              <w:t>*</w:t>
            </w:r>
            <w:r>
              <w:rPr>
                <w:rFonts w:ascii="宋体" w:hAnsi="宋体"/>
                <w:szCs w:val="21"/>
              </w:rPr>
              <w:t>投标文件份数</w:t>
            </w:r>
          </w:p>
        </w:tc>
        <w:tc>
          <w:tcPr>
            <w:tcW w:w="5868" w:type="dxa"/>
            <w:tcBorders>
              <w:top w:val="single" w:color="auto" w:sz="4" w:space="0"/>
              <w:left w:val="single" w:color="auto" w:sz="4" w:space="0"/>
              <w:bottom w:val="single" w:color="auto" w:sz="4" w:space="0"/>
              <w:right w:val="single" w:color="auto" w:sz="4" w:space="0"/>
            </w:tcBorders>
            <w:vAlign w:val="center"/>
          </w:tcPr>
          <w:p w14:paraId="35AF29A5">
            <w:pPr>
              <w:keepNext w:val="0"/>
              <w:keepLines w:val="0"/>
              <w:pageBreakBefore w:val="0"/>
              <w:widowControl w:val="0"/>
              <w:kinsoku/>
              <w:wordWrap/>
              <w:overflowPunct/>
              <w:topLinePunct w:val="0"/>
              <w:autoSpaceDE/>
              <w:autoSpaceDN/>
              <w:bidi w:val="0"/>
              <w:adjustRightInd/>
              <w:snapToGrid/>
              <w:spacing w:line="400" w:lineRule="exact"/>
              <w:rPr>
                <w:rFonts w:hint="eastAsia" w:ascii="宋体" w:hAnsi="宋体" w:eastAsia="宋体"/>
                <w:szCs w:val="21"/>
                <w:lang w:eastAsia="zh-CN"/>
              </w:rPr>
            </w:pPr>
            <w:r>
              <w:rPr>
                <w:rFonts w:ascii="宋体" w:hAnsi="宋体"/>
                <w:b/>
                <w:bCs/>
                <w:szCs w:val="21"/>
                <w:highlight w:val="yellow"/>
              </w:rPr>
              <w:t>投标文件份数：</w:t>
            </w:r>
            <w:r>
              <w:rPr>
                <w:rFonts w:hint="eastAsia" w:ascii="宋体" w:hAnsi="宋体"/>
                <w:b/>
                <w:bCs/>
                <w:szCs w:val="21"/>
                <w:highlight w:val="yellow"/>
              </w:rPr>
              <w:t>正本</w:t>
            </w:r>
            <w:r>
              <w:rPr>
                <w:rFonts w:ascii="宋体" w:hAnsi="宋体"/>
                <w:b/>
                <w:bCs/>
                <w:szCs w:val="21"/>
                <w:highlight w:val="yellow"/>
              </w:rPr>
              <w:t>一套，副本</w:t>
            </w:r>
            <w:r>
              <w:rPr>
                <w:rFonts w:hint="eastAsia" w:ascii="宋体" w:hAnsi="宋体"/>
                <w:b/>
                <w:bCs/>
                <w:szCs w:val="21"/>
                <w:highlight w:val="yellow"/>
              </w:rPr>
              <w:t>二</w:t>
            </w:r>
            <w:r>
              <w:rPr>
                <w:rFonts w:ascii="宋体" w:hAnsi="宋体"/>
                <w:b/>
                <w:bCs/>
                <w:szCs w:val="21"/>
                <w:highlight w:val="yellow"/>
              </w:rPr>
              <w:t>套</w:t>
            </w:r>
            <w:r>
              <w:rPr>
                <w:rFonts w:hint="eastAsia" w:ascii="宋体" w:hAnsi="宋体"/>
                <w:b/>
                <w:bCs/>
                <w:szCs w:val="21"/>
                <w:highlight w:val="yellow"/>
              </w:rPr>
              <w:t>。</w:t>
            </w:r>
            <w:r>
              <w:rPr>
                <w:rFonts w:hint="eastAsia" w:ascii="宋体" w:hAnsi="宋体"/>
                <w:b/>
                <w:bCs/>
                <w:szCs w:val="21"/>
                <w:highlight w:val="yellow"/>
                <w:lang w:eastAsia="zh-CN"/>
              </w:rPr>
              <w:t>（</w:t>
            </w:r>
            <w:r>
              <w:rPr>
                <w:rFonts w:hint="eastAsia" w:ascii="宋体" w:hAnsi="宋体"/>
                <w:b/>
                <w:bCs/>
                <w:szCs w:val="21"/>
                <w:highlight w:val="yellow"/>
                <w:lang w:val="en-US" w:eastAsia="zh-CN"/>
              </w:rPr>
              <w:t>未提供作废标处理</w:t>
            </w:r>
            <w:r>
              <w:rPr>
                <w:rFonts w:hint="eastAsia" w:ascii="宋体" w:hAnsi="宋体"/>
                <w:b/>
                <w:bCs/>
                <w:szCs w:val="21"/>
                <w:highlight w:val="yellow"/>
                <w:lang w:eastAsia="zh-CN"/>
              </w:rPr>
              <w:t>）</w:t>
            </w:r>
          </w:p>
        </w:tc>
      </w:tr>
      <w:tr w14:paraId="00D03FA9">
        <w:tblPrEx>
          <w:tblCellMar>
            <w:top w:w="0" w:type="dxa"/>
            <w:left w:w="108" w:type="dxa"/>
            <w:bottom w:w="0" w:type="dxa"/>
            <w:right w:w="108" w:type="dxa"/>
          </w:tblCellMar>
        </w:tblPrEx>
        <w:trPr>
          <w:trHeight w:val="591" w:hRule="atLeast"/>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43B95658">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ascii="宋体" w:hAnsi="宋体"/>
                <w:szCs w:val="21"/>
              </w:rPr>
              <w:t>6</w:t>
            </w:r>
            <w:r>
              <w:rPr>
                <w:rFonts w:hint="eastAsia" w:ascii="宋体" w:hAnsi="宋体"/>
                <w:szCs w:val="21"/>
              </w:rPr>
              <w:t>.</w:t>
            </w:r>
            <w:r>
              <w:rPr>
                <w:rFonts w:ascii="宋体" w:hAnsi="宋体"/>
                <w:szCs w:val="21"/>
              </w:rPr>
              <w:t>1</w:t>
            </w:r>
            <w:r>
              <w:rPr>
                <w:rFonts w:hint="eastAsia" w:ascii="宋体" w:hAnsi="宋体"/>
                <w:szCs w:val="21"/>
              </w:rPr>
              <w:t>投标文件的递交</w:t>
            </w:r>
          </w:p>
        </w:tc>
      </w:tr>
      <w:tr w14:paraId="125F2B05">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5C7D9DC9">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宋体" w:hAnsi="宋体"/>
                <w:szCs w:val="21"/>
              </w:rPr>
            </w:pPr>
            <w:r>
              <w:rPr>
                <w:rFonts w:ascii="宋体" w:hAnsi="宋体"/>
                <w:szCs w:val="21"/>
              </w:rPr>
              <w:t>6.1.</w:t>
            </w:r>
            <w:r>
              <w:rPr>
                <w:rFonts w:hint="eastAsia" w:ascii="宋体" w:hAnsi="宋体"/>
                <w:szCs w:val="21"/>
              </w:rPr>
              <w:t>1</w:t>
            </w:r>
          </w:p>
        </w:tc>
        <w:tc>
          <w:tcPr>
            <w:tcW w:w="3132" w:type="dxa"/>
            <w:tcBorders>
              <w:top w:val="single" w:color="auto" w:sz="4" w:space="0"/>
              <w:left w:val="single" w:color="auto" w:sz="4" w:space="0"/>
              <w:bottom w:val="single" w:color="auto" w:sz="4" w:space="0"/>
              <w:right w:val="single" w:color="auto" w:sz="4" w:space="0"/>
            </w:tcBorders>
            <w:vAlign w:val="center"/>
          </w:tcPr>
          <w:p w14:paraId="69D9F8BE">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hint="eastAsia" w:ascii="宋体" w:hAnsi="宋体" w:cs="Arial"/>
                <w:szCs w:val="21"/>
              </w:rPr>
              <w:t>*</w:t>
            </w:r>
            <w:r>
              <w:rPr>
                <w:rFonts w:ascii="宋体" w:hAnsi="宋体"/>
                <w:szCs w:val="21"/>
              </w:rPr>
              <w:t>投标</w:t>
            </w:r>
            <w:r>
              <w:rPr>
                <w:rFonts w:hint="eastAsia" w:ascii="宋体" w:hAnsi="宋体"/>
                <w:szCs w:val="21"/>
              </w:rPr>
              <w:t>截止时间及递交投标文件地点和联系方式</w:t>
            </w:r>
          </w:p>
        </w:tc>
        <w:tc>
          <w:tcPr>
            <w:tcW w:w="5868" w:type="dxa"/>
            <w:tcBorders>
              <w:top w:val="single" w:color="auto" w:sz="4" w:space="0"/>
              <w:left w:val="single" w:color="auto" w:sz="4" w:space="0"/>
              <w:bottom w:val="single" w:color="auto" w:sz="4" w:space="0"/>
              <w:right w:val="single" w:color="auto" w:sz="4" w:space="0"/>
            </w:tcBorders>
            <w:vAlign w:val="center"/>
          </w:tcPr>
          <w:p w14:paraId="0A8DE9DC">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highlight w:val="red"/>
              </w:rPr>
            </w:pPr>
            <w:r>
              <w:rPr>
                <w:rFonts w:hint="eastAsia" w:ascii="宋体" w:hAnsi="宋体"/>
                <w:szCs w:val="21"/>
                <w:highlight w:val="red"/>
              </w:rPr>
              <w:t>投标截止时间：2025年</w:t>
            </w:r>
            <w:r>
              <w:rPr>
                <w:rFonts w:hint="eastAsia" w:ascii="宋体" w:hAnsi="宋体"/>
                <w:szCs w:val="21"/>
                <w:highlight w:val="red"/>
                <w:lang w:val="en-US" w:eastAsia="zh-CN"/>
              </w:rPr>
              <w:t>1</w:t>
            </w:r>
            <w:r>
              <w:rPr>
                <w:rFonts w:ascii="宋体" w:hAnsi="宋体"/>
                <w:szCs w:val="21"/>
                <w:highlight w:val="red"/>
              </w:rPr>
              <w:t>月</w:t>
            </w:r>
            <w:r>
              <w:rPr>
                <w:rFonts w:hint="eastAsia" w:ascii="宋体" w:hAnsi="宋体"/>
                <w:szCs w:val="21"/>
                <w:highlight w:val="red"/>
                <w:lang w:val="en-US" w:eastAsia="zh-CN"/>
              </w:rPr>
              <w:t>24</w:t>
            </w:r>
            <w:bookmarkStart w:id="128" w:name="_GoBack"/>
            <w:bookmarkEnd w:id="128"/>
            <w:r>
              <w:rPr>
                <w:rFonts w:ascii="宋体" w:hAnsi="宋体"/>
                <w:szCs w:val="21"/>
                <w:highlight w:val="red"/>
              </w:rPr>
              <w:t>日</w:t>
            </w:r>
            <w:r>
              <w:rPr>
                <w:rFonts w:hint="eastAsia" w:ascii="宋体" w:hAnsi="宋体"/>
                <w:szCs w:val="21"/>
                <w:highlight w:val="red"/>
                <w:lang w:val="en-US" w:eastAsia="zh-CN"/>
              </w:rPr>
              <w:t>14:00</w:t>
            </w:r>
            <w:r>
              <w:rPr>
                <w:rFonts w:ascii="宋体" w:hAnsi="宋体"/>
                <w:szCs w:val="21"/>
                <w:highlight w:val="red"/>
              </w:rPr>
              <w:t>。</w:t>
            </w:r>
          </w:p>
          <w:p w14:paraId="27F1FF80">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ascii="宋体" w:hAnsi="宋体"/>
                <w:szCs w:val="21"/>
              </w:rPr>
              <w:t>递交投标文件地点：</w:t>
            </w:r>
          </w:p>
          <w:p w14:paraId="7E7FD7A9">
            <w:pPr>
              <w:pStyle w:val="214"/>
              <w:keepNext w:val="0"/>
              <w:keepLines w:val="0"/>
              <w:pageBreakBefore w:val="0"/>
              <w:widowControl w:val="0"/>
              <w:tabs>
                <w:tab w:val="left" w:pos="180"/>
              </w:tabs>
              <w:kinsoku/>
              <w:wordWrap/>
              <w:overflowPunct/>
              <w:topLinePunct w:val="0"/>
              <w:autoSpaceDE/>
              <w:autoSpaceDN/>
              <w:bidi w:val="0"/>
              <w:adjustRightInd/>
              <w:snapToGrid/>
              <w:spacing w:line="400" w:lineRule="exact"/>
              <w:ind w:firstLine="0" w:firstLineChars="0"/>
              <w:jc w:val="left"/>
              <w:rPr>
                <w:rFonts w:ascii="宋体" w:hAnsi="宋体"/>
                <w:sz w:val="21"/>
                <w:szCs w:val="21"/>
              </w:rPr>
            </w:pPr>
            <w:r>
              <w:rPr>
                <w:rFonts w:hint="eastAsia" w:ascii="宋体" w:hAnsi="宋体"/>
                <w:sz w:val="21"/>
                <w:szCs w:val="21"/>
              </w:rPr>
              <w:t>公司：镇江海纳川物流产业发展有限责任公司审计风控部</w:t>
            </w:r>
          </w:p>
          <w:p w14:paraId="10E2D45C">
            <w:pPr>
              <w:keepNext w:val="0"/>
              <w:keepLines w:val="0"/>
              <w:pageBreakBefore w:val="0"/>
              <w:widowControl w:val="0"/>
              <w:kinsoku/>
              <w:wordWrap/>
              <w:overflowPunct/>
              <w:topLinePunct w:val="0"/>
              <w:autoSpaceDE/>
              <w:autoSpaceDN/>
              <w:bidi w:val="0"/>
              <w:adjustRightInd/>
              <w:snapToGrid/>
              <w:spacing w:line="400" w:lineRule="exact"/>
              <w:jc w:val="left"/>
              <w:rPr>
                <w:rFonts w:ascii="宋体" w:hAnsi="宋体"/>
                <w:szCs w:val="21"/>
              </w:rPr>
            </w:pPr>
            <w:r>
              <w:rPr>
                <w:rFonts w:hint="eastAsia" w:ascii="宋体" w:hAnsi="宋体"/>
                <w:szCs w:val="21"/>
              </w:rPr>
              <w:t>地址：江苏省镇江市京口区求索路66号</w:t>
            </w:r>
          </w:p>
          <w:p w14:paraId="2460C405">
            <w:pPr>
              <w:keepNext w:val="0"/>
              <w:keepLines w:val="0"/>
              <w:pageBreakBefore w:val="0"/>
              <w:widowControl w:val="0"/>
              <w:kinsoku/>
              <w:wordWrap/>
              <w:overflowPunct/>
              <w:topLinePunct w:val="0"/>
              <w:autoSpaceDE/>
              <w:autoSpaceDN/>
              <w:bidi w:val="0"/>
              <w:adjustRightInd/>
              <w:snapToGrid/>
              <w:spacing w:line="400" w:lineRule="exact"/>
              <w:jc w:val="left"/>
              <w:rPr>
                <w:rFonts w:ascii="宋体" w:hAnsi="宋体"/>
                <w:szCs w:val="21"/>
              </w:rPr>
            </w:pPr>
            <w:r>
              <w:rPr>
                <w:rFonts w:hint="eastAsia" w:ascii="宋体" w:hAnsi="宋体"/>
                <w:szCs w:val="21"/>
              </w:rPr>
              <w:t>邮编：212006</w:t>
            </w:r>
          </w:p>
          <w:p w14:paraId="28C03DA8">
            <w:pPr>
              <w:keepNext w:val="0"/>
              <w:keepLines w:val="0"/>
              <w:pageBreakBefore w:val="0"/>
              <w:widowControl w:val="0"/>
              <w:kinsoku/>
              <w:wordWrap/>
              <w:overflowPunct/>
              <w:topLinePunct w:val="0"/>
              <w:autoSpaceDE/>
              <w:autoSpaceDN/>
              <w:bidi w:val="0"/>
              <w:adjustRightInd/>
              <w:snapToGrid/>
              <w:spacing w:line="400" w:lineRule="exact"/>
              <w:jc w:val="left"/>
              <w:rPr>
                <w:rFonts w:ascii="宋体" w:hAnsi="宋体"/>
                <w:szCs w:val="21"/>
              </w:rPr>
            </w:pPr>
            <w:r>
              <w:rPr>
                <w:rFonts w:hint="eastAsia" w:ascii="宋体" w:hAnsi="宋体"/>
                <w:szCs w:val="21"/>
              </w:rPr>
              <w:t xml:space="preserve">收件人（业务联系人）：杨雨琦 </w:t>
            </w:r>
            <w:r>
              <w:rPr>
                <w:rFonts w:ascii="宋体" w:hAnsi="宋体"/>
                <w:szCs w:val="21"/>
              </w:rPr>
              <w:t xml:space="preserve">  </w:t>
            </w:r>
            <w:r>
              <w:rPr>
                <w:rFonts w:hint="eastAsia" w:ascii="宋体" w:hAnsi="宋体"/>
                <w:szCs w:val="21"/>
              </w:rPr>
              <w:t>联系电话：1395294346</w:t>
            </w:r>
          </w:p>
          <w:p w14:paraId="0BEA250D">
            <w:pPr>
              <w:keepNext w:val="0"/>
              <w:keepLines w:val="0"/>
              <w:pageBreakBefore w:val="0"/>
              <w:widowControl w:val="0"/>
              <w:kinsoku/>
              <w:wordWrap/>
              <w:overflowPunct/>
              <w:topLinePunct w:val="0"/>
              <w:autoSpaceDE/>
              <w:autoSpaceDN/>
              <w:bidi w:val="0"/>
              <w:adjustRightInd/>
              <w:snapToGrid/>
              <w:spacing w:line="400" w:lineRule="exact"/>
              <w:jc w:val="left"/>
              <w:rPr>
                <w:rFonts w:ascii="宋体" w:hAnsi="宋体"/>
                <w:szCs w:val="21"/>
              </w:rPr>
            </w:pPr>
            <w:r>
              <w:rPr>
                <w:rFonts w:ascii="宋体" w:hAnsi="宋体"/>
                <w:szCs w:val="21"/>
              </w:rPr>
              <w:t>技术联系人：</w:t>
            </w:r>
            <w:r>
              <w:rPr>
                <w:rFonts w:hint="eastAsia" w:ascii="宋体" w:hAnsi="宋体"/>
                <w:szCs w:val="21"/>
              </w:rPr>
              <w:t xml:space="preserve">米雨 </w:t>
            </w:r>
            <w:r>
              <w:rPr>
                <w:rFonts w:ascii="宋体" w:hAnsi="宋体"/>
                <w:szCs w:val="21"/>
              </w:rPr>
              <w:t xml:space="preserve">   </w:t>
            </w:r>
            <w:r>
              <w:rPr>
                <w:rFonts w:hint="eastAsia" w:ascii="宋体" w:hAnsi="宋体"/>
                <w:szCs w:val="21"/>
              </w:rPr>
              <w:t>联系电话：15952865660</w:t>
            </w:r>
          </w:p>
        </w:tc>
      </w:tr>
      <w:tr w14:paraId="0FFE89D2">
        <w:tblPrEx>
          <w:tblCellMar>
            <w:top w:w="0" w:type="dxa"/>
            <w:left w:w="108" w:type="dxa"/>
            <w:bottom w:w="0" w:type="dxa"/>
            <w:right w:w="108" w:type="dxa"/>
          </w:tblCellMar>
        </w:tblPrEx>
        <w:trPr>
          <w:trHeight w:val="275" w:hRule="atLeast"/>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56664326">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ascii="宋体" w:hAnsi="宋体"/>
                <w:szCs w:val="21"/>
              </w:rPr>
              <w:t>7</w:t>
            </w:r>
            <w:r>
              <w:rPr>
                <w:rFonts w:hint="eastAsia" w:ascii="宋体" w:hAnsi="宋体"/>
                <w:szCs w:val="21"/>
              </w:rPr>
              <w:t>.1开标时间和地点</w:t>
            </w:r>
          </w:p>
        </w:tc>
      </w:tr>
      <w:tr w14:paraId="20E8707B">
        <w:tblPrEx>
          <w:tblCellMar>
            <w:top w:w="0" w:type="dxa"/>
            <w:left w:w="108" w:type="dxa"/>
            <w:bottom w:w="0" w:type="dxa"/>
            <w:right w:w="108" w:type="dxa"/>
          </w:tblCellMar>
        </w:tblPrEx>
        <w:trPr>
          <w:trHeight w:val="880" w:hRule="atLeast"/>
          <w:jc w:val="center"/>
        </w:trPr>
        <w:tc>
          <w:tcPr>
            <w:tcW w:w="1291" w:type="dxa"/>
            <w:tcBorders>
              <w:top w:val="single" w:color="auto" w:sz="4" w:space="0"/>
              <w:left w:val="single" w:color="auto" w:sz="4" w:space="0"/>
              <w:bottom w:val="single" w:color="auto" w:sz="4" w:space="0"/>
              <w:right w:val="single" w:color="auto" w:sz="4" w:space="0"/>
            </w:tcBorders>
            <w:vAlign w:val="center"/>
          </w:tcPr>
          <w:p w14:paraId="15563FCA">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宋体" w:hAnsi="宋体"/>
                <w:szCs w:val="21"/>
              </w:rPr>
            </w:pPr>
            <w:r>
              <w:rPr>
                <w:rFonts w:ascii="宋体" w:hAnsi="宋体"/>
                <w:szCs w:val="21"/>
              </w:rPr>
              <w:t>7.1.1</w:t>
            </w:r>
          </w:p>
        </w:tc>
        <w:tc>
          <w:tcPr>
            <w:tcW w:w="3132" w:type="dxa"/>
            <w:tcBorders>
              <w:top w:val="single" w:color="auto" w:sz="4" w:space="0"/>
              <w:left w:val="single" w:color="auto" w:sz="4" w:space="0"/>
              <w:bottom w:val="single" w:color="auto" w:sz="4" w:space="0"/>
              <w:right w:val="single" w:color="auto" w:sz="4" w:space="0"/>
            </w:tcBorders>
            <w:vAlign w:val="center"/>
          </w:tcPr>
          <w:p w14:paraId="69D31EC9">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hint="eastAsia" w:ascii="宋体" w:hAnsi="宋体"/>
                <w:szCs w:val="21"/>
              </w:rPr>
              <w:t>开标时间和地点</w:t>
            </w:r>
          </w:p>
        </w:tc>
        <w:tc>
          <w:tcPr>
            <w:tcW w:w="5868" w:type="dxa"/>
            <w:tcBorders>
              <w:top w:val="single" w:color="auto" w:sz="4" w:space="0"/>
              <w:left w:val="single" w:color="auto" w:sz="4" w:space="0"/>
              <w:bottom w:val="single" w:color="auto" w:sz="4" w:space="0"/>
              <w:right w:val="single" w:color="auto" w:sz="4" w:space="0"/>
            </w:tcBorders>
            <w:vAlign w:val="center"/>
          </w:tcPr>
          <w:p w14:paraId="6083F5C0">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ascii="宋体" w:hAnsi="宋体"/>
                <w:szCs w:val="21"/>
              </w:rPr>
              <w:t>开标时间</w:t>
            </w:r>
            <w:r>
              <w:rPr>
                <w:rFonts w:hint="eastAsia" w:ascii="宋体" w:hAnsi="宋体"/>
                <w:szCs w:val="21"/>
              </w:rPr>
              <w:t>：</w:t>
            </w:r>
            <w:r>
              <w:rPr>
                <w:rFonts w:ascii="宋体" w:hAnsi="宋体"/>
                <w:szCs w:val="21"/>
              </w:rPr>
              <w:t>同投标截止时间</w:t>
            </w:r>
          </w:p>
          <w:p w14:paraId="6A9F9A47">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ascii="宋体" w:hAnsi="宋体"/>
                <w:szCs w:val="21"/>
              </w:rPr>
              <w:t>开标地点</w:t>
            </w:r>
            <w:r>
              <w:rPr>
                <w:rFonts w:hint="eastAsia" w:ascii="宋体" w:hAnsi="宋体"/>
                <w:szCs w:val="21"/>
              </w:rPr>
              <w:t>：镇江海纳川物流产业发展有限责任公司210会议室</w:t>
            </w:r>
          </w:p>
        </w:tc>
      </w:tr>
      <w:tr w14:paraId="3E161B77">
        <w:tblPrEx>
          <w:tblCellMar>
            <w:top w:w="0" w:type="dxa"/>
            <w:left w:w="108" w:type="dxa"/>
            <w:bottom w:w="0" w:type="dxa"/>
            <w:right w:w="108" w:type="dxa"/>
          </w:tblCellMar>
        </w:tblPrEx>
        <w:trPr>
          <w:trHeight w:val="111" w:hRule="atLeast"/>
          <w:jc w:val="center"/>
        </w:trPr>
        <w:tc>
          <w:tcPr>
            <w:tcW w:w="10291" w:type="dxa"/>
            <w:gridSpan w:val="3"/>
            <w:tcBorders>
              <w:top w:val="single" w:color="auto" w:sz="4" w:space="0"/>
              <w:left w:val="single" w:color="auto" w:sz="4" w:space="0"/>
              <w:right w:val="single" w:color="auto" w:sz="4" w:space="0"/>
            </w:tcBorders>
            <w:vAlign w:val="center"/>
          </w:tcPr>
          <w:p w14:paraId="42C48EC9">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ascii="宋体" w:hAnsi="宋体"/>
                <w:szCs w:val="21"/>
              </w:rPr>
              <w:t>8</w:t>
            </w:r>
            <w:r>
              <w:rPr>
                <w:rFonts w:hint="eastAsia" w:ascii="宋体" w:hAnsi="宋体"/>
                <w:szCs w:val="21"/>
              </w:rPr>
              <w:t>.</w:t>
            </w:r>
            <w:r>
              <w:rPr>
                <w:rFonts w:ascii="宋体" w:hAnsi="宋体"/>
                <w:szCs w:val="21"/>
              </w:rPr>
              <w:t>1</w:t>
            </w:r>
            <w:r>
              <w:rPr>
                <w:rFonts w:hint="eastAsia" w:ascii="宋体" w:hAnsi="宋体"/>
                <w:szCs w:val="21"/>
              </w:rPr>
              <w:t>确定中标</w:t>
            </w:r>
          </w:p>
        </w:tc>
      </w:tr>
      <w:tr w14:paraId="41EB1375">
        <w:tblPrEx>
          <w:tblCellMar>
            <w:top w:w="0" w:type="dxa"/>
            <w:left w:w="108" w:type="dxa"/>
            <w:bottom w:w="0" w:type="dxa"/>
            <w:right w:w="108" w:type="dxa"/>
          </w:tblCellMar>
        </w:tblPrEx>
        <w:trPr>
          <w:trHeight w:val="1812" w:hRule="atLeast"/>
          <w:jc w:val="center"/>
        </w:trPr>
        <w:tc>
          <w:tcPr>
            <w:tcW w:w="1291" w:type="dxa"/>
            <w:tcBorders>
              <w:top w:val="single" w:color="auto" w:sz="4" w:space="0"/>
              <w:left w:val="single" w:color="auto" w:sz="4" w:space="0"/>
              <w:right w:val="single" w:color="auto" w:sz="4" w:space="0"/>
            </w:tcBorders>
            <w:vAlign w:val="center"/>
          </w:tcPr>
          <w:p w14:paraId="4A376C4C">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宋体" w:hAnsi="宋体"/>
                <w:szCs w:val="21"/>
              </w:rPr>
            </w:pPr>
            <w:r>
              <w:rPr>
                <w:rFonts w:ascii="宋体" w:hAnsi="宋体"/>
                <w:szCs w:val="21"/>
              </w:rPr>
              <w:t>8</w:t>
            </w:r>
            <w:r>
              <w:rPr>
                <w:rFonts w:hint="eastAsia" w:ascii="宋体" w:hAnsi="宋体"/>
                <w:szCs w:val="21"/>
              </w:rPr>
              <w:t>.1</w:t>
            </w:r>
            <w:r>
              <w:rPr>
                <w:rFonts w:ascii="宋体" w:hAnsi="宋体"/>
                <w:szCs w:val="21"/>
              </w:rPr>
              <w:t>.1</w:t>
            </w:r>
          </w:p>
        </w:tc>
        <w:tc>
          <w:tcPr>
            <w:tcW w:w="3132" w:type="dxa"/>
            <w:tcBorders>
              <w:top w:val="single" w:color="auto" w:sz="4" w:space="0"/>
              <w:left w:val="single" w:color="auto" w:sz="4" w:space="0"/>
              <w:right w:val="single" w:color="auto" w:sz="4" w:space="0"/>
            </w:tcBorders>
            <w:vAlign w:val="center"/>
          </w:tcPr>
          <w:p w14:paraId="36E61DAB">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hint="eastAsia" w:ascii="宋体" w:hAnsi="宋体" w:cs="Arial"/>
                <w:szCs w:val="21"/>
              </w:rPr>
              <w:t>中标候选人</w:t>
            </w:r>
            <w:r>
              <w:rPr>
                <w:rFonts w:ascii="宋体" w:hAnsi="宋体" w:cs="Arial"/>
                <w:szCs w:val="21"/>
              </w:rPr>
              <w:t>的确定标准</w:t>
            </w:r>
          </w:p>
        </w:tc>
        <w:tc>
          <w:tcPr>
            <w:tcW w:w="5868" w:type="dxa"/>
            <w:tcBorders>
              <w:top w:val="single" w:color="auto" w:sz="4" w:space="0"/>
              <w:left w:val="single" w:color="auto" w:sz="4" w:space="0"/>
              <w:right w:val="single" w:color="auto" w:sz="4" w:space="0"/>
            </w:tcBorders>
            <w:vAlign w:val="center"/>
          </w:tcPr>
          <w:p w14:paraId="47946003">
            <w:pPr>
              <w:pStyle w:val="242"/>
              <w:keepNext w:val="0"/>
              <w:keepLines w:val="0"/>
              <w:pageBreakBefore w:val="0"/>
              <w:widowControl w:val="0"/>
              <w:kinsoku/>
              <w:wordWrap/>
              <w:overflowPunct/>
              <w:topLinePunct w:val="0"/>
              <w:autoSpaceDE/>
              <w:autoSpaceDN/>
              <w:bidi w:val="0"/>
              <w:adjustRightInd/>
              <w:snapToGrid/>
              <w:spacing w:line="400" w:lineRule="exact"/>
              <w:rPr>
                <w:szCs w:val="21"/>
              </w:rPr>
            </w:pPr>
            <w:r>
              <w:rPr>
                <w:rFonts w:hint="eastAsia"/>
                <w:szCs w:val="21"/>
              </w:rPr>
              <w:t>推荐中标候选人的人数：</w:t>
            </w:r>
          </w:p>
          <w:p w14:paraId="3ED08456">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highlight w:val="yellow"/>
              </w:rPr>
            </w:pPr>
            <w:r>
              <w:rPr>
                <w:rFonts w:hint="eastAsia" w:ascii="宋体" w:hAnsi="宋体"/>
                <w:szCs w:val="21"/>
                <w:lang w:eastAsia="zh-CN"/>
              </w:rPr>
              <w:t>□</w:t>
            </w:r>
            <w:r>
              <w:rPr>
                <w:rFonts w:hint="eastAsia" w:ascii="宋体" w:hAnsi="宋体"/>
                <w:szCs w:val="21"/>
              </w:rPr>
              <w:t>本项目推选</w:t>
            </w:r>
            <w:r>
              <w:rPr>
                <w:rFonts w:hint="eastAsia" w:ascii="宋体" w:hAnsi="宋体"/>
                <w:szCs w:val="21"/>
                <w:lang w:val="en-US" w:eastAsia="zh-CN"/>
              </w:rPr>
              <w:t>1</w:t>
            </w:r>
            <w:r>
              <w:rPr>
                <w:rFonts w:hint="eastAsia" w:ascii="宋体" w:hAnsi="宋体"/>
                <w:szCs w:val="21"/>
              </w:rPr>
              <w:t>名中标候选人</w:t>
            </w:r>
          </w:p>
          <w:p w14:paraId="41C37BE0">
            <w:pPr>
              <w:pStyle w:val="242"/>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lang w:eastAsia="zh-CN"/>
              </w:rPr>
              <w:t>☑</w:t>
            </w:r>
            <w:r>
              <w:rPr>
                <w:rFonts w:hint="eastAsia" w:ascii="宋体" w:hAnsi="宋体"/>
                <w:szCs w:val="21"/>
              </w:rPr>
              <w:t>本项目推选中标候选人的</w:t>
            </w:r>
            <w:r>
              <w:rPr>
                <w:rFonts w:ascii="宋体" w:hAnsi="宋体"/>
                <w:szCs w:val="21"/>
              </w:rPr>
              <w:t>人数</w:t>
            </w:r>
            <w:r>
              <w:rPr>
                <w:rFonts w:hint="eastAsia" w:ascii="宋体" w:hAnsi="宋体"/>
                <w:szCs w:val="21"/>
              </w:rPr>
              <w:t>：</w:t>
            </w:r>
          </w:p>
          <w:p w14:paraId="728372B7">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当有效投标大于等于3家时推荐</w:t>
            </w:r>
            <w:r>
              <w:rPr>
                <w:rFonts w:ascii="宋体" w:hAnsi="宋体"/>
                <w:szCs w:val="21"/>
              </w:rPr>
              <w:t>中标候选</w:t>
            </w:r>
            <w:r>
              <w:rPr>
                <w:rFonts w:hint="eastAsia" w:ascii="宋体" w:hAnsi="宋体"/>
                <w:szCs w:val="21"/>
              </w:rPr>
              <w:t>人</w:t>
            </w:r>
            <w:r>
              <w:rPr>
                <w:rFonts w:ascii="宋体" w:hAnsi="宋体"/>
                <w:szCs w:val="21"/>
              </w:rPr>
              <w:t>的数量：</w:t>
            </w:r>
            <w:r>
              <w:rPr>
                <w:rFonts w:hint="eastAsia" w:ascii="宋体" w:hAnsi="宋体"/>
                <w:szCs w:val="21"/>
                <w:u w:val="single"/>
              </w:rPr>
              <w:t>　3</w:t>
            </w:r>
          </w:p>
          <w:p w14:paraId="43CA9CAA">
            <w:pPr>
              <w:pStyle w:val="242"/>
              <w:keepNext w:val="0"/>
              <w:keepLines w:val="0"/>
              <w:pageBreakBefore w:val="0"/>
              <w:widowControl w:val="0"/>
              <w:kinsoku/>
              <w:wordWrap/>
              <w:overflowPunct/>
              <w:topLinePunct w:val="0"/>
              <w:autoSpaceDE/>
              <w:autoSpaceDN/>
              <w:bidi w:val="0"/>
              <w:adjustRightInd/>
              <w:snapToGrid/>
              <w:spacing w:line="400" w:lineRule="exact"/>
              <w:rPr>
                <w:szCs w:val="21"/>
              </w:rPr>
            </w:pPr>
            <w:r>
              <w:rPr>
                <w:rFonts w:hint="eastAsia"/>
                <w:szCs w:val="21"/>
              </w:rPr>
              <w:t>是否允许中标所有标段（包）：</w:t>
            </w:r>
          </w:p>
          <w:p w14:paraId="1065F197">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□是</w:t>
            </w:r>
          </w:p>
          <w:p w14:paraId="46AA6E41">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□否，最多中标标段（包）数：</w:t>
            </w:r>
          </w:p>
          <w:p w14:paraId="7E8F215C">
            <w:pPr>
              <w:pStyle w:val="242"/>
              <w:keepNext w:val="0"/>
              <w:keepLines w:val="0"/>
              <w:pageBreakBefore w:val="0"/>
              <w:widowControl w:val="0"/>
              <w:kinsoku/>
              <w:wordWrap/>
              <w:overflowPunct/>
              <w:topLinePunct w:val="0"/>
              <w:autoSpaceDE/>
              <w:autoSpaceDN/>
              <w:bidi w:val="0"/>
              <w:adjustRightInd/>
              <w:snapToGrid/>
              <w:spacing w:line="400" w:lineRule="exact"/>
              <w:rPr>
                <w:rFonts w:ascii="宋体" w:hAnsi="宋体"/>
              </w:rPr>
            </w:pPr>
            <w:r>
              <w:rPr>
                <w:rFonts w:hint="eastAsia" w:ascii="宋体" w:hAnsi="宋体"/>
                <w:szCs w:val="21"/>
              </w:rPr>
              <w:t>■不适用，本项目不划分标段</w:t>
            </w:r>
          </w:p>
        </w:tc>
      </w:tr>
      <w:tr w14:paraId="0E892904">
        <w:tblPrEx>
          <w:tblCellMar>
            <w:top w:w="0" w:type="dxa"/>
            <w:left w:w="108" w:type="dxa"/>
            <w:bottom w:w="0" w:type="dxa"/>
            <w:right w:w="108" w:type="dxa"/>
          </w:tblCellMar>
        </w:tblPrEx>
        <w:trPr>
          <w:trHeight w:val="483" w:hRule="atLeast"/>
          <w:jc w:val="center"/>
        </w:trPr>
        <w:tc>
          <w:tcPr>
            <w:tcW w:w="1291" w:type="dxa"/>
            <w:tcBorders>
              <w:top w:val="single" w:color="auto" w:sz="4" w:space="0"/>
              <w:left w:val="single" w:color="auto" w:sz="4" w:space="0"/>
              <w:right w:val="single" w:color="auto" w:sz="4" w:space="0"/>
            </w:tcBorders>
            <w:vAlign w:val="center"/>
          </w:tcPr>
          <w:p w14:paraId="05EDF723">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宋体" w:hAnsi="宋体"/>
                <w:szCs w:val="21"/>
              </w:rPr>
            </w:pPr>
            <w:r>
              <w:rPr>
                <w:rFonts w:ascii="宋体" w:hAnsi="宋体"/>
                <w:szCs w:val="21"/>
              </w:rPr>
              <w:t>8</w:t>
            </w:r>
            <w:r>
              <w:rPr>
                <w:rFonts w:hint="eastAsia" w:ascii="宋体" w:hAnsi="宋体"/>
                <w:szCs w:val="21"/>
              </w:rPr>
              <w:t>.</w:t>
            </w:r>
            <w:r>
              <w:rPr>
                <w:rFonts w:ascii="宋体" w:hAnsi="宋体"/>
                <w:szCs w:val="21"/>
              </w:rPr>
              <w:t>1.2</w:t>
            </w:r>
          </w:p>
        </w:tc>
        <w:tc>
          <w:tcPr>
            <w:tcW w:w="3132" w:type="dxa"/>
            <w:tcBorders>
              <w:top w:val="single" w:color="auto" w:sz="4" w:space="0"/>
              <w:left w:val="single" w:color="auto" w:sz="4" w:space="0"/>
              <w:right w:val="single" w:color="auto" w:sz="4" w:space="0"/>
            </w:tcBorders>
            <w:vAlign w:val="center"/>
          </w:tcPr>
          <w:p w14:paraId="4995E9C2">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cs="Arial"/>
                <w:szCs w:val="21"/>
              </w:rPr>
            </w:pPr>
            <w:r>
              <w:rPr>
                <w:rFonts w:hint="eastAsia" w:ascii="宋体" w:hAnsi="宋体" w:cs="Arial"/>
                <w:szCs w:val="21"/>
              </w:rPr>
              <w:t>定标</w:t>
            </w:r>
            <w:r>
              <w:rPr>
                <w:rFonts w:ascii="宋体" w:hAnsi="宋体" w:cs="Arial"/>
                <w:szCs w:val="21"/>
              </w:rPr>
              <w:t>方式</w:t>
            </w:r>
          </w:p>
        </w:tc>
        <w:tc>
          <w:tcPr>
            <w:tcW w:w="5868" w:type="dxa"/>
            <w:tcBorders>
              <w:top w:val="single" w:color="auto" w:sz="4" w:space="0"/>
              <w:left w:val="single" w:color="auto" w:sz="4" w:space="0"/>
              <w:right w:val="single" w:color="auto" w:sz="4" w:space="0"/>
            </w:tcBorders>
            <w:vAlign w:val="center"/>
          </w:tcPr>
          <w:p w14:paraId="5FB31C20">
            <w:pPr>
              <w:pStyle w:val="242"/>
              <w:keepNext w:val="0"/>
              <w:keepLines w:val="0"/>
              <w:pageBreakBefore w:val="0"/>
              <w:widowControl w:val="0"/>
              <w:kinsoku/>
              <w:wordWrap/>
              <w:overflowPunct/>
              <w:topLinePunct w:val="0"/>
              <w:autoSpaceDE/>
              <w:autoSpaceDN/>
              <w:bidi w:val="0"/>
              <w:adjustRightInd/>
              <w:snapToGrid/>
              <w:spacing w:line="400" w:lineRule="exact"/>
              <w:rPr>
                <w:szCs w:val="21"/>
              </w:rPr>
            </w:pPr>
            <w:r>
              <w:rPr>
                <w:rFonts w:hint="eastAsia"/>
                <w:szCs w:val="21"/>
              </w:rPr>
              <w:t>是否授权评标委员会直接确定中标人：</w:t>
            </w:r>
          </w:p>
          <w:p w14:paraId="709452D4">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w:t>
            </w:r>
            <w:r>
              <w:rPr>
                <w:rFonts w:hint="eastAsia"/>
              </w:rPr>
              <w:t>是；</w:t>
            </w:r>
            <w:r>
              <w:rPr>
                <w:rFonts w:hint="eastAsia" w:ascii="宋体" w:hAnsi="宋体"/>
                <w:szCs w:val="21"/>
              </w:rPr>
              <w:t>□</w:t>
            </w:r>
            <w:r>
              <w:rPr>
                <w:rFonts w:hint="eastAsia"/>
              </w:rPr>
              <w:t>否。</w:t>
            </w:r>
          </w:p>
        </w:tc>
      </w:tr>
      <w:tr w14:paraId="5B37091E">
        <w:tblPrEx>
          <w:tblCellMar>
            <w:top w:w="0" w:type="dxa"/>
            <w:left w:w="108" w:type="dxa"/>
            <w:bottom w:w="0" w:type="dxa"/>
            <w:right w:w="108" w:type="dxa"/>
          </w:tblCellMar>
        </w:tblPrEx>
        <w:trPr>
          <w:trHeight w:val="60" w:hRule="atLeast"/>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086C76AE">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ascii="宋体" w:hAnsi="宋体"/>
                <w:szCs w:val="21"/>
              </w:rPr>
              <w:t>9</w:t>
            </w:r>
            <w:r>
              <w:rPr>
                <w:rFonts w:hint="eastAsia" w:ascii="宋体" w:hAnsi="宋体"/>
                <w:szCs w:val="21"/>
              </w:rPr>
              <w:t>.</w:t>
            </w:r>
            <w:r>
              <w:rPr>
                <w:rFonts w:ascii="宋体" w:hAnsi="宋体"/>
                <w:szCs w:val="21"/>
              </w:rPr>
              <w:t>1</w:t>
            </w:r>
            <w:r>
              <w:rPr>
                <w:rFonts w:hint="eastAsia" w:ascii="宋体" w:hAnsi="宋体"/>
                <w:szCs w:val="21"/>
              </w:rPr>
              <w:t>付款方式</w:t>
            </w:r>
          </w:p>
        </w:tc>
      </w:tr>
      <w:tr w14:paraId="62346976">
        <w:tblPrEx>
          <w:tblCellMar>
            <w:top w:w="0" w:type="dxa"/>
            <w:left w:w="108" w:type="dxa"/>
            <w:bottom w:w="0" w:type="dxa"/>
            <w:right w:w="108" w:type="dxa"/>
          </w:tblCellMar>
        </w:tblPrEx>
        <w:trPr>
          <w:trHeight w:val="416" w:hRule="atLeast"/>
          <w:jc w:val="center"/>
        </w:trPr>
        <w:tc>
          <w:tcPr>
            <w:tcW w:w="1291" w:type="dxa"/>
            <w:tcBorders>
              <w:top w:val="single" w:color="auto" w:sz="4" w:space="0"/>
              <w:left w:val="single" w:color="auto" w:sz="4" w:space="0"/>
              <w:bottom w:val="single" w:color="auto" w:sz="4" w:space="0"/>
              <w:right w:val="single" w:color="auto" w:sz="4" w:space="0"/>
            </w:tcBorders>
            <w:vAlign w:val="center"/>
          </w:tcPr>
          <w:p w14:paraId="1A79895A">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宋体" w:hAnsi="宋体"/>
                <w:szCs w:val="21"/>
              </w:rPr>
            </w:pPr>
            <w:r>
              <w:rPr>
                <w:rFonts w:ascii="宋体" w:hAnsi="宋体"/>
                <w:szCs w:val="21"/>
              </w:rPr>
              <w:t>9.1.1</w:t>
            </w:r>
          </w:p>
        </w:tc>
        <w:tc>
          <w:tcPr>
            <w:tcW w:w="3132" w:type="dxa"/>
            <w:tcBorders>
              <w:top w:val="single" w:color="auto" w:sz="4" w:space="0"/>
              <w:left w:val="single" w:color="auto" w:sz="4" w:space="0"/>
              <w:bottom w:val="single" w:color="auto" w:sz="4" w:space="0"/>
              <w:right w:val="single" w:color="auto" w:sz="4" w:space="0"/>
            </w:tcBorders>
            <w:vAlign w:val="center"/>
          </w:tcPr>
          <w:p w14:paraId="61CC2BF3">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highlight w:val="yellow"/>
              </w:rPr>
            </w:pPr>
            <w:r>
              <w:rPr>
                <w:rFonts w:hint="eastAsia" w:ascii="宋体" w:hAnsi="宋体" w:cs="Arial"/>
                <w:szCs w:val="21"/>
              </w:rPr>
              <w:t>付款方式</w:t>
            </w:r>
          </w:p>
        </w:tc>
        <w:tc>
          <w:tcPr>
            <w:tcW w:w="5868" w:type="dxa"/>
            <w:tcBorders>
              <w:top w:val="single" w:color="auto" w:sz="4" w:space="0"/>
              <w:left w:val="single" w:color="auto" w:sz="4" w:space="0"/>
              <w:bottom w:val="single" w:color="auto" w:sz="4" w:space="0"/>
              <w:right w:val="single" w:color="auto" w:sz="4" w:space="0"/>
            </w:tcBorders>
            <w:vAlign w:val="center"/>
          </w:tcPr>
          <w:p w14:paraId="17430061">
            <w:pPr>
              <w:keepNext w:val="0"/>
              <w:keepLines w:val="0"/>
              <w:pageBreakBefore w:val="0"/>
              <w:widowControl w:val="0"/>
              <w:kinsoku/>
              <w:wordWrap/>
              <w:overflowPunct/>
              <w:topLinePunct w:val="0"/>
              <w:autoSpaceDE/>
              <w:autoSpaceDN/>
              <w:bidi w:val="0"/>
              <w:adjustRightInd/>
              <w:snapToGrid/>
              <w:spacing w:line="400" w:lineRule="exact"/>
            </w:pPr>
            <w:r>
              <w:rPr>
                <w:rFonts w:hint="eastAsia"/>
              </w:rPr>
              <w:t>付款方式：</w:t>
            </w:r>
          </w:p>
          <w:p w14:paraId="3D3935B4">
            <w:pPr>
              <w:keepNext w:val="0"/>
              <w:keepLines w:val="0"/>
              <w:pageBreakBefore w:val="0"/>
              <w:widowControl w:val="0"/>
              <w:kinsoku/>
              <w:wordWrap/>
              <w:overflowPunct/>
              <w:topLinePunct w:val="0"/>
              <w:autoSpaceDE/>
              <w:autoSpaceDN/>
              <w:bidi w:val="0"/>
              <w:adjustRightInd/>
              <w:snapToGrid/>
              <w:spacing w:line="400" w:lineRule="exact"/>
            </w:pPr>
            <w:r>
              <w:rPr>
                <w:rFonts w:hint="eastAsia"/>
              </w:rPr>
              <w:t>（1）项目竣工验收后支付进度款至合同价的70%；</w:t>
            </w:r>
          </w:p>
          <w:p w14:paraId="789056A7">
            <w:pPr>
              <w:keepNext w:val="0"/>
              <w:keepLines w:val="0"/>
              <w:pageBreakBefore w:val="0"/>
              <w:widowControl w:val="0"/>
              <w:kinsoku/>
              <w:wordWrap/>
              <w:overflowPunct/>
              <w:topLinePunct w:val="0"/>
              <w:autoSpaceDE/>
              <w:autoSpaceDN/>
              <w:bidi w:val="0"/>
              <w:adjustRightInd/>
              <w:snapToGrid/>
              <w:spacing w:line="400" w:lineRule="exact"/>
            </w:pPr>
            <w:r>
              <w:rPr>
                <w:rFonts w:hint="eastAsia"/>
              </w:rPr>
              <w:t>（2）工程审计完成后付至审计价的95%；</w:t>
            </w:r>
          </w:p>
          <w:p w14:paraId="4AF6AEBA">
            <w:pPr>
              <w:keepNext w:val="0"/>
              <w:keepLines w:val="0"/>
              <w:pageBreakBefore w:val="0"/>
              <w:widowControl w:val="0"/>
              <w:kinsoku/>
              <w:wordWrap/>
              <w:overflowPunct/>
              <w:topLinePunct w:val="0"/>
              <w:autoSpaceDE/>
              <w:autoSpaceDN/>
              <w:bidi w:val="0"/>
              <w:adjustRightInd/>
              <w:snapToGrid/>
              <w:spacing w:line="400" w:lineRule="exact"/>
            </w:pPr>
            <w:r>
              <w:rPr>
                <w:rFonts w:hint="eastAsia"/>
              </w:rPr>
              <w:t>（3）剩余5%作质保金，质保期为1年后进行支付。</w:t>
            </w:r>
          </w:p>
          <w:p w14:paraId="5016A3D2">
            <w:pPr>
              <w:pStyle w:val="18"/>
              <w:keepNext w:val="0"/>
              <w:keepLines w:val="0"/>
              <w:pageBreakBefore w:val="0"/>
              <w:widowControl w:val="0"/>
              <w:kinsoku/>
              <w:wordWrap/>
              <w:overflowPunct/>
              <w:topLinePunct w:val="0"/>
              <w:autoSpaceDE/>
              <w:autoSpaceDN/>
              <w:bidi w:val="0"/>
              <w:adjustRightInd/>
              <w:snapToGrid/>
              <w:spacing w:line="400" w:lineRule="exact"/>
              <w:rPr>
                <w:rFonts w:ascii="Times New Roman" w:hAnsi="Times New Roman" w:eastAsia="宋体"/>
                <w:b w:val="0"/>
                <w:spacing w:val="0"/>
                <w:sz w:val="21"/>
                <w:szCs w:val="24"/>
              </w:rPr>
            </w:pPr>
            <w:r>
              <w:rPr>
                <w:rFonts w:hint="eastAsia" w:ascii="Times New Roman" w:hAnsi="Times New Roman" w:eastAsia="宋体"/>
                <w:b w:val="0"/>
                <w:spacing w:val="0"/>
                <w:sz w:val="21"/>
                <w:szCs w:val="24"/>
              </w:rPr>
              <w:t>注：以上付款均在相应节点自</w:t>
            </w:r>
            <w:r>
              <w:rPr>
                <w:rFonts w:hint="eastAsia" w:ascii="Times New Roman" w:hAnsi="Times New Roman" w:eastAsia="宋体"/>
                <w:b w:val="0"/>
                <w:spacing w:val="0"/>
                <w:sz w:val="21"/>
                <w:szCs w:val="24"/>
                <w:lang w:eastAsia="zh-CN"/>
              </w:rPr>
              <w:t>招标人</w:t>
            </w:r>
            <w:r>
              <w:rPr>
                <w:rFonts w:hint="eastAsia" w:ascii="Times New Roman" w:hAnsi="Times New Roman" w:eastAsia="宋体"/>
                <w:b w:val="0"/>
                <w:spacing w:val="0"/>
                <w:sz w:val="21"/>
                <w:szCs w:val="24"/>
              </w:rPr>
              <w:t>收到中标人增值税专用发票后30日内付款。所有付款以银行承兑</w:t>
            </w:r>
            <w:r>
              <w:rPr>
                <w:rFonts w:hint="eastAsia" w:ascii="Times New Roman" w:hAnsi="Times New Roman" w:eastAsia="宋体"/>
                <w:b w:val="0"/>
                <w:spacing w:val="0"/>
                <w:sz w:val="21"/>
                <w:szCs w:val="24"/>
                <w:lang w:val="en-US" w:eastAsia="zh-CN"/>
              </w:rPr>
              <w:t>汇票</w:t>
            </w:r>
            <w:r>
              <w:rPr>
                <w:rFonts w:hint="eastAsia" w:ascii="Times New Roman" w:hAnsi="Times New Roman" w:eastAsia="宋体"/>
                <w:b w:val="0"/>
                <w:spacing w:val="0"/>
                <w:sz w:val="21"/>
                <w:szCs w:val="24"/>
              </w:rPr>
              <w:t>方式支付。</w:t>
            </w:r>
          </w:p>
          <w:p w14:paraId="1F5B57DB">
            <w:pPr>
              <w:pStyle w:val="51"/>
              <w:keepNext w:val="0"/>
              <w:keepLines w:val="0"/>
              <w:pageBreakBefore w:val="0"/>
              <w:widowControl w:val="0"/>
              <w:kinsoku/>
              <w:wordWrap/>
              <w:overflowPunct/>
              <w:topLinePunct w:val="0"/>
              <w:autoSpaceDE/>
              <w:autoSpaceDN/>
              <w:bidi w:val="0"/>
              <w:adjustRightInd/>
              <w:snapToGrid/>
              <w:spacing w:line="400" w:lineRule="exact"/>
              <w:ind w:left="0" w:firstLine="0"/>
            </w:pPr>
            <w:r>
              <w:rPr>
                <w:rFonts w:hint="eastAsia" w:ascii="Times New Roman" w:eastAsia="宋体"/>
                <w:color w:val="FF0000"/>
                <w:kern w:val="2"/>
                <w:sz w:val="21"/>
                <w:szCs w:val="24"/>
              </w:rPr>
              <w:t>（如投标人不接受招标人提出的付款方式，可在报价书中明确能够接受的付款方式及付款时间，评标时作为参考。报价为含税价，请注明税率。）</w:t>
            </w:r>
          </w:p>
        </w:tc>
      </w:tr>
      <w:tr w14:paraId="0D5A797C">
        <w:tblPrEx>
          <w:tblCellMar>
            <w:top w:w="0" w:type="dxa"/>
            <w:left w:w="108" w:type="dxa"/>
            <w:bottom w:w="0" w:type="dxa"/>
            <w:right w:w="108" w:type="dxa"/>
          </w:tblCellMar>
        </w:tblPrEx>
        <w:trPr>
          <w:trHeight w:val="90" w:hRule="atLeast"/>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7014D3EF">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ascii="宋体" w:hAnsi="宋体"/>
                <w:szCs w:val="21"/>
              </w:rPr>
              <w:t>10.</w:t>
            </w:r>
            <w:r>
              <w:rPr>
                <w:rFonts w:hint="eastAsia" w:ascii="宋体" w:hAnsi="宋体"/>
                <w:szCs w:val="21"/>
              </w:rPr>
              <w:t>其他</w:t>
            </w:r>
          </w:p>
        </w:tc>
      </w:tr>
      <w:tr w14:paraId="367648E0">
        <w:tblPrEx>
          <w:tblCellMar>
            <w:top w:w="0" w:type="dxa"/>
            <w:left w:w="108" w:type="dxa"/>
            <w:bottom w:w="0" w:type="dxa"/>
            <w:right w:w="108" w:type="dxa"/>
          </w:tblCellMar>
        </w:tblPrEx>
        <w:trPr>
          <w:jc w:val="center"/>
        </w:trPr>
        <w:tc>
          <w:tcPr>
            <w:tcW w:w="1291" w:type="dxa"/>
            <w:tcBorders>
              <w:top w:val="single" w:color="auto" w:sz="4" w:space="0"/>
              <w:left w:val="single" w:color="auto" w:sz="4" w:space="0"/>
              <w:bottom w:val="single" w:color="auto" w:sz="4" w:space="0"/>
              <w:right w:val="single" w:color="auto" w:sz="4" w:space="0"/>
            </w:tcBorders>
            <w:vAlign w:val="center"/>
          </w:tcPr>
          <w:p w14:paraId="2CC5DFAF">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宋体" w:hAnsi="宋体"/>
                <w:szCs w:val="21"/>
              </w:rPr>
            </w:pPr>
            <w:r>
              <w:rPr>
                <w:rFonts w:ascii="宋体" w:hAnsi="宋体"/>
                <w:szCs w:val="21"/>
              </w:rPr>
              <w:t>10</w:t>
            </w:r>
            <w:r>
              <w:rPr>
                <w:rFonts w:hint="eastAsia" w:ascii="宋体" w:hAnsi="宋体"/>
                <w:szCs w:val="21"/>
              </w:rPr>
              <w:t>.1</w:t>
            </w:r>
          </w:p>
        </w:tc>
        <w:tc>
          <w:tcPr>
            <w:tcW w:w="3132" w:type="dxa"/>
            <w:tcBorders>
              <w:top w:val="single" w:color="auto" w:sz="4" w:space="0"/>
              <w:left w:val="single" w:color="auto" w:sz="4" w:space="0"/>
              <w:bottom w:val="single" w:color="auto" w:sz="4" w:space="0"/>
              <w:right w:val="single" w:color="auto" w:sz="4" w:space="0"/>
            </w:tcBorders>
            <w:vAlign w:val="center"/>
          </w:tcPr>
          <w:p w14:paraId="13AF6002">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hint="eastAsia" w:ascii="宋体" w:hAnsi="宋体" w:cs="Arial"/>
                <w:szCs w:val="21"/>
              </w:rPr>
              <w:t>*</w:t>
            </w:r>
            <w:r>
              <w:rPr>
                <w:rFonts w:hint="eastAsia" w:ascii="宋体" w:hAnsi="宋体"/>
                <w:szCs w:val="21"/>
              </w:rPr>
              <w:t>中标</w:t>
            </w:r>
            <w:r>
              <w:rPr>
                <w:rFonts w:ascii="宋体" w:hAnsi="宋体"/>
                <w:szCs w:val="21"/>
              </w:rPr>
              <w:t>服务费</w:t>
            </w:r>
          </w:p>
        </w:tc>
        <w:tc>
          <w:tcPr>
            <w:tcW w:w="5868" w:type="dxa"/>
            <w:tcBorders>
              <w:top w:val="single" w:color="auto" w:sz="4" w:space="0"/>
              <w:left w:val="single" w:color="auto" w:sz="4" w:space="0"/>
              <w:bottom w:val="single" w:color="auto" w:sz="4" w:space="0"/>
              <w:right w:val="single" w:color="auto" w:sz="4" w:space="0"/>
            </w:tcBorders>
            <w:vAlign w:val="center"/>
          </w:tcPr>
          <w:p w14:paraId="7E13B0ED">
            <w:pPr>
              <w:keepNext w:val="0"/>
              <w:keepLines w:val="0"/>
              <w:pageBreakBefore w:val="0"/>
              <w:widowControl w:val="0"/>
              <w:kinsoku/>
              <w:wordWrap/>
              <w:overflowPunct/>
              <w:topLinePunct w:val="0"/>
              <w:autoSpaceDE/>
              <w:autoSpaceDN/>
              <w:bidi w:val="0"/>
              <w:adjustRightInd/>
              <w:snapToGrid/>
              <w:spacing w:line="400" w:lineRule="exact"/>
              <w:rPr>
                <w:rFonts w:ascii="宋体" w:hAnsi="宋体"/>
                <w:szCs w:val="21"/>
              </w:rPr>
            </w:pPr>
            <w:r>
              <w:rPr>
                <w:rFonts w:hint="eastAsia" w:ascii="宋体" w:hAnsi="宋体"/>
                <w:szCs w:val="21"/>
              </w:rPr>
              <w:t>无</w:t>
            </w:r>
          </w:p>
        </w:tc>
      </w:tr>
      <w:tr w14:paraId="7FE1C9AA">
        <w:tblPrEx>
          <w:tblCellMar>
            <w:top w:w="0" w:type="dxa"/>
            <w:left w:w="108" w:type="dxa"/>
            <w:bottom w:w="0" w:type="dxa"/>
            <w:right w:w="108" w:type="dxa"/>
          </w:tblCellMar>
        </w:tblPrEx>
        <w:trPr>
          <w:trHeight w:val="886" w:hRule="atLeast"/>
          <w:jc w:val="center"/>
        </w:trPr>
        <w:tc>
          <w:tcPr>
            <w:tcW w:w="10291" w:type="dxa"/>
            <w:gridSpan w:val="3"/>
            <w:tcBorders>
              <w:top w:val="single" w:color="auto" w:sz="4" w:space="0"/>
              <w:left w:val="single" w:color="auto" w:sz="4" w:space="0"/>
              <w:bottom w:val="single" w:color="auto" w:sz="4" w:space="0"/>
              <w:right w:val="single" w:color="auto" w:sz="4" w:space="0"/>
            </w:tcBorders>
            <w:vAlign w:val="center"/>
          </w:tcPr>
          <w:p w14:paraId="3C0F1D17">
            <w:pPr>
              <w:keepNext w:val="0"/>
              <w:keepLines w:val="0"/>
              <w:pageBreakBefore w:val="0"/>
              <w:widowControl w:val="0"/>
              <w:kinsoku/>
              <w:wordWrap/>
              <w:overflowPunct/>
              <w:topLinePunct w:val="0"/>
              <w:autoSpaceDE/>
              <w:autoSpaceDN/>
              <w:bidi w:val="0"/>
              <w:adjustRightInd/>
              <w:snapToGrid/>
              <w:spacing w:line="400" w:lineRule="exact"/>
              <w:textAlignment w:val="center"/>
              <w:rPr>
                <w:rFonts w:ascii="宋体" w:hAnsi="宋体"/>
                <w:szCs w:val="21"/>
              </w:rPr>
            </w:pPr>
            <w:r>
              <w:rPr>
                <w:rFonts w:hint="eastAsia" w:ascii="宋体" w:hAnsi="宋体"/>
                <w:szCs w:val="21"/>
              </w:rPr>
              <w:t>备注：</w:t>
            </w:r>
          </w:p>
        </w:tc>
      </w:tr>
    </w:tbl>
    <w:p w14:paraId="1BD5AC06">
      <w:pPr>
        <w:pStyle w:val="19"/>
        <w:snapToGrid w:val="0"/>
        <w:spacing w:line="360" w:lineRule="auto"/>
        <w:ind w:left="212" w:hanging="212" w:hangingChars="101"/>
        <w:rPr>
          <w:rFonts w:ascii="Times New Roman"/>
        </w:rPr>
      </w:pPr>
      <w:r>
        <w:rPr>
          <w:rFonts w:ascii="Times New Roman"/>
        </w:rPr>
        <w:br w:type="page"/>
      </w:r>
    </w:p>
    <w:p w14:paraId="1D7E9C12">
      <w:pPr>
        <w:pStyle w:val="3"/>
        <w:ind w:left="425"/>
        <w:jc w:val="center"/>
        <w:rPr>
          <w:rFonts w:ascii="方正仿宋简体" w:hAnsi="方正仿宋简体" w:eastAsia="方正仿宋简体" w:cs="方正仿宋简体"/>
          <w:b w:val="0"/>
          <w:sz w:val="32"/>
          <w:szCs w:val="32"/>
        </w:rPr>
      </w:pPr>
      <w:bookmarkStart w:id="19" w:name="_Toc23346"/>
      <w:bookmarkStart w:id="20" w:name="_Toc6440"/>
      <w:bookmarkStart w:id="21" w:name="_Toc8247"/>
      <w:bookmarkStart w:id="22" w:name="_Toc8173"/>
      <w:bookmarkStart w:id="23" w:name="_Toc4625"/>
      <w:bookmarkStart w:id="24" w:name="_Toc3999"/>
      <w:bookmarkStart w:id="25" w:name="_Toc9097"/>
      <w:bookmarkStart w:id="26" w:name="_Toc28721"/>
      <w:r>
        <w:rPr>
          <w:rFonts w:hint="eastAsia" w:ascii="方正仿宋简体" w:hAnsi="方正仿宋简体" w:eastAsia="方正仿宋简体" w:cs="方正仿宋简体"/>
          <w:b w:val="0"/>
          <w:sz w:val="32"/>
          <w:szCs w:val="32"/>
        </w:rPr>
        <w:t>第二节  投标人须知</w:t>
      </w:r>
      <w:bookmarkEnd w:id="19"/>
      <w:bookmarkEnd w:id="20"/>
      <w:bookmarkEnd w:id="21"/>
      <w:bookmarkEnd w:id="22"/>
      <w:bookmarkEnd w:id="23"/>
      <w:bookmarkEnd w:id="24"/>
      <w:bookmarkEnd w:id="25"/>
      <w:bookmarkEnd w:id="26"/>
    </w:p>
    <w:p w14:paraId="5C18D758">
      <w:pPr>
        <w:pStyle w:val="4"/>
        <w:spacing w:line="560" w:lineRule="exact"/>
        <w:ind w:firstLine="640" w:firstLineChars="200"/>
        <w:rPr>
          <w:rFonts w:ascii="方正仿宋简体" w:hAnsi="方正仿宋简体" w:eastAsia="方正仿宋简体" w:cs="方正仿宋简体"/>
          <w:b w:val="0"/>
          <w:sz w:val="32"/>
          <w:szCs w:val="32"/>
        </w:rPr>
      </w:pPr>
      <w:r>
        <w:rPr>
          <w:rFonts w:hint="eastAsia" w:ascii="方正仿宋简体" w:hAnsi="方正仿宋简体" w:eastAsia="方正仿宋简体" w:cs="方正仿宋简体"/>
          <w:b w:val="0"/>
          <w:sz w:val="32"/>
          <w:szCs w:val="32"/>
        </w:rPr>
        <w:t>一、总  则</w:t>
      </w:r>
    </w:p>
    <w:p w14:paraId="1E2939DC">
      <w:pPr>
        <w:pStyle w:val="19"/>
        <w:snapToGrid w:val="0"/>
        <w:spacing w:line="560" w:lineRule="exact"/>
        <w:ind w:left="-2" w:leftChars="-1" w:firstLine="640" w:firstLineChars="200"/>
        <w:rPr>
          <w:rFonts w:ascii="方正仿宋简体" w:hAnsi="方正仿宋简体" w:eastAsia="方正仿宋简体" w:cs="方正仿宋简体"/>
          <w:spacing w:val="16"/>
          <w:sz w:val="32"/>
          <w:szCs w:val="32"/>
        </w:rPr>
      </w:pPr>
      <w:r>
        <w:rPr>
          <w:rFonts w:hint="eastAsia" w:ascii="方正仿宋简体" w:hAnsi="方正仿宋简体" w:eastAsia="方正仿宋简体" w:cs="方正仿宋简体"/>
          <w:sz w:val="32"/>
          <w:szCs w:val="32"/>
        </w:rPr>
        <w:t>1.招标人、招标代理机构、</w:t>
      </w:r>
      <w:r>
        <w:rPr>
          <w:rFonts w:hint="eastAsia" w:ascii="方正仿宋简体" w:hAnsi="方正仿宋简体" w:eastAsia="方正仿宋简体" w:cs="方正仿宋简体"/>
          <w:spacing w:val="16"/>
          <w:sz w:val="32"/>
          <w:szCs w:val="32"/>
        </w:rPr>
        <w:t>项目名称见</w:t>
      </w:r>
      <w:r>
        <w:rPr>
          <w:rFonts w:hint="eastAsia" w:ascii="方正仿宋简体" w:hAnsi="方正仿宋简体" w:eastAsia="方正仿宋简体" w:cs="方正仿宋简体"/>
          <w:sz w:val="32"/>
          <w:szCs w:val="32"/>
        </w:rPr>
        <w:t>“投标人须知前附表”。</w:t>
      </w:r>
    </w:p>
    <w:p w14:paraId="4BCAAAF2">
      <w:pPr>
        <w:pStyle w:val="19"/>
        <w:tabs>
          <w:tab w:val="left" w:pos="525"/>
          <w:tab w:val="left" w:pos="735"/>
        </w:tabs>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2.定义</w:t>
      </w:r>
    </w:p>
    <w:p w14:paraId="6F6354AA">
      <w:pPr>
        <w:pStyle w:val="46"/>
        <w:snapToGrid w:val="0"/>
        <w:spacing w:before="0" w:beforeAutospacing="0" w:after="0" w:afterAutospacing="0" w:line="560" w:lineRule="exact"/>
        <w:ind w:left="-2" w:leftChars="-1" w:firstLine="640" w:firstLineChars="200"/>
        <w:rPr>
          <w:rFonts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招标文件中下列术语应解释为：</w:t>
      </w:r>
    </w:p>
    <w:p w14:paraId="4DD1EB09">
      <w:pPr>
        <w:pStyle w:val="46"/>
        <w:snapToGrid w:val="0"/>
        <w:spacing w:before="0" w:beforeAutospacing="0" w:after="0" w:afterAutospacing="0" w:line="560" w:lineRule="exact"/>
        <w:ind w:left="-2" w:leftChars="-1" w:firstLine="640" w:firstLineChars="200"/>
        <w:rPr>
          <w:rFonts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2.1“</w:t>
      </w:r>
      <w:r>
        <w:rPr>
          <w:rFonts w:hint="eastAsia" w:ascii="方正仿宋简体" w:hAnsi="方正仿宋简体" w:eastAsia="方正仿宋简体" w:cs="方正仿宋简体"/>
          <w:color w:val="auto"/>
          <w:kern w:val="2"/>
          <w:sz w:val="32"/>
          <w:szCs w:val="32"/>
        </w:rPr>
        <w:t>招标人</w:t>
      </w:r>
      <w:r>
        <w:rPr>
          <w:rFonts w:hint="eastAsia" w:ascii="方正仿宋简体" w:hAnsi="方正仿宋简体" w:eastAsia="方正仿宋简体" w:cs="方正仿宋简体"/>
          <w:color w:val="auto"/>
          <w:sz w:val="32"/>
          <w:szCs w:val="32"/>
        </w:rPr>
        <w:t>”系指依法提出招标项目、进行招标的法人或者其他组织。</w:t>
      </w:r>
    </w:p>
    <w:p w14:paraId="17BB4574">
      <w:pPr>
        <w:pStyle w:val="46"/>
        <w:snapToGrid w:val="0"/>
        <w:spacing w:before="0" w:beforeAutospacing="0" w:after="0" w:afterAutospacing="0" w:line="560" w:lineRule="exact"/>
        <w:ind w:left="-2" w:leftChars="-1" w:firstLine="640" w:firstLineChars="200"/>
        <w:jc w:val="both"/>
        <w:rPr>
          <w:rFonts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2.2“</w:t>
      </w:r>
      <w:r>
        <w:rPr>
          <w:rFonts w:hint="eastAsia" w:ascii="方正仿宋简体" w:hAnsi="方正仿宋简体" w:eastAsia="方正仿宋简体" w:cs="方正仿宋简体"/>
          <w:color w:val="auto"/>
          <w:kern w:val="2"/>
          <w:sz w:val="32"/>
          <w:szCs w:val="32"/>
        </w:rPr>
        <w:t>招标代理机构</w:t>
      </w:r>
      <w:r>
        <w:rPr>
          <w:rFonts w:hint="eastAsia" w:ascii="方正仿宋简体" w:hAnsi="方正仿宋简体" w:eastAsia="方正仿宋简体" w:cs="方正仿宋简体"/>
          <w:color w:val="auto"/>
          <w:sz w:val="32"/>
          <w:szCs w:val="32"/>
        </w:rPr>
        <w:t>”系指依法设立，从事招标代理业务并提供相关服务的社会中介组织。</w:t>
      </w:r>
    </w:p>
    <w:p w14:paraId="0EF7DFDF">
      <w:pPr>
        <w:pStyle w:val="46"/>
        <w:snapToGrid w:val="0"/>
        <w:spacing w:before="0" w:beforeAutospacing="0" w:after="0" w:afterAutospacing="0" w:line="560" w:lineRule="exact"/>
        <w:ind w:left="-2" w:leftChars="-1" w:firstLine="640" w:firstLineChars="200"/>
        <w:rPr>
          <w:rFonts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2.3“</w:t>
      </w:r>
      <w:r>
        <w:rPr>
          <w:rFonts w:hint="eastAsia" w:ascii="方正仿宋简体" w:hAnsi="方正仿宋简体" w:eastAsia="方正仿宋简体" w:cs="方正仿宋简体"/>
          <w:color w:val="auto"/>
          <w:kern w:val="2"/>
          <w:sz w:val="32"/>
          <w:szCs w:val="32"/>
        </w:rPr>
        <w:t>投标人</w:t>
      </w:r>
      <w:r>
        <w:rPr>
          <w:rFonts w:hint="eastAsia" w:ascii="方正仿宋简体" w:hAnsi="方正仿宋简体" w:eastAsia="方正仿宋简体" w:cs="方正仿宋简体"/>
          <w:color w:val="auto"/>
          <w:sz w:val="32"/>
          <w:szCs w:val="32"/>
        </w:rPr>
        <w:t>”系指响应招标、参加投标竞争的法人或者其他组织。</w:t>
      </w:r>
    </w:p>
    <w:p w14:paraId="5DA12E2D">
      <w:pPr>
        <w:snapToGrid w:val="0"/>
        <w:spacing w:line="560" w:lineRule="exact"/>
        <w:ind w:left="-2" w:leftChars="-1"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2.4“服务”系指招标文件规定的需中标人承担的如运输、保险及其它服务，或指导安装、调试、提供技术协助、培训及其它义务。</w:t>
      </w:r>
    </w:p>
    <w:p w14:paraId="367B34CA">
      <w:pPr>
        <w:pStyle w:val="46"/>
        <w:snapToGrid w:val="0"/>
        <w:spacing w:before="0" w:beforeAutospacing="0" w:after="0" w:afterAutospacing="0" w:line="560" w:lineRule="exact"/>
        <w:ind w:left="-2" w:leftChars="-1" w:firstLine="640" w:firstLineChars="200"/>
        <w:jc w:val="both"/>
        <w:rPr>
          <w:rFonts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2.5“</w:t>
      </w:r>
      <w:r>
        <w:rPr>
          <w:rFonts w:hint="eastAsia" w:ascii="方正仿宋简体" w:hAnsi="方正仿宋简体" w:eastAsia="方正仿宋简体" w:cs="方正仿宋简体"/>
          <w:color w:val="auto"/>
          <w:kern w:val="2"/>
          <w:sz w:val="32"/>
          <w:szCs w:val="32"/>
        </w:rPr>
        <w:t>单位公章</w:t>
      </w:r>
      <w:r>
        <w:rPr>
          <w:rFonts w:hint="eastAsia" w:ascii="方正仿宋简体" w:hAnsi="方正仿宋简体" w:eastAsia="方正仿宋简体" w:cs="方正仿宋简体"/>
          <w:color w:val="auto"/>
          <w:sz w:val="32"/>
          <w:szCs w:val="32"/>
        </w:rPr>
        <w:t>”系指刻有工商登记部门核准并登记的法人名称全称的公章，简称“公章”。</w:t>
      </w:r>
    </w:p>
    <w:p w14:paraId="49B5EA92">
      <w:pPr>
        <w:pStyle w:val="46"/>
        <w:snapToGrid w:val="0"/>
        <w:spacing w:before="0" w:beforeAutospacing="0" w:after="0" w:afterAutospacing="0" w:line="560" w:lineRule="exact"/>
        <w:ind w:left="-2" w:leftChars="-1" w:firstLine="640" w:firstLineChars="200"/>
        <w:jc w:val="both"/>
        <w:rPr>
          <w:rFonts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2.6“</w:t>
      </w:r>
      <w:r>
        <w:rPr>
          <w:rFonts w:hint="eastAsia" w:ascii="方正仿宋简体" w:hAnsi="方正仿宋简体" w:eastAsia="方正仿宋简体" w:cs="方正仿宋简体"/>
          <w:color w:val="auto"/>
          <w:kern w:val="2"/>
          <w:sz w:val="32"/>
          <w:szCs w:val="32"/>
        </w:rPr>
        <w:t>法人</w:t>
      </w:r>
      <w:r>
        <w:rPr>
          <w:rFonts w:hint="eastAsia" w:ascii="方正仿宋简体" w:hAnsi="方正仿宋简体" w:eastAsia="方正仿宋简体" w:cs="方正仿宋简体"/>
          <w:color w:val="auto"/>
          <w:sz w:val="32"/>
          <w:szCs w:val="32"/>
        </w:rPr>
        <w:t>”系指具有民事权利能力和民事行为能力，依法独立享有民事权利和承担民事义务的组织。简言之，法人是具有民事权利主体资格的</w:t>
      </w:r>
      <w:r>
        <w:fldChar w:fldCharType="begin"/>
      </w:r>
      <w:r>
        <w:instrText xml:space="preserve"> HYPERLINK "http://baike.baidu.com/view/11175.htm" </w:instrText>
      </w:r>
      <w:r>
        <w:fldChar w:fldCharType="separate"/>
      </w:r>
      <w:r>
        <w:rPr>
          <w:rFonts w:hint="eastAsia" w:ascii="方正仿宋简体" w:hAnsi="方正仿宋简体" w:eastAsia="方正仿宋简体" w:cs="方正仿宋简体"/>
          <w:color w:val="auto"/>
          <w:sz w:val="32"/>
          <w:szCs w:val="32"/>
        </w:rPr>
        <w:t>社会</w:t>
      </w:r>
      <w:r>
        <w:rPr>
          <w:rFonts w:hint="eastAsia" w:ascii="方正仿宋简体" w:hAnsi="方正仿宋简体" w:eastAsia="方正仿宋简体" w:cs="方正仿宋简体"/>
          <w:color w:val="auto"/>
          <w:sz w:val="32"/>
          <w:szCs w:val="32"/>
        </w:rPr>
        <w:fldChar w:fldCharType="end"/>
      </w:r>
      <w:r>
        <w:rPr>
          <w:rFonts w:hint="eastAsia" w:ascii="方正仿宋简体" w:hAnsi="方正仿宋简体" w:eastAsia="方正仿宋简体" w:cs="方正仿宋简体"/>
          <w:color w:val="auto"/>
          <w:sz w:val="32"/>
          <w:szCs w:val="32"/>
        </w:rPr>
        <w:t>组织。我国的法人主要有四种：机关法人、事业法人、企业法人和社团法人。</w:t>
      </w:r>
    </w:p>
    <w:p w14:paraId="21C4F05E">
      <w:pPr>
        <w:pStyle w:val="46"/>
        <w:snapToGrid w:val="0"/>
        <w:spacing w:before="0" w:beforeAutospacing="0" w:after="0" w:afterAutospacing="0" w:line="560" w:lineRule="exact"/>
        <w:ind w:left="-2" w:leftChars="-1" w:firstLine="640" w:firstLineChars="200"/>
        <w:jc w:val="both"/>
        <w:rPr>
          <w:rFonts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t>2.7“</w:t>
      </w:r>
      <w:r>
        <w:rPr>
          <w:rFonts w:hint="eastAsia" w:ascii="方正仿宋简体" w:hAnsi="方正仿宋简体" w:eastAsia="方正仿宋简体" w:cs="方正仿宋简体"/>
          <w:color w:val="auto"/>
          <w:kern w:val="2"/>
          <w:sz w:val="32"/>
          <w:szCs w:val="32"/>
        </w:rPr>
        <w:t>企业法人</w:t>
      </w:r>
      <w:r>
        <w:rPr>
          <w:rFonts w:hint="eastAsia" w:ascii="方正仿宋简体" w:hAnsi="方正仿宋简体" w:eastAsia="方正仿宋简体" w:cs="方正仿宋简体"/>
          <w:color w:val="auto"/>
          <w:sz w:val="32"/>
          <w:szCs w:val="32"/>
        </w:rPr>
        <w:t>”系指指依照《中华人民共和国公司法》在中国境内设立的有限责任公司和股份有限公司。</w:t>
      </w:r>
    </w:p>
    <w:p w14:paraId="15062DA0">
      <w:pPr>
        <w:pStyle w:val="19"/>
        <w:tabs>
          <w:tab w:val="left" w:pos="525"/>
          <w:tab w:val="left" w:pos="735"/>
        </w:tabs>
        <w:snapToGrid w:val="0"/>
        <w:spacing w:line="560" w:lineRule="exact"/>
        <w:ind w:left="-2" w:leftChars="-1"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2.8“法定代表人”系指依照法律或法人组织章程规定，代表法人行使职权的负责人。</w:t>
      </w:r>
    </w:p>
    <w:p w14:paraId="1B530D72">
      <w:pPr>
        <w:pStyle w:val="19"/>
        <w:tabs>
          <w:tab w:val="left" w:pos="525"/>
          <w:tab w:val="left" w:pos="735"/>
        </w:tabs>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3.资金来源</w:t>
      </w:r>
    </w:p>
    <w:p w14:paraId="59BD0606">
      <w:pPr>
        <w:pStyle w:val="19"/>
        <w:tabs>
          <w:tab w:val="left" w:pos="525"/>
          <w:tab w:val="left" w:pos="735"/>
        </w:tabs>
        <w:snapToGrid w:val="0"/>
        <w:spacing w:line="560" w:lineRule="exact"/>
        <w:ind w:left="-2" w:leftChars="-1"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资金来源及落实情况，见“投标人须知前附表”。</w:t>
      </w:r>
    </w:p>
    <w:p w14:paraId="37105DAC">
      <w:pPr>
        <w:pStyle w:val="19"/>
        <w:tabs>
          <w:tab w:val="left" w:pos="525"/>
          <w:tab w:val="left" w:pos="735"/>
        </w:tabs>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4.招标范围</w:t>
      </w:r>
    </w:p>
    <w:p w14:paraId="2666593F">
      <w:pPr>
        <w:snapToGrid w:val="0"/>
        <w:spacing w:line="560" w:lineRule="exact"/>
        <w:ind w:left="-2" w:leftChars="-1"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4.1 本项目招标范围：见“投标人须知前附表”。</w:t>
      </w:r>
    </w:p>
    <w:p w14:paraId="29966742">
      <w:pPr>
        <w:snapToGrid w:val="0"/>
        <w:spacing w:line="560" w:lineRule="exact"/>
        <w:ind w:left="-2" w:leftChars="-1"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4.2 本项目交货期、地点和质量要求：见“投标人须知前附表”。</w:t>
      </w:r>
    </w:p>
    <w:p w14:paraId="5D0728AC">
      <w:pPr>
        <w:pStyle w:val="19"/>
        <w:tabs>
          <w:tab w:val="left" w:pos="525"/>
          <w:tab w:val="left" w:pos="735"/>
        </w:tabs>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5.合格投标人</w:t>
      </w:r>
    </w:p>
    <w:p w14:paraId="4910FA19">
      <w:pPr>
        <w:snapToGrid w:val="0"/>
        <w:spacing w:line="560" w:lineRule="exact"/>
        <w:ind w:left="-2" w:leftChars="-1"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5.1投标人应符合招标文件“投标人须知前附表”中规定的资格要求。</w:t>
      </w:r>
    </w:p>
    <w:p w14:paraId="79A16FF7">
      <w:pPr>
        <w:snapToGrid w:val="0"/>
        <w:spacing w:line="560" w:lineRule="exact"/>
        <w:ind w:left="-2" w:leftChars="-1"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5.2法定代表人为同一个人的两个及两个以上法人、母公司、全资子公司及其控股公司，都不得在同一招标中同时投标，</w:t>
      </w:r>
      <w:r>
        <w:rPr>
          <w:rFonts w:hint="eastAsia" w:ascii="方正仿宋简体" w:hAnsi="方正仿宋简体" w:eastAsia="方正仿宋简体" w:cs="方正仿宋简体"/>
          <w:spacing w:val="-8"/>
          <w:sz w:val="32"/>
          <w:szCs w:val="32"/>
        </w:rPr>
        <w:t>否则投标将被拒绝</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spacing w:val="-8"/>
          <w:sz w:val="32"/>
          <w:szCs w:val="32"/>
        </w:rPr>
        <w:t>如制造商直接参与投标，则不允许制造商的下属单位、公司参与投标</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spacing w:val="-8"/>
          <w:sz w:val="32"/>
          <w:szCs w:val="32"/>
        </w:rPr>
        <w:t>否则投标将被拒绝</w:t>
      </w:r>
      <w:r>
        <w:rPr>
          <w:rFonts w:hint="eastAsia" w:ascii="方正仿宋简体" w:hAnsi="方正仿宋简体" w:eastAsia="方正仿宋简体" w:cs="方正仿宋简体"/>
          <w:sz w:val="32"/>
          <w:szCs w:val="32"/>
        </w:rPr>
        <w:t>。</w:t>
      </w:r>
    </w:p>
    <w:p w14:paraId="73E18D06">
      <w:pPr>
        <w:snapToGrid w:val="0"/>
        <w:spacing w:line="560" w:lineRule="exact"/>
        <w:ind w:left="-2" w:leftChars="-1"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5.3招标文件规定接受代理商投标的，投标人应出具货物制造商同意其在本次投标中提供该货物的正式授权书。</w:t>
      </w:r>
    </w:p>
    <w:p w14:paraId="2DC2BCF2">
      <w:pPr>
        <w:spacing w:line="56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5.4“投标人须知前附表”规定接受联合体投标的，除应符合本章第5.1~5.2项的要求外，还应遵守以下规定：</w:t>
      </w:r>
    </w:p>
    <w:p w14:paraId="71DE7195">
      <w:pPr>
        <w:pStyle w:val="19"/>
        <w:snapToGrid w:val="0"/>
        <w:spacing w:line="560" w:lineRule="exact"/>
        <w:ind w:left="-2" w:leftChars="-1"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5.5 符合上述条件的投标人应承担投标及履约中应承担的全部责任与义务。</w:t>
      </w:r>
    </w:p>
    <w:p w14:paraId="4283FDC9">
      <w:pPr>
        <w:pStyle w:val="19"/>
        <w:snapToGrid w:val="0"/>
        <w:spacing w:line="560" w:lineRule="exact"/>
        <w:ind w:left="-2" w:leftChars="-1"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5.6其他要求</w:t>
      </w:r>
    </w:p>
    <w:p w14:paraId="1A8E0075">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当招标项目涉及到国家主管部门资质管理范畴时，投标人应具备相应的施工资质。否则，应将该部分工作内容委托给具有相应施工资质的单位进行施工。</w:t>
      </w:r>
    </w:p>
    <w:p w14:paraId="25C86AF1">
      <w:pPr>
        <w:pStyle w:val="19"/>
        <w:tabs>
          <w:tab w:val="left" w:pos="525"/>
          <w:tab w:val="left" w:pos="735"/>
        </w:tabs>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6.投标费用</w:t>
      </w:r>
    </w:p>
    <w:p w14:paraId="7C4767B1">
      <w:pPr>
        <w:pStyle w:val="19"/>
        <w:snapToGrid w:val="0"/>
        <w:spacing w:line="560" w:lineRule="exact"/>
        <w:ind w:left="-2" w:leftChars="-1"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不论投标结果如何，投标人均应自行承担所有与编写和提交投标文件有关的全部费用。</w:t>
      </w:r>
    </w:p>
    <w:p w14:paraId="2DA7D0AB">
      <w:pPr>
        <w:pStyle w:val="4"/>
        <w:spacing w:line="560" w:lineRule="exact"/>
        <w:ind w:firstLine="640" w:firstLineChars="200"/>
        <w:rPr>
          <w:rFonts w:ascii="方正仿宋简体" w:hAnsi="方正仿宋简体" w:eastAsia="方正仿宋简体" w:cs="方正仿宋简体"/>
          <w:b w:val="0"/>
          <w:sz w:val="32"/>
          <w:szCs w:val="32"/>
        </w:rPr>
      </w:pPr>
      <w:r>
        <w:rPr>
          <w:rFonts w:hint="eastAsia" w:ascii="方正仿宋简体" w:hAnsi="方正仿宋简体" w:eastAsia="方正仿宋简体" w:cs="方正仿宋简体"/>
          <w:b w:val="0"/>
          <w:sz w:val="32"/>
          <w:szCs w:val="32"/>
        </w:rPr>
        <w:t>二、招标文件</w:t>
      </w:r>
    </w:p>
    <w:p w14:paraId="0B496287">
      <w:pPr>
        <w:pStyle w:val="19"/>
        <w:tabs>
          <w:tab w:val="left" w:pos="525"/>
          <w:tab w:val="left" w:pos="735"/>
        </w:tabs>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7.招标文件构成</w:t>
      </w:r>
    </w:p>
    <w:p w14:paraId="2984E070">
      <w:pPr>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要求提供的货物、采购过程及合同条款在招标文件中均有说明，招标文件共六章，各章的内容如下：</w:t>
      </w:r>
    </w:p>
    <w:p w14:paraId="089F7867">
      <w:pPr>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第一章  投标人须知</w:t>
      </w:r>
    </w:p>
    <w:p w14:paraId="39D05CF6">
      <w:pPr>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第二章  投标文件格式</w:t>
      </w:r>
    </w:p>
    <w:p w14:paraId="43582C15">
      <w:pPr>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第三章  技术要求</w:t>
      </w:r>
    </w:p>
    <w:p w14:paraId="19BB9461">
      <w:pPr>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第四章  评标办法</w:t>
      </w:r>
    </w:p>
    <w:p w14:paraId="3D12DE6A">
      <w:pPr>
        <w:pStyle w:val="19"/>
        <w:tabs>
          <w:tab w:val="left" w:pos="525"/>
          <w:tab w:val="left" w:pos="735"/>
        </w:tabs>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8.招标文件的澄清</w:t>
      </w:r>
    </w:p>
    <w:p w14:paraId="51B9FB9E">
      <w:pPr>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8.1投标人应认真阅读招标文件的商务条件和技术要求等所有内容，如有疑问，投标人必须在收到招标文件后到“投标人须知前附表”规定截止时间前以信函或传真等书面形式（包括信函、电传、传真、电报等，下同），加盖公章后要求招标代理机构澄清，否则，由此产生的后果由投标人负责。</w:t>
      </w:r>
    </w:p>
    <w:p w14:paraId="5566D154">
      <w:pPr>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8.2招标人以书面形式进行答复、澄清，并以书面方式通知所有购买招标文件的潜在投标人（答复中不包含问题的来源），其他澄清方式为无效。该答复、澄清的内容为招标文件的组成部分。</w:t>
      </w:r>
    </w:p>
    <w:p w14:paraId="3688C7E1">
      <w:pPr>
        <w:pStyle w:val="19"/>
        <w:tabs>
          <w:tab w:val="left" w:pos="525"/>
          <w:tab w:val="left" w:pos="735"/>
        </w:tabs>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9.招标文件的修改</w:t>
      </w:r>
    </w:p>
    <w:p w14:paraId="1AD464DC">
      <w:pPr>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9.1招标人对已发出的招标文件进行必要澄清或者修改的，应当在招标文件要求提交投标文件截止时间十五日前，以书面形式通知所有招标文件收受人。该澄清或者修改的内容为招标文件的组成部分。</w:t>
      </w:r>
    </w:p>
    <w:p w14:paraId="74E5F1D1">
      <w:pPr>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9.2为使投标人在编写投标文件时，有充分时间为招标文件的修改部分进行研究，招标人可以酌情延长投标截止时间和开标时间，并以书面形式通知已购买招标文件的每一投标人。</w:t>
      </w:r>
    </w:p>
    <w:p w14:paraId="03BB234B">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9.3投标人提出异议的截止时间：详见前附表。</w:t>
      </w:r>
    </w:p>
    <w:p w14:paraId="28EAB66E">
      <w:pPr>
        <w:pStyle w:val="4"/>
        <w:spacing w:line="560" w:lineRule="exact"/>
        <w:ind w:firstLine="640" w:firstLineChars="200"/>
        <w:rPr>
          <w:rFonts w:ascii="方正仿宋简体" w:hAnsi="方正仿宋简体" w:eastAsia="方正仿宋简体" w:cs="方正仿宋简体"/>
          <w:b w:val="0"/>
          <w:sz w:val="32"/>
          <w:szCs w:val="32"/>
        </w:rPr>
      </w:pPr>
      <w:r>
        <w:rPr>
          <w:rFonts w:hint="eastAsia" w:ascii="方正仿宋简体" w:hAnsi="方正仿宋简体" w:eastAsia="方正仿宋简体" w:cs="方正仿宋简体"/>
          <w:b w:val="0"/>
          <w:sz w:val="32"/>
          <w:szCs w:val="32"/>
        </w:rPr>
        <w:t>三、投标文件的编制</w:t>
      </w:r>
    </w:p>
    <w:p w14:paraId="3A6EEF6C">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10.投标文件编写注意事项</w:t>
      </w:r>
    </w:p>
    <w:p w14:paraId="6D6A12CC">
      <w:pPr>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10.1投标文件应包括</w:t>
      </w:r>
      <w:r>
        <w:rPr>
          <w:rFonts w:hint="eastAsia" w:ascii="方正仿宋简体" w:hAnsi="方正仿宋简体" w:eastAsia="方正仿宋简体" w:cs="方正仿宋简体"/>
          <w:spacing w:val="-8"/>
          <w:sz w:val="32"/>
          <w:szCs w:val="32"/>
        </w:rPr>
        <w:t>一份正本，及按</w:t>
      </w:r>
      <w:r>
        <w:rPr>
          <w:rFonts w:hint="eastAsia" w:ascii="方正仿宋简体" w:hAnsi="方正仿宋简体" w:eastAsia="方正仿宋简体" w:cs="方正仿宋简体"/>
          <w:sz w:val="32"/>
          <w:szCs w:val="32"/>
        </w:rPr>
        <w:t>“投标人须知前附表”</w:t>
      </w:r>
      <w:r>
        <w:rPr>
          <w:rFonts w:hint="eastAsia" w:ascii="方正仿宋简体" w:hAnsi="方正仿宋简体" w:eastAsia="方正仿宋简体" w:cs="方正仿宋简体"/>
          <w:spacing w:val="-8"/>
          <w:sz w:val="32"/>
          <w:szCs w:val="32"/>
        </w:rPr>
        <w:t>中规定的数量的副本份数。投标文件</w:t>
      </w:r>
      <w:r>
        <w:rPr>
          <w:rFonts w:hint="eastAsia" w:ascii="方正仿宋简体" w:hAnsi="方正仿宋简体" w:eastAsia="方正仿宋简体" w:cs="方正仿宋简体"/>
          <w:sz w:val="32"/>
          <w:szCs w:val="32"/>
        </w:rPr>
        <w:t>封面上应标明“正本”或“副本”</w:t>
      </w:r>
      <w:r>
        <w:rPr>
          <w:rFonts w:hint="eastAsia" w:ascii="方正仿宋简体" w:hAnsi="方正仿宋简体" w:eastAsia="方正仿宋简体" w:cs="方正仿宋简体"/>
          <w:spacing w:val="-4"/>
          <w:sz w:val="32"/>
          <w:szCs w:val="32"/>
        </w:rPr>
        <w:t>以及项目名称、招标编号、投标人名称等内容。</w:t>
      </w:r>
      <w:r>
        <w:rPr>
          <w:rFonts w:hint="eastAsia" w:ascii="方正仿宋简体" w:hAnsi="方正仿宋简体" w:eastAsia="方正仿宋简体" w:cs="方正仿宋简体"/>
          <w:spacing w:val="-8"/>
          <w:sz w:val="32"/>
          <w:szCs w:val="32"/>
        </w:rPr>
        <w:t>副本和正本不一致时，以正本为准。</w:t>
      </w:r>
    </w:p>
    <w:p w14:paraId="4382D836">
      <w:pPr>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10.2投标人应仔细阅读招标文件，在完全了解招标的内容、技术性能要求和商务条件后，按照招标文件的要求编制投标文件。如果没有按照招标文件要求提交全部投标文件或者资料，没有对招标文件的实质性要求和条件做出响应，作为投标人的风险，可能导致该投标被拒绝。</w:t>
      </w:r>
    </w:p>
    <w:p w14:paraId="2D2449A2">
      <w:pPr>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10.3对招标文件提出的实质性要求和条件做出响应，是指投标人必须对招标文件中的要求和条件及建设项目方案、方案要求、配备的设备要求、设备性能配置、售后服务、合同主要条款及其它要求等内容做出满足或者优于要求和条件的承诺。</w:t>
      </w:r>
    </w:p>
    <w:p w14:paraId="461A3AFB">
      <w:pPr>
        <w:snapToGrid w:val="0"/>
        <w:spacing w:line="56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11.投标的语言及计量单位</w:t>
      </w:r>
    </w:p>
    <w:p w14:paraId="0943D9C5">
      <w:pPr>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11.1投标人的投标文件以及投标人与招标代理机构就有关投标的所有来往函电统一使用中文（特别规定除外）。</w:t>
      </w:r>
    </w:p>
    <w:p w14:paraId="3291743F">
      <w:pPr>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11.2投标文件中使用的计量单位除招标文件中有特殊规定外，一律使用中国法定计量单位。</w:t>
      </w:r>
    </w:p>
    <w:p w14:paraId="47A3B05D">
      <w:pPr>
        <w:snapToGrid w:val="0"/>
        <w:spacing w:line="56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12.投标文件构成</w:t>
      </w:r>
    </w:p>
    <w:p w14:paraId="4683E93D">
      <w:pPr>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12.1投标人编写的投标文件应包括商务文件和技术文件二部分内容，并按以下顺序装订成册。有关文件的提交如未特别注明需提供原件的，可提供复印件。</w:t>
      </w:r>
    </w:p>
    <w:p w14:paraId="5E1E7285">
      <w:pPr>
        <w:snapToGrid w:val="0"/>
        <w:spacing w:line="56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12.1.1商务文件：</w:t>
      </w:r>
    </w:p>
    <w:p w14:paraId="0A74673B">
      <w:pPr>
        <w:snapToGrid w:val="0"/>
        <w:spacing w:line="56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（1）投标函：按第二章投标文件格式提供的“投标函”的格式及要求填写；</w:t>
      </w:r>
    </w:p>
    <w:p w14:paraId="0239BE88">
      <w:pPr>
        <w:snapToGrid w:val="0"/>
        <w:spacing w:line="56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（2）投标报价表：按第二章投标文件格式提供的格式及要求填写；</w:t>
      </w:r>
    </w:p>
    <w:p w14:paraId="583EC645">
      <w:pPr>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（3）投标人法定代表人资格证明书及投标人法定代表人授权委托书（按第二章“投标文件格式”提供的格式及要求填写）；</w:t>
      </w:r>
    </w:p>
    <w:p w14:paraId="1DCB7D03">
      <w:pPr>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（4）投标人有效的营业执照副本、资质证书、工程业绩；</w:t>
      </w:r>
    </w:p>
    <w:p w14:paraId="7C5E646C">
      <w:pPr>
        <w:snapToGrid w:val="0"/>
        <w:spacing w:line="56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（5）其它资料，详见“投标人须知前附表”。</w:t>
      </w:r>
    </w:p>
    <w:p w14:paraId="3D4A5B82">
      <w:pPr>
        <w:snapToGrid w:val="0"/>
        <w:spacing w:line="56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12.1.2技术文件： </w:t>
      </w:r>
    </w:p>
    <w:p w14:paraId="666A9508">
      <w:pPr>
        <w:snapToGrid w:val="0"/>
        <w:spacing w:line="56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（1）项目实施总体方案切实可行、质量保障措施健全、工期等满足招标文件需要；</w:t>
      </w:r>
    </w:p>
    <w:p w14:paraId="1F272BFC">
      <w:pPr>
        <w:snapToGrid w:val="0"/>
        <w:spacing w:line="56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（2）工程保修服务承诺；</w:t>
      </w:r>
    </w:p>
    <w:p w14:paraId="3A7CBA0B">
      <w:pPr>
        <w:snapToGrid w:val="0"/>
        <w:spacing w:line="56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（3）其他资料，详见“投标人须知前附表”。</w:t>
      </w:r>
    </w:p>
    <w:p w14:paraId="117731B2">
      <w:pPr>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注：投标人提供的各项文件复印件，应与原件一致，并对这些文件的真实性承担法律责任，否则可能导致投标被否决。</w:t>
      </w:r>
    </w:p>
    <w:p w14:paraId="4699E191">
      <w:pPr>
        <w:pStyle w:val="19"/>
        <w:tabs>
          <w:tab w:val="left" w:pos="3030"/>
        </w:tabs>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13.投标文件的格式要求</w:t>
      </w:r>
    </w:p>
    <w:p w14:paraId="0A27014D">
      <w:pPr>
        <w:pStyle w:val="19"/>
        <w:tabs>
          <w:tab w:val="left" w:pos="3030"/>
        </w:tabs>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13.1投标人应按第二章“投标文件格式”提供的格式完整地填写。</w:t>
      </w:r>
    </w:p>
    <w:p w14:paraId="7AD62845">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14.投标报价</w:t>
      </w:r>
    </w:p>
    <w:p w14:paraId="74948D6A">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14.1所有投标均以人民币报价。</w:t>
      </w:r>
    </w:p>
    <w:p w14:paraId="57DEA478">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14.2投标人必须对本项目现场施工作完整的唯一报价，否则投标将被拒绝。</w:t>
      </w:r>
    </w:p>
    <w:p w14:paraId="465FE9C2">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14.3投标人应依据招标文件的要求及有关资料，按国家或行业现行技术经济标准、定额及规范，自行测算出满足招标要求竞争性报价。</w:t>
      </w:r>
    </w:p>
    <w:p w14:paraId="64CC4FB6">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15.投标有效期</w:t>
      </w:r>
    </w:p>
    <w:p w14:paraId="3DE7674E">
      <w:pPr>
        <w:pStyle w:val="19"/>
        <w:snapToGrid w:val="0"/>
        <w:spacing w:line="560" w:lineRule="exact"/>
        <w:ind w:left="2"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15.1投标应自本须知第19.1条规定的提交投标文件截止之日起，在“投标人须知前附表”所述投标有效期内保持有效。投标有效期不足的投标将被视为非实质性响应招标文件而被拒绝。</w:t>
      </w:r>
    </w:p>
    <w:p w14:paraId="2187DF1C">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15.2在原投标有效期结束前，出现特殊情况的，招标人可以书面形式要求所有投标人延长投标文件的有效期。投标人同意延长的，不得要求或被允许修改其投标文件的实质性内容，但应当相应延长其投标保证金的有效期；投标人拒绝延长的，其投标失效，但投标人有权收回其投标保证金。</w:t>
      </w:r>
    </w:p>
    <w:p w14:paraId="181B44AC">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16.投标文件的书写要求</w:t>
      </w:r>
    </w:p>
    <w:p w14:paraId="466E66E1">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16.1投标文件应用不褪色的墨水书写或打印。</w:t>
      </w:r>
    </w:p>
    <w:p w14:paraId="2A1776B4">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16.2投标文件的书写应清楚工整,修改处应由投标人的法定代表人或其委托代理人签字盖章。</w:t>
      </w:r>
    </w:p>
    <w:p w14:paraId="72F1526B">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16.3字迹潦草、表达不清、未按要求填写而导致非唯一理解，造成非实质性响应招标文件的投标文件将会被认定为无效的投标。</w:t>
      </w:r>
    </w:p>
    <w:p w14:paraId="28A27B98">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16.4投标文件应由法定代表人或其委托代理人在凡规定签名处逐一签名，要求盖公章处应盖单位的公章。</w:t>
      </w:r>
    </w:p>
    <w:p w14:paraId="03F9FB43">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16.5要求加盖投标人公章的，不得用电子公章打印替代，否则投标将被拒绝。</w:t>
      </w:r>
    </w:p>
    <w:p w14:paraId="473BB48F">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17.投标担保</w:t>
      </w:r>
    </w:p>
    <w:p w14:paraId="23BCF40F">
      <w:pPr>
        <w:pStyle w:val="19"/>
        <w:tabs>
          <w:tab w:val="left" w:pos="710"/>
        </w:tabs>
        <w:snapToGrid w:val="0"/>
        <w:spacing w:line="560" w:lineRule="exact"/>
        <w:ind w:firstLine="608" w:firstLineChars="200"/>
        <w:rPr>
          <w:rFonts w:ascii="方正仿宋简体" w:hAnsi="方正仿宋简体" w:eastAsia="方正仿宋简体" w:cs="方正仿宋简体"/>
          <w:spacing w:val="-8"/>
          <w:sz w:val="32"/>
          <w:szCs w:val="32"/>
        </w:rPr>
      </w:pPr>
      <w:r>
        <w:rPr>
          <w:rFonts w:hint="eastAsia" w:ascii="方正仿宋简体" w:hAnsi="方正仿宋简体" w:eastAsia="方正仿宋简体" w:cs="方正仿宋简体"/>
          <w:spacing w:val="-8"/>
          <w:sz w:val="32"/>
          <w:szCs w:val="32"/>
        </w:rPr>
        <w:t>17.1投标人应按</w:t>
      </w:r>
      <w:r>
        <w:rPr>
          <w:rFonts w:hint="eastAsia" w:ascii="方正仿宋简体" w:hAnsi="方正仿宋简体" w:eastAsia="方正仿宋简体" w:cs="方正仿宋简体"/>
          <w:sz w:val="32"/>
          <w:szCs w:val="32"/>
        </w:rPr>
        <w:t>“投标人须知前附表”</w:t>
      </w:r>
      <w:r>
        <w:rPr>
          <w:rFonts w:hint="eastAsia" w:ascii="方正仿宋简体" w:hAnsi="方正仿宋简体" w:eastAsia="方正仿宋简体" w:cs="方正仿宋简体"/>
          <w:spacing w:val="-8"/>
          <w:sz w:val="32"/>
          <w:szCs w:val="32"/>
        </w:rPr>
        <w:t>规定的金额或比例提交投标保证金，作为投标文件的组成部分之一，投标保证金的有效期应当与投标有效期一致。</w:t>
      </w:r>
    </w:p>
    <w:p w14:paraId="4F399C22">
      <w:pPr>
        <w:tabs>
          <w:tab w:val="left" w:pos="540"/>
        </w:tabs>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17.2投标保证金可以是银行电汇、现金、同城支票、银行汇票和招标代理机构所能接受的其他形式。</w:t>
      </w:r>
    </w:p>
    <w:p w14:paraId="43E750DB">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17.3招标文件规定接受银行保函的，银行保函应由在中国营业的信誉良好的银行出具。银行保函接受与否，见“投标人须知前附表”。</w:t>
      </w:r>
    </w:p>
    <w:p w14:paraId="74C0611D">
      <w:pPr>
        <w:pStyle w:val="19"/>
        <w:snapToGrid w:val="0"/>
        <w:spacing w:line="560" w:lineRule="exact"/>
        <w:ind w:firstLine="640" w:firstLineChars="200"/>
        <w:rPr>
          <w:rFonts w:ascii="方正仿宋简体" w:hAnsi="方正仿宋简体" w:eastAsia="方正仿宋简体" w:cs="方正仿宋简体"/>
          <w:spacing w:val="-8"/>
          <w:sz w:val="32"/>
          <w:szCs w:val="32"/>
        </w:rPr>
      </w:pPr>
      <w:r>
        <w:rPr>
          <w:rFonts w:hint="eastAsia" w:ascii="方正仿宋简体" w:hAnsi="方正仿宋简体" w:eastAsia="方正仿宋简体" w:cs="方正仿宋简体"/>
          <w:sz w:val="32"/>
          <w:szCs w:val="32"/>
        </w:rPr>
        <w:t>17.4投标人应于“投标人须知前附表”规定的时间和地点提交投标保证金，并换取收款凭据。该收款凭据（原件）在投标时供查验。</w:t>
      </w:r>
    </w:p>
    <w:p w14:paraId="2A46DDF0">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17.5 投标人不按招标文件要求提交投标担保的，该投标文件作投标被否决处理。</w:t>
      </w:r>
    </w:p>
    <w:p w14:paraId="724F8364">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17.6未中标的投标人的投标保证金，将在招标人与中标人签订合同后五个工作日内一次性退还本金及银行同期活期存款利息；中标人的投标保证金，招标人在与中标人签订合同并按本文件相关条款交纳履约保证金后一次性退还投标保证金及同期银行存款利息。投标保证金利息计算方式：从投标保证金到帐之日起计息，止息日为退还保证金当日，利率为退还投标保证金当日银行的活期利率。</w:t>
      </w:r>
    </w:p>
    <w:p w14:paraId="460523A4">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17.6下列情况发生时，投标保证金将被没收：</w:t>
      </w:r>
    </w:p>
    <w:p w14:paraId="5B29070D">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（1）投标人在开标后要求撤回投标的；</w:t>
      </w:r>
    </w:p>
    <w:p w14:paraId="038F3C8F">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（2）中标人未按规定的时间、地点与招标人签订合同的；</w:t>
      </w:r>
    </w:p>
    <w:p w14:paraId="1BF298B8">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（3）中标人在合同签订后未能按期向招标人提交履约保证金的。</w:t>
      </w:r>
    </w:p>
    <w:p w14:paraId="3761B9A2">
      <w:pPr>
        <w:pStyle w:val="4"/>
        <w:spacing w:line="560" w:lineRule="exact"/>
        <w:ind w:firstLine="640" w:firstLineChars="200"/>
        <w:rPr>
          <w:rFonts w:ascii="方正仿宋简体" w:hAnsi="方正仿宋简体" w:eastAsia="方正仿宋简体" w:cs="方正仿宋简体"/>
          <w:b w:val="0"/>
          <w:sz w:val="32"/>
          <w:szCs w:val="32"/>
        </w:rPr>
      </w:pPr>
      <w:r>
        <w:rPr>
          <w:rFonts w:hint="eastAsia" w:ascii="方正仿宋简体" w:hAnsi="方正仿宋简体" w:eastAsia="方正仿宋简体" w:cs="方正仿宋简体"/>
          <w:b w:val="0"/>
          <w:sz w:val="32"/>
          <w:szCs w:val="32"/>
        </w:rPr>
        <w:t>四、投标文件的提交</w:t>
      </w:r>
    </w:p>
    <w:p w14:paraId="279C5379">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18.投标文件的密封与标记</w:t>
      </w:r>
    </w:p>
    <w:p w14:paraId="1A476462">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18.1投标人应将投标文件完整密封，并在封贴处盖密封章或单位公章。</w:t>
      </w:r>
    </w:p>
    <w:p w14:paraId="3FA5550B">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18.2投标文件外层密封袋的封面应注明项目名称、招标编号，并注明“  年  月  日   时（北京时间）开标时间以前不得开封”、招标人名称。</w:t>
      </w:r>
    </w:p>
    <w:p w14:paraId="42D79931">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18.3投标人在提交投标文件时，未按本须知要求密封、标记的，招标人不予受理。</w:t>
      </w:r>
    </w:p>
    <w:p w14:paraId="04C5C493">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19.提交投标文件截止时间和地点</w:t>
      </w:r>
    </w:p>
    <w:p w14:paraId="4DE974DB">
      <w:pPr>
        <w:pStyle w:val="19"/>
        <w:snapToGrid w:val="0"/>
        <w:spacing w:line="560" w:lineRule="exact"/>
        <w:ind w:firstLine="640" w:firstLineChars="200"/>
        <w:rPr>
          <w:rFonts w:ascii="方正仿宋简体" w:hAnsi="方正仿宋简体" w:eastAsia="方正仿宋简体" w:cs="方正仿宋简体"/>
          <w:spacing w:val="-2"/>
          <w:sz w:val="32"/>
          <w:szCs w:val="32"/>
        </w:rPr>
      </w:pPr>
      <w:r>
        <w:rPr>
          <w:rFonts w:hint="eastAsia" w:ascii="方正仿宋简体" w:hAnsi="方正仿宋简体" w:eastAsia="方正仿宋简体" w:cs="方正仿宋简体"/>
          <w:sz w:val="32"/>
          <w:szCs w:val="32"/>
        </w:rPr>
        <w:t>19.1投标人必须在规定投标截止时间前由授权代理人将投标文件提交到“投标人须知前附表”规定的地点</w:t>
      </w:r>
      <w:r>
        <w:rPr>
          <w:rFonts w:hint="eastAsia" w:ascii="方正仿宋简体" w:hAnsi="方正仿宋简体" w:eastAsia="方正仿宋简体" w:cs="方正仿宋简体"/>
          <w:spacing w:val="-2"/>
          <w:sz w:val="32"/>
          <w:szCs w:val="32"/>
        </w:rPr>
        <w:t>。</w:t>
      </w:r>
    </w:p>
    <w:p w14:paraId="6F64CF01">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19.2逾期送达的或者未送达指定地点的，招标人不予受理。</w:t>
      </w:r>
    </w:p>
    <w:p w14:paraId="051C8662">
      <w:pPr>
        <w:pStyle w:val="4"/>
        <w:spacing w:line="560" w:lineRule="exact"/>
        <w:ind w:firstLine="640" w:firstLineChars="200"/>
        <w:rPr>
          <w:rFonts w:ascii="方正仿宋简体" w:hAnsi="方正仿宋简体" w:eastAsia="方正仿宋简体" w:cs="方正仿宋简体"/>
          <w:b w:val="0"/>
          <w:sz w:val="32"/>
          <w:szCs w:val="32"/>
        </w:rPr>
      </w:pPr>
      <w:r>
        <w:rPr>
          <w:rFonts w:hint="eastAsia" w:ascii="方正仿宋简体" w:hAnsi="方正仿宋简体" w:eastAsia="方正仿宋简体" w:cs="方正仿宋简体"/>
          <w:b w:val="0"/>
          <w:sz w:val="32"/>
          <w:szCs w:val="32"/>
        </w:rPr>
        <w:t>五、开标与评标</w:t>
      </w:r>
    </w:p>
    <w:p w14:paraId="6AAA87CF">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20.开标</w:t>
      </w:r>
    </w:p>
    <w:p w14:paraId="003484BD">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20.1招标人将在“投标人须知前附表”规定的时间和地点进行开标。</w:t>
      </w:r>
    </w:p>
    <w:p w14:paraId="6265EAE4">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21.评标</w:t>
      </w:r>
    </w:p>
    <w:p w14:paraId="5907CFCF">
      <w:pPr>
        <w:snapToGrid w:val="0"/>
        <w:spacing w:line="56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21.1评标由招标人依法组建的评标委员会负责。评标委员会由招标人熟悉相关业务的代表，以及有关技术、经济、审计等方面的人员组成，人员数为5人及以上的单数。其中，技术方面的专家不少于3人。</w:t>
      </w:r>
    </w:p>
    <w:p w14:paraId="205EABD9">
      <w:pPr>
        <w:pStyle w:val="19"/>
        <w:snapToGrid w:val="0"/>
        <w:spacing w:line="560" w:lineRule="exact"/>
        <w:ind w:firstLine="640" w:firstLineChars="200"/>
        <w:rPr>
          <w:rFonts w:ascii="方正仿宋简体" w:hAnsi="方正仿宋简体" w:eastAsia="方正仿宋简体" w:cs="方正仿宋简体"/>
          <w:sz w:val="32"/>
          <w:szCs w:val="32"/>
        </w:rPr>
      </w:pPr>
      <w:bookmarkStart w:id="27" w:name="_Toc191374422"/>
      <w:r>
        <w:rPr>
          <w:rFonts w:hint="eastAsia" w:ascii="方正仿宋简体" w:hAnsi="方正仿宋简体" w:eastAsia="方正仿宋简体" w:cs="方正仿宋简体"/>
          <w:sz w:val="32"/>
          <w:szCs w:val="32"/>
        </w:rPr>
        <w:t>21.2评标原则</w:t>
      </w:r>
      <w:bookmarkEnd w:id="27"/>
    </w:p>
    <w:p w14:paraId="62DCEA79">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评标活动遵循公平、公正、科学和择优的原则。</w:t>
      </w:r>
    </w:p>
    <w:p w14:paraId="37253EA6">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21.3评标工作程序</w:t>
      </w:r>
    </w:p>
    <w:p w14:paraId="009FA85C">
      <w:pPr>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评标委员会按照第四章“评标办法”规定的方法、评审因素、标准和程序对投标文件进行评审。第四章“评标办法”没有规定的方法、评审因素和标准，不作为评标依据。</w:t>
      </w:r>
    </w:p>
    <w:p w14:paraId="104D293F">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（1）投标文件初审（包括资格评审和符合性审查）。</w:t>
      </w:r>
    </w:p>
    <w:p w14:paraId="18A3C092">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澄清有关问题。对投标文件中含义不明确、同类问题表述不一致或者有明显文字和计算错误的内容，评标委员会可以书面形式要求投标人做出必要的澄清、说明或者补正。投标人的澄清、说明或者补正应当采用书面形式，由其法定代表人或委托代理人签字或盖章确认，澄清、说明或者补正不得超出投标文件的范围或者改变投标文件的实质性内容。投标人的澄清文件是投标文件的组成部分。</w:t>
      </w:r>
    </w:p>
    <w:p w14:paraId="5FD0E0DE">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（3）比较与评价。</w:t>
      </w:r>
    </w:p>
    <w:p w14:paraId="6581E12C">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（4）推荐中标人名单。</w:t>
      </w:r>
    </w:p>
    <w:p w14:paraId="3BA838E0">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（5）编写评标报告。</w:t>
      </w:r>
    </w:p>
    <w:p w14:paraId="7AD0A2FD">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21.4评标过程的保密。开标后，直到授予中标人合同止，凡是属于审查、澄清、评审和比较的有关资料以及授标建议等均不得向投标人或其他无关的人员透露。投标人在评标过程中，所进行的力图影响评标结果的不公正活动，将导致其投标被拒绝。</w:t>
      </w:r>
    </w:p>
    <w:p w14:paraId="14A7B782">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22.投标文件修正错误的原则</w:t>
      </w:r>
    </w:p>
    <w:p w14:paraId="15011AD8">
      <w:pPr>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投标文件如果出现计算或表达上的错误，修正错误的原则如下：</w:t>
      </w:r>
    </w:p>
    <w:p w14:paraId="78C2BD07">
      <w:pPr>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（1）开标时，投标文件中投标函内容与投标报价表中明细表内容不一致的，以投标函为准。</w:t>
      </w:r>
    </w:p>
    <w:p w14:paraId="1E73A412">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（2）投标文件的大写金额和小写金额不一致的，以大写金额为准；</w:t>
      </w:r>
    </w:p>
    <w:p w14:paraId="4F45C152">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（3）总价金额与按单价汇总金额不一致的，以单价汇总金额计算结果为准；</w:t>
      </w:r>
    </w:p>
    <w:p w14:paraId="68DD8EC7">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（4）单价金额小数点有明显错位的，应以总价为准，并修改单价；</w:t>
      </w:r>
    </w:p>
    <w:p w14:paraId="5B8F8B74">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（5）对不同文字文本投标文件的解释发生异议的，以中文文本为准。</w:t>
      </w:r>
    </w:p>
    <w:p w14:paraId="0F28E238">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（6）按上述修正错误的原则及方法调整或修正投标文件的投标报价，投标人同意后，调整后的投标报价对投标人起约束作用。如果投标人不接受修正后的报价，则其投标将被拒绝。</w:t>
      </w:r>
    </w:p>
    <w:p w14:paraId="4256FECA">
      <w:pPr>
        <w:pStyle w:val="19"/>
        <w:tabs>
          <w:tab w:val="left" w:pos="630"/>
        </w:tabs>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23.评标办法</w:t>
      </w:r>
    </w:p>
    <w:p w14:paraId="3F1DB5DE">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本项目评标办法为“综合评分法”，具体评标方法详见本招标文件第四章“评标办法”。</w:t>
      </w:r>
    </w:p>
    <w:p w14:paraId="5CFEAE4C">
      <w:pPr>
        <w:pStyle w:val="4"/>
        <w:spacing w:line="560" w:lineRule="exact"/>
        <w:ind w:firstLine="640" w:firstLineChars="200"/>
        <w:rPr>
          <w:rFonts w:ascii="方正仿宋简体" w:hAnsi="方正仿宋简体" w:eastAsia="方正仿宋简体" w:cs="方正仿宋简体"/>
          <w:b w:val="0"/>
          <w:sz w:val="32"/>
          <w:szCs w:val="32"/>
        </w:rPr>
      </w:pPr>
      <w:r>
        <w:rPr>
          <w:rFonts w:hint="eastAsia" w:ascii="方正仿宋简体" w:hAnsi="方正仿宋简体" w:eastAsia="方正仿宋简体" w:cs="方正仿宋简体"/>
          <w:b w:val="0"/>
          <w:sz w:val="32"/>
          <w:szCs w:val="32"/>
        </w:rPr>
        <w:t>六、中标结果</w:t>
      </w:r>
    </w:p>
    <w:p w14:paraId="12C29020">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24.中标人的确定</w:t>
      </w:r>
    </w:p>
    <w:p w14:paraId="47AB6040">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招标人根据评标结果确定中标人。</w:t>
      </w:r>
    </w:p>
    <w:p w14:paraId="225A1950">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25.授标时更改采购货物数量的权力</w:t>
      </w:r>
    </w:p>
    <w:p w14:paraId="2018898C">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25.1招标人在授予合同时有权对“技术要求”中规定的工程量予以增加或减少，但不得对单价或其它的条款或条件做任何改变。</w:t>
      </w:r>
    </w:p>
    <w:p w14:paraId="1047D467">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26.中标通知书</w:t>
      </w:r>
    </w:p>
    <w:p w14:paraId="0545E1FB">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26.1中标人确定后，</w:t>
      </w:r>
      <w:r>
        <w:rPr>
          <w:rFonts w:hint="eastAsia" w:ascii="方正仿宋简体" w:hAnsi="方正仿宋简体" w:eastAsia="方正仿宋简体" w:cs="方正仿宋简体"/>
          <w:sz w:val="32"/>
          <w:szCs w:val="32"/>
          <w:u w:val="single"/>
        </w:rPr>
        <w:t>中标结果索普集团官网上公示</w:t>
      </w:r>
      <w:r>
        <w:rPr>
          <w:rFonts w:hint="eastAsia" w:ascii="方正仿宋简体" w:hAnsi="方正仿宋简体" w:eastAsia="方正仿宋简体" w:cs="方正仿宋简体"/>
          <w:sz w:val="32"/>
          <w:szCs w:val="32"/>
        </w:rPr>
        <w:t>，公示期不得少于3日。公示期满无异议，或者投诉、异议不成立的，</w:t>
      </w:r>
      <w:r>
        <w:rPr>
          <w:rFonts w:hint="eastAsia" w:ascii="方正仿宋简体" w:hAnsi="方正仿宋简体" w:eastAsia="方正仿宋简体" w:cs="方正仿宋简体"/>
          <w:sz w:val="32"/>
          <w:szCs w:val="32"/>
          <w:u w:val="single"/>
        </w:rPr>
        <w:t>招标人应当向中标人发出中标通知书</w:t>
      </w:r>
      <w:r>
        <w:rPr>
          <w:rFonts w:hint="eastAsia" w:ascii="方正仿宋简体" w:hAnsi="方正仿宋简体" w:eastAsia="方正仿宋简体" w:cs="方正仿宋简体"/>
          <w:sz w:val="32"/>
          <w:szCs w:val="32"/>
        </w:rPr>
        <w:t>，并通知其他未中标人。</w:t>
      </w:r>
    </w:p>
    <w:p w14:paraId="653AF834">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26.2中标通知书是合同的一个组成部分，中标人应当在公示期满后及时领取中标通知书，无故拖延领取或不领取中标通知书的，视为主动放弃中标资格，招标人有权向其索赔相应损失。</w:t>
      </w:r>
    </w:p>
    <w:p w14:paraId="71634F65">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26.3招标人无义务向未中标投标人解释落标原因和退回投标文件。</w:t>
      </w:r>
    </w:p>
    <w:p w14:paraId="18DC80B7">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27.签订合同</w:t>
      </w:r>
    </w:p>
    <w:p w14:paraId="6D0A02CF">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27.1中标人收到中标通知书后，按招标文件、投标文件及有关澄清承诺书的要求与招标人签订合同。</w:t>
      </w:r>
    </w:p>
    <w:p w14:paraId="3D9CF6C9">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27.2中标人因不可抗力或者自身原因不能履行合同的，招标人可以与排位在中标人之后第一位的中标候选投标人签订合同，以此类推。</w:t>
      </w:r>
    </w:p>
    <w:p w14:paraId="4DBB1129">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28.履约保证金</w:t>
      </w:r>
    </w:p>
    <w:p w14:paraId="623D7D9A">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28.1合同签订后10天内，中标人应按“投标人须知前附表”上确定的履约保证金的金额，向招标人交纳履约保证金（如有），否则，视为放弃中标项目，中标人承担相应的法律责任。</w:t>
      </w:r>
    </w:p>
    <w:p w14:paraId="733C6C2B">
      <w:pPr>
        <w:pStyle w:val="19"/>
        <w:snapToGrid w:val="0"/>
        <w:spacing w:line="56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28.2签订合同后，如中标人不按双方签订合同约定履约，则没收其全部履约保证金，履约保证金不足以赔偿损失的，按实际损失赔偿。</w:t>
      </w:r>
    </w:p>
    <w:p w14:paraId="7614B08B">
      <w:pPr>
        <w:pStyle w:val="4"/>
        <w:spacing w:line="560" w:lineRule="exact"/>
        <w:ind w:firstLine="640" w:firstLineChars="200"/>
        <w:rPr>
          <w:rFonts w:ascii="方正仿宋简体" w:hAnsi="方正仿宋简体" w:eastAsia="方正仿宋简体" w:cs="方正仿宋简体"/>
          <w:b w:val="0"/>
          <w:sz w:val="32"/>
          <w:szCs w:val="32"/>
        </w:rPr>
      </w:pPr>
      <w:r>
        <w:rPr>
          <w:rFonts w:hint="eastAsia" w:ascii="方正仿宋简体" w:hAnsi="方正仿宋简体" w:eastAsia="方正仿宋简体" w:cs="方正仿宋简体"/>
          <w:b w:val="0"/>
          <w:sz w:val="32"/>
          <w:szCs w:val="32"/>
        </w:rPr>
        <w:t>七、其他事项</w:t>
      </w:r>
    </w:p>
    <w:p w14:paraId="28CDCDDC">
      <w:pPr>
        <w:pStyle w:val="19"/>
        <w:snapToGrid w:val="0"/>
        <w:spacing w:line="560" w:lineRule="exact"/>
        <w:ind w:firstLine="640" w:firstLineChars="200"/>
        <w:rPr>
          <w:rFonts w:ascii="方正仿宋简体" w:hAnsi="方正仿宋简体" w:eastAsia="方正仿宋简体" w:cs="方正仿宋简体"/>
          <w:sz w:val="32"/>
          <w:szCs w:val="32"/>
        </w:rPr>
      </w:pPr>
      <w:r>
        <w:rPr>
          <w:rFonts w:ascii="方正仿宋简体" w:hAnsi="方正仿宋简体" w:eastAsia="方正仿宋简体" w:cs="方正仿宋简体"/>
          <w:sz w:val="32"/>
          <w:szCs w:val="32"/>
        </w:rPr>
        <w:t>29</w:t>
      </w:r>
      <w:r>
        <w:rPr>
          <w:rFonts w:hint="eastAsia" w:ascii="方正仿宋简体" w:hAnsi="方正仿宋简体" w:eastAsia="方正仿宋简体" w:cs="方正仿宋简体"/>
          <w:sz w:val="32"/>
          <w:szCs w:val="32"/>
        </w:rPr>
        <w:t>.1投标人在提交符合招标文件规定要求的投标文件外，可根据“投标人须知前附表”的规定要求提供备选方案。但只有符合中标条件的投标人的备选投标人案方给予考虑。</w:t>
      </w:r>
    </w:p>
    <w:p w14:paraId="31984417">
      <w:pPr>
        <w:pStyle w:val="19"/>
        <w:snapToGrid w:val="0"/>
        <w:spacing w:line="560" w:lineRule="exact"/>
        <w:ind w:firstLine="640" w:firstLineChars="200"/>
        <w:rPr>
          <w:rFonts w:ascii="Times New Roman"/>
          <w:sz w:val="32"/>
          <w:szCs w:val="32"/>
        </w:rPr>
      </w:pPr>
      <w:r>
        <w:rPr>
          <w:rFonts w:ascii="方正仿宋简体" w:hAnsi="方正仿宋简体" w:eastAsia="方正仿宋简体" w:cs="方正仿宋简体"/>
          <w:sz w:val="32"/>
          <w:szCs w:val="32"/>
        </w:rPr>
        <w:t>29</w:t>
      </w:r>
      <w:r>
        <w:rPr>
          <w:rFonts w:hint="eastAsia" w:ascii="方正仿宋简体" w:hAnsi="方正仿宋简体" w:eastAsia="方正仿宋简体" w:cs="方正仿宋简体"/>
          <w:sz w:val="32"/>
          <w:szCs w:val="32"/>
        </w:rPr>
        <w:t>.2需要补充的其他内容：见“投标人须知前附表”。</w:t>
      </w:r>
    </w:p>
    <w:p w14:paraId="66F00034">
      <w:pPr>
        <w:pStyle w:val="2"/>
        <w:spacing w:line="560" w:lineRule="exact"/>
        <w:ind w:firstLine="560" w:firstLineChars="200"/>
        <w:jc w:val="center"/>
        <w:rPr>
          <w:b w:val="0"/>
        </w:rPr>
      </w:pPr>
      <w:r>
        <w:rPr>
          <w:b w:val="0"/>
        </w:rPr>
        <w:br w:type="page"/>
      </w:r>
    </w:p>
    <w:p w14:paraId="69AB1FFC">
      <w:pPr>
        <w:ind w:firstLine="1134" w:firstLineChars="540"/>
        <w:rPr>
          <w:szCs w:val="21"/>
        </w:rPr>
      </w:pPr>
    </w:p>
    <w:p w14:paraId="56B230E6">
      <w:pPr>
        <w:pStyle w:val="2"/>
        <w:adjustRightInd/>
        <w:spacing w:before="0" w:line="600" w:lineRule="exact"/>
        <w:jc w:val="center"/>
        <w:textAlignment w:val="auto"/>
        <w:rPr>
          <w:rFonts w:ascii="方正小标宋简体" w:hAnsi="方正小标宋简体" w:eastAsia="方正小标宋简体" w:cs="方正小标宋简体"/>
          <w:b w:val="0"/>
          <w:sz w:val="44"/>
          <w:szCs w:val="44"/>
        </w:rPr>
      </w:pPr>
      <w:bookmarkStart w:id="28" w:name="_Toc19729"/>
      <w:bookmarkStart w:id="29" w:name="_Toc5049"/>
      <w:bookmarkStart w:id="30" w:name="_Toc10666"/>
      <w:bookmarkStart w:id="31" w:name="_Toc31110"/>
      <w:bookmarkStart w:id="32" w:name="_Toc19343"/>
      <w:bookmarkStart w:id="33" w:name="_Toc27653"/>
      <w:bookmarkStart w:id="34" w:name="_Toc31078"/>
      <w:bookmarkStart w:id="35" w:name="_Toc27158"/>
      <w:r>
        <w:rPr>
          <w:rFonts w:hint="eastAsia" w:ascii="方正小标宋简体" w:hAnsi="方正小标宋简体" w:eastAsia="方正小标宋简体" w:cs="方正小标宋简体"/>
          <w:b w:val="0"/>
          <w:sz w:val="44"/>
          <w:szCs w:val="44"/>
        </w:rPr>
        <w:t>第二章 投标文件格式</w:t>
      </w:r>
      <w:bookmarkEnd w:id="28"/>
      <w:bookmarkEnd w:id="29"/>
      <w:bookmarkEnd w:id="30"/>
      <w:bookmarkEnd w:id="31"/>
      <w:bookmarkEnd w:id="32"/>
      <w:bookmarkEnd w:id="33"/>
      <w:bookmarkEnd w:id="34"/>
      <w:bookmarkEnd w:id="35"/>
    </w:p>
    <w:p w14:paraId="555237B3"/>
    <w:p w14:paraId="64EBEEB2">
      <w:pPr>
        <w:pStyle w:val="19"/>
        <w:spacing w:line="500" w:lineRule="exact"/>
        <w:rPr>
          <w:rFonts w:ascii="Times New Roman"/>
          <w:szCs w:val="21"/>
        </w:rPr>
      </w:pPr>
    </w:p>
    <w:p w14:paraId="66F14576">
      <w:pPr>
        <w:pStyle w:val="19"/>
        <w:spacing w:line="500" w:lineRule="exact"/>
        <w:rPr>
          <w:rFonts w:ascii="Times New Roman"/>
          <w:szCs w:val="21"/>
        </w:rPr>
      </w:pPr>
    </w:p>
    <w:p w14:paraId="26B8A55F">
      <w:pPr>
        <w:pStyle w:val="19"/>
        <w:spacing w:line="500" w:lineRule="exact"/>
        <w:jc w:val="center"/>
        <w:rPr>
          <w:rFonts w:ascii="Times New Roman"/>
          <w:sz w:val="32"/>
          <w:szCs w:val="32"/>
          <w:u w:val="single"/>
        </w:rPr>
      </w:pPr>
      <w:r>
        <w:rPr>
          <w:rFonts w:hint="eastAsia" w:ascii="Times New Roman"/>
          <w:sz w:val="32"/>
          <w:szCs w:val="32"/>
          <w:u w:val="single"/>
        </w:rPr>
        <w:t xml:space="preserve">消防提升改造项目—土建施工 </w:t>
      </w:r>
    </w:p>
    <w:p w14:paraId="3454CDB4">
      <w:pPr>
        <w:pStyle w:val="19"/>
        <w:spacing w:line="500" w:lineRule="exact"/>
        <w:jc w:val="center"/>
        <w:rPr>
          <w:rFonts w:ascii="Times New Roman"/>
          <w:sz w:val="32"/>
          <w:szCs w:val="32"/>
        </w:rPr>
      </w:pPr>
    </w:p>
    <w:p w14:paraId="5BC7899F">
      <w:pPr>
        <w:pStyle w:val="19"/>
        <w:spacing w:line="500" w:lineRule="exact"/>
        <w:jc w:val="center"/>
        <w:rPr>
          <w:rFonts w:ascii="Times New Roman"/>
          <w:sz w:val="32"/>
          <w:szCs w:val="32"/>
        </w:rPr>
      </w:pPr>
    </w:p>
    <w:p w14:paraId="136344FF">
      <w:pPr>
        <w:pStyle w:val="19"/>
        <w:spacing w:line="500" w:lineRule="exact"/>
        <w:jc w:val="center"/>
        <w:rPr>
          <w:rFonts w:ascii="Times New Roman"/>
          <w:sz w:val="32"/>
          <w:szCs w:val="32"/>
        </w:rPr>
      </w:pPr>
    </w:p>
    <w:p w14:paraId="5F76AE1F">
      <w:pPr>
        <w:pStyle w:val="19"/>
        <w:spacing w:line="500" w:lineRule="exact"/>
        <w:jc w:val="center"/>
        <w:rPr>
          <w:rFonts w:ascii="Times New Roman"/>
          <w:sz w:val="32"/>
          <w:szCs w:val="32"/>
        </w:rPr>
      </w:pPr>
    </w:p>
    <w:p w14:paraId="17F878EB">
      <w:pPr>
        <w:pStyle w:val="19"/>
        <w:spacing w:line="500" w:lineRule="exact"/>
        <w:jc w:val="center"/>
        <w:rPr>
          <w:rFonts w:ascii="Times New Roman"/>
          <w:sz w:val="32"/>
          <w:szCs w:val="32"/>
        </w:rPr>
      </w:pPr>
    </w:p>
    <w:p w14:paraId="47E17B3E">
      <w:pPr>
        <w:pStyle w:val="19"/>
        <w:spacing w:line="240" w:lineRule="atLeast"/>
        <w:jc w:val="center"/>
        <w:rPr>
          <w:rFonts w:ascii="Times New Roman"/>
          <w:sz w:val="72"/>
          <w:szCs w:val="72"/>
        </w:rPr>
      </w:pPr>
      <w:r>
        <w:rPr>
          <w:rFonts w:ascii="Times New Roman"/>
          <w:sz w:val="72"/>
          <w:szCs w:val="72"/>
        </w:rPr>
        <w:t>投 标 文 件</w:t>
      </w:r>
    </w:p>
    <w:p w14:paraId="0129D588">
      <w:pPr>
        <w:pStyle w:val="19"/>
        <w:spacing w:line="500" w:lineRule="exact"/>
        <w:jc w:val="center"/>
        <w:rPr>
          <w:rFonts w:ascii="Times New Roman"/>
          <w:sz w:val="72"/>
          <w:szCs w:val="72"/>
        </w:rPr>
      </w:pPr>
    </w:p>
    <w:p w14:paraId="353946A5">
      <w:pPr>
        <w:pStyle w:val="19"/>
        <w:spacing w:line="500" w:lineRule="exact"/>
        <w:jc w:val="center"/>
        <w:rPr>
          <w:rFonts w:ascii="Times New Roman"/>
          <w:sz w:val="72"/>
          <w:szCs w:val="72"/>
        </w:rPr>
      </w:pPr>
    </w:p>
    <w:p w14:paraId="6170195E">
      <w:pPr>
        <w:pStyle w:val="19"/>
        <w:spacing w:line="500" w:lineRule="exact"/>
        <w:jc w:val="center"/>
        <w:rPr>
          <w:rFonts w:ascii="Times New Roman"/>
          <w:sz w:val="72"/>
          <w:szCs w:val="72"/>
        </w:rPr>
      </w:pPr>
    </w:p>
    <w:p w14:paraId="660A913B">
      <w:pPr>
        <w:pStyle w:val="19"/>
        <w:spacing w:line="500" w:lineRule="exact"/>
        <w:jc w:val="center"/>
        <w:rPr>
          <w:rFonts w:ascii="Times New Roman"/>
          <w:sz w:val="72"/>
          <w:szCs w:val="72"/>
        </w:rPr>
      </w:pPr>
    </w:p>
    <w:p w14:paraId="48474787">
      <w:pPr>
        <w:pStyle w:val="19"/>
        <w:spacing w:line="500" w:lineRule="exact"/>
        <w:jc w:val="center"/>
        <w:rPr>
          <w:rFonts w:ascii="Times New Roman"/>
          <w:sz w:val="72"/>
          <w:szCs w:val="72"/>
        </w:rPr>
      </w:pPr>
    </w:p>
    <w:p w14:paraId="502E1701">
      <w:pPr>
        <w:spacing w:line="360" w:lineRule="auto"/>
        <w:ind w:firstLine="1620" w:firstLineChars="675"/>
        <w:rPr>
          <w:sz w:val="24"/>
        </w:rPr>
      </w:pPr>
      <w:r>
        <w:rPr>
          <w:sz w:val="24"/>
        </w:rPr>
        <w:t>投标人全称：</w:t>
      </w:r>
      <w:r>
        <w:rPr>
          <w:sz w:val="24"/>
          <w:u w:val="single"/>
        </w:rPr>
        <w:t xml:space="preserve">                                     </w:t>
      </w:r>
    </w:p>
    <w:p w14:paraId="67DB68E3">
      <w:pPr>
        <w:pStyle w:val="19"/>
        <w:spacing w:line="500" w:lineRule="exact"/>
        <w:ind w:firstLine="1620" w:firstLineChars="675"/>
        <w:rPr>
          <w:rFonts w:ascii="Times New Roman"/>
          <w:sz w:val="24"/>
        </w:rPr>
      </w:pPr>
      <w:r>
        <w:rPr>
          <w:rFonts w:ascii="Times New Roman"/>
          <w:sz w:val="24"/>
        </w:rPr>
        <w:t>法定代表人或其委托代理人：</w:t>
      </w:r>
      <w:r>
        <w:rPr>
          <w:rFonts w:ascii="Times New Roman"/>
          <w:sz w:val="24"/>
          <w:u w:val="single"/>
        </w:rPr>
        <w:t xml:space="preserve">                       </w:t>
      </w:r>
    </w:p>
    <w:p w14:paraId="1DA5A037">
      <w:pPr>
        <w:pStyle w:val="19"/>
        <w:snapToGrid w:val="0"/>
        <w:ind w:firstLine="1620" w:firstLineChars="675"/>
        <w:jc w:val="center"/>
        <w:rPr>
          <w:rFonts w:ascii="Times New Roman"/>
          <w:sz w:val="24"/>
        </w:rPr>
      </w:pPr>
      <w:r>
        <w:rPr>
          <w:rFonts w:ascii="Times New Roman"/>
          <w:sz w:val="24"/>
          <w:u w:val="single"/>
        </w:rPr>
        <w:t xml:space="preserve">                    </w:t>
      </w:r>
      <w:r>
        <w:rPr>
          <w:rFonts w:ascii="Times New Roman"/>
          <w:sz w:val="24"/>
        </w:rPr>
        <w:t>年</w:t>
      </w:r>
      <w:r>
        <w:rPr>
          <w:rFonts w:ascii="Times New Roman"/>
          <w:sz w:val="24"/>
          <w:u w:val="single"/>
        </w:rPr>
        <w:t xml:space="preserve">      </w:t>
      </w:r>
      <w:r>
        <w:rPr>
          <w:rFonts w:ascii="Times New Roman"/>
          <w:sz w:val="24"/>
        </w:rPr>
        <w:t>月</w:t>
      </w:r>
      <w:r>
        <w:rPr>
          <w:rFonts w:ascii="Times New Roman"/>
          <w:sz w:val="24"/>
          <w:u w:val="single"/>
        </w:rPr>
        <w:t xml:space="preserve">    </w:t>
      </w:r>
      <w:r>
        <w:rPr>
          <w:rFonts w:ascii="Times New Roman"/>
          <w:sz w:val="24"/>
        </w:rPr>
        <w:t>日</w:t>
      </w:r>
    </w:p>
    <w:p w14:paraId="4EBF4F57">
      <w:pPr>
        <w:pStyle w:val="19"/>
        <w:snapToGrid w:val="0"/>
        <w:ind w:firstLine="1620" w:firstLineChars="675"/>
        <w:jc w:val="center"/>
        <w:rPr>
          <w:rFonts w:ascii="Times New Roman"/>
          <w:sz w:val="24"/>
        </w:rPr>
      </w:pPr>
    </w:p>
    <w:p w14:paraId="6743EBE3">
      <w:pPr>
        <w:pStyle w:val="19"/>
        <w:snapToGrid w:val="0"/>
        <w:ind w:firstLine="1620" w:firstLineChars="675"/>
        <w:jc w:val="center"/>
        <w:rPr>
          <w:rFonts w:ascii="Times New Roman"/>
          <w:sz w:val="24"/>
        </w:rPr>
      </w:pPr>
    </w:p>
    <w:p w14:paraId="5723A154">
      <w:pPr>
        <w:pStyle w:val="157"/>
        <w:ind w:left="780" w:hanging="360"/>
        <w:jc w:val="left"/>
        <w:rPr>
          <w:rFonts w:ascii="Times New Roman"/>
          <w:b w:val="0"/>
          <w:bCs w:val="0"/>
          <w:spacing w:val="0"/>
          <w:sz w:val="18"/>
          <w:szCs w:val="18"/>
        </w:rPr>
      </w:pPr>
      <w:r>
        <w:rPr>
          <w:rFonts w:ascii="Times New Roman"/>
          <w:b w:val="0"/>
          <w:bCs w:val="0"/>
          <w:spacing w:val="0"/>
          <w:sz w:val="18"/>
          <w:szCs w:val="18"/>
        </w:rPr>
        <w:t>注：投标人可以根据企业自身情况编制投标文件封面，封面格式不做强制性要求，投标人参照执行即可。</w:t>
      </w:r>
    </w:p>
    <w:p w14:paraId="537816E8">
      <w:pPr>
        <w:pStyle w:val="157"/>
        <w:ind w:left="780" w:hanging="360"/>
        <w:jc w:val="left"/>
        <w:rPr>
          <w:rFonts w:ascii="Times New Roman"/>
          <w:b w:val="0"/>
          <w:bCs w:val="0"/>
          <w:spacing w:val="0"/>
          <w:sz w:val="18"/>
          <w:szCs w:val="18"/>
        </w:rPr>
      </w:pPr>
    </w:p>
    <w:p w14:paraId="329EB121">
      <w:pPr>
        <w:pStyle w:val="157"/>
        <w:ind w:left="780" w:hanging="360"/>
        <w:jc w:val="left"/>
        <w:rPr>
          <w:rFonts w:ascii="Times New Roman"/>
          <w:b w:val="0"/>
          <w:bCs w:val="0"/>
          <w:spacing w:val="0"/>
          <w:sz w:val="18"/>
          <w:szCs w:val="18"/>
        </w:rPr>
      </w:pPr>
    </w:p>
    <w:p w14:paraId="7BB79089">
      <w:pPr>
        <w:pStyle w:val="157"/>
        <w:ind w:left="780" w:hanging="360"/>
        <w:jc w:val="left"/>
        <w:rPr>
          <w:rFonts w:ascii="Times New Roman"/>
          <w:b w:val="0"/>
          <w:bCs w:val="0"/>
          <w:spacing w:val="0"/>
          <w:sz w:val="18"/>
          <w:szCs w:val="18"/>
        </w:rPr>
      </w:pPr>
    </w:p>
    <w:p w14:paraId="139B2B0B">
      <w:pPr>
        <w:pStyle w:val="157"/>
        <w:ind w:left="780" w:hanging="360"/>
        <w:jc w:val="left"/>
        <w:rPr>
          <w:rFonts w:ascii="Times New Roman"/>
          <w:b w:val="0"/>
          <w:bCs w:val="0"/>
          <w:spacing w:val="0"/>
          <w:sz w:val="18"/>
          <w:szCs w:val="18"/>
        </w:rPr>
      </w:pPr>
    </w:p>
    <w:p w14:paraId="4D278217">
      <w:pPr>
        <w:pStyle w:val="157"/>
        <w:ind w:left="780" w:hanging="360"/>
        <w:jc w:val="left"/>
        <w:rPr>
          <w:rFonts w:ascii="Times New Roman"/>
          <w:b w:val="0"/>
          <w:bCs w:val="0"/>
          <w:spacing w:val="0"/>
          <w:sz w:val="18"/>
          <w:szCs w:val="18"/>
        </w:rPr>
      </w:pPr>
    </w:p>
    <w:p w14:paraId="685C4637">
      <w:pPr>
        <w:pStyle w:val="157"/>
        <w:ind w:left="780" w:hanging="360"/>
        <w:jc w:val="left"/>
        <w:rPr>
          <w:rFonts w:ascii="Times New Roman"/>
          <w:b w:val="0"/>
          <w:bCs w:val="0"/>
          <w:spacing w:val="0"/>
          <w:sz w:val="18"/>
          <w:szCs w:val="18"/>
        </w:rPr>
      </w:pPr>
    </w:p>
    <w:p w14:paraId="0731BF10">
      <w:pPr>
        <w:pStyle w:val="157"/>
        <w:ind w:left="780" w:hanging="360"/>
        <w:jc w:val="left"/>
        <w:rPr>
          <w:rFonts w:ascii="Times New Roman"/>
          <w:b w:val="0"/>
          <w:bCs w:val="0"/>
          <w:spacing w:val="0"/>
          <w:sz w:val="18"/>
          <w:szCs w:val="18"/>
        </w:rPr>
      </w:pPr>
    </w:p>
    <w:p w14:paraId="28D38EAA">
      <w:pPr>
        <w:pStyle w:val="157"/>
        <w:ind w:left="780" w:hanging="360"/>
        <w:jc w:val="left"/>
        <w:rPr>
          <w:rFonts w:ascii="Times New Roman"/>
          <w:b w:val="0"/>
          <w:bCs w:val="0"/>
          <w:spacing w:val="0"/>
          <w:sz w:val="18"/>
          <w:szCs w:val="18"/>
        </w:rPr>
      </w:pPr>
    </w:p>
    <w:p w14:paraId="4D172CF3">
      <w:pPr>
        <w:pStyle w:val="2"/>
        <w:adjustRightInd/>
        <w:spacing w:before="0" w:line="600" w:lineRule="exact"/>
        <w:jc w:val="center"/>
        <w:textAlignment w:val="auto"/>
        <w:rPr>
          <w:rFonts w:ascii="方正小标宋简体" w:hAnsi="方正小标宋简体" w:eastAsia="方正小标宋简体" w:cs="方正小标宋简体"/>
          <w:b w:val="0"/>
          <w:sz w:val="44"/>
          <w:szCs w:val="44"/>
        </w:rPr>
      </w:pPr>
      <w:r>
        <w:rPr>
          <w:rFonts w:hint="eastAsia" w:ascii="方正小标宋简体" w:hAnsi="方正小标宋简体" w:eastAsia="方正小标宋简体" w:cs="方正小标宋简体"/>
          <w:b w:val="0"/>
          <w:sz w:val="44"/>
          <w:szCs w:val="44"/>
        </w:rPr>
        <w:t>报价函</w:t>
      </w:r>
    </w:p>
    <w:p w14:paraId="532B3C41">
      <w:pPr>
        <w:tabs>
          <w:tab w:val="left" w:pos="180"/>
        </w:tabs>
        <w:spacing w:line="600" w:lineRule="exact"/>
        <w:rPr>
          <w:rFonts w:ascii="方正仿宋简体" w:hAnsi="方正仿宋简体" w:eastAsia="方正仿宋简体" w:cs="方正仿宋简体"/>
          <w:kern w:val="1"/>
          <w:sz w:val="32"/>
          <w:szCs w:val="32"/>
        </w:rPr>
      </w:pPr>
    </w:p>
    <w:p w14:paraId="18BE661C">
      <w:pPr>
        <w:tabs>
          <w:tab w:val="left" w:pos="180"/>
        </w:tabs>
        <w:spacing w:line="600" w:lineRule="exac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镇江海纳川物流产业发展有限责任公司：</w:t>
      </w:r>
    </w:p>
    <w:p w14:paraId="2542B24B">
      <w:pPr>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投标人全称：</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；授权全权代表姓名：</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为全权代表，参加贵方组织的招标有关活动，并对该项目进行投标。</w:t>
      </w:r>
    </w:p>
    <w:p w14:paraId="24CF8F5A">
      <w:pPr>
        <w:spacing w:line="600" w:lineRule="exact"/>
        <w:ind w:firstLine="640" w:firstLineChars="200"/>
        <w:jc w:val="left"/>
        <w:rPr>
          <w:rFonts w:ascii="方正仿宋简体" w:hAnsi="方正仿宋简体" w:eastAsia="方正仿宋简体" w:cs="方正仿宋简体"/>
          <w:color w:val="FF0000"/>
          <w:kern w:val="1"/>
          <w:sz w:val="32"/>
          <w:szCs w:val="32"/>
        </w:rPr>
      </w:pPr>
      <w:r>
        <w:rPr>
          <w:rFonts w:hint="eastAsia" w:ascii="方正仿宋简体" w:hAnsi="方正仿宋简体" w:eastAsia="方正仿宋简体" w:cs="方正仿宋简体"/>
          <w:kern w:val="1"/>
          <w:sz w:val="32"/>
          <w:szCs w:val="32"/>
        </w:rPr>
        <w:t>一、投标项目的总投标价（含税）为</w:t>
      </w:r>
      <w:r>
        <w:rPr>
          <w:rFonts w:hint="eastAsia" w:ascii="方正仿宋简体" w:hAnsi="方正仿宋简体" w:eastAsia="方正仿宋简体" w:cs="方正仿宋简体"/>
          <w:kern w:val="1"/>
          <w:sz w:val="32"/>
          <w:szCs w:val="32"/>
          <w:u w:val="single"/>
        </w:rPr>
        <w:softHyphen/>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(大写）元人民币；税率</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w:t>
      </w:r>
    </w:p>
    <w:p w14:paraId="6721ECFC">
      <w:pPr>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二、报价格式</w:t>
      </w:r>
    </w:p>
    <w:tbl>
      <w:tblPr>
        <w:tblStyle w:val="52"/>
        <w:tblW w:w="8257" w:type="dxa"/>
        <w:jc w:val="center"/>
        <w:tblLayout w:type="fixed"/>
        <w:tblCellMar>
          <w:top w:w="0" w:type="dxa"/>
          <w:left w:w="108" w:type="dxa"/>
          <w:bottom w:w="0" w:type="dxa"/>
          <w:right w:w="108" w:type="dxa"/>
        </w:tblCellMar>
      </w:tblPr>
      <w:tblGrid>
        <w:gridCol w:w="5305"/>
        <w:gridCol w:w="2952"/>
      </w:tblGrid>
      <w:tr w14:paraId="33D56548">
        <w:tblPrEx>
          <w:tblCellMar>
            <w:top w:w="0" w:type="dxa"/>
            <w:left w:w="108" w:type="dxa"/>
            <w:bottom w:w="0" w:type="dxa"/>
            <w:right w:w="108" w:type="dxa"/>
          </w:tblCellMar>
        </w:tblPrEx>
        <w:trPr>
          <w:trHeight w:val="652" w:hRule="atLeast"/>
          <w:jc w:val="center"/>
        </w:trPr>
        <w:tc>
          <w:tcPr>
            <w:tcW w:w="5305" w:type="dxa"/>
            <w:tcBorders>
              <w:top w:val="single" w:color="000000" w:sz="8" w:space="0"/>
              <w:left w:val="single" w:color="000000" w:sz="8" w:space="0"/>
              <w:bottom w:val="nil"/>
              <w:right w:val="single" w:color="000000" w:sz="8" w:space="0"/>
            </w:tcBorders>
            <w:vAlign w:val="center"/>
          </w:tcPr>
          <w:p w14:paraId="5DA6C173">
            <w:pPr>
              <w:widowControl/>
              <w:spacing w:line="300" w:lineRule="exact"/>
              <w:jc w:val="center"/>
              <w:textAlignment w:val="center"/>
              <w:rPr>
                <w:rFonts w:ascii="方正仿宋简体" w:hAnsi="方正仿宋简体" w:eastAsia="方正仿宋简体" w:cs="方正仿宋简体"/>
                <w:color w:val="000000"/>
                <w:sz w:val="32"/>
                <w:szCs w:val="32"/>
              </w:rPr>
            </w:pPr>
            <w:r>
              <w:rPr>
                <w:rFonts w:hint="eastAsia" w:ascii="方正仿宋简体" w:hAnsi="方正仿宋简体" w:eastAsia="方正仿宋简体" w:cs="方正仿宋简体"/>
                <w:color w:val="000000"/>
                <w:sz w:val="32"/>
                <w:szCs w:val="32"/>
              </w:rPr>
              <w:t>施工项目</w:t>
            </w:r>
          </w:p>
        </w:tc>
        <w:tc>
          <w:tcPr>
            <w:tcW w:w="2952" w:type="dxa"/>
            <w:tcBorders>
              <w:top w:val="single" w:color="000000" w:sz="8" w:space="0"/>
              <w:left w:val="nil"/>
              <w:bottom w:val="nil"/>
              <w:right w:val="single" w:color="000000" w:sz="8" w:space="0"/>
            </w:tcBorders>
            <w:vAlign w:val="center"/>
          </w:tcPr>
          <w:p w14:paraId="50734FD9">
            <w:pPr>
              <w:widowControl/>
              <w:spacing w:line="300" w:lineRule="exact"/>
              <w:jc w:val="center"/>
              <w:textAlignment w:val="center"/>
              <w:rPr>
                <w:rFonts w:ascii="方正仿宋简体" w:hAnsi="方正仿宋简体" w:eastAsia="方正仿宋简体" w:cs="方正仿宋简体"/>
                <w:color w:val="000000"/>
                <w:sz w:val="32"/>
                <w:szCs w:val="32"/>
              </w:rPr>
            </w:pPr>
            <w:r>
              <w:rPr>
                <w:rFonts w:hint="eastAsia" w:ascii="方正仿宋简体" w:hAnsi="方正仿宋简体" w:eastAsia="方正仿宋简体" w:cs="方正仿宋简体"/>
                <w:kern w:val="1"/>
                <w:sz w:val="32"/>
                <w:szCs w:val="32"/>
              </w:rPr>
              <w:t>报价（元）</w:t>
            </w:r>
          </w:p>
        </w:tc>
      </w:tr>
      <w:tr w14:paraId="3FFE2B8D">
        <w:tblPrEx>
          <w:tblCellMar>
            <w:top w:w="0" w:type="dxa"/>
            <w:left w:w="108" w:type="dxa"/>
            <w:bottom w:w="0" w:type="dxa"/>
            <w:right w:w="108" w:type="dxa"/>
          </w:tblCellMar>
        </w:tblPrEx>
        <w:trPr>
          <w:trHeight w:val="662" w:hRule="atLeast"/>
          <w:jc w:val="center"/>
        </w:trPr>
        <w:tc>
          <w:tcPr>
            <w:tcW w:w="5305" w:type="dxa"/>
            <w:tcBorders>
              <w:top w:val="single" w:color="000000" w:sz="4" w:space="0"/>
              <w:left w:val="single" w:color="000000" w:sz="4" w:space="0"/>
              <w:bottom w:val="single" w:color="auto" w:sz="4" w:space="0"/>
              <w:right w:val="single" w:color="000000" w:sz="4" w:space="0"/>
            </w:tcBorders>
            <w:vAlign w:val="center"/>
          </w:tcPr>
          <w:p w14:paraId="7B7560B6">
            <w:pPr>
              <w:spacing w:line="600" w:lineRule="exact"/>
              <w:jc w:val="center"/>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消防提升改造</w:t>
            </w:r>
            <w:r>
              <w:rPr>
                <w:rFonts w:hint="eastAsia" w:ascii="方正仿宋_GBK" w:hAnsi="方正仿宋_GBK" w:eastAsia="方正仿宋_GBK" w:cs="方正仿宋_GBK"/>
                <w:sz w:val="32"/>
                <w:szCs w:val="32"/>
                <w:lang w:val="zh-CN"/>
              </w:rPr>
              <w:t>项目—</w:t>
            </w:r>
            <w:r>
              <w:rPr>
                <w:rFonts w:hint="eastAsia" w:ascii="方正仿宋_GBK" w:hAnsi="方正仿宋_GBK" w:eastAsia="方正仿宋_GBK" w:cs="方正仿宋_GBK"/>
                <w:sz w:val="32"/>
                <w:szCs w:val="32"/>
              </w:rPr>
              <w:t>土建施工</w:t>
            </w:r>
          </w:p>
        </w:tc>
        <w:tc>
          <w:tcPr>
            <w:tcW w:w="2952" w:type="dxa"/>
            <w:tcBorders>
              <w:top w:val="single" w:color="000000" w:sz="8" w:space="0"/>
              <w:left w:val="nil"/>
              <w:bottom w:val="single" w:color="auto" w:sz="4" w:space="0"/>
              <w:right w:val="single" w:color="000000" w:sz="8" w:space="0"/>
            </w:tcBorders>
            <w:noWrap/>
            <w:vAlign w:val="center"/>
          </w:tcPr>
          <w:p w14:paraId="2EE23478">
            <w:pPr>
              <w:widowControl/>
              <w:spacing w:line="300" w:lineRule="exact"/>
              <w:jc w:val="center"/>
              <w:textAlignment w:val="center"/>
              <w:rPr>
                <w:rFonts w:ascii="方正仿宋简体" w:hAnsi="方正仿宋简体" w:eastAsia="方正仿宋简体" w:cs="方正仿宋简体"/>
                <w:color w:val="000000"/>
                <w:kern w:val="0"/>
                <w:sz w:val="28"/>
                <w:szCs w:val="28"/>
              </w:rPr>
            </w:pPr>
          </w:p>
        </w:tc>
      </w:tr>
    </w:tbl>
    <w:p w14:paraId="777B9A84">
      <w:pPr>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按报价格式进行填报，每格均需填报。</w:t>
      </w:r>
    </w:p>
    <w:p w14:paraId="799A4EF5">
      <w:pPr>
        <w:pStyle w:val="18"/>
        <w:spacing w:line="600" w:lineRule="exact"/>
        <w:ind w:firstLine="640" w:firstLineChars="200"/>
        <w:rPr>
          <w:rFonts w:ascii="方正仿宋简体" w:hAnsi="方正仿宋简体" w:eastAsia="方正仿宋简体" w:cs="方正仿宋简体"/>
          <w:b w:val="0"/>
          <w:spacing w:val="0"/>
          <w:sz w:val="32"/>
          <w:szCs w:val="32"/>
          <w:u w:val="single"/>
        </w:rPr>
      </w:pPr>
      <w:r>
        <w:rPr>
          <w:rFonts w:hint="eastAsia" w:ascii="方正仿宋简体" w:hAnsi="方正仿宋简体" w:eastAsia="方正仿宋简体" w:cs="方正仿宋简体"/>
          <w:b w:val="0"/>
          <w:spacing w:val="0"/>
          <w:sz w:val="32"/>
          <w:szCs w:val="32"/>
        </w:rPr>
        <w:t>三、施工时间：</w:t>
      </w:r>
      <w:r>
        <w:rPr>
          <w:rFonts w:hint="eastAsia" w:ascii="方正仿宋简体" w:hAnsi="方正仿宋简体" w:eastAsia="方正仿宋简体" w:cs="方正仿宋简体"/>
          <w:b w:val="0"/>
          <w:spacing w:val="0"/>
          <w:sz w:val="32"/>
          <w:szCs w:val="32"/>
          <w:u w:val="single"/>
        </w:rPr>
        <w:t>合同签订且招标人具备施工条件后</w:t>
      </w:r>
      <w:r>
        <w:rPr>
          <w:rFonts w:hint="eastAsia" w:ascii="方正仿宋简体" w:hAnsi="方正仿宋简体" w:eastAsia="方正仿宋简体" w:cs="方正仿宋简体"/>
          <w:b w:val="0"/>
          <w:spacing w:val="0"/>
          <w:sz w:val="32"/>
          <w:szCs w:val="32"/>
          <w:highlight w:val="none"/>
          <w:u w:val="single"/>
          <w:lang w:val="en-US" w:eastAsia="zh-CN"/>
        </w:rPr>
        <w:t>100</w:t>
      </w:r>
      <w:r>
        <w:rPr>
          <w:rFonts w:ascii="方正仿宋简体" w:hAnsi="方正仿宋简体" w:eastAsia="方正仿宋简体" w:cs="方正仿宋简体"/>
          <w:b w:val="0"/>
          <w:spacing w:val="0"/>
          <w:sz w:val="32"/>
          <w:szCs w:val="32"/>
          <w:u w:val="single"/>
        </w:rPr>
        <w:t>天</w:t>
      </w:r>
      <w:r>
        <w:rPr>
          <w:rFonts w:hint="eastAsia" w:ascii="方正仿宋简体" w:hAnsi="方正仿宋简体" w:eastAsia="方正仿宋简体" w:cs="方正仿宋简体"/>
          <w:b w:val="0"/>
          <w:spacing w:val="0"/>
          <w:sz w:val="32"/>
          <w:szCs w:val="32"/>
          <w:u w:val="single"/>
        </w:rPr>
        <w:t>（</w:t>
      </w:r>
      <w:r>
        <w:rPr>
          <w:rFonts w:ascii="方正仿宋简体" w:hAnsi="方正仿宋简体" w:eastAsia="方正仿宋简体" w:cs="方正仿宋简体"/>
          <w:b w:val="0"/>
          <w:spacing w:val="0"/>
          <w:sz w:val="32"/>
          <w:szCs w:val="32"/>
          <w:u w:val="single"/>
        </w:rPr>
        <w:t>自然日</w:t>
      </w:r>
      <w:r>
        <w:rPr>
          <w:rFonts w:hint="eastAsia" w:ascii="方正仿宋简体" w:hAnsi="方正仿宋简体" w:eastAsia="方正仿宋简体" w:cs="方正仿宋简体"/>
          <w:b w:val="0"/>
          <w:spacing w:val="0"/>
          <w:sz w:val="32"/>
          <w:szCs w:val="32"/>
          <w:u w:val="single"/>
        </w:rPr>
        <w:t>）</w:t>
      </w:r>
      <w:r>
        <w:rPr>
          <w:rFonts w:ascii="方正仿宋简体" w:hAnsi="方正仿宋简体" w:eastAsia="方正仿宋简体" w:cs="方正仿宋简体"/>
          <w:b w:val="0"/>
          <w:spacing w:val="0"/>
          <w:sz w:val="32"/>
          <w:szCs w:val="32"/>
          <w:u w:val="single"/>
        </w:rPr>
        <w:t>内</w:t>
      </w:r>
      <w:r>
        <w:rPr>
          <w:rFonts w:hint="eastAsia" w:ascii="方正仿宋简体" w:hAnsi="方正仿宋简体" w:eastAsia="方正仿宋简体" w:cs="方正仿宋简体"/>
          <w:b w:val="0"/>
          <w:spacing w:val="0"/>
          <w:sz w:val="32"/>
          <w:szCs w:val="32"/>
          <w:u w:val="single"/>
        </w:rPr>
        <w:t>完成。</w:t>
      </w:r>
    </w:p>
    <w:p w14:paraId="53E2413E">
      <w:pPr>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四、我方承诺遵守招标文件中的全部规定。</w:t>
      </w:r>
    </w:p>
    <w:p w14:paraId="33494A3C">
      <w:pPr>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五、我方承诺中标后双方签订合同,并承担合同规定的责任义务。</w:t>
      </w:r>
    </w:p>
    <w:p w14:paraId="0606AFCD">
      <w:pPr>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sz w:val="32"/>
          <w:szCs w:val="32"/>
          <w:shd w:val="clear" w:color="auto" w:fill="FFFFFF"/>
        </w:rPr>
        <w:t>六、我方已详细审查全部招标文件，包括招标文件的补充文件（如有）。我方完全理解并同意放弃对这方面有不明及误解的权力，同时完全接受招标文件所有条款。如果招标文件有相互矛盾之处，我方同意按招标人的解释处理。</w:t>
      </w:r>
    </w:p>
    <w:p w14:paraId="692E20A0">
      <w:pPr>
        <w:spacing w:line="600" w:lineRule="exact"/>
        <w:ind w:firstLine="640" w:firstLineChars="200"/>
        <w:jc w:val="left"/>
        <w:rPr>
          <w:rFonts w:ascii="方正仿宋简体" w:hAnsi="方正仿宋简体" w:eastAsia="方正仿宋简体" w:cs="方正仿宋简体"/>
          <w:sz w:val="32"/>
          <w:szCs w:val="32"/>
          <w:shd w:val="clear" w:color="auto" w:fill="FFFFFF"/>
        </w:rPr>
      </w:pPr>
      <w:r>
        <w:rPr>
          <w:rFonts w:hint="eastAsia" w:ascii="方正仿宋简体" w:hAnsi="方正仿宋简体" w:eastAsia="方正仿宋简体" w:cs="方正仿宋简体"/>
          <w:kern w:val="1"/>
          <w:sz w:val="32"/>
          <w:szCs w:val="32"/>
        </w:rPr>
        <w:t>七、愿意向贵方提供任何与该项投标有关的数据、情况和技术资料，</w:t>
      </w:r>
      <w:r>
        <w:rPr>
          <w:rFonts w:hint="eastAsia" w:ascii="方正仿宋简体" w:hAnsi="方正仿宋简体" w:eastAsia="方正仿宋简体" w:cs="方正仿宋简体"/>
          <w:sz w:val="32"/>
          <w:szCs w:val="32"/>
          <w:shd w:val="clear" w:color="auto" w:fill="FFFFFF"/>
        </w:rPr>
        <w:t>完全理解贵方不一定接受最低价的报价或收到的任何报价。</w:t>
      </w:r>
    </w:p>
    <w:p w14:paraId="6B040697">
      <w:pPr>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 xml:space="preserve">八、投标人其他说明情况：               </w:t>
      </w:r>
    </w:p>
    <w:p w14:paraId="3242FE29">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全权代表：</w:t>
      </w:r>
    </w:p>
    <w:p w14:paraId="6429910A">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联系电话：</w:t>
      </w:r>
    </w:p>
    <w:p w14:paraId="02B02B8B">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投标人（盖章）：</w:t>
      </w:r>
    </w:p>
    <w:p w14:paraId="0A0C68BB">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日期：</w:t>
      </w:r>
    </w:p>
    <w:p w14:paraId="6B350159">
      <w:pPr>
        <w:spacing w:line="600" w:lineRule="exact"/>
        <w:jc w:val="left"/>
        <w:rPr>
          <w:rFonts w:ascii="方正仿宋简体" w:hAnsi="方正仿宋简体" w:eastAsia="方正仿宋简体" w:cs="方正仿宋简体"/>
          <w:kern w:val="1"/>
          <w:sz w:val="32"/>
          <w:szCs w:val="32"/>
        </w:rPr>
      </w:pPr>
    </w:p>
    <w:p w14:paraId="3BBA570C">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注：</w:t>
      </w:r>
    </w:p>
    <w:p w14:paraId="04EE6A99">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1.此表应放于投标文件封面后第一页。</w:t>
      </w:r>
    </w:p>
    <w:p w14:paraId="4A10D76E">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2.不按照该格式填写或填写不全导致投标被否决的风险由投标人承担。</w:t>
      </w:r>
    </w:p>
    <w:p w14:paraId="4BDA6DD4">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3.本处投标总价的金额应与“投标函”中的投标总价、“投标报价组成表”中的合计金额相同。</w:t>
      </w:r>
    </w:p>
    <w:p w14:paraId="4B6DB07C">
      <w:pPr>
        <w:spacing w:line="600" w:lineRule="exact"/>
        <w:jc w:val="left"/>
        <w:rPr>
          <w:rFonts w:ascii="方正仿宋简体" w:hAnsi="方正仿宋简体" w:eastAsia="方正仿宋简体" w:cs="方正仿宋简体"/>
          <w:kern w:val="1"/>
          <w:sz w:val="32"/>
          <w:szCs w:val="32"/>
        </w:rPr>
      </w:pPr>
    </w:p>
    <w:p w14:paraId="23299805">
      <w:pPr>
        <w:pStyle w:val="157"/>
        <w:rPr>
          <w:rFonts w:ascii="Times New Roman"/>
          <w:b w:val="0"/>
          <w:bCs w:val="0"/>
          <w:spacing w:val="0"/>
          <w:sz w:val="18"/>
          <w:szCs w:val="18"/>
        </w:rPr>
      </w:pPr>
      <w:r>
        <w:rPr>
          <w:rFonts w:ascii="Times New Roman"/>
          <w:b w:val="0"/>
          <w:bCs w:val="0"/>
          <w:iCs/>
          <w:spacing w:val="0"/>
          <w:kern w:val="0"/>
          <w:lang w:bidi="en-US"/>
        </w:rPr>
        <w:br w:type="page"/>
      </w:r>
    </w:p>
    <w:p w14:paraId="7A124F2E">
      <w:pPr>
        <w:pStyle w:val="157"/>
        <w:rPr>
          <w:rFonts w:ascii="Times New Roman"/>
          <w:b w:val="0"/>
          <w:bCs w:val="0"/>
          <w:iCs/>
          <w:spacing w:val="0"/>
          <w:kern w:val="0"/>
          <w:sz w:val="44"/>
          <w:szCs w:val="44"/>
          <w:lang w:bidi="en-US"/>
        </w:rPr>
      </w:pPr>
      <w:r>
        <w:rPr>
          <w:rFonts w:ascii="Times New Roman"/>
          <w:b w:val="0"/>
          <w:bCs w:val="0"/>
          <w:iCs/>
          <w:spacing w:val="0"/>
          <w:kern w:val="0"/>
          <w:sz w:val="44"/>
          <w:szCs w:val="44"/>
          <w:lang w:bidi="en-US"/>
        </w:rPr>
        <w:t>目    录</w:t>
      </w:r>
    </w:p>
    <w:p w14:paraId="175B8972">
      <w:pPr>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w:t>
      </w:r>
    </w:p>
    <w:p w14:paraId="460EA236">
      <w:pPr>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w:t>
      </w:r>
    </w:p>
    <w:p w14:paraId="5A25AC96">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注：请根据招标文件要求并结合投标文件组成情况编制目录，评标办法所明确得分点处应提供的资料，均应编制目录，以便于评审查阅。</w:t>
      </w:r>
    </w:p>
    <w:p w14:paraId="6A25F750">
      <w:pPr>
        <w:pStyle w:val="19"/>
        <w:snapToGrid w:val="0"/>
        <w:ind w:firstLine="1417" w:firstLineChars="675"/>
        <w:jc w:val="center"/>
        <w:rPr>
          <w:rFonts w:ascii="Times New Roman"/>
          <w:sz w:val="24"/>
        </w:rPr>
      </w:pPr>
      <w:r>
        <w:rPr>
          <w:rFonts w:ascii="Times New Roman"/>
          <w:kern w:val="0"/>
          <w:lang w:bidi="en-US"/>
        </w:rPr>
        <w:br w:type="page"/>
      </w:r>
    </w:p>
    <w:p w14:paraId="0F3289B3">
      <w:pPr>
        <w:pStyle w:val="19"/>
        <w:snapToGrid w:val="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格式1：</w:t>
      </w:r>
    </w:p>
    <w:p w14:paraId="44E7EEDD">
      <w:pPr>
        <w:pStyle w:val="3"/>
        <w:spacing w:line="560" w:lineRule="exact"/>
        <w:ind w:left="425"/>
        <w:jc w:val="center"/>
        <w:rPr>
          <w:rFonts w:ascii="方正小标宋简体" w:hAnsi="方正小标宋简体" w:eastAsia="方正小标宋简体" w:cs="方正小标宋简体"/>
          <w:sz w:val="32"/>
          <w:szCs w:val="21"/>
        </w:rPr>
      </w:pPr>
      <w:bookmarkStart w:id="36" w:name="_Toc28981"/>
      <w:bookmarkStart w:id="37" w:name="_Toc20931"/>
      <w:bookmarkStart w:id="38" w:name="_Toc7539"/>
      <w:bookmarkStart w:id="39" w:name="_Toc18172"/>
      <w:bookmarkStart w:id="40" w:name="_Toc9505"/>
      <w:bookmarkStart w:id="41" w:name="_Toc20468"/>
      <w:bookmarkStart w:id="42" w:name="_Toc14627"/>
      <w:bookmarkStart w:id="43" w:name="_Toc19596"/>
      <w:r>
        <w:rPr>
          <w:rFonts w:hint="eastAsia" w:ascii="方正小标宋简体" w:hAnsi="方正小标宋简体" w:eastAsia="方正小标宋简体" w:cs="方正小标宋简体"/>
          <w:b w:val="0"/>
          <w:sz w:val="40"/>
          <w:szCs w:val="40"/>
        </w:rPr>
        <w:t>投标函</w:t>
      </w:r>
      <w:bookmarkEnd w:id="36"/>
      <w:bookmarkEnd w:id="37"/>
      <w:bookmarkEnd w:id="38"/>
      <w:bookmarkEnd w:id="39"/>
      <w:bookmarkEnd w:id="40"/>
      <w:bookmarkEnd w:id="41"/>
      <w:bookmarkEnd w:id="42"/>
      <w:bookmarkEnd w:id="43"/>
    </w:p>
    <w:p w14:paraId="5FB30B44">
      <w:pPr>
        <w:spacing w:line="560" w:lineRule="exact"/>
        <w:rPr>
          <w:rFonts w:ascii="方正仿宋_GBK" w:hAnsi="方正仿宋_GBK" w:eastAsia="方正仿宋_GBK" w:cs="方正仿宋_GBK"/>
          <w:sz w:val="28"/>
          <w:szCs w:val="28"/>
          <w:u w:val="single"/>
        </w:rPr>
      </w:pPr>
      <w:r>
        <w:rPr>
          <w:rFonts w:hint="eastAsia" w:ascii="方正仿宋_GBK" w:hAnsi="方正仿宋_GBK" w:eastAsia="方正仿宋_GBK" w:cs="方正仿宋_GBK"/>
          <w:sz w:val="28"/>
          <w:szCs w:val="28"/>
        </w:rPr>
        <w:t>招标人:</w:t>
      </w:r>
      <w:r>
        <w:rPr>
          <w:rFonts w:hint="eastAsia" w:ascii="方正仿宋_GBK" w:hAnsi="方正仿宋_GBK" w:eastAsia="方正仿宋_GBK" w:cs="方正仿宋_GBK"/>
          <w:sz w:val="28"/>
          <w:szCs w:val="28"/>
          <w:u w:val="single"/>
        </w:rPr>
        <w:t xml:space="preserve">                     </w:t>
      </w:r>
    </w:p>
    <w:p w14:paraId="5C7E9552">
      <w:pPr>
        <w:numPr>
          <w:ilvl w:val="0"/>
          <w:numId w:val="11"/>
        </w:numPr>
        <w:spacing w:line="56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根据已收到的</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的招标文件，我单位经现场踏勘考察和研究上述工程招标文件的投标须知、合同条件、技术规范、图纸和其他有关文件后，我方愿以人民币</w:t>
      </w:r>
      <w:r>
        <w:rPr>
          <w:rFonts w:hint="eastAsia" w:ascii="方正仿宋_GBK" w:hAnsi="方正仿宋_GBK" w:eastAsia="方正仿宋_GBK" w:cs="方正仿宋_GBK"/>
          <w:sz w:val="28"/>
          <w:szCs w:val="28"/>
          <w:u w:val="single"/>
        </w:rPr>
        <w:t xml:space="preserve">   （小写          ）</w:t>
      </w:r>
      <w:r>
        <w:rPr>
          <w:rFonts w:hint="eastAsia" w:ascii="方正仿宋_GBK" w:hAnsi="方正仿宋_GBK" w:eastAsia="方正仿宋_GBK" w:cs="方正仿宋_GBK"/>
          <w:sz w:val="28"/>
          <w:szCs w:val="28"/>
        </w:rPr>
        <w:t>元的总价。按上述合同条件、技术规范、图纸的条件承包本次招标范围内的全部工程。</w:t>
      </w:r>
    </w:p>
    <w:p w14:paraId="358817AC">
      <w:pPr>
        <w:numPr>
          <w:ilvl w:val="0"/>
          <w:numId w:val="11"/>
        </w:numPr>
        <w:spacing w:line="56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一旦我方中标，我单位保证在收到贵单位发出的书面开工令后立即开工，并在</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天(日历天)内竣工并移交整个工程，同时保证满足总承包及甲方其他专业分包对本工程工期的要求。</w:t>
      </w:r>
    </w:p>
    <w:p w14:paraId="68BBD2CD">
      <w:pPr>
        <w:numPr>
          <w:ilvl w:val="0"/>
          <w:numId w:val="11"/>
        </w:numPr>
        <w:spacing w:line="56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我单位保证本工程质量达到</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w:t>
      </w:r>
    </w:p>
    <w:p w14:paraId="08F0BDDC">
      <w:pPr>
        <w:numPr>
          <w:ilvl w:val="0"/>
          <w:numId w:val="11"/>
        </w:numPr>
        <w:spacing w:line="56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如果我方中标，我方将按照规定提交安全保证金，承担应承担的全部安全责任。</w:t>
      </w:r>
    </w:p>
    <w:p w14:paraId="69D09025">
      <w:pPr>
        <w:numPr>
          <w:ilvl w:val="0"/>
          <w:numId w:val="11"/>
        </w:numPr>
        <w:spacing w:line="56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如果我方中标，将派出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(现场施工负责人姓名)作为本工程的现场施工负责人。</w:t>
      </w:r>
    </w:p>
    <w:p w14:paraId="3E285ABC">
      <w:pPr>
        <w:numPr>
          <w:ilvl w:val="0"/>
          <w:numId w:val="11"/>
        </w:numPr>
        <w:spacing w:line="56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我方接受招标文件中的工程款预付及支付条件。</w:t>
      </w:r>
    </w:p>
    <w:p w14:paraId="43919106">
      <w:pPr>
        <w:numPr>
          <w:ilvl w:val="0"/>
          <w:numId w:val="11"/>
        </w:numPr>
        <w:spacing w:line="56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除非另外达成协议并生效，你方的中标通知书和本投标文件将构成约束我们双方的合同。</w:t>
      </w:r>
    </w:p>
    <w:p w14:paraId="63ECAD7C">
      <w:pPr>
        <w:spacing w:line="560" w:lineRule="exact"/>
        <w:ind w:firstLine="560" w:firstLineChars="200"/>
        <w:rPr>
          <w:rFonts w:ascii="方正仿宋_GBK" w:hAnsi="方正仿宋_GBK" w:eastAsia="方正仿宋_GBK" w:cs="方正仿宋_GBK"/>
          <w:sz w:val="28"/>
          <w:szCs w:val="28"/>
        </w:rPr>
      </w:pPr>
    </w:p>
    <w:p w14:paraId="4412F6D6">
      <w:pPr>
        <w:pStyle w:val="19"/>
        <w:spacing w:line="560" w:lineRule="exact"/>
        <w:ind w:firstLine="42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与本投标有关的正式通讯地址为：</w:t>
      </w:r>
    </w:p>
    <w:p w14:paraId="6C239BD4">
      <w:pPr>
        <w:pStyle w:val="19"/>
        <w:spacing w:line="560" w:lineRule="exact"/>
        <w:ind w:firstLine="42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地址：</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 xml:space="preserve"> 邮政编码：</w:t>
      </w:r>
      <w:r>
        <w:rPr>
          <w:rFonts w:hint="eastAsia" w:ascii="方正仿宋_GBK" w:hAnsi="方正仿宋_GBK" w:eastAsia="方正仿宋_GBK" w:cs="方正仿宋_GBK"/>
          <w:sz w:val="28"/>
          <w:szCs w:val="28"/>
          <w:u w:val="single"/>
        </w:rPr>
        <w:t xml:space="preserve">                  </w:t>
      </w:r>
    </w:p>
    <w:p w14:paraId="3E721204">
      <w:pPr>
        <w:pStyle w:val="19"/>
        <w:spacing w:line="560" w:lineRule="exact"/>
        <w:ind w:firstLine="42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电话：</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传真：</w:t>
      </w:r>
      <w:r>
        <w:rPr>
          <w:rFonts w:hint="eastAsia" w:ascii="方正仿宋_GBK" w:hAnsi="方正仿宋_GBK" w:eastAsia="方正仿宋_GBK" w:cs="方正仿宋_GBK"/>
          <w:sz w:val="28"/>
          <w:szCs w:val="28"/>
          <w:u w:val="single"/>
        </w:rPr>
        <w:t>　　　　　　　　　　　</w:t>
      </w:r>
    </w:p>
    <w:p w14:paraId="07FB0523">
      <w:pPr>
        <w:pStyle w:val="19"/>
        <w:spacing w:line="560" w:lineRule="exact"/>
        <w:ind w:firstLine="420"/>
        <w:rPr>
          <w:rFonts w:ascii="方正仿宋_GBK" w:hAnsi="方正仿宋_GBK" w:eastAsia="方正仿宋_GBK" w:cs="方正仿宋_GBK"/>
          <w:sz w:val="28"/>
          <w:szCs w:val="28"/>
          <w:u w:val="single"/>
        </w:rPr>
      </w:pPr>
      <w:r>
        <w:rPr>
          <w:rFonts w:hint="eastAsia" w:ascii="方正仿宋_GBK" w:hAnsi="方正仿宋_GBK" w:eastAsia="方正仿宋_GBK" w:cs="方正仿宋_GBK"/>
          <w:sz w:val="28"/>
          <w:szCs w:val="28"/>
        </w:rPr>
        <w:t>开户银行：</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帐号：</w:t>
      </w:r>
      <w:r>
        <w:rPr>
          <w:rFonts w:hint="eastAsia" w:ascii="方正仿宋_GBK" w:hAnsi="方正仿宋_GBK" w:eastAsia="方正仿宋_GBK" w:cs="方正仿宋_GBK"/>
          <w:sz w:val="28"/>
          <w:szCs w:val="28"/>
          <w:u w:val="single"/>
        </w:rPr>
        <w:t xml:space="preserve">                       </w:t>
      </w:r>
    </w:p>
    <w:p w14:paraId="656C528D">
      <w:pPr>
        <w:pStyle w:val="19"/>
        <w:spacing w:line="560" w:lineRule="exact"/>
        <w:ind w:firstLine="42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法定代表人或其委托代理人签字：</w:t>
      </w:r>
      <w:r>
        <w:rPr>
          <w:rFonts w:hint="eastAsia" w:ascii="方正仿宋_GBK" w:hAnsi="方正仿宋_GBK" w:eastAsia="方正仿宋_GBK" w:cs="方正仿宋_GBK"/>
          <w:sz w:val="28"/>
          <w:szCs w:val="28"/>
          <w:u w:val="single"/>
        </w:rPr>
        <w:t xml:space="preserve">                                </w:t>
      </w:r>
    </w:p>
    <w:p w14:paraId="4F01217D">
      <w:pPr>
        <w:pStyle w:val="19"/>
        <w:spacing w:line="560" w:lineRule="exact"/>
        <w:ind w:firstLine="420"/>
        <w:rPr>
          <w:rFonts w:ascii="方正仿宋_GBK" w:hAnsi="方正仿宋_GBK" w:eastAsia="方正仿宋_GBK" w:cs="方正仿宋_GBK"/>
          <w:sz w:val="28"/>
          <w:szCs w:val="28"/>
          <w:u w:val="single"/>
        </w:rPr>
      </w:pPr>
      <w:r>
        <w:rPr>
          <w:rFonts w:hint="eastAsia" w:ascii="方正仿宋_GBK" w:hAnsi="方正仿宋_GBK" w:eastAsia="方正仿宋_GBK" w:cs="方正仿宋_GBK"/>
          <w:sz w:val="28"/>
          <w:szCs w:val="28"/>
        </w:rPr>
        <w:t>投标人（盖单位公章）：</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投标日期：</w:t>
      </w:r>
      <w:r>
        <w:rPr>
          <w:rFonts w:hint="eastAsia" w:ascii="方正仿宋_GBK" w:hAnsi="方正仿宋_GBK" w:eastAsia="方正仿宋_GBK" w:cs="方正仿宋_GBK"/>
          <w:sz w:val="28"/>
          <w:szCs w:val="28"/>
          <w:u w:val="single"/>
        </w:rPr>
        <w:t xml:space="preserve">                   </w:t>
      </w:r>
    </w:p>
    <w:p w14:paraId="7D6FA1D7">
      <w:pPr>
        <w:pStyle w:val="19"/>
        <w:spacing w:line="560" w:lineRule="exact"/>
        <w:ind w:firstLine="420"/>
        <w:rPr>
          <w:rFonts w:ascii="方正仿宋_GBK" w:hAnsi="方正仿宋_GBK" w:eastAsia="方正仿宋_GBK" w:cs="方正仿宋_GBK"/>
          <w:sz w:val="28"/>
          <w:szCs w:val="28"/>
        </w:rPr>
      </w:pPr>
    </w:p>
    <w:p w14:paraId="7111C4B8">
      <w:pPr>
        <w:pStyle w:val="19"/>
        <w:spacing w:line="560" w:lineRule="exact"/>
        <w:ind w:firstLine="42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w:t>
      </w:r>
    </w:p>
    <w:p w14:paraId="5B57D0E0">
      <w:pPr>
        <w:pStyle w:val="19"/>
        <w:spacing w:line="560" w:lineRule="exact"/>
        <w:ind w:firstLine="42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1.本投标函必须完全响应，否则，投标文件将被拒绝。</w:t>
      </w:r>
    </w:p>
    <w:p w14:paraId="5087C002">
      <w:pPr>
        <w:pStyle w:val="19"/>
        <w:spacing w:line="560" w:lineRule="exact"/>
        <w:ind w:firstLine="42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2.本处的投标总价应与“开标（唱标）一览表”中的投标总价、“投标报价组成表”中的合计金额相同。</w:t>
      </w:r>
    </w:p>
    <w:p w14:paraId="095A1B12">
      <w:pPr>
        <w:pStyle w:val="19"/>
        <w:spacing w:line="276" w:lineRule="auto"/>
        <w:ind w:firstLine="420"/>
        <w:rPr>
          <w:rFonts w:ascii="Times New Roman"/>
          <w:sz w:val="24"/>
          <w:szCs w:val="24"/>
        </w:rPr>
      </w:pPr>
    </w:p>
    <w:p w14:paraId="78FFE624">
      <w:pPr>
        <w:pStyle w:val="19"/>
        <w:spacing w:line="360" w:lineRule="auto"/>
        <w:ind w:firstLine="420"/>
        <w:rPr>
          <w:rFonts w:ascii="Times New Roman"/>
          <w:sz w:val="24"/>
          <w:szCs w:val="24"/>
          <w:u w:val="single"/>
        </w:rPr>
        <w:sectPr>
          <w:pgSz w:w="11906" w:h="16838"/>
          <w:pgMar w:top="822" w:right="1134" w:bottom="822" w:left="1134" w:header="720" w:footer="567" w:gutter="0"/>
          <w:cols w:space="720" w:num="1"/>
          <w:titlePg/>
          <w:docGrid w:type="lines" w:linePitch="331" w:charSpace="0"/>
        </w:sectPr>
      </w:pPr>
    </w:p>
    <w:p w14:paraId="17A52697">
      <w:pPr>
        <w:pStyle w:val="19"/>
        <w:snapToGrid w:val="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格式2：</w:t>
      </w:r>
    </w:p>
    <w:p w14:paraId="35363E92">
      <w:pPr>
        <w:pStyle w:val="3"/>
        <w:ind w:left="425"/>
        <w:jc w:val="center"/>
        <w:rPr>
          <w:rFonts w:ascii="方正小标宋简体" w:hAnsi="方正小标宋简体" w:eastAsia="方正小标宋简体" w:cs="方正小标宋简体"/>
          <w:b w:val="0"/>
          <w:sz w:val="32"/>
          <w:szCs w:val="32"/>
        </w:rPr>
      </w:pPr>
      <w:r>
        <w:rPr>
          <w:rFonts w:hint="eastAsia" w:ascii="方正小标宋简体" w:hAnsi="方正小标宋简体" w:eastAsia="方正小标宋简体" w:cs="方正小标宋简体"/>
          <w:b w:val="0"/>
          <w:sz w:val="32"/>
          <w:szCs w:val="32"/>
        </w:rPr>
        <w:t>投标报价组成表</w:t>
      </w:r>
    </w:p>
    <w:p w14:paraId="67E4DEEF">
      <w:pPr>
        <w:rPr>
          <w:vanish/>
        </w:rPr>
      </w:pPr>
      <w:r>
        <w:rPr>
          <w:rFonts w:hint="eastAsia"/>
          <w:vanish/>
        </w:rPr>
        <w:t>详见招标工程量清单</w:t>
      </w:r>
    </w:p>
    <w:p w14:paraId="4C716001">
      <w:pPr>
        <w:rPr>
          <w:vanish/>
        </w:rPr>
      </w:pPr>
    </w:p>
    <w:p w14:paraId="666A6831">
      <w:pPr>
        <w:rPr>
          <w:vanish/>
        </w:rPr>
      </w:pPr>
    </w:p>
    <w:p w14:paraId="212565DE">
      <w:pPr>
        <w:rPr>
          <w:vanish/>
        </w:rPr>
      </w:pPr>
    </w:p>
    <w:p w14:paraId="76D1BC60">
      <w:pPr>
        <w:pStyle w:val="19"/>
        <w:ind w:firstLine="840" w:firstLineChars="400"/>
        <w:rPr>
          <w:rFonts w:ascii="Times New Roman"/>
        </w:rPr>
      </w:pPr>
    </w:p>
    <w:p w14:paraId="5DE3FDFB">
      <w:pPr>
        <w:pStyle w:val="19"/>
        <w:spacing w:line="500" w:lineRule="exact"/>
        <w:rPr>
          <w:rFonts w:ascii="Times New Roman"/>
          <w:szCs w:val="21"/>
        </w:rPr>
      </w:pPr>
      <w:r>
        <w:br w:type="page"/>
      </w:r>
      <w:r>
        <w:rPr>
          <w:rFonts w:hint="eastAsia" w:ascii="方正黑体_GBK" w:hAnsi="方正黑体_GBK" w:eastAsia="方正黑体_GBK" w:cs="方正黑体_GBK"/>
          <w:kern w:val="0"/>
          <w:sz w:val="32"/>
          <w:szCs w:val="32"/>
        </w:rPr>
        <w:t>格式3：</w:t>
      </w:r>
    </w:p>
    <w:p w14:paraId="06EF7057">
      <w:pPr>
        <w:pStyle w:val="3"/>
        <w:ind w:left="425"/>
        <w:jc w:val="center"/>
        <w:rPr>
          <w:rFonts w:ascii="方正小标宋简体" w:hAnsi="方正小标宋简体" w:eastAsia="方正小标宋简体" w:cs="方正小标宋简体"/>
          <w:b w:val="0"/>
          <w:sz w:val="32"/>
          <w:szCs w:val="32"/>
        </w:rPr>
      </w:pPr>
      <w:bookmarkStart w:id="44" w:name="_Toc23341"/>
      <w:bookmarkStart w:id="45" w:name="_Toc10993"/>
      <w:bookmarkStart w:id="46" w:name="_Toc15156"/>
      <w:bookmarkStart w:id="47" w:name="_Toc213141106"/>
      <w:bookmarkStart w:id="48" w:name="_Toc20514"/>
      <w:bookmarkStart w:id="49" w:name="_Toc4239"/>
      <w:bookmarkStart w:id="50" w:name="_Toc8681"/>
      <w:bookmarkStart w:id="51" w:name="_Toc1602"/>
      <w:bookmarkStart w:id="52" w:name="_Toc51288987"/>
      <w:bookmarkStart w:id="53" w:name="_Toc17506"/>
      <w:r>
        <w:rPr>
          <w:rFonts w:hint="eastAsia" w:ascii="方正小标宋简体" w:hAnsi="方正小标宋简体" w:eastAsia="方正小标宋简体" w:cs="方正小标宋简体"/>
          <w:b w:val="0"/>
          <w:sz w:val="32"/>
          <w:szCs w:val="32"/>
        </w:rPr>
        <w:t>法定代表人身份证明书</w:t>
      </w:r>
      <w:bookmarkEnd w:id="44"/>
      <w:bookmarkEnd w:id="45"/>
      <w:bookmarkEnd w:id="46"/>
      <w:bookmarkEnd w:id="47"/>
      <w:bookmarkEnd w:id="48"/>
      <w:bookmarkEnd w:id="49"/>
      <w:bookmarkEnd w:id="50"/>
      <w:bookmarkEnd w:id="51"/>
      <w:bookmarkEnd w:id="52"/>
      <w:bookmarkEnd w:id="53"/>
    </w:p>
    <w:p w14:paraId="02641051">
      <w:pPr>
        <w:spacing w:line="360" w:lineRule="auto"/>
        <w:rPr>
          <w:sz w:val="24"/>
        </w:rPr>
      </w:pPr>
    </w:p>
    <w:p w14:paraId="4728C006">
      <w:pPr>
        <w:spacing w:line="600" w:lineRule="exact"/>
        <w:ind w:firstLine="484" w:firstLineChars="202"/>
        <w:rPr>
          <w:sz w:val="24"/>
          <w:u w:val="single"/>
        </w:rPr>
      </w:pPr>
      <w:r>
        <w:rPr>
          <w:sz w:val="24"/>
        </w:rPr>
        <w:t>投标人名称：</w:t>
      </w:r>
      <w:r>
        <w:rPr>
          <w:sz w:val="24"/>
          <w:u w:val="single"/>
        </w:rPr>
        <w:t xml:space="preserve">                               </w:t>
      </w:r>
    </w:p>
    <w:p w14:paraId="2DD58BF2">
      <w:pPr>
        <w:spacing w:line="600" w:lineRule="exact"/>
        <w:ind w:firstLine="484" w:firstLineChars="202"/>
        <w:rPr>
          <w:sz w:val="24"/>
        </w:rPr>
      </w:pPr>
      <w:r>
        <w:rPr>
          <w:sz w:val="24"/>
        </w:rPr>
        <w:t>单位性质：</w:t>
      </w:r>
      <w:r>
        <w:rPr>
          <w:sz w:val="24"/>
          <w:u w:val="single"/>
        </w:rPr>
        <w:t xml:space="preserve">                                 </w:t>
      </w:r>
    </w:p>
    <w:p w14:paraId="333B8ECD">
      <w:pPr>
        <w:spacing w:line="600" w:lineRule="exact"/>
        <w:ind w:firstLine="484" w:firstLineChars="202"/>
        <w:rPr>
          <w:sz w:val="24"/>
          <w:u w:val="single"/>
        </w:rPr>
      </w:pPr>
      <w:r>
        <w:rPr>
          <w:sz w:val="24"/>
        </w:rPr>
        <w:t>地    址：</w:t>
      </w:r>
      <w:r>
        <w:rPr>
          <w:sz w:val="24"/>
          <w:u w:val="single"/>
        </w:rPr>
        <w:t xml:space="preserve">                                 </w:t>
      </w:r>
    </w:p>
    <w:p w14:paraId="0003FF0A">
      <w:pPr>
        <w:spacing w:line="600" w:lineRule="exact"/>
        <w:ind w:firstLine="484" w:firstLineChars="202"/>
        <w:rPr>
          <w:sz w:val="24"/>
        </w:rPr>
      </w:pPr>
      <w:r>
        <w:rPr>
          <w:sz w:val="24"/>
        </w:rPr>
        <w:t>成立时间：</w:t>
      </w:r>
      <w:r>
        <w:rPr>
          <w:sz w:val="24"/>
          <w:u w:val="single"/>
        </w:rPr>
        <w:t xml:space="preserve">         </w:t>
      </w:r>
      <w:r>
        <w:rPr>
          <w:sz w:val="24"/>
        </w:rPr>
        <w:t xml:space="preserve"> 年</w:t>
      </w:r>
      <w:r>
        <w:rPr>
          <w:sz w:val="24"/>
          <w:u w:val="single"/>
        </w:rPr>
        <w:t xml:space="preserve">       </w:t>
      </w:r>
      <w:r>
        <w:rPr>
          <w:sz w:val="24"/>
        </w:rPr>
        <w:t xml:space="preserve"> 月</w:t>
      </w:r>
      <w:r>
        <w:rPr>
          <w:sz w:val="24"/>
          <w:u w:val="single"/>
        </w:rPr>
        <w:t xml:space="preserve">       </w:t>
      </w:r>
      <w:r>
        <w:rPr>
          <w:sz w:val="24"/>
        </w:rPr>
        <w:t xml:space="preserve"> 日</w:t>
      </w:r>
    </w:p>
    <w:p w14:paraId="11B70501">
      <w:pPr>
        <w:spacing w:line="600" w:lineRule="exact"/>
        <w:ind w:firstLine="484" w:firstLineChars="202"/>
        <w:rPr>
          <w:sz w:val="24"/>
          <w:u w:val="single"/>
        </w:rPr>
      </w:pPr>
      <w:r>
        <w:rPr>
          <w:sz w:val="24"/>
        </w:rPr>
        <w:t>经营期限：</w:t>
      </w:r>
      <w:r>
        <w:rPr>
          <w:sz w:val="24"/>
          <w:u w:val="single"/>
        </w:rPr>
        <w:t xml:space="preserve">                                </w:t>
      </w:r>
    </w:p>
    <w:p w14:paraId="2C4FA729">
      <w:pPr>
        <w:spacing w:line="600" w:lineRule="exact"/>
        <w:ind w:firstLine="484" w:firstLineChars="202"/>
        <w:rPr>
          <w:sz w:val="24"/>
          <w:u w:val="single"/>
        </w:rPr>
      </w:pPr>
      <w:r>
        <w:rPr>
          <w:sz w:val="24"/>
        </w:rPr>
        <w:t>姓    名：</w:t>
      </w:r>
      <w:r>
        <w:rPr>
          <w:sz w:val="24"/>
          <w:u w:val="single"/>
        </w:rPr>
        <w:t xml:space="preserve">        </w:t>
      </w:r>
      <w:r>
        <w:rPr>
          <w:sz w:val="24"/>
        </w:rPr>
        <w:t xml:space="preserve"> 性别：</w:t>
      </w:r>
      <w:r>
        <w:rPr>
          <w:sz w:val="24"/>
          <w:u w:val="single"/>
        </w:rPr>
        <w:t xml:space="preserve">         </w:t>
      </w:r>
      <w:r>
        <w:rPr>
          <w:sz w:val="24"/>
        </w:rPr>
        <w:t xml:space="preserve"> 年龄：</w:t>
      </w:r>
      <w:r>
        <w:rPr>
          <w:sz w:val="24"/>
          <w:u w:val="single"/>
        </w:rPr>
        <w:t xml:space="preserve">        </w:t>
      </w:r>
      <w:r>
        <w:rPr>
          <w:sz w:val="24"/>
        </w:rPr>
        <w:t>职务：</w:t>
      </w:r>
      <w:r>
        <w:rPr>
          <w:sz w:val="24"/>
          <w:u w:val="single"/>
        </w:rPr>
        <w:t xml:space="preserve">      </w:t>
      </w:r>
    </w:p>
    <w:p w14:paraId="0364A288">
      <w:pPr>
        <w:spacing w:line="600" w:lineRule="exact"/>
        <w:ind w:firstLine="484" w:firstLineChars="202"/>
        <w:rPr>
          <w:sz w:val="24"/>
        </w:rPr>
      </w:pPr>
      <w:r>
        <w:rPr>
          <w:sz w:val="24"/>
        </w:rPr>
        <w:t>系</w:t>
      </w:r>
      <w:r>
        <w:rPr>
          <w:sz w:val="24"/>
          <w:u w:val="single"/>
        </w:rPr>
        <w:t xml:space="preserve">                             </w:t>
      </w:r>
      <w:r>
        <w:rPr>
          <w:sz w:val="24"/>
        </w:rPr>
        <w:t xml:space="preserve"> （投标人名称）的法定代表人。</w:t>
      </w:r>
    </w:p>
    <w:p w14:paraId="76076C2D">
      <w:pPr>
        <w:spacing w:line="600" w:lineRule="exact"/>
        <w:rPr>
          <w:sz w:val="24"/>
        </w:rPr>
      </w:pPr>
    </w:p>
    <w:p w14:paraId="0E0ED2AF">
      <w:pPr>
        <w:spacing w:line="600" w:lineRule="exact"/>
        <w:ind w:firstLine="480" w:firstLineChars="200"/>
        <w:rPr>
          <w:sz w:val="24"/>
        </w:rPr>
      </w:pPr>
      <w:r>
        <w:rPr>
          <w:sz w:val="24"/>
        </w:rPr>
        <w:t>特此证明。</w:t>
      </w:r>
    </w:p>
    <w:p w14:paraId="754E661E">
      <w:pPr>
        <w:spacing w:line="600" w:lineRule="exact"/>
        <w:ind w:firstLine="480" w:firstLineChars="200"/>
        <w:rPr>
          <w:sz w:val="24"/>
        </w:rPr>
      </w:pPr>
    </w:p>
    <w:p w14:paraId="5C44555D">
      <w:pPr>
        <w:spacing w:line="600" w:lineRule="exact"/>
        <w:ind w:firstLine="480" w:firstLineChars="200"/>
        <w:rPr>
          <w:sz w:val="24"/>
        </w:rPr>
      </w:pPr>
      <w:r>
        <w:rPr>
          <w:sz w:val="24"/>
        </w:rPr>
        <w:t>附：法定代表人身份证（复印件）</w:t>
      </w:r>
    </w:p>
    <w:p w14:paraId="084A6387">
      <w:pPr>
        <w:spacing w:line="440" w:lineRule="exact"/>
        <w:ind w:firstLine="480" w:firstLineChars="200"/>
        <w:rPr>
          <w:sz w:val="24"/>
        </w:rPr>
      </w:pPr>
    </w:p>
    <w:p w14:paraId="0BED3C48">
      <w:pPr>
        <w:spacing w:line="440" w:lineRule="exact"/>
        <w:rPr>
          <w:sz w:val="24"/>
        </w:rPr>
      </w:pPr>
    </w:p>
    <w:p w14:paraId="20C8EC63">
      <w:pPr>
        <w:spacing w:line="440" w:lineRule="exact"/>
        <w:rPr>
          <w:sz w:val="24"/>
        </w:rPr>
      </w:pPr>
    </w:p>
    <w:p w14:paraId="6FB6729E">
      <w:pPr>
        <w:spacing w:line="440" w:lineRule="exact"/>
        <w:rPr>
          <w:sz w:val="24"/>
        </w:rPr>
      </w:pPr>
    </w:p>
    <w:p w14:paraId="22FF352F">
      <w:pPr>
        <w:spacing w:line="440" w:lineRule="exact"/>
        <w:rPr>
          <w:sz w:val="24"/>
        </w:rPr>
      </w:pPr>
    </w:p>
    <w:p w14:paraId="39C26457">
      <w:pPr>
        <w:spacing w:line="440" w:lineRule="exact"/>
        <w:jc w:val="center"/>
        <w:rPr>
          <w:sz w:val="24"/>
        </w:rPr>
      </w:pPr>
    </w:p>
    <w:p w14:paraId="6BDFBCF5">
      <w:pPr>
        <w:spacing w:line="440" w:lineRule="exact"/>
        <w:jc w:val="center"/>
        <w:rPr>
          <w:sz w:val="24"/>
        </w:rPr>
      </w:pPr>
      <w:r>
        <w:rPr>
          <w:sz w:val="24"/>
        </w:rPr>
        <w:pict>
          <v:roundrect id="自选图形 4" o:spid="_x0000_s1027" o:spt="2" style="height:132.95pt;width:404.1pt;" stroked="t" coordsize="21600,21600" arcsize="0.166666666666667" o:gfxdata="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p3mBfUAAAABQEAAA8AAAAAAAAAAQAgAAAAIgAAAGRycy9kb3du&#10;cmV2LnhtbFBLAQIUABQAAAAIAIdO4kBnR8T7PAIAAIkEAAAOAAAAAAAAAAEAIAAAACMBAABkcnMv&#10;ZTJvRG9jLnhtbFBLBQYAAAAABgAGAFkBAADRBQAAAAA=&#10;">
            <v:path/>
            <v:fill focussize="0,0"/>
            <v:stroke color="#0000FF" dashstyle="1 1"/>
            <v:imagedata o:title=""/>
            <o:lock v:ext="edit"/>
            <v:textbox>
              <w:txbxContent>
                <w:p w14:paraId="3FE9EABA">
                  <w:pPr>
                    <w:jc w:val="center"/>
                    <w:rPr>
                      <w:color w:val="0000FF"/>
                    </w:rPr>
                  </w:pPr>
                  <w:r>
                    <w:rPr>
                      <w:rFonts w:hint="eastAsia"/>
                      <w:color w:val="0000FF"/>
                    </w:rPr>
                    <w:t>（</w:t>
                  </w:r>
                  <w:r>
                    <w:rPr>
                      <w:color w:val="0000FF"/>
                    </w:rPr>
                    <w:t>身份证</w:t>
                  </w:r>
                  <w:r>
                    <w:rPr>
                      <w:rFonts w:hint="eastAsia"/>
                      <w:color w:val="0000FF"/>
                    </w:rPr>
                    <w:t>复印件）</w:t>
                  </w:r>
                </w:p>
                <w:p w14:paraId="77F93870">
                  <w:pPr>
                    <w:jc w:val="center"/>
                    <w:rPr>
                      <w:color w:val="0000FF"/>
                    </w:rPr>
                  </w:pPr>
                </w:p>
                <w:p w14:paraId="5552BADB">
                  <w:pPr>
                    <w:jc w:val="center"/>
                    <w:rPr>
                      <w:color w:val="0000FF"/>
                    </w:rPr>
                  </w:pPr>
                </w:p>
                <w:p w14:paraId="6B70DF35">
                  <w:pPr>
                    <w:jc w:val="center"/>
                    <w:rPr>
                      <w:color w:val="0000FF"/>
                    </w:rPr>
                  </w:pPr>
                </w:p>
                <w:p w14:paraId="4D0D02DC">
                  <w:pPr>
                    <w:jc w:val="center"/>
                    <w:rPr>
                      <w:color w:val="0000FF"/>
                    </w:rPr>
                  </w:pPr>
                </w:p>
                <w:p w14:paraId="550249D8">
                  <w:pPr>
                    <w:jc w:val="center"/>
                    <w:rPr>
                      <w:color w:val="0000FF"/>
                      <w:sz w:val="18"/>
                      <w:szCs w:val="18"/>
                    </w:rPr>
                  </w:pPr>
                  <w:r>
                    <w:rPr>
                      <w:rFonts w:hint="eastAsia"/>
                      <w:color w:val="0000FF"/>
                      <w:sz w:val="18"/>
                      <w:szCs w:val="18"/>
                    </w:rPr>
                    <w:t>注：不要将身份证复印件直接粘贴，建议采用扫描的方式复制于此。</w:t>
                  </w:r>
                </w:p>
              </w:txbxContent>
            </v:textbox>
            <w10:wrap type="none"/>
            <w10:anchorlock/>
          </v:roundrect>
        </w:pict>
      </w:r>
    </w:p>
    <w:p w14:paraId="1551163B">
      <w:pPr>
        <w:spacing w:line="440" w:lineRule="exact"/>
        <w:rPr>
          <w:sz w:val="24"/>
        </w:rPr>
      </w:pPr>
    </w:p>
    <w:p w14:paraId="2BFD354A">
      <w:pPr>
        <w:spacing w:line="440" w:lineRule="exact"/>
        <w:rPr>
          <w:sz w:val="24"/>
        </w:rPr>
      </w:pPr>
    </w:p>
    <w:p w14:paraId="78362616">
      <w:pPr>
        <w:spacing w:line="440" w:lineRule="exact"/>
        <w:rPr>
          <w:sz w:val="24"/>
        </w:rPr>
      </w:pPr>
      <w:r>
        <w:rPr>
          <w:sz w:val="24"/>
        </w:rPr>
        <w:t xml:space="preserve">                               投标人：</w:t>
      </w:r>
      <w:r>
        <w:rPr>
          <w:sz w:val="24"/>
          <w:u w:val="single"/>
        </w:rPr>
        <w:t xml:space="preserve">                 </w:t>
      </w:r>
      <w:r>
        <w:rPr>
          <w:sz w:val="24"/>
        </w:rPr>
        <w:t>（盖单位章）</w:t>
      </w:r>
    </w:p>
    <w:p w14:paraId="28F3D7A4">
      <w:pPr>
        <w:spacing w:line="440" w:lineRule="exact"/>
        <w:rPr>
          <w:sz w:val="24"/>
        </w:rPr>
      </w:pPr>
    </w:p>
    <w:p w14:paraId="5B4ED644">
      <w:pPr>
        <w:rPr>
          <w:sz w:val="24"/>
        </w:rPr>
      </w:pPr>
      <w:r>
        <w:rPr>
          <w:sz w:val="24"/>
        </w:rPr>
        <w:t xml:space="preserve">                               日  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14:paraId="3D38B6B4">
      <w:pPr>
        <w:rPr>
          <w:sz w:val="32"/>
          <w:szCs w:val="32"/>
        </w:rPr>
      </w:pPr>
    </w:p>
    <w:p w14:paraId="7DC2E49B">
      <w:pPr>
        <w:topLinePunct/>
        <w:spacing w:line="440" w:lineRule="exact"/>
        <w:ind w:firstLine="420" w:firstLineChars="200"/>
        <w:rPr>
          <w:sz w:val="18"/>
          <w:szCs w:val="18"/>
        </w:rPr>
      </w:pPr>
      <w:r>
        <w:rPr>
          <w:szCs w:val="21"/>
        </w:rPr>
        <w:br w:type="page"/>
      </w:r>
      <w:r>
        <w:rPr>
          <w:rFonts w:hint="eastAsia" w:ascii="方正黑体_GBK" w:hAnsi="方正黑体_GBK" w:eastAsia="方正黑体_GBK" w:cs="方正黑体_GBK"/>
          <w:kern w:val="0"/>
          <w:sz w:val="32"/>
          <w:szCs w:val="32"/>
        </w:rPr>
        <w:t>格式4：</w:t>
      </w:r>
    </w:p>
    <w:p w14:paraId="62EFD654">
      <w:pPr>
        <w:pStyle w:val="3"/>
        <w:ind w:left="425"/>
        <w:jc w:val="center"/>
        <w:rPr>
          <w:rFonts w:ascii="方正小标宋简体" w:hAnsi="方正小标宋简体" w:eastAsia="方正小标宋简体" w:cs="方正小标宋简体"/>
          <w:b w:val="0"/>
          <w:sz w:val="32"/>
          <w:szCs w:val="32"/>
        </w:rPr>
      </w:pPr>
      <w:bookmarkStart w:id="54" w:name="_Toc11809"/>
      <w:bookmarkStart w:id="55" w:name="_Toc29714"/>
      <w:bookmarkStart w:id="56" w:name="_Toc9262"/>
      <w:bookmarkStart w:id="57" w:name="_Toc29358"/>
      <w:bookmarkStart w:id="58" w:name="_Toc19458"/>
      <w:bookmarkStart w:id="59" w:name="_Toc13683"/>
      <w:bookmarkStart w:id="60" w:name="_Toc20436"/>
      <w:bookmarkStart w:id="61" w:name="_Toc9202"/>
      <w:r>
        <w:rPr>
          <w:rFonts w:hint="eastAsia" w:ascii="方正小标宋简体" w:hAnsi="方正小标宋简体" w:eastAsia="方正小标宋简体" w:cs="方正小标宋简体"/>
          <w:b w:val="0"/>
          <w:sz w:val="32"/>
          <w:szCs w:val="32"/>
        </w:rPr>
        <w:t>法定代表人授权委托书</w:t>
      </w:r>
      <w:bookmarkEnd w:id="54"/>
      <w:bookmarkEnd w:id="55"/>
      <w:bookmarkEnd w:id="56"/>
      <w:bookmarkEnd w:id="57"/>
      <w:bookmarkEnd w:id="58"/>
      <w:bookmarkEnd w:id="59"/>
      <w:bookmarkEnd w:id="60"/>
      <w:bookmarkEnd w:id="61"/>
    </w:p>
    <w:p w14:paraId="394BFC18">
      <w:pPr>
        <w:topLinePunct/>
        <w:spacing w:line="560" w:lineRule="exact"/>
        <w:ind w:firstLine="480" w:firstLineChars="200"/>
        <w:rPr>
          <w:rFonts w:ascii="方正仿宋_GBK" w:hAnsi="方正仿宋_GBK" w:eastAsia="方正仿宋_GBK" w:cs="方正仿宋_GBK"/>
          <w:sz w:val="24"/>
        </w:rPr>
      </w:pPr>
      <w:r>
        <w:rPr>
          <w:rFonts w:hint="eastAsia" w:ascii="方正仿宋_GBK" w:hAnsi="方正仿宋_GBK" w:eastAsia="方正仿宋_GBK" w:cs="方正仿宋_GBK"/>
          <w:sz w:val="24"/>
        </w:rPr>
        <w:t>本人</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（姓名）系</w:t>
      </w:r>
      <w:r>
        <w:rPr>
          <w:rFonts w:hint="eastAsia" w:ascii="方正仿宋_GBK" w:hAnsi="方正仿宋_GBK" w:eastAsia="方正仿宋_GBK" w:cs="方正仿宋_GBK"/>
          <w:sz w:val="24"/>
          <w:u w:val="single"/>
        </w:rPr>
        <w:t xml:space="preserve">        （投标人名称）</w:t>
      </w:r>
      <w:r>
        <w:rPr>
          <w:rFonts w:hint="eastAsia" w:ascii="方正仿宋_GBK" w:hAnsi="方正仿宋_GBK" w:eastAsia="方正仿宋_GBK" w:cs="方正仿宋_GBK"/>
          <w:sz w:val="24"/>
        </w:rPr>
        <w:t>的法定代表人，现委托</w:t>
      </w:r>
      <w:r>
        <w:rPr>
          <w:rFonts w:hint="eastAsia" w:ascii="方正仿宋_GBK" w:hAnsi="方正仿宋_GBK" w:eastAsia="方正仿宋_GBK" w:cs="方正仿宋_GBK"/>
          <w:sz w:val="24"/>
          <w:u w:val="single"/>
        </w:rPr>
        <w:t xml:space="preserve">        （姓名）</w:t>
      </w:r>
      <w:r>
        <w:rPr>
          <w:rFonts w:hint="eastAsia" w:ascii="方正仿宋_GBK" w:hAnsi="方正仿宋_GBK" w:eastAsia="方正仿宋_GBK" w:cs="方正仿宋_GBK"/>
          <w:sz w:val="24"/>
        </w:rPr>
        <w:t>为我方代理人。代理人根据授权，以我方名义签署、澄清、说明、补正、递交、撤回、修改</w:t>
      </w:r>
      <w:r>
        <w:rPr>
          <w:rFonts w:hint="eastAsia" w:ascii="方正仿宋_GBK" w:hAnsi="方正仿宋_GBK" w:eastAsia="方正仿宋_GBK" w:cs="方正仿宋_GBK"/>
          <w:sz w:val="24"/>
          <w:u w:val="single"/>
        </w:rPr>
        <w:t xml:space="preserve">（项目名称）           </w:t>
      </w:r>
      <w:r>
        <w:rPr>
          <w:rFonts w:hint="eastAsia" w:ascii="方正仿宋_GBK" w:hAnsi="方正仿宋_GBK" w:eastAsia="方正仿宋_GBK" w:cs="方正仿宋_GBK"/>
          <w:sz w:val="24"/>
        </w:rPr>
        <w:t>投标文件、签订合同和处理有关事宜，其法律后果由我方承担。</w:t>
      </w:r>
    </w:p>
    <w:p w14:paraId="01951D08">
      <w:pPr>
        <w:spacing w:line="560" w:lineRule="exact"/>
        <w:rPr>
          <w:rFonts w:ascii="方正仿宋_GBK" w:hAnsi="方正仿宋_GBK" w:eastAsia="方正仿宋_GBK" w:cs="方正仿宋_GBK"/>
          <w:sz w:val="24"/>
        </w:rPr>
      </w:pPr>
      <w:r>
        <w:rPr>
          <w:rFonts w:hint="eastAsia" w:ascii="方正仿宋_GBK" w:hAnsi="方正仿宋_GBK" w:eastAsia="方正仿宋_GBK" w:cs="方正仿宋_GBK"/>
          <w:sz w:val="24"/>
        </w:rPr>
        <w:t xml:space="preserve">    委托期限：</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w:t>
      </w:r>
    </w:p>
    <w:p w14:paraId="7D37D4D9">
      <w:pPr>
        <w:spacing w:line="560" w:lineRule="exact"/>
        <w:ind w:firstLine="480" w:firstLineChars="200"/>
        <w:rPr>
          <w:rFonts w:ascii="方正仿宋_GBK" w:hAnsi="方正仿宋_GBK" w:eastAsia="方正仿宋_GBK" w:cs="方正仿宋_GBK"/>
          <w:sz w:val="24"/>
        </w:rPr>
      </w:pPr>
      <w:r>
        <w:rPr>
          <w:rFonts w:hint="eastAsia" w:ascii="方正仿宋_GBK" w:hAnsi="方正仿宋_GBK" w:eastAsia="方正仿宋_GBK" w:cs="方正仿宋_GBK"/>
          <w:sz w:val="24"/>
        </w:rPr>
        <w:t>代理人无转委托权。</w:t>
      </w:r>
    </w:p>
    <w:p w14:paraId="66931922">
      <w:pPr>
        <w:spacing w:line="560" w:lineRule="exact"/>
        <w:ind w:firstLine="480" w:firstLineChars="200"/>
        <w:rPr>
          <w:rFonts w:ascii="方正仿宋_GBK" w:hAnsi="方正仿宋_GBK" w:eastAsia="方正仿宋_GBK" w:cs="方正仿宋_GBK"/>
          <w:sz w:val="24"/>
        </w:rPr>
      </w:pPr>
      <w:r>
        <w:rPr>
          <w:rFonts w:hint="eastAsia" w:ascii="方正仿宋_GBK" w:hAnsi="方正仿宋_GBK" w:eastAsia="方正仿宋_GBK" w:cs="方正仿宋_GBK"/>
          <w:sz w:val="24"/>
        </w:rPr>
        <w:t>附：授权委托代理人身份证（复印件）</w:t>
      </w:r>
    </w:p>
    <w:p w14:paraId="13CBF4AA">
      <w:pPr>
        <w:spacing w:line="440" w:lineRule="exact"/>
        <w:ind w:firstLine="420" w:firstLineChars="200"/>
        <w:rPr>
          <w:szCs w:val="21"/>
        </w:rPr>
      </w:pPr>
    </w:p>
    <w:p w14:paraId="2397706A">
      <w:pPr>
        <w:spacing w:line="440" w:lineRule="exact"/>
        <w:ind w:firstLine="420" w:firstLineChars="200"/>
        <w:rPr>
          <w:szCs w:val="21"/>
        </w:rPr>
      </w:pPr>
    </w:p>
    <w:p w14:paraId="3A5EF8E8">
      <w:pPr>
        <w:spacing w:line="440" w:lineRule="exact"/>
        <w:ind w:firstLine="420" w:firstLineChars="200"/>
        <w:rPr>
          <w:szCs w:val="21"/>
        </w:rPr>
      </w:pPr>
    </w:p>
    <w:p w14:paraId="17A76D4D">
      <w:pPr>
        <w:spacing w:line="440" w:lineRule="exact"/>
        <w:ind w:firstLine="420" w:firstLineChars="200"/>
        <w:rPr>
          <w:szCs w:val="21"/>
        </w:rPr>
      </w:pPr>
    </w:p>
    <w:p w14:paraId="1CEC805F">
      <w:pPr>
        <w:spacing w:line="440" w:lineRule="exact"/>
        <w:ind w:firstLine="420" w:firstLineChars="200"/>
        <w:rPr>
          <w:szCs w:val="21"/>
        </w:rPr>
      </w:pPr>
    </w:p>
    <w:p w14:paraId="7F09A802">
      <w:pPr>
        <w:spacing w:line="440" w:lineRule="exact"/>
        <w:ind w:firstLine="420" w:firstLineChars="200"/>
        <w:rPr>
          <w:szCs w:val="21"/>
        </w:rPr>
      </w:pPr>
    </w:p>
    <w:p w14:paraId="05563FEC">
      <w:pPr>
        <w:spacing w:line="440" w:lineRule="exact"/>
        <w:ind w:firstLine="420" w:firstLineChars="200"/>
        <w:jc w:val="center"/>
        <w:rPr>
          <w:szCs w:val="21"/>
        </w:rPr>
      </w:pPr>
      <w:r>
        <w:rPr>
          <w:szCs w:val="21"/>
        </w:rPr>
        <w:pict>
          <v:roundrect id="自选图形 7" o:spid="_x0000_s1026" o:spt="2" style="height:139.2pt;width:391.95pt;" stroked="t" coordsize="21600,21600" arcsize="0.166666666666667" o:gfxdata="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Z4WNq1QAAAAUBAAAPAAAAAAAAAAEAIAAAACIAAABkcnMvZG93&#10;bnJldi54bWxQSwECFAAUAAAACACHTuJAAuREZzwCAACJBAAADgAAAAAAAAABACAAAAAkAQAAZHJz&#10;L2Uyb0RvYy54bWxQSwUGAAAAAAYABgBZAQAA0gUAAAAA&#10;">
            <v:path/>
            <v:fill focussize="0,0"/>
            <v:stroke color="#0000FF" dashstyle="1 1"/>
            <v:imagedata o:title=""/>
            <o:lock v:ext="edit"/>
            <v:textbox>
              <w:txbxContent>
                <w:p w14:paraId="4B644EE2">
                  <w:pPr>
                    <w:jc w:val="center"/>
                    <w:rPr>
                      <w:color w:val="0000FF"/>
                    </w:rPr>
                  </w:pPr>
                  <w:r>
                    <w:rPr>
                      <w:rFonts w:hint="eastAsia"/>
                      <w:color w:val="0000FF"/>
                    </w:rPr>
                    <w:t>（</w:t>
                  </w:r>
                  <w:r>
                    <w:rPr>
                      <w:color w:val="0000FF"/>
                    </w:rPr>
                    <w:t>身份证</w:t>
                  </w:r>
                  <w:r>
                    <w:rPr>
                      <w:rFonts w:hint="eastAsia"/>
                      <w:color w:val="0000FF"/>
                    </w:rPr>
                    <w:t>复印件）</w:t>
                  </w:r>
                </w:p>
                <w:p w14:paraId="68BE9B61">
                  <w:pPr>
                    <w:jc w:val="center"/>
                    <w:rPr>
                      <w:color w:val="0000FF"/>
                    </w:rPr>
                  </w:pPr>
                </w:p>
                <w:p w14:paraId="5DD9265B">
                  <w:pPr>
                    <w:jc w:val="center"/>
                    <w:rPr>
                      <w:color w:val="0000FF"/>
                    </w:rPr>
                  </w:pPr>
                </w:p>
                <w:p w14:paraId="5BE08F12">
                  <w:pPr>
                    <w:jc w:val="center"/>
                    <w:rPr>
                      <w:color w:val="0000FF"/>
                    </w:rPr>
                  </w:pPr>
                </w:p>
                <w:p w14:paraId="15870993">
                  <w:pPr>
                    <w:jc w:val="center"/>
                    <w:rPr>
                      <w:color w:val="0000FF"/>
                    </w:rPr>
                  </w:pPr>
                </w:p>
                <w:p w14:paraId="1B40C425">
                  <w:pPr>
                    <w:jc w:val="center"/>
                    <w:rPr>
                      <w:color w:val="0000FF"/>
                      <w:sz w:val="18"/>
                      <w:szCs w:val="18"/>
                    </w:rPr>
                  </w:pPr>
                  <w:r>
                    <w:rPr>
                      <w:rFonts w:hint="eastAsia"/>
                      <w:color w:val="0000FF"/>
                      <w:sz w:val="18"/>
                      <w:szCs w:val="18"/>
                    </w:rPr>
                    <w:t>注：不要将身份证复印件直接粘贴，建议采用扫描的方式复制于此。</w:t>
                  </w:r>
                </w:p>
                <w:p w14:paraId="2BE265E8">
                  <w:pPr>
                    <w:jc w:val="center"/>
                    <w:rPr>
                      <w:color w:val="0000FF"/>
                    </w:rPr>
                  </w:pPr>
                </w:p>
              </w:txbxContent>
            </v:textbox>
            <w10:wrap type="none"/>
            <w10:anchorlock/>
          </v:roundrect>
        </w:pict>
      </w:r>
    </w:p>
    <w:p w14:paraId="442B1202">
      <w:pPr>
        <w:spacing w:line="440" w:lineRule="exact"/>
        <w:ind w:firstLine="420" w:firstLineChars="200"/>
        <w:jc w:val="center"/>
        <w:rPr>
          <w:szCs w:val="21"/>
        </w:rPr>
      </w:pPr>
    </w:p>
    <w:p w14:paraId="2D65D6A6">
      <w:pPr>
        <w:spacing w:line="440" w:lineRule="exact"/>
        <w:rPr>
          <w:rFonts w:ascii="方正仿宋_GBK" w:hAnsi="方正仿宋_GBK" w:eastAsia="方正仿宋_GBK" w:cs="方正仿宋_GBK"/>
          <w:szCs w:val="21"/>
        </w:rPr>
      </w:pPr>
    </w:p>
    <w:p w14:paraId="40AC6469">
      <w:pPr>
        <w:spacing w:line="440" w:lineRule="exact"/>
        <w:ind w:firstLine="424" w:firstLineChars="202"/>
        <w:rPr>
          <w:rFonts w:ascii="方正仿宋_GBK" w:hAnsi="方正仿宋_GBK" w:eastAsia="方正仿宋_GBK" w:cs="方正仿宋_GBK"/>
          <w:szCs w:val="21"/>
        </w:rPr>
      </w:pPr>
      <w:r>
        <w:rPr>
          <w:rFonts w:hint="eastAsia" w:ascii="方正仿宋_GBK" w:hAnsi="方正仿宋_GBK" w:eastAsia="方正仿宋_GBK" w:cs="方正仿宋_GBK"/>
          <w:szCs w:val="21"/>
        </w:rPr>
        <w:t>投  标  人：</w:t>
      </w:r>
      <w:r>
        <w:rPr>
          <w:rFonts w:hint="eastAsia" w:ascii="方正仿宋_GBK" w:hAnsi="方正仿宋_GBK" w:eastAsia="方正仿宋_GBK" w:cs="方正仿宋_GBK"/>
          <w:szCs w:val="21"/>
          <w:u w:val="single"/>
        </w:rPr>
        <w:t xml:space="preserve">                               </w:t>
      </w:r>
      <w:r>
        <w:rPr>
          <w:rFonts w:hint="eastAsia" w:ascii="方正仿宋_GBK" w:hAnsi="方正仿宋_GBK" w:eastAsia="方正仿宋_GBK" w:cs="方正仿宋_GBK"/>
          <w:szCs w:val="21"/>
        </w:rPr>
        <w:t>（盖单位章）</w:t>
      </w:r>
    </w:p>
    <w:p w14:paraId="4EB5F157">
      <w:pPr>
        <w:spacing w:line="440" w:lineRule="exact"/>
        <w:ind w:firstLine="424" w:firstLineChars="202"/>
        <w:rPr>
          <w:rFonts w:ascii="方正仿宋_GBK" w:hAnsi="方正仿宋_GBK" w:eastAsia="方正仿宋_GBK" w:cs="方正仿宋_GBK"/>
          <w:szCs w:val="21"/>
        </w:rPr>
      </w:pPr>
    </w:p>
    <w:p w14:paraId="2EEEDB70">
      <w:pPr>
        <w:spacing w:line="440" w:lineRule="exact"/>
        <w:ind w:firstLine="424" w:firstLineChars="202"/>
        <w:rPr>
          <w:rFonts w:ascii="方正仿宋_GBK" w:hAnsi="方正仿宋_GBK" w:eastAsia="方正仿宋_GBK" w:cs="方正仿宋_GBK"/>
          <w:szCs w:val="21"/>
        </w:rPr>
      </w:pPr>
      <w:r>
        <w:rPr>
          <w:rFonts w:hint="eastAsia" w:ascii="方正仿宋_GBK" w:hAnsi="方正仿宋_GBK" w:eastAsia="方正仿宋_GBK" w:cs="方正仿宋_GBK"/>
          <w:szCs w:val="21"/>
        </w:rPr>
        <w:t>法定代表人：</w:t>
      </w:r>
      <w:r>
        <w:rPr>
          <w:rFonts w:hint="eastAsia" w:ascii="方正仿宋_GBK" w:hAnsi="方正仿宋_GBK" w:eastAsia="方正仿宋_GBK" w:cs="方正仿宋_GBK"/>
          <w:szCs w:val="21"/>
          <w:u w:val="single"/>
        </w:rPr>
        <w:t xml:space="preserve">                               </w:t>
      </w:r>
      <w:r>
        <w:rPr>
          <w:rFonts w:hint="eastAsia" w:ascii="方正仿宋_GBK" w:hAnsi="方正仿宋_GBK" w:eastAsia="方正仿宋_GBK" w:cs="方正仿宋_GBK"/>
          <w:szCs w:val="21"/>
        </w:rPr>
        <w:t>（签字（章））</w:t>
      </w:r>
    </w:p>
    <w:p w14:paraId="7FA37087">
      <w:pPr>
        <w:spacing w:line="440" w:lineRule="exact"/>
        <w:ind w:firstLine="424" w:firstLineChars="202"/>
        <w:rPr>
          <w:rFonts w:ascii="方正仿宋_GBK" w:hAnsi="方正仿宋_GBK" w:eastAsia="方正仿宋_GBK" w:cs="方正仿宋_GBK"/>
          <w:szCs w:val="21"/>
        </w:rPr>
      </w:pPr>
    </w:p>
    <w:p w14:paraId="25A46347">
      <w:pPr>
        <w:spacing w:line="440" w:lineRule="exact"/>
        <w:ind w:firstLine="424" w:firstLineChars="202"/>
        <w:rPr>
          <w:rFonts w:ascii="方正仿宋_GBK" w:hAnsi="方正仿宋_GBK" w:eastAsia="方正仿宋_GBK" w:cs="方正仿宋_GBK"/>
          <w:szCs w:val="21"/>
        </w:rPr>
      </w:pPr>
      <w:r>
        <w:rPr>
          <w:rFonts w:hint="eastAsia" w:ascii="方正仿宋_GBK" w:hAnsi="方正仿宋_GBK" w:eastAsia="方正仿宋_GBK" w:cs="方正仿宋_GBK"/>
          <w:szCs w:val="21"/>
        </w:rPr>
        <w:t>身份证号码：</w:t>
      </w:r>
      <w:r>
        <w:rPr>
          <w:rFonts w:hint="eastAsia" w:ascii="方正仿宋_GBK" w:hAnsi="方正仿宋_GBK" w:eastAsia="方正仿宋_GBK" w:cs="方正仿宋_GBK"/>
          <w:szCs w:val="21"/>
          <w:u w:val="single"/>
        </w:rPr>
        <w:t xml:space="preserve">                               </w:t>
      </w:r>
    </w:p>
    <w:p w14:paraId="7FE0D68C">
      <w:pPr>
        <w:spacing w:line="440" w:lineRule="exact"/>
        <w:ind w:firstLine="424" w:firstLineChars="202"/>
        <w:rPr>
          <w:rFonts w:ascii="方正仿宋_GBK" w:hAnsi="方正仿宋_GBK" w:eastAsia="方正仿宋_GBK" w:cs="方正仿宋_GBK"/>
          <w:szCs w:val="21"/>
        </w:rPr>
      </w:pPr>
    </w:p>
    <w:p w14:paraId="26458FB3">
      <w:pPr>
        <w:spacing w:line="440" w:lineRule="exact"/>
        <w:ind w:firstLine="424" w:firstLineChars="202"/>
        <w:rPr>
          <w:rFonts w:ascii="方正仿宋_GBK" w:hAnsi="方正仿宋_GBK" w:eastAsia="方正仿宋_GBK" w:cs="方正仿宋_GBK"/>
          <w:szCs w:val="21"/>
        </w:rPr>
      </w:pPr>
      <w:r>
        <w:rPr>
          <w:rFonts w:hint="eastAsia" w:ascii="方正仿宋_GBK" w:hAnsi="方正仿宋_GBK" w:eastAsia="方正仿宋_GBK" w:cs="方正仿宋_GBK"/>
          <w:szCs w:val="21"/>
        </w:rPr>
        <w:t>委托代理人：</w:t>
      </w:r>
      <w:r>
        <w:rPr>
          <w:rFonts w:hint="eastAsia" w:ascii="方正仿宋_GBK" w:hAnsi="方正仿宋_GBK" w:eastAsia="方正仿宋_GBK" w:cs="方正仿宋_GBK"/>
          <w:szCs w:val="21"/>
          <w:u w:val="single"/>
        </w:rPr>
        <w:t xml:space="preserve">                                </w:t>
      </w:r>
      <w:r>
        <w:rPr>
          <w:rFonts w:hint="eastAsia" w:ascii="方正仿宋_GBK" w:hAnsi="方正仿宋_GBK" w:eastAsia="方正仿宋_GBK" w:cs="方正仿宋_GBK"/>
          <w:szCs w:val="21"/>
        </w:rPr>
        <w:t xml:space="preserve">（签字） </w:t>
      </w:r>
    </w:p>
    <w:p w14:paraId="58AAD604">
      <w:pPr>
        <w:spacing w:line="440" w:lineRule="exact"/>
        <w:ind w:firstLine="424" w:firstLineChars="202"/>
        <w:rPr>
          <w:rFonts w:ascii="方正仿宋_GBK" w:hAnsi="方正仿宋_GBK" w:eastAsia="方正仿宋_GBK" w:cs="方正仿宋_GBK"/>
          <w:szCs w:val="21"/>
        </w:rPr>
      </w:pPr>
    </w:p>
    <w:p w14:paraId="5B35923D">
      <w:pPr>
        <w:spacing w:line="440" w:lineRule="exact"/>
        <w:ind w:firstLine="424" w:firstLineChars="202"/>
        <w:rPr>
          <w:rFonts w:ascii="方正仿宋_GBK" w:hAnsi="方正仿宋_GBK" w:eastAsia="方正仿宋_GBK" w:cs="方正仿宋_GBK"/>
          <w:szCs w:val="21"/>
        </w:rPr>
      </w:pPr>
      <w:r>
        <w:rPr>
          <w:rFonts w:hint="eastAsia" w:ascii="方正仿宋_GBK" w:hAnsi="方正仿宋_GBK" w:eastAsia="方正仿宋_GBK" w:cs="方正仿宋_GBK"/>
          <w:szCs w:val="21"/>
        </w:rPr>
        <w:t>身份证号码：</w:t>
      </w:r>
      <w:r>
        <w:rPr>
          <w:rFonts w:hint="eastAsia" w:ascii="方正仿宋_GBK" w:hAnsi="方正仿宋_GBK" w:eastAsia="方正仿宋_GBK" w:cs="方正仿宋_GBK"/>
          <w:szCs w:val="21"/>
          <w:u w:val="single"/>
        </w:rPr>
        <w:t xml:space="preserve">                                </w:t>
      </w:r>
    </w:p>
    <w:p w14:paraId="7EF8B11A">
      <w:pPr>
        <w:spacing w:line="440" w:lineRule="exact"/>
        <w:ind w:firstLine="424" w:firstLineChars="202"/>
        <w:rPr>
          <w:rFonts w:ascii="方正仿宋_GBK" w:hAnsi="方正仿宋_GBK" w:eastAsia="方正仿宋_GBK" w:cs="方正仿宋_GBK"/>
          <w:szCs w:val="21"/>
        </w:rPr>
      </w:pPr>
    </w:p>
    <w:p w14:paraId="2EE49AFD">
      <w:pPr>
        <w:pStyle w:val="19"/>
        <w:spacing w:line="500" w:lineRule="exact"/>
        <w:ind w:firstLine="420" w:firstLineChars="200"/>
        <w:rPr>
          <w:rFonts w:ascii="方正仿宋_GBK" w:hAnsi="方正仿宋_GBK" w:eastAsia="方正仿宋_GBK" w:cs="方正仿宋_GBK"/>
          <w:szCs w:val="21"/>
        </w:rPr>
      </w:pPr>
      <w:r>
        <w:rPr>
          <w:rFonts w:hint="eastAsia" w:ascii="方正仿宋_GBK" w:hAnsi="方正仿宋_GBK" w:eastAsia="方正仿宋_GBK" w:cs="方正仿宋_GBK"/>
          <w:szCs w:val="21"/>
        </w:rPr>
        <w:t>日      期：</w:t>
      </w:r>
      <w:r>
        <w:rPr>
          <w:rFonts w:hint="eastAsia" w:ascii="方正仿宋_GBK" w:hAnsi="方正仿宋_GBK" w:eastAsia="方正仿宋_GBK" w:cs="方正仿宋_GBK"/>
          <w:szCs w:val="21"/>
          <w:u w:val="single"/>
        </w:rPr>
        <w:t xml:space="preserve">            </w:t>
      </w:r>
      <w:r>
        <w:rPr>
          <w:rFonts w:hint="eastAsia" w:ascii="方正仿宋_GBK" w:hAnsi="方正仿宋_GBK" w:eastAsia="方正仿宋_GBK" w:cs="方正仿宋_GBK"/>
          <w:szCs w:val="21"/>
        </w:rPr>
        <w:t>年</w:t>
      </w:r>
      <w:r>
        <w:rPr>
          <w:rFonts w:hint="eastAsia" w:ascii="方正仿宋_GBK" w:hAnsi="方正仿宋_GBK" w:eastAsia="方正仿宋_GBK" w:cs="方正仿宋_GBK"/>
          <w:szCs w:val="21"/>
          <w:u w:val="single"/>
        </w:rPr>
        <w:t xml:space="preserve">       </w:t>
      </w:r>
      <w:r>
        <w:rPr>
          <w:rFonts w:hint="eastAsia" w:ascii="方正仿宋_GBK" w:hAnsi="方正仿宋_GBK" w:eastAsia="方正仿宋_GBK" w:cs="方正仿宋_GBK"/>
          <w:szCs w:val="21"/>
        </w:rPr>
        <w:t>月</w:t>
      </w:r>
      <w:r>
        <w:rPr>
          <w:rFonts w:hint="eastAsia" w:ascii="方正仿宋_GBK" w:hAnsi="方正仿宋_GBK" w:eastAsia="方正仿宋_GBK" w:cs="方正仿宋_GBK"/>
          <w:szCs w:val="21"/>
          <w:u w:val="single"/>
        </w:rPr>
        <w:t xml:space="preserve">       </w:t>
      </w:r>
      <w:r>
        <w:rPr>
          <w:rFonts w:hint="eastAsia" w:ascii="方正仿宋_GBK" w:hAnsi="方正仿宋_GBK" w:eastAsia="方正仿宋_GBK" w:cs="方正仿宋_GBK"/>
          <w:szCs w:val="21"/>
        </w:rPr>
        <w:t>日</w:t>
      </w:r>
    </w:p>
    <w:p w14:paraId="2D6E369E">
      <w:pPr>
        <w:pStyle w:val="19"/>
        <w:spacing w:line="500" w:lineRule="exact"/>
        <w:rPr>
          <w:rFonts w:ascii="Times New Roman"/>
          <w:szCs w:val="21"/>
        </w:rPr>
      </w:pPr>
      <w:r>
        <w:br w:type="page"/>
      </w:r>
      <w:r>
        <w:rPr>
          <w:rFonts w:hint="eastAsia" w:ascii="方正黑体_GBK" w:hAnsi="方正黑体_GBK" w:eastAsia="方正黑体_GBK" w:cs="方正黑体_GBK"/>
          <w:kern w:val="0"/>
          <w:sz w:val="32"/>
          <w:szCs w:val="32"/>
        </w:rPr>
        <w:t>格式5：</w:t>
      </w:r>
    </w:p>
    <w:p w14:paraId="3D704F3F">
      <w:pPr>
        <w:pStyle w:val="243"/>
        <w:jc w:val="center"/>
        <w:rPr>
          <w:rFonts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highlight w:val="white"/>
        </w:rPr>
        <w:t>投标人基本情况表</w:t>
      </w:r>
    </w:p>
    <w:tbl>
      <w:tblPr>
        <w:tblStyle w:val="52"/>
        <w:tblW w:w="899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13"/>
        <w:gridCol w:w="943"/>
        <w:gridCol w:w="998"/>
        <w:gridCol w:w="882"/>
        <w:gridCol w:w="441"/>
        <w:gridCol w:w="327"/>
        <w:gridCol w:w="1132"/>
        <w:gridCol w:w="515"/>
        <w:gridCol w:w="904"/>
        <w:gridCol w:w="1044"/>
      </w:tblGrid>
      <w:tr w14:paraId="4099AB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1813" w:type="dxa"/>
            <w:tcBorders>
              <w:top w:val="single" w:color="auto" w:sz="4" w:space="0"/>
              <w:left w:val="single" w:color="auto" w:sz="4" w:space="0"/>
              <w:bottom w:val="single" w:color="auto" w:sz="4" w:space="0"/>
              <w:right w:val="single" w:color="auto" w:sz="4" w:space="0"/>
            </w:tcBorders>
            <w:vAlign w:val="center"/>
          </w:tcPr>
          <w:p w14:paraId="5EF6625E">
            <w:pPr>
              <w:pStyle w:val="243"/>
              <w:topLinePunct/>
              <w:spacing w:line="440" w:lineRule="exact"/>
              <w:jc w:val="center"/>
              <w:rPr>
                <w:rFonts w:ascii="方正仿宋_GBK" w:hAnsi="方正仿宋_GBK" w:eastAsia="方正仿宋_GBK" w:cs="方正仿宋_GBK"/>
              </w:rPr>
            </w:pPr>
            <w:r>
              <w:rPr>
                <w:rFonts w:hint="eastAsia" w:ascii="方正仿宋_GBK" w:hAnsi="方正仿宋_GBK" w:eastAsia="方正仿宋_GBK" w:cs="方正仿宋_GBK"/>
                <w:highlight w:val="white"/>
              </w:rPr>
              <w:t>投标人名称</w:t>
            </w:r>
          </w:p>
        </w:tc>
        <w:tc>
          <w:tcPr>
            <w:tcW w:w="7186" w:type="dxa"/>
            <w:gridSpan w:val="9"/>
            <w:tcBorders>
              <w:top w:val="single" w:color="auto" w:sz="4" w:space="0"/>
              <w:left w:val="single" w:color="auto" w:sz="4" w:space="0"/>
              <w:bottom w:val="single" w:color="auto" w:sz="4" w:space="0"/>
              <w:right w:val="single" w:color="auto" w:sz="4" w:space="0"/>
            </w:tcBorders>
            <w:vAlign w:val="center"/>
          </w:tcPr>
          <w:p w14:paraId="1F661516">
            <w:pPr>
              <w:pStyle w:val="243"/>
              <w:topLinePunct/>
              <w:spacing w:line="440" w:lineRule="exact"/>
              <w:jc w:val="center"/>
              <w:rPr>
                <w:rFonts w:ascii="方正仿宋_GBK" w:hAnsi="方正仿宋_GBK" w:eastAsia="方正仿宋_GBK" w:cs="方正仿宋_GBK"/>
                <w:u w:val="single" w:color="FF0000"/>
              </w:rPr>
            </w:pPr>
          </w:p>
        </w:tc>
      </w:tr>
      <w:tr w14:paraId="62A56B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813" w:type="dxa"/>
            <w:tcBorders>
              <w:top w:val="single" w:color="auto" w:sz="4" w:space="0"/>
              <w:left w:val="single" w:color="auto" w:sz="4" w:space="0"/>
              <w:bottom w:val="single" w:color="auto" w:sz="4" w:space="0"/>
              <w:right w:val="single" w:color="auto" w:sz="4" w:space="0"/>
            </w:tcBorders>
            <w:vAlign w:val="center"/>
          </w:tcPr>
          <w:p w14:paraId="2C404ADA">
            <w:pPr>
              <w:pStyle w:val="243"/>
              <w:topLinePunct/>
              <w:spacing w:line="440" w:lineRule="exact"/>
              <w:jc w:val="center"/>
              <w:rPr>
                <w:rFonts w:ascii="方正仿宋_GBK" w:hAnsi="方正仿宋_GBK" w:eastAsia="方正仿宋_GBK" w:cs="方正仿宋_GBK"/>
              </w:rPr>
            </w:pPr>
            <w:r>
              <w:rPr>
                <w:rFonts w:hint="eastAsia" w:ascii="方正仿宋_GBK" w:hAnsi="方正仿宋_GBK" w:eastAsia="方正仿宋_GBK" w:cs="方正仿宋_GBK"/>
                <w:highlight w:val="white"/>
              </w:rPr>
              <w:t>注册地址</w:t>
            </w:r>
          </w:p>
        </w:tc>
        <w:tc>
          <w:tcPr>
            <w:tcW w:w="3591" w:type="dxa"/>
            <w:gridSpan w:val="5"/>
            <w:tcBorders>
              <w:top w:val="single" w:color="auto" w:sz="4" w:space="0"/>
              <w:left w:val="single" w:color="auto" w:sz="4" w:space="0"/>
              <w:bottom w:val="single" w:color="auto" w:sz="4" w:space="0"/>
              <w:right w:val="single" w:color="auto" w:sz="4" w:space="0"/>
            </w:tcBorders>
            <w:vAlign w:val="center"/>
          </w:tcPr>
          <w:p w14:paraId="526B36D2">
            <w:pPr>
              <w:pStyle w:val="243"/>
              <w:topLinePunct/>
              <w:spacing w:line="440" w:lineRule="exact"/>
              <w:jc w:val="center"/>
              <w:rPr>
                <w:rFonts w:ascii="方正仿宋_GBK" w:hAnsi="方正仿宋_GBK" w:eastAsia="方正仿宋_GBK" w:cs="方正仿宋_GBK"/>
              </w:rPr>
            </w:pPr>
          </w:p>
        </w:tc>
        <w:tc>
          <w:tcPr>
            <w:tcW w:w="1132" w:type="dxa"/>
            <w:tcBorders>
              <w:top w:val="single" w:color="auto" w:sz="4" w:space="0"/>
              <w:left w:val="single" w:color="auto" w:sz="4" w:space="0"/>
              <w:bottom w:val="single" w:color="auto" w:sz="4" w:space="0"/>
              <w:right w:val="single" w:color="auto" w:sz="4" w:space="0"/>
            </w:tcBorders>
            <w:vAlign w:val="center"/>
          </w:tcPr>
          <w:p w14:paraId="71312518">
            <w:pPr>
              <w:pStyle w:val="243"/>
              <w:topLinePunct/>
              <w:spacing w:line="440" w:lineRule="exact"/>
              <w:jc w:val="center"/>
              <w:rPr>
                <w:rFonts w:ascii="方正仿宋_GBK" w:hAnsi="方正仿宋_GBK" w:eastAsia="方正仿宋_GBK" w:cs="方正仿宋_GBK"/>
              </w:rPr>
            </w:pPr>
            <w:r>
              <w:rPr>
                <w:rFonts w:hint="eastAsia" w:ascii="方正仿宋_GBK" w:hAnsi="方正仿宋_GBK" w:eastAsia="方正仿宋_GBK" w:cs="方正仿宋_GBK"/>
                <w:highlight w:val="white"/>
              </w:rPr>
              <w:t>邮政编码</w:t>
            </w:r>
          </w:p>
        </w:tc>
        <w:tc>
          <w:tcPr>
            <w:tcW w:w="2463" w:type="dxa"/>
            <w:gridSpan w:val="3"/>
            <w:tcBorders>
              <w:top w:val="single" w:color="auto" w:sz="4" w:space="0"/>
              <w:left w:val="single" w:color="auto" w:sz="4" w:space="0"/>
              <w:bottom w:val="single" w:color="auto" w:sz="4" w:space="0"/>
              <w:right w:val="single" w:color="auto" w:sz="4" w:space="0"/>
            </w:tcBorders>
            <w:vAlign w:val="center"/>
          </w:tcPr>
          <w:p w14:paraId="748BD209">
            <w:pPr>
              <w:pStyle w:val="243"/>
              <w:topLinePunct/>
              <w:spacing w:line="440" w:lineRule="exact"/>
              <w:jc w:val="center"/>
              <w:rPr>
                <w:rFonts w:ascii="方正仿宋_GBK" w:hAnsi="方正仿宋_GBK" w:eastAsia="方正仿宋_GBK" w:cs="方正仿宋_GBK"/>
              </w:rPr>
            </w:pPr>
          </w:p>
        </w:tc>
      </w:tr>
      <w:tr w14:paraId="6934F5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trPr>
        <w:tc>
          <w:tcPr>
            <w:tcW w:w="1813" w:type="dxa"/>
            <w:vMerge w:val="restart"/>
            <w:tcBorders>
              <w:top w:val="single" w:color="auto" w:sz="4" w:space="0"/>
              <w:left w:val="single" w:color="auto" w:sz="4" w:space="0"/>
              <w:bottom w:val="single" w:color="auto" w:sz="4" w:space="0"/>
              <w:right w:val="single" w:color="auto" w:sz="4" w:space="0"/>
            </w:tcBorders>
            <w:vAlign w:val="center"/>
          </w:tcPr>
          <w:p w14:paraId="0BCC286C">
            <w:pPr>
              <w:pStyle w:val="243"/>
              <w:topLinePunct/>
              <w:spacing w:line="440" w:lineRule="exact"/>
              <w:jc w:val="center"/>
              <w:rPr>
                <w:rFonts w:ascii="方正仿宋_GBK" w:hAnsi="方正仿宋_GBK" w:eastAsia="方正仿宋_GBK" w:cs="方正仿宋_GBK"/>
              </w:rPr>
            </w:pPr>
            <w:r>
              <w:rPr>
                <w:rFonts w:hint="eastAsia" w:ascii="方正仿宋_GBK" w:hAnsi="方正仿宋_GBK" w:eastAsia="方正仿宋_GBK" w:cs="方正仿宋_GBK"/>
                <w:highlight w:val="white"/>
              </w:rPr>
              <w:t>联系方式</w:t>
            </w:r>
          </w:p>
        </w:tc>
        <w:tc>
          <w:tcPr>
            <w:tcW w:w="943" w:type="dxa"/>
            <w:tcBorders>
              <w:top w:val="single" w:color="auto" w:sz="4" w:space="0"/>
              <w:left w:val="single" w:color="auto" w:sz="4" w:space="0"/>
              <w:bottom w:val="single" w:color="auto" w:sz="4" w:space="0"/>
              <w:right w:val="single" w:color="auto" w:sz="4" w:space="0"/>
            </w:tcBorders>
            <w:vAlign w:val="center"/>
          </w:tcPr>
          <w:p w14:paraId="595E65CB">
            <w:pPr>
              <w:pStyle w:val="243"/>
              <w:topLinePunct/>
              <w:spacing w:line="440" w:lineRule="exact"/>
              <w:jc w:val="center"/>
              <w:rPr>
                <w:rFonts w:ascii="方正仿宋_GBK" w:hAnsi="方正仿宋_GBK" w:eastAsia="方正仿宋_GBK" w:cs="方正仿宋_GBK"/>
              </w:rPr>
            </w:pPr>
            <w:r>
              <w:rPr>
                <w:rFonts w:hint="eastAsia" w:ascii="方正仿宋_GBK" w:hAnsi="方正仿宋_GBK" w:eastAsia="方正仿宋_GBK" w:cs="方正仿宋_GBK"/>
                <w:highlight w:val="white"/>
              </w:rPr>
              <w:t>联系人</w:t>
            </w:r>
          </w:p>
        </w:tc>
        <w:tc>
          <w:tcPr>
            <w:tcW w:w="2648" w:type="dxa"/>
            <w:gridSpan w:val="4"/>
            <w:tcBorders>
              <w:top w:val="single" w:color="auto" w:sz="4" w:space="0"/>
              <w:left w:val="single" w:color="auto" w:sz="4" w:space="0"/>
              <w:bottom w:val="single" w:color="auto" w:sz="4" w:space="0"/>
              <w:right w:val="single" w:color="auto" w:sz="4" w:space="0"/>
            </w:tcBorders>
            <w:vAlign w:val="center"/>
          </w:tcPr>
          <w:p w14:paraId="2CF03813">
            <w:pPr>
              <w:pStyle w:val="243"/>
              <w:topLinePunct/>
              <w:spacing w:line="440" w:lineRule="exact"/>
              <w:jc w:val="center"/>
              <w:rPr>
                <w:rFonts w:ascii="方正仿宋_GBK" w:hAnsi="方正仿宋_GBK" w:eastAsia="方正仿宋_GBK" w:cs="方正仿宋_GBK"/>
              </w:rPr>
            </w:pPr>
          </w:p>
        </w:tc>
        <w:tc>
          <w:tcPr>
            <w:tcW w:w="1132" w:type="dxa"/>
            <w:tcBorders>
              <w:top w:val="single" w:color="auto" w:sz="4" w:space="0"/>
              <w:left w:val="single" w:color="auto" w:sz="4" w:space="0"/>
              <w:bottom w:val="single" w:color="auto" w:sz="4" w:space="0"/>
              <w:right w:val="single" w:color="auto" w:sz="4" w:space="0"/>
            </w:tcBorders>
            <w:vAlign w:val="center"/>
          </w:tcPr>
          <w:p w14:paraId="137AAEE2">
            <w:pPr>
              <w:pStyle w:val="243"/>
              <w:topLinePunct/>
              <w:spacing w:line="440" w:lineRule="exact"/>
              <w:jc w:val="center"/>
              <w:rPr>
                <w:rFonts w:ascii="方正仿宋_GBK" w:hAnsi="方正仿宋_GBK" w:eastAsia="方正仿宋_GBK" w:cs="方正仿宋_GBK"/>
              </w:rPr>
            </w:pPr>
            <w:r>
              <w:rPr>
                <w:rFonts w:hint="eastAsia" w:ascii="方正仿宋_GBK" w:hAnsi="方正仿宋_GBK" w:eastAsia="方正仿宋_GBK" w:cs="方正仿宋_GBK"/>
                <w:highlight w:val="white"/>
              </w:rPr>
              <w:t>电 话</w:t>
            </w:r>
          </w:p>
        </w:tc>
        <w:tc>
          <w:tcPr>
            <w:tcW w:w="2463" w:type="dxa"/>
            <w:gridSpan w:val="3"/>
            <w:tcBorders>
              <w:top w:val="single" w:color="auto" w:sz="4" w:space="0"/>
              <w:left w:val="single" w:color="auto" w:sz="4" w:space="0"/>
              <w:bottom w:val="single" w:color="auto" w:sz="4" w:space="0"/>
              <w:right w:val="single" w:color="auto" w:sz="4" w:space="0"/>
            </w:tcBorders>
            <w:vAlign w:val="center"/>
          </w:tcPr>
          <w:p w14:paraId="129B0DC4">
            <w:pPr>
              <w:pStyle w:val="243"/>
              <w:topLinePunct/>
              <w:spacing w:line="440" w:lineRule="exact"/>
              <w:jc w:val="center"/>
              <w:rPr>
                <w:rFonts w:ascii="方正仿宋_GBK" w:hAnsi="方正仿宋_GBK" w:eastAsia="方正仿宋_GBK" w:cs="方正仿宋_GBK"/>
              </w:rPr>
            </w:pPr>
          </w:p>
        </w:tc>
      </w:tr>
      <w:tr w14:paraId="0047DC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4" w:hRule="atLeast"/>
        </w:trPr>
        <w:tc>
          <w:tcPr>
            <w:tcW w:w="1813" w:type="dxa"/>
            <w:vMerge w:val="continue"/>
            <w:tcBorders>
              <w:top w:val="single" w:color="auto" w:sz="4" w:space="0"/>
              <w:left w:val="single" w:color="auto" w:sz="4" w:space="0"/>
              <w:bottom w:val="single" w:color="auto" w:sz="4" w:space="0"/>
              <w:right w:val="single" w:color="auto" w:sz="4" w:space="0"/>
            </w:tcBorders>
            <w:vAlign w:val="center"/>
          </w:tcPr>
          <w:p w14:paraId="15E92748">
            <w:pPr>
              <w:widowControl/>
              <w:jc w:val="left"/>
              <w:rPr>
                <w:rFonts w:ascii="方正仿宋_GBK" w:hAnsi="方正仿宋_GBK" w:eastAsia="方正仿宋_GBK" w:cs="方正仿宋_GBK"/>
              </w:rPr>
            </w:pPr>
          </w:p>
        </w:tc>
        <w:tc>
          <w:tcPr>
            <w:tcW w:w="943" w:type="dxa"/>
            <w:tcBorders>
              <w:top w:val="single" w:color="auto" w:sz="4" w:space="0"/>
              <w:left w:val="single" w:color="auto" w:sz="4" w:space="0"/>
              <w:bottom w:val="single" w:color="auto" w:sz="4" w:space="0"/>
              <w:right w:val="single" w:color="auto" w:sz="4" w:space="0"/>
            </w:tcBorders>
            <w:vAlign w:val="center"/>
          </w:tcPr>
          <w:p w14:paraId="1370B528">
            <w:pPr>
              <w:pStyle w:val="243"/>
              <w:topLinePunct/>
              <w:spacing w:line="440" w:lineRule="exact"/>
              <w:jc w:val="center"/>
              <w:rPr>
                <w:rFonts w:ascii="方正仿宋_GBK" w:hAnsi="方正仿宋_GBK" w:eastAsia="方正仿宋_GBK" w:cs="方正仿宋_GBK"/>
              </w:rPr>
            </w:pPr>
            <w:r>
              <w:rPr>
                <w:rFonts w:hint="eastAsia" w:ascii="方正仿宋_GBK" w:hAnsi="方正仿宋_GBK" w:eastAsia="方正仿宋_GBK" w:cs="方正仿宋_GBK"/>
                <w:highlight w:val="white"/>
              </w:rPr>
              <w:t>传  真</w:t>
            </w:r>
          </w:p>
        </w:tc>
        <w:tc>
          <w:tcPr>
            <w:tcW w:w="2648" w:type="dxa"/>
            <w:gridSpan w:val="4"/>
            <w:tcBorders>
              <w:top w:val="single" w:color="auto" w:sz="4" w:space="0"/>
              <w:left w:val="single" w:color="auto" w:sz="4" w:space="0"/>
              <w:bottom w:val="single" w:color="auto" w:sz="4" w:space="0"/>
              <w:right w:val="single" w:color="auto" w:sz="4" w:space="0"/>
            </w:tcBorders>
            <w:vAlign w:val="center"/>
          </w:tcPr>
          <w:p w14:paraId="50F089AC">
            <w:pPr>
              <w:pStyle w:val="243"/>
              <w:topLinePunct/>
              <w:spacing w:line="440" w:lineRule="exact"/>
              <w:jc w:val="center"/>
              <w:rPr>
                <w:rFonts w:ascii="方正仿宋_GBK" w:hAnsi="方正仿宋_GBK" w:eastAsia="方正仿宋_GBK" w:cs="方正仿宋_GBK"/>
              </w:rPr>
            </w:pPr>
          </w:p>
        </w:tc>
        <w:tc>
          <w:tcPr>
            <w:tcW w:w="1132" w:type="dxa"/>
            <w:tcBorders>
              <w:top w:val="single" w:color="auto" w:sz="4" w:space="0"/>
              <w:left w:val="single" w:color="auto" w:sz="4" w:space="0"/>
              <w:bottom w:val="single" w:color="auto" w:sz="4" w:space="0"/>
              <w:right w:val="single" w:color="auto" w:sz="4" w:space="0"/>
            </w:tcBorders>
            <w:vAlign w:val="center"/>
          </w:tcPr>
          <w:p w14:paraId="1E5B1745">
            <w:pPr>
              <w:pStyle w:val="243"/>
              <w:topLinePunct/>
              <w:spacing w:line="440" w:lineRule="exact"/>
              <w:jc w:val="center"/>
              <w:rPr>
                <w:rFonts w:ascii="方正仿宋_GBK" w:hAnsi="方正仿宋_GBK" w:eastAsia="方正仿宋_GBK" w:cs="方正仿宋_GBK"/>
              </w:rPr>
            </w:pPr>
            <w:r>
              <w:rPr>
                <w:rFonts w:hint="eastAsia" w:ascii="方正仿宋_GBK" w:hAnsi="方正仿宋_GBK" w:eastAsia="方正仿宋_GBK" w:cs="方正仿宋_GBK"/>
                <w:highlight w:val="white"/>
              </w:rPr>
              <w:t>网 址</w:t>
            </w:r>
          </w:p>
        </w:tc>
        <w:tc>
          <w:tcPr>
            <w:tcW w:w="2463" w:type="dxa"/>
            <w:gridSpan w:val="3"/>
            <w:tcBorders>
              <w:top w:val="single" w:color="auto" w:sz="4" w:space="0"/>
              <w:left w:val="single" w:color="auto" w:sz="4" w:space="0"/>
              <w:bottom w:val="single" w:color="auto" w:sz="4" w:space="0"/>
              <w:right w:val="single" w:color="auto" w:sz="4" w:space="0"/>
            </w:tcBorders>
            <w:vAlign w:val="center"/>
          </w:tcPr>
          <w:p w14:paraId="703252E5">
            <w:pPr>
              <w:pStyle w:val="243"/>
              <w:topLinePunct/>
              <w:spacing w:line="440" w:lineRule="exact"/>
              <w:jc w:val="center"/>
              <w:rPr>
                <w:rFonts w:ascii="方正仿宋_GBK" w:hAnsi="方正仿宋_GBK" w:eastAsia="方正仿宋_GBK" w:cs="方正仿宋_GBK"/>
              </w:rPr>
            </w:pPr>
          </w:p>
        </w:tc>
      </w:tr>
      <w:tr w14:paraId="1B6EEC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813" w:type="dxa"/>
            <w:tcBorders>
              <w:top w:val="single" w:color="auto" w:sz="4" w:space="0"/>
              <w:left w:val="single" w:color="auto" w:sz="4" w:space="0"/>
              <w:bottom w:val="single" w:color="auto" w:sz="4" w:space="0"/>
              <w:right w:val="single" w:color="auto" w:sz="4" w:space="0"/>
            </w:tcBorders>
            <w:vAlign w:val="center"/>
          </w:tcPr>
          <w:p w14:paraId="3F38C7BC">
            <w:pPr>
              <w:pStyle w:val="243"/>
              <w:topLinePunct/>
              <w:spacing w:line="440" w:lineRule="exact"/>
              <w:jc w:val="center"/>
              <w:rPr>
                <w:rFonts w:ascii="方正仿宋_GBK" w:hAnsi="方正仿宋_GBK" w:eastAsia="方正仿宋_GBK" w:cs="方正仿宋_GBK"/>
              </w:rPr>
            </w:pPr>
            <w:r>
              <w:rPr>
                <w:rFonts w:hint="eastAsia" w:ascii="方正仿宋_GBK" w:hAnsi="方正仿宋_GBK" w:eastAsia="方正仿宋_GBK" w:cs="方正仿宋_GBK"/>
                <w:highlight w:val="white"/>
              </w:rPr>
              <w:t>法定代表人</w:t>
            </w:r>
          </w:p>
        </w:tc>
        <w:tc>
          <w:tcPr>
            <w:tcW w:w="943" w:type="dxa"/>
            <w:tcBorders>
              <w:top w:val="single" w:color="auto" w:sz="4" w:space="0"/>
              <w:left w:val="single" w:color="auto" w:sz="4" w:space="0"/>
              <w:bottom w:val="single" w:color="auto" w:sz="4" w:space="0"/>
              <w:right w:val="single" w:color="auto" w:sz="4" w:space="0"/>
            </w:tcBorders>
            <w:vAlign w:val="center"/>
          </w:tcPr>
          <w:p w14:paraId="1AC75CC4">
            <w:pPr>
              <w:pStyle w:val="243"/>
              <w:topLinePunct/>
              <w:spacing w:line="440" w:lineRule="exact"/>
              <w:jc w:val="center"/>
              <w:rPr>
                <w:rFonts w:ascii="方正仿宋_GBK" w:hAnsi="方正仿宋_GBK" w:eastAsia="方正仿宋_GBK" w:cs="方正仿宋_GBK"/>
              </w:rPr>
            </w:pPr>
            <w:r>
              <w:rPr>
                <w:rFonts w:hint="eastAsia" w:ascii="方正仿宋_GBK" w:hAnsi="方正仿宋_GBK" w:eastAsia="方正仿宋_GBK" w:cs="方正仿宋_GBK"/>
                <w:highlight w:val="white"/>
              </w:rPr>
              <w:t>姓名</w:t>
            </w:r>
          </w:p>
        </w:tc>
        <w:tc>
          <w:tcPr>
            <w:tcW w:w="998" w:type="dxa"/>
            <w:tcBorders>
              <w:top w:val="single" w:color="auto" w:sz="4" w:space="0"/>
              <w:left w:val="single" w:color="auto" w:sz="4" w:space="0"/>
              <w:bottom w:val="single" w:color="auto" w:sz="4" w:space="0"/>
              <w:right w:val="single" w:color="auto" w:sz="4" w:space="0"/>
            </w:tcBorders>
            <w:vAlign w:val="center"/>
          </w:tcPr>
          <w:p w14:paraId="2D82603F">
            <w:pPr>
              <w:pStyle w:val="243"/>
              <w:topLinePunct/>
              <w:spacing w:line="440" w:lineRule="exact"/>
              <w:jc w:val="center"/>
              <w:rPr>
                <w:rFonts w:ascii="方正仿宋_GBK" w:hAnsi="方正仿宋_GBK" w:eastAsia="方正仿宋_GBK" w:cs="方正仿宋_GBK"/>
              </w:rPr>
            </w:pPr>
          </w:p>
        </w:tc>
        <w:tc>
          <w:tcPr>
            <w:tcW w:w="1323" w:type="dxa"/>
            <w:gridSpan w:val="2"/>
            <w:tcBorders>
              <w:top w:val="single" w:color="auto" w:sz="4" w:space="0"/>
              <w:left w:val="single" w:color="auto" w:sz="4" w:space="0"/>
              <w:bottom w:val="single" w:color="auto" w:sz="4" w:space="0"/>
              <w:right w:val="single" w:color="auto" w:sz="4" w:space="0"/>
            </w:tcBorders>
            <w:vAlign w:val="center"/>
          </w:tcPr>
          <w:p w14:paraId="64273226">
            <w:pPr>
              <w:pStyle w:val="243"/>
              <w:topLinePunct/>
              <w:spacing w:line="440" w:lineRule="exact"/>
              <w:jc w:val="center"/>
              <w:rPr>
                <w:rFonts w:ascii="方正仿宋_GBK" w:hAnsi="方正仿宋_GBK" w:eastAsia="方正仿宋_GBK" w:cs="方正仿宋_GBK"/>
              </w:rPr>
            </w:pPr>
            <w:r>
              <w:rPr>
                <w:rFonts w:hint="eastAsia" w:ascii="方正仿宋_GBK" w:hAnsi="方正仿宋_GBK" w:eastAsia="方正仿宋_GBK" w:cs="方正仿宋_GBK"/>
                <w:highlight w:val="white"/>
              </w:rPr>
              <w:t>技术职称</w:t>
            </w:r>
          </w:p>
        </w:tc>
        <w:tc>
          <w:tcPr>
            <w:tcW w:w="1974" w:type="dxa"/>
            <w:gridSpan w:val="3"/>
            <w:tcBorders>
              <w:top w:val="single" w:color="auto" w:sz="4" w:space="0"/>
              <w:left w:val="single" w:color="auto" w:sz="4" w:space="0"/>
              <w:bottom w:val="single" w:color="auto" w:sz="4" w:space="0"/>
              <w:right w:val="single" w:color="auto" w:sz="4" w:space="0"/>
            </w:tcBorders>
            <w:vAlign w:val="center"/>
          </w:tcPr>
          <w:p w14:paraId="103225C1">
            <w:pPr>
              <w:pStyle w:val="243"/>
              <w:topLinePunct/>
              <w:spacing w:line="440" w:lineRule="exact"/>
              <w:jc w:val="center"/>
              <w:rPr>
                <w:rFonts w:ascii="方正仿宋_GBK" w:hAnsi="方正仿宋_GBK" w:eastAsia="方正仿宋_GBK" w:cs="方正仿宋_GBK"/>
              </w:rPr>
            </w:pPr>
          </w:p>
        </w:tc>
        <w:tc>
          <w:tcPr>
            <w:tcW w:w="904" w:type="dxa"/>
            <w:tcBorders>
              <w:top w:val="single" w:color="auto" w:sz="4" w:space="0"/>
              <w:left w:val="single" w:color="auto" w:sz="4" w:space="0"/>
              <w:bottom w:val="single" w:color="auto" w:sz="4" w:space="0"/>
              <w:right w:val="single" w:color="auto" w:sz="4" w:space="0"/>
            </w:tcBorders>
            <w:vAlign w:val="center"/>
          </w:tcPr>
          <w:p w14:paraId="35055353">
            <w:pPr>
              <w:pStyle w:val="243"/>
              <w:topLinePunct/>
              <w:spacing w:line="440" w:lineRule="exact"/>
              <w:jc w:val="center"/>
              <w:rPr>
                <w:rFonts w:ascii="方正仿宋_GBK" w:hAnsi="方正仿宋_GBK" w:eastAsia="方正仿宋_GBK" w:cs="方正仿宋_GBK"/>
              </w:rPr>
            </w:pPr>
            <w:r>
              <w:rPr>
                <w:rFonts w:hint="eastAsia" w:ascii="方正仿宋_GBK" w:hAnsi="方正仿宋_GBK" w:eastAsia="方正仿宋_GBK" w:cs="方正仿宋_GBK"/>
                <w:highlight w:val="white"/>
              </w:rPr>
              <w:t>电话</w:t>
            </w:r>
          </w:p>
        </w:tc>
        <w:tc>
          <w:tcPr>
            <w:tcW w:w="1044" w:type="dxa"/>
            <w:tcBorders>
              <w:top w:val="single" w:color="auto" w:sz="4" w:space="0"/>
              <w:left w:val="single" w:color="auto" w:sz="4" w:space="0"/>
              <w:bottom w:val="single" w:color="auto" w:sz="4" w:space="0"/>
              <w:right w:val="single" w:color="auto" w:sz="4" w:space="0"/>
            </w:tcBorders>
            <w:vAlign w:val="center"/>
          </w:tcPr>
          <w:p w14:paraId="719FAFED">
            <w:pPr>
              <w:pStyle w:val="243"/>
              <w:topLinePunct/>
              <w:spacing w:line="440" w:lineRule="exact"/>
              <w:jc w:val="center"/>
              <w:rPr>
                <w:rFonts w:ascii="方正仿宋_GBK" w:hAnsi="方正仿宋_GBK" w:eastAsia="方正仿宋_GBK" w:cs="方正仿宋_GBK"/>
              </w:rPr>
            </w:pPr>
          </w:p>
        </w:tc>
      </w:tr>
      <w:tr w14:paraId="782CCF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1813" w:type="dxa"/>
            <w:tcBorders>
              <w:top w:val="single" w:color="auto" w:sz="4" w:space="0"/>
              <w:left w:val="single" w:color="auto" w:sz="4" w:space="0"/>
              <w:bottom w:val="single" w:color="auto" w:sz="4" w:space="0"/>
              <w:right w:val="single" w:color="auto" w:sz="4" w:space="0"/>
            </w:tcBorders>
            <w:vAlign w:val="center"/>
          </w:tcPr>
          <w:p w14:paraId="2DC74377">
            <w:pPr>
              <w:pStyle w:val="243"/>
              <w:topLinePunct/>
              <w:spacing w:line="440" w:lineRule="exact"/>
              <w:jc w:val="center"/>
              <w:rPr>
                <w:rFonts w:ascii="方正仿宋_GBK" w:hAnsi="方正仿宋_GBK" w:eastAsia="方正仿宋_GBK" w:cs="方正仿宋_GBK"/>
              </w:rPr>
            </w:pPr>
            <w:r>
              <w:rPr>
                <w:rFonts w:hint="eastAsia" w:ascii="方正仿宋_GBK" w:hAnsi="方正仿宋_GBK" w:eastAsia="方正仿宋_GBK" w:cs="方正仿宋_GBK"/>
                <w:highlight w:val="white"/>
              </w:rPr>
              <w:t>技术负责人</w:t>
            </w:r>
          </w:p>
        </w:tc>
        <w:tc>
          <w:tcPr>
            <w:tcW w:w="943" w:type="dxa"/>
            <w:tcBorders>
              <w:top w:val="single" w:color="auto" w:sz="4" w:space="0"/>
              <w:left w:val="single" w:color="auto" w:sz="4" w:space="0"/>
              <w:bottom w:val="single" w:color="auto" w:sz="4" w:space="0"/>
              <w:right w:val="single" w:color="auto" w:sz="4" w:space="0"/>
            </w:tcBorders>
            <w:vAlign w:val="center"/>
          </w:tcPr>
          <w:p w14:paraId="561F4CB5">
            <w:pPr>
              <w:pStyle w:val="243"/>
              <w:topLinePunct/>
              <w:spacing w:line="440" w:lineRule="exact"/>
              <w:jc w:val="center"/>
              <w:rPr>
                <w:rFonts w:ascii="方正仿宋_GBK" w:hAnsi="方正仿宋_GBK" w:eastAsia="方正仿宋_GBK" w:cs="方正仿宋_GBK"/>
              </w:rPr>
            </w:pPr>
            <w:r>
              <w:rPr>
                <w:rFonts w:hint="eastAsia" w:ascii="方正仿宋_GBK" w:hAnsi="方正仿宋_GBK" w:eastAsia="方正仿宋_GBK" w:cs="方正仿宋_GBK"/>
                <w:highlight w:val="white"/>
              </w:rPr>
              <w:t>姓名</w:t>
            </w:r>
          </w:p>
        </w:tc>
        <w:tc>
          <w:tcPr>
            <w:tcW w:w="998" w:type="dxa"/>
            <w:tcBorders>
              <w:top w:val="single" w:color="auto" w:sz="4" w:space="0"/>
              <w:left w:val="single" w:color="auto" w:sz="4" w:space="0"/>
              <w:bottom w:val="single" w:color="auto" w:sz="4" w:space="0"/>
              <w:right w:val="single" w:color="auto" w:sz="4" w:space="0"/>
            </w:tcBorders>
            <w:vAlign w:val="center"/>
          </w:tcPr>
          <w:p w14:paraId="6DF85126">
            <w:pPr>
              <w:pStyle w:val="243"/>
              <w:topLinePunct/>
              <w:spacing w:line="440" w:lineRule="exact"/>
              <w:jc w:val="center"/>
              <w:rPr>
                <w:rFonts w:ascii="方正仿宋_GBK" w:hAnsi="方正仿宋_GBK" w:eastAsia="方正仿宋_GBK" w:cs="方正仿宋_GBK"/>
              </w:rPr>
            </w:pPr>
          </w:p>
        </w:tc>
        <w:tc>
          <w:tcPr>
            <w:tcW w:w="1323" w:type="dxa"/>
            <w:gridSpan w:val="2"/>
            <w:tcBorders>
              <w:top w:val="single" w:color="auto" w:sz="4" w:space="0"/>
              <w:left w:val="single" w:color="auto" w:sz="4" w:space="0"/>
              <w:bottom w:val="single" w:color="auto" w:sz="4" w:space="0"/>
              <w:right w:val="single" w:color="auto" w:sz="4" w:space="0"/>
            </w:tcBorders>
            <w:vAlign w:val="center"/>
          </w:tcPr>
          <w:p w14:paraId="001B5160">
            <w:pPr>
              <w:pStyle w:val="243"/>
              <w:topLinePunct/>
              <w:spacing w:line="440" w:lineRule="exact"/>
              <w:jc w:val="center"/>
              <w:rPr>
                <w:rFonts w:ascii="方正仿宋_GBK" w:hAnsi="方正仿宋_GBK" w:eastAsia="方正仿宋_GBK" w:cs="方正仿宋_GBK"/>
              </w:rPr>
            </w:pPr>
            <w:r>
              <w:rPr>
                <w:rFonts w:hint="eastAsia" w:ascii="方正仿宋_GBK" w:hAnsi="方正仿宋_GBK" w:eastAsia="方正仿宋_GBK" w:cs="方正仿宋_GBK"/>
                <w:highlight w:val="white"/>
              </w:rPr>
              <w:t>技术职称</w:t>
            </w:r>
          </w:p>
        </w:tc>
        <w:tc>
          <w:tcPr>
            <w:tcW w:w="1974" w:type="dxa"/>
            <w:gridSpan w:val="3"/>
            <w:tcBorders>
              <w:top w:val="single" w:color="auto" w:sz="4" w:space="0"/>
              <w:left w:val="single" w:color="auto" w:sz="4" w:space="0"/>
              <w:bottom w:val="single" w:color="auto" w:sz="4" w:space="0"/>
              <w:right w:val="single" w:color="auto" w:sz="4" w:space="0"/>
            </w:tcBorders>
            <w:vAlign w:val="center"/>
          </w:tcPr>
          <w:p w14:paraId="639290CB">
            <w:pPr>
              <w:pStyle w:val="243"/>
              <w:topLinePunct/>
              <w:spacing w:line="440" w:lineRule="exact"/>
              <w:jc w:val="center"/>
              <w:rPr>
                <w:rFonts w:ascii="方正仿宋_GBK" w:hAnsi="方正仿宋_GBK" w:eastAsia="方正仿宋_GBK" w:cs="方正仿宋_GBK"/>
              </w:rPr>
            </w:pPr>
          </w:p>
        </w:tc>
        <w:tc>
          <w:tcPr>
            <w:tcW w:w="904" w:type="dxa"/>
            <w:tcBorders>
              <w:top w:val="single" w:color="auto" w:sz="4" w:space="0"/>
              <w:left w:val="single" w:color="auto" w:sz="4" w:space="0"/>
              <w:bottom w:val="single" w:color="auto" w:sz="4" w:space="0"/>
              <w:right w:val="single" w:color="auto" w:sz="4" w:space="0"/>
            </w:tcBorders>
            <w:vAlign w:val="center"/>
          </w:tcPr>
          <w:p w14:paraId="533F42E1">
            <w:pPr>
              <w:pStyle w:val="243"/>
              <w:topLinePunct/>
              <w:spacing w:line="440" w:lineRule="exact"/>
              <w:jc w:val="center"/>
              <w:rPr>
                <w:rFonts w:ascii="方正仿宋_GBK" w:hAnsi="方正仿宋_GBK" w:eastAsia="方正仿宋_GBK" w:cs="方正仿宋_GBK"/>
              </w:rPr>
            </w:pPr>
            <w:r>
              <w:rPr>
                <w:rFonts w:hint="eastAsia" w:ascii="方正仿宋_GBK" w:hAnsi="方正仿宋_GBK" w:eastAsia="方正仿宋_GBK" w:cs="方正仿宋_GBK"/>
                <w:highlight w:val="white"/>
              </w:rPr>
              <w:t>电话</w:t>
            </w:r>
          </w:p>
        </w:tc>
        <w:tc>
          <w:tcPr>
            <w:tcW w:w="1044" w:type="dxa"/>
            <w:tcBorders>
              <w:top w:val="single" w:color="auto" w:sz="4" w:space="0"/>
              <w:left w:val="single" w:color="auto" w:sz="4" w:space="0"/>
              <w:bottom w:val="single" w:color="auto" w:sz="4" w:space="0"/>
              <w:right w:val="single" w:color="auto" w:sz="4" w:space="0"/>
            </w:tcBorders>
            <w:vAlign w:val="center"/>
          </w:tcPr>
          <w:p w14:paraId="18445480">
            <w:pPr>
              <w:pStyle w:val="243"/>
              <w:topLinePunct/>
              <w:spacing w:line="440" w:lineRule="exact"/>
              <w:jc w:val="center"/>
              <w:rPr>
                <w:rFonts w:ascii="方正仿宋_GBK" w:hAnsi="方正仿宋_GBK" w:eastAsia="方正仿宋_GBK" w:cs="方正仿宋_GBK"/>
              </w:rPr>
            </w:pPr>
          </w:p>
        </w:tc>
      </w:tr>
      <w:tr w14:paraId="046C98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813" w:type="dxa"/>
            <w:tcBorders>
              <w:top w:val="single" w:color="auto" w:sz="4" w:space="0"/>
              <w:left w:val="single" w:color="auto" w:sz="4" w:space="0"/>
              <w:bottom w:val="single" w:color="auto" w:sz="4" w:space="0"/>
              <w:right w:val="single" w:color="auto" w:sz="4" w:space="0"/>
            </w:tcBorders>
            <w:vAlign w:val="center"/>
          </w:tcPr>
          <w:p w14:paraId="186DDD5D">
            <w:pPr>
              <w:pStyle w:val="243"/>
              <w:topLinePunct/>
              <w:spacing w:line="440" w:lineRule="exact"/>
              <w:jc w:val="center"/>
              <w:rPr>
                <w:rFonts w:ascii="方正仿宋_GBK" w:hAnsi="方正仿宋_GBK" w:eastAsia="方正仿宋_GBK" w:cs="方正仿宋_GBK"/>
              </w:rPr>
            </w:pPr>
            <w:r>
              <w:rPr>
                <w:rFonts w:hint="eastAsia" w:ascii="方正仿宋_GBK" w:hAnsi="方正仿宋_GBK" w:eastAsia="方正仿宋_GBK" w:cs="方正仿宋_GBK"/>
                <w:highlight w:val="white"/>
              </w:rPr>
              <w:t>成立时间</w:t>
            </w:r>
          </w:p>
        </w:tc>
        <w:tc>
          <w:tcPr>
            <w:tcW w:w="1941" w:type="dxa"/>
            <w:gridSpan w:val="2"/>
            <w:tcBorders>
              <w:top w:val="single" w:color="auto" w:sz="4" w:space="0"/>
              <w:left w:val="single" w:color="auto" w:sz="4" w:space="0"/>
              <w:bottom w:val="single" w:color="auto" w:sz="4" w:space="0"/>
              <w:right w:val="single" w:color="auto" w:sz="4" w:space="0"/>
            </w:tcBorders>
            <w:vAlign w:val="center"/>
          </w:tcPr>
          <w:p w14:paraId="585F2B0D">
            <w:pPr>
              <w:pStyle w:val="243"/>
              <w:topLinePunct/>
              <w:spacing w:line="440" w:lineRule="exact"/>
              <w:jc w:val="center"/>
              <w:rPr>
                <w:rFonts w:ascii="方正仿宋_GBK" w:hAnsi="方正仿宋_GBK" w:eastAsia="方正仿宋_GBK" w:cs="方正仿宋_GBK"/>
              </w:rPr>
            </w:pPr>
          </w:p>
        </w:tc>
        <w:tc>
          <w:tcPr>
            <w:tcW w:w="5245" w:type="dxa"/>
            <w:gridSpan w:val="7"/>
            <w:tcBorders>
              <w:top w:val="single" w:color="auto" w:sz="4" w:space="0"/>
              <w:left w:val="single" w:color="auto" w:sz="4" w:space="0"/>
              <w:bottom w:val="single" w:color="auto" w:sz="4" w:space="0"/>
              <w:right w:val="single" w:color="auto" w:sz="4" w:space="0"/>
            </w:tcBorders>
            <w:vAlign w:val="center"/>
          </w:tcPr>
          <w:p w14:paraId="7616E2B3">
            <w:pPr>
              <w:pStyle w:val="243"/>
              <w:topLinePunct/>
              <w:spacing w:line="440" w:lineRule="exact"/>
              <w:ind w:firstLine="105" w:firstLineChars="50"/>
              <w:jc w:val="center"/>
              <w:rPr>
                <w:rFonts w:ascii="方正仿宋_GBK" w:hAnsi="方正仿宋_GBK" w:eastAsia="方正仿宋_GBK" w:cs="方正仿宋_GBK"/>
              </w:rPr>
            </w:pPr>
            <w:r>
              <w:rPr>
                <w:rFonts w:hint="eastAsia" w:ascii="方正仿宋_GBK" w:hAnsi="方正仿宋_GBK" w:eastAsia="方正仿宋_GBK" w:cs="方正仿宋_GBK"/>
                <w:highlight w:val="white"/>
              </w:rPr>
              <w:t>员工总人数：</w:t>
            </w:r>
          </w:p>
        </w:tc>
      </w:tr>
      <w:tr w14:paraId="24E89B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trPr>
        <w:tc>
          <w:tcPr>
            <w:tcW w:w="1813" w:type="dxa"/>
            <w:tcBorders>
              <w:top w:val="single" w:color="auto" w:sz="4" w:space="0"/>
              <w:left w:val="single" w:color="auto" w:sz="4" w:space="0"/>
              <w:bottom w:val="single" w:color="auto" w:sz="4" w:space="0"/>
              <w:right w:val="single" w:color="auto" w:sz="4" w:space="0"/>
            </w:tcBorders>
            <w:vAlign w:val="center"/>
          </w:tcPr>
          <w:p w14:paraId="59D2FEF6">
            <w:pPr>
              <w:pStyle w:val="243"/>
              <w:topLinePunct/>
              <w:spacing w:line="440" w:lineRule="exact"/>
              <w:jc w:val="center"/>
              <w:rPr>
                <w:rFonts w:ascii="方正仿宋_GBK" w:hAnsi="方正仿宋_GBK" w:eastAsia="方正仿宋_GBK" w:cs="方正仿宋_GBK"/>
              </w:rPr>
            </w:pPr>
            <w:r>
              <w:rPr>
                <w:rFonts w:hint="eastAsia" w:ascii="方正仿宋_GBK" w:hAnsi="方正仿宋_GBK" w:eastAsia="方正仿宋_GBK" w:cs="方正仿宋_GBK"/>
                <w:highlight w:val="white"/>
              </w:rPr>
              <w:t>企业资质等级</w:t>
            </w:r>
          </w:p>
        </w:tc>
        <w:tc>
          <w:tcPr>
            <w:tcW w:w="1941" w:type="dxa"/>
            <w:gridSpan w:val="2"/>
            <w:tcBorders>
              <w:top w:val="single" w:color="auto" w:sz="4" w:space="0"/>
              <w:left w:val="single" w:color="auto" w:sz="4" w:space="0"/>
              <w:bottom w:val="single" w:color="auto" w:sz="4" w:space="0"/>
              <w:right w:val="single" w:color="auto" w:sz="4" w:space="0"/>
            </w:tcBorders>
            <w:vAlign w:val="center"/>
          </w:tcPr>
          <w:p w14:paraId="4CC68C7B">
            <w:pPr>
              <w:pStyle w:val="243"/>
              <w:topLinePunct/>
              <w:spacing w:line="440" w:lineRule="exact"/>
              <w:jc w:val="center"/>
              <w:rPr>
                <w:rFonts w:ascii="方正仿宋_GBK" w:hAnsi="方正仿宋_GBK" w:eastAsia="方正仿宋_GBK" w:cs="方正仿宋_GBK"/>
              </w:rPr>
            </w:pPr>
          </w:p>
        </w:tc>
        <w:tc>
          <w:tcPr>
            <w:tcW w:w="882" w:type="dxa"/>
            <w:vMerge w:val="restart"/>
            <w:tcBorders>
              <w:top w:val="single" w:color="auto" w:sz="4" w:space="0"/>
              <w:left w:val="single" w:color="auto" w:sz="4" w:space="0"/>
              <w:bottom w:val="single" w:color="auto" w:sz="4" w:space="0"/>
              <w:right w:val="single" w:color="auto" w:sz="4" w:space="0"/>
            </w:tcBorders>
            <w:vAlign w:val="center"/>
          </w:tcPr>
          <w:p w14:paraId="20AA52A2">
            <w:pPr>
              <w:pStyle w:val="243"/>
              <w:topLinePunct/>
              <w:spacing w:line="440" w:lineRule="exact"/>
              <w:jc w:val="center"/>
              <w:rPr>
                <w:rFonts w:ascii="方正仿宋_GBK" w:hAnsi="方正仿宋_GBK" w:eastAsia="方正仿宋_GBK" w:cs="方正仿宋_GBK"/>
              </w:rPr>
            </w:pPr>
            <w:r>
              <w:rPr>
                <w:rFonts w:hint="eastAsia" w:ascii="方正仿宋_GBK" w:hAnsi="方正仿宋_GBK" w:eastAsia="方正仿宋_GBK" w:cs="方正仿宋_GBK"/>
                <w:highlight w:val="white"/>
              </w:rPr>
              <w:t>其中</w:t>
            </w:r>
          </w:p>
        </w:tc>
        <w:tc>
          <w:tcPr>
            <w:tcW w:w="2415" w:type="dxa"/>
            <w:gridSpan w:val="4"/>
            <w:tcBorders>
              <w:top w:val="single" w:color="auto" w:sz="4" w:space="0"/>
              <w:left w:val="single" w:color="auto" w:sz="4" w:space="0"/>
              <w:bottom w:val="single" w:color="auto" w:sz="4" w:space="0"/>
              <w:right w:val="single" w:color="auto" w:sz="4" w:space="0"/>
            </w:tcBorders>
            <w:vAlign w:val="center"/>
          </w:tcPr>
          <w:p w14:paraId="00B5AD68">
            <w:pPr>
              <w:pStyle w:val="243"/>
              <w:topLinePunct/>
              <w:spacing w:line="440" w:lineRule="exact"/>
              <w:jc w:val="center"/>
              <w:rPr>
                <w:rFonts w:ascii="方正仿宋_GBK" w:hAnsi="方正仿宋_GBK" w:eastAsia="方正仿宋_GBK" w:cs="方正仿宋_GBK"/>
              </w:rPr>
            </w:pPr>
            <w:r>
              <w:rPr>
                <w:rFonts w:hint="eastAsia" w:ascii="方正仿宋_GBK" w:hAnsi="方正仿宋_GBK" w:eastAsia="方正仿宋_GBK" w:cs="方正仿宋_GBK"/>
                <w:highlight w:val="white"/>
              </w:rPr>
              <w:t>项目负责人</w:t>
            </w:r>
          </w:p>
        </w:tc>
        <w:tc>
          <w:tcPr>
            <w:tcW w:w="1948" w:type="dxa"/>
            <w:gridSpan w:val="2"/>
            <w:tcBorders>
              <w:top w:val="single" w:color="auto" w:sz="4" w:space="0"/>
              <w:left w:val="single" w:color="auto" w:sz="4" w:space="0"/>
              <w:bottom w:val="single" w:color="auto" w:sz="4" w:space="0"/>
              <w:right w:val="single" w:color="auto" w:sz="4" w:space="0"/>
            </w:tcBorders>
            <w:vAlign w:val="center"/>
          </w:tcPr>
          <w:p w14:paraId="60EB184B">
            <w:pPr>
              <w:pStyle w:val="243"/>
              <w:topLinePunct/>
              <w:spacing w:line="440" w:lineRule="exact"/>
              <w:jc w:val="center"/>
              <w:rPr>
                <w:rFonts w:ascii="方正仿宋_GBK" w:hAnsi="方正仿宋_GBK" w:eastAsia="方正仿宋_GBK" w:cs="方正仿宋_GBK"/>
              </w:rPr>
            </w:pPr>
          </w:p>
        </w:tc>
      </w:tr>
      <w:tr w14:paraId="662876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trPr>
        <w:tc>
          <w:tcPr>
            <w:tcW w:w="1813" w:type="dxa"/>
            <w:tcBorders>
              <w:top w:val="single" w:color="auto" w:sz="4" w:space="0"/>
              <w:left w:val="single" w:color="auto" w:sz="4" w:space="0"/>
              <w:bottom w:val="single" w:color="auto" w:sz="4" w:space="0"/>
              <w:right w:val="single" w:color="auto" w:sz="4" w:space="0"/>
            </w:tcBorders>
            <w:vAlign w:val="center"/>
          </w:tcPr>
          <w:p w14:paraId="3714BAAD">
            <w:pPr>
              <w:pStyle w:val="243"/>
              <w:topLinePunct/>
              <w:spacing w:line="440" w:lineRule="exact"/>
              <w:jc w:val="center"/>
              <w:rPr>
                <w:rFonts w:ascii="方正仿宋_GBK" w:hAnsi="方正仿宋_GBK" w:eastAsia="方正仿宋_GBK" w:cs="方正仿宋_GBK"/>
              </w:rPr>
            </w:pPr>
            <w:r>
              <w:rPr>
                <w:rFonts w:hint="eastAsia" w:ascii="方正仿宋_GBK" w:hAnsi="方正仿宋_GBK" w:eastAsia="方正仿宋_GBK" w:cs="方正仿宋_GBK"/>
                <w:highlight w:val="white"/>
              </w:rPr>
              <w:t>营业执照号</w:t>
            </w:r>
          </w:p>
        </w:tc>
        <w:tc>
          <w:tcPr>
            <w:tcW w:w="1941" w:type="dxa"/>
            <w:gridSpan w:val="2"/>
            <w:tcBorders>
              <w:top w:val="single" w:color="auto" w:sz="4" w:space="0"/>
              <w:left w:val="single" w:color="auto" w:sz="4" w:space="0"/>
              <w:bottom w:val="single" w:color="auto" w:sz="4" w:space="0"/>
              <w:right w:val="single" w:color="auto" w:sz="4" w:space="0"/>
            </w:tcBorders>
            <w:vAlign w:val="center"/>
          </w:tcPr>
          <w:p w14:paraId="30FFB644">
            <w:pPr>
              <w:pStyle w:val="243"/>
              <w:topLinePunct/>
              <w:spacing w:line="440" w:lineRule="exact"/>
              <w:jc w:val="center"/>
              <w:rPr>
                <w:rFonts w:ascii="方正仿宋_GBK" w:hAnsi="方正仿宋_GBK" w:eastAsia="方正仿宋_GBK" w:cs="方正仿宋_GBK"/>
              </w:rPr>
            </w:pPr>
          </w:p>
        </w:tc>
        <w:tc>
          <w:tcPr>
            <w:tcW w:w="882" w:type="dxa"/>
            <w:vMerge w:val="continue"/>
            <w:tcBorders>
              <w:top w:val="single" w:color="auto" w:sz="4" w:space="0"/>
              <w:left w:val="single" w:color="auto" w:sz="4" w:space="0"/>
              <w:bottom w:val="single" w:color="auto" w:sz="4" w:space="0"/>
              <w:right w:val="single" w:color="auto" w:sz="4" w:space="0"/>
            </w:tcBorders>
            <w:vAlign w:val="center"/>
          </w:tcPr>
          <w:p w14:paraId="1F974F2B">
            <w:pPr>
              <w:widowControl/>
              <w:jc w:val="left"/>
              <w:rPr>
                <w:rFonts w:ascii="方正仿宋_GBK" w:hAnsi="方正仿宋_GBK" w:eastAsia="方正仿宋_GBK" w:cs="方正仿宋_GBK"/>
              </w:rPr>
            </w:pPr>
          </w:p>
        </w:tc>
        <w:tc>
          <w:tcPr>
            <w:tcW w:w="2415" w:type="dxa"/>
            <w:gridSpan w:val="4"/>
            <w:tcBorders>
              <w:top w:val="single" w:color="auto" w:sz="4" w:space="0"/>
              <w:left w:val="single" w:color="auto" w:sz="4" w:space="0"/>
              <w:bottom w:val="single" w:color="auto" w:sz="4" w:space="0"/>
              <w:right w:val="single" w:color="auto" w:sz="4" w:space="0"/>
            </w:tcBorders>
            <w:vAlign w:val="center"/>
          </w:tcPr>
          <w:p w14:paraId="5CEEB6BB">
            <w:pPr>
              <w:pStyle w:val="243"/>
              <w:topLinePunct/>
              <w:spacing w:line="440" w:lineRule="exact"/>
              <w:jc w:val="center"/>
              <w:rPr>
                <w:rFonts w:ascii="方正仿宋_GBK" w:hAnsi="方正仿宋_GBK" w:eastAsia="方正仿宋_GBK" w:cs="方正仿宋_GBK"/>
              </w:rPr>
            </w:pPr>
            <w:r>
              <w:rPr>
                <w:rFonts w:hint="eastAsia" w:ascii="方正仿宋_GBK" w:hAnsi="方正仿宋_GBK" w:eastAsia="方正仿宋_GBK" w:cs="方正仿宋_GBK"/>
                <w:highlight w:val="white"/>
              </w:rPr>
              <w:t>高级职称人员</w:t>
            </w:r>
          </w:p>
        </w:tc>
        <w:tc>
          <w:tcPr>
            <w:tcW w:w="1948" w:type="dxa"/>
            <w:gridSpan w:val="2"/>
            <w:tcBorders>
              <w:top w:val="single" w:color="auto" w:sz="4" w:space="0"/>
              <w:left w:val="single" w:color="auto" w:sz="4" w:space="0"/>
              <w:bottom w:val="single" w:color="auto" w:sz="4" w:space="0"/>
              <w:right w:val="single" w:color="auto" w:sz="4" w:space="0"/>
            </w:tcBorders>
            <w:vAlign w:val="center"/>
          </w:tcPr>
          <w:p w14:paraId="07627BC5">
            <w:pPr>
              <w:pStyle w:val="243"/>
              <w:topLinePunct/>
              <w:spacing w:line="440" w:lineRule="exact"/>
              <w:jc w:val="center"/>
              <w:rPr>
                <w:rFonts w:ascii="方正仿宋_GBK" w:hAnsi="方正仿宋_GBK" w:eastAsia="方正仿宋_GBK" w:cs="方正仿宋_GBK"/>
              </w:rPr>
            </w:pPr>
          </w:p>
        </w:tc>
      </w:tr>
      <w:tr w14:paraId="2CCE03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84" w:hRule="atLeast"/>
        </w:trPr>
        <w:tc>
          <w:tcPr>
            <w:tcW w:w="1813" w:type="dxa"/>
            <w:tcBorders>
              <w:top w:val="single" w:color="auto" w:sz="4" w:space="0"/>
              <w:left w:val="single" w:color="auto" w:sz="4" w:space="0"/>
              <w:bottom w:val="single" w:color="auto" w:sz="4" w:space="0"/>
              <w:right w:val="single" w:color="auto" w:sz="4" w:space="0"/>
            </w:tcBorders>
            <w:vAlign w:val="center"/>
          </w:tcPr>
          <w:p w14:paraId="1BC04799">
            <w:pPr>
              <w:pStyle w:val="243"/>
              <w:topLinePunct/>
              <w:spacing w:line="440" w:lineRule="exact"/>
              <w:jc w:val="center"/>
              <w:rPr>
                <w:rFonts w:ascii="方正仿宋_GBK" w:hAnsi="方正仿宋_GBK" w:eastAsia="方正仿宋_GBK" w:cs="方正仿宋_GBK"/>
              </w:rPr>
            </w:pPr>
            <w:r>
              <w:rPr>
                <w:rFonts w:hint="eastAsia" w:ascii="方正仿宋_GBK" w:hAnsi="方正仿宋_GBK" w:eastAsia="方正仿宋_GBK" w:cs="方正仿宋_GBK"/>
                <w:highlight w:val="white"/>
              </w:rPr>
              <w:t>安全生产许可证号</w:t>
            </w:r>
          </w:p>
        </w:tc>
        <w:tc>
          <w:tcPr>
            <w:tcW w:w="1941" w:type="dxa"/>
            <w:gridSpan w:val="2"/>
            <w:tcBorders>
              <w:top w:val="single" w:color="auto" w:sz="4" w:space="0"/>
              <w:left w:val="single" w:color="auto" w:sz="4" w:space="0"/>
              <w:bottom w:val="single" w:color="auto" w:sz="4" w:space="0"/>
              <w:right w:val="single" w:color="auto" w:sz="4" w:space="0"/>
            </w:tcBorders>
            <w:vAlign w:val="center"/>
          </w:tcPr>
          <w:p w14:paraId="4F193FCF">
            <w:pPr>
              <w:pStyle w:val="243"/>
              <w:topLinePunct/>
              <w:spacing w:line="440" w:lineRule="exact"/>
              <w:jc w:val="center"/>
              <w:rPr>
                <w:rFonts w:ascii="方正仿宋_GBK" w:hAnsi="方正仿宋_GBK" w:eastAsia="方正仿宋_GBK" w:cs="方正仿宋_GBK"/>
              </w:rPr>
            </w:pPr>
          </w:p>
        </w:tc>
        <w:tc>
          <w:tcPr>
            <w:tcW w:w="882" w:type="dxa"/>
            <w:vMerge w:val="continue"/>
            <w:tcBorders>
              <w:top w:val="single" w:color="auto" w:sz="4" w:space="0"/>
              <w:left w:val="single" w:color="auto" w:sz="4" w:space="0"/>
              <w:bottom w:val="single" w:color="auto" w:sz="4" w:space="0"/>
              <w:right w:val="single" w:color="auto" w:sz="4" w:space="0"/>
            </w:tcBorders>
            <w:vAlign w:val="center"/>
          </w:tcPr>
          <w:p w14:paraId="09561909">
            <w:pPr>
              <w:widowControl/>
              <w:jc w:val="left"/>
              <w:rPr>
                <w:rFonts w:ascii="方正仿宋_GBK" w:hAnsi="方正仿宋_GBK" w:eastAsia="方正仿宋_GBK" w:cs="方正仿宋_GBK"/>
              </w:rPr>
            </w:pPr>
          </w:p>
        </w:tc>
        <w:tc>
          <w:tcPr>
            <w:tcW w:w="2415" w:type="dxa"/>
            <w:gridSpan w:val="4"/>
            <w:tcBorders>
              <w:top w:val="single" w:color="auto" w:sz="4" w:space="0"/>
              <w:left w:val="single" w:color="auto" w:sz="4" w:space="0"/>
              <w:bottom w:val="single" w:color="auto" w:sz="4" w:space="0"/>
              <w:right w:val="single" w:color="auto" w:sz="4" w:space="0"/>
            </w:tcBorders>
            <w:vAlign w:val="center"/>
          </w:tcPr>
          <w:p w14:paraId="5A492861">
            <w:pPr>
              <w:pStyle w:val="243"/>
              <w:topLinePunct/>
              <w:spacing w:line="440" w:lineRule="exact"/>
              <w:jc w:val="center"/>
              <w:rPr>
                <w:rFonts w:ascii="方正仿宋_GBK" w:hAnsi="方正仿宋_GBK" w:eastAsia="方正仿宋_GBK" w:cs="方正仿宋_GBK"/>
              </w:rPr>
            </w:pPr>
            <w:r>
              <w:rPr>
                <w:rFonts w:hint="eastAsia" w:ascii="方正仿宋_GBK" w:hAnsi="方正仿宋_GBK" w:eastAsia="方正仿宋_GBK" w:cs="方正仿宋_GBK"/>
                <w:highlight w:val="white"/>
              </w:rPr>
              <w:t>中级职称人员</w:t>
            </w:r>
          </w:p>
        </w:tc>
        <w:tc>
          <w:tcPr>
            <w:tcW w:w="1948" w:type="dxa"/>
            <w:gridSpan w:val="2"/>
            <w:tcBorders>
              <w:top w:val="single" w:color="auto" w:sz="4" w:space="0"/>
              <w:left w:val="single" w:color="auto" w:sz="4" w:space="0"/>
              <w:bottom w:val="single" w:color="auto" w:sz="4" w:space="0"/>
              <w:right w:val="single" w:color="auto" w:sz="4" w:space="0"/>
            </w:tcBorders>
            <w:vAlign w:val="center"/>
          </w:tcPr>
          <w:p w14:paraId="0FAF9B34">
            <w:pPr>
              <w:pStyle w:val="243"/>
              <w:topLinePunct/>
              <w:spacing w:line="440" w:lineRule="exact"/>
              <w:jc w:val="center"/>
              <w:rPr>
                <w:rFonts w:ascii="方正仿宋_GBK" w:hAnsi="方正仿宋_GBK" w:eastAsia="方正仿宋_GBK" w:cs="方正仿宋_GBK"/>
              </w:rPr>
            </w:pPr>
          </w:p>
        </w:tc>
      </w:tr>
      <w:tr w14:paraId="365053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trPr>
        <w:tc>
          <w:tcPr>
            <w:tcW w:w="1813" w:type="dxa"/>
            <w:tcBorders>
              <w:top w:val="single" w:color="auto" w:sz="4" w:space="0"/>
              <w:left w:val="single" w:color="auto" w:sz="4" w:space="0"/>
              <w:bottom w:val="single" w:color="auto" w:sz="4" w:space="0"/>
              <w:right w:val="single" w:color="auto" w:sz="4" w:space="0"/>
            </w:tcBorders>
            <w:vAlign w:val="center"/>
          </w:tcPr>
          <w:p w14:paraId="180F4BA5">
            <w:pPr>
              <w:pStyle w:val="243"/>
              <w:topLinePunct/>
              <w:spacing w:line="440" w:lineRule="exact"/>
              <w:jc w:val="center"/>
              <w:rPr>
                <w:rFonts w:ascii="方正仿宋_GBK" w:hAnsi="方正仿宋_GBK" w:eastAsia="方正仿宋_GBK" w:cs="方正仿宋_GBK"/>
              </w:rPr>
            </w:pPr>
            <w:r>
              <w:rPr>
                <w:rFonts w:hint="eastAsia" w:ascii="方正仿宋_GBK" w:hAnsi="方正仿宋_GBK" w:eastAsia="方正仿宋_GBK" w:cs="方正仿宋_GBK"/>
                <w:highlight w:val="white"/>
              </w:rPr>
              <w:t>开户银行</w:t>
            </w:r>
          </w:p>
        </w:tc>
        <w:tc>
          <w:tcPr>
            <w:tcW w:w="1941" w:type="dxa"/>
            <w:gridSpan w:val="2"/>
            <w:tcBorders>
              <w:top w:val="single" w:color="auto" w:sz="4" w:space="0"/>
              <w:left w:val="single" w:color="auto" w:sz="4" w:space="0"/>
              <w:bottom w:val="single" w:color="auto" w:sz="4" w:space="0"/>
              <w:right w:val="single" w:color="auto" w:sz="4" w:space="0"/>
            </w:tcBorders>
            <w:vAlign w:val="center"/>
          </w:tcPr>
          <w:p w14:paraId="5A7AD714">
            <w:pPr>
              <w:pStyle w:val="243"/>
              <w:topLinePunct/>
              <w:spacing w:line="440" w:lineRule="exact"/>
              <w:jc w:val="center"/>
              <w:rPr>
                <w:rFonts w:ascii="方正仿宋_GBK" w:hAnsi="方正仿宋_GBK" w:eastAsia="方正仿宋_GBK" w:cs="方正仿宋_GBK"/>
              </w:rPr>
            </w:pPr>
          </w:p>
        </w:tc>
        <w:tc>
          <w:tcPr>
            <w:tcW w:w="882" w:type="dxa"/>
            <w:vMerge w:val="continue"/>
            <w:tcBorders>
              <w:top w:val="single" w:color="auto" w:sz="4" w:space="0"/>
              <w:left w:val="single" w:color="auto" w:sz="4" w:space="0"/>
              <w:bottom w:val="single" w:color="auto" w:sz="4" w:space="0"/>
              <w:right w:val="single" w:color="auto" w:sz="4" w:space="0"/>
            </w:tcBorders>
            <w:vAlign w:val="center"/>
          </w:tcPr>
          <w:p w14:paraId="506A2725">
            <w:pPr>
              <w:widowControl/>
              <w:jc w:val="left"/>
              <w:rPr>
                <w:rFonts w:ascii="方正仿宋_GBK" w:hAnsi="方正仿宋_GBK" w:eastAsia="方正仿宋_GBK" w:cs="方正仿宋_GBK"/>
              </w:rPr>
            </w:pPr>
          </w:p>
        </w:tc>
        <w:tc>
          <w:tcPr>
            <w:tcW w:w="2415" w:type="dxa"/>
            <w:gridSpan w:val="4"/>
            <w:tcBorders>
              <w:top w:val="single" w:color="auto" w:sz="4" w:space="0"/>
              <w:left w:val="single" w:color="auto" w:sz="4" w:space="0"/>
              <w:bottom w:val="single" w:color="auto" w:sz="4" w:space="0"/>
              <w:right w:val="single" w:color="auto" w:sz="4" w:space="0"/>
            </w:tcBorders>
            <w:vAlign w:val="center"/>
          </w:tcPr>
          <w:p w14:paraId="24D7314A">
            <w:pPr>
              <w:pStyle w:val="243"/>
              <w:topLinePunct/>
              <w:spacing w:line="440" w:lineRule="exact"/>
              <w:jc w:val="center"/>
              <w:rPr>
                <w:rFonts w:ascii="方正仿宋_GBK" w:hAnsi="方正仿宋_GBK" w:eastAsia="方正仿宋_GBK" w:cs="方正仿宋_GBK"/>
              </w:rPr>
            </w:pPr>
            <w:r>
              <w:rPr>
                <w:rFonts w:hint="eastAsia" w:ascii="方正仿宋_GBK" w:hAnsi="方正仿宋_GBK" w:eastAsia="方正仿宋_GBK" w:cs="方正仿宋_GBK"/>
                <w:highlight w:val="white"/>
              </w:rPr>
              <w:t>技  工</w:t>
            </w:r>
          </w:p>
        </w:tc>
        <w:tc>
          <w:tcPr>
            <w:tcW w:w="1948" w:type="dxa"/>
            <w:gridSpan w:val="2"/>
            <w:tcBorders>
              <w:top w:val="single" w:color="auto" w:sz="4" w:space="0"/>
              <w:left w:val="single" w:color="auto" w:sz="4" w:space="0"/>
              <w:bottom w:val="single" w:color="auto" w:sz="4" w:space="0"/>
              <w:right w:val="single" w:color="auto" w:sz="4" w:space="0"/>
            </w:tcBorders>
            <w:vAlign w:val="center"/>
          </w:tcPr>
          <w:p w14:paraId="61313CCC">
            <w:pPr>
              <w:pStyle w:val="243"/>
              <w:topLinePunct/>
              <w:spacing w:line="440" w:lineRule="exact"/>
              <w:jc w:val="center"/>
              <w:rPr>
                <w:rFonts w:ascii="方正仿宋_GBK" w:hAnsi="方正仿宋_GBK" w:eastAsia="方正仿宋_GBK" w:cs="方正仿宋_GBK"/>
              </w:rPr>
            </w:pPr>
          </w:p>
        </w:tc>
      </w:tr>
      <w:tr w14:paraId="1F1B2C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6" w:hRule="atLeast"/>
        </w:trPr>
        <w:tc>
          <w:tcPr>
            <w:tcW w:w="1813" w:type="dxa"/>
            <w:tcBorders>
              <w:top w:val="single" w:color="auto" w:sz="4" w:space="0"/>
              <w:left w:val="single" w:color="auto" w:sz="4" w:space="0"/>
              <w:bottom w:val="single" w:color="auto" w:sz="4" w:space="0"/>
              <w:right w:val="single" w:color="auto" w:sz="4" w:space="0"/>
            </w:tcBorders>
            <w:vAlign w:val="center"/>
          </w:tcPr>
          <w:p w14:paraId="33D1A9DF">
            <w:pPr>
              <w:pStyle w:val="243"/>
              <w:topLinePunct/>
              <w:spacing w:line="440" w:lineRule="exact"/>
              <w:jc w:val="center"/>
              <w:rPr>
                <w:rFonts w:ascii="方正仿宋_GBK" w:hAnsi="方正仿宋_GBK" w:eastAsia="方正仿宋_GBK" w:cs="方正仿宋_GBK"/>
              </w:rPr>
            </w:pPr>
            <w:r>
              <w:rPr>
                <w:rFonts w:hint="eastAsia" w:ascii="方正仿宋_GBK" w:hAnsi="方正仿宋_GBK" w:eastAsia="方正仿宋_GBK" w:cs="方正仿宋_GBK"/>
                <w:highlight w:val="white"/>
              </w:rPr>
              <w:t>账号</w:t>
            </w:r>
          </w:p>
        </w:tc>
        <w:tc>
          <w:tcPr>
            <w:tcW w:w="1941" w:type="dxa"/>
            <w:gridSpan w:val="2"/>
            <w:tcBorders>
              <w:top w:val="single" w:color="auto" w:sz="4" w:space="0"/>
              <w:left w:val="single" w:color="auto" w:sz="4" w:space="0"/>
              <w:bottom w:val="single" w:color="auto" w:sz="4" w:space="0"/>
              <w:right w:val="single" w:color="auto" w:sz="4" w:space="0"/>
            </w:tcBorders>
            <w:vAlign w:val="center"/>
          </w:tcPr>
          <w:p w14:paraId="562A60C2">
            <w:pPr>
              <w:pStyle w:val="243"/>
              <w:topLinePunct/>
              <w:spacing w:line="440" w:lineRule="exact"/>
              <w:jc w:val="center"/>
              <w:rPr>
                <w:rFonts w:ascii="方正仿宋_GBK" w:hAnsi="方正仿宋_GBK" w:eastAsia="方正仿宋_GBK" w:cs="方正仿宋_GBK"/>
              </w:rPr>
            </w:pPr>
          </w:p>
        </w:tc>
        <w:tc>
          <w:tcPr>
            <w:tcW w:w="882" w:type="dxa"/>
            <w:vMerge w:val="continue"/>
            <w:tcBorders>
              <w:top w:val="single" w:color="auto" w:sz="4" w:space="0"/>
              <w:left w:val="single" w:color="auto" w:sz="4" w:space="0"/>
              <w:bottom w:val="single" w:color="auto" w:sz="4" w:space="0"/>
              <w:right w:val="single" w:color="auto" w:sz="4" w:space="0"/>
            </w:tcBorders>
            <w:vAlign w:val="center"/>
          </w:tcPr>
          <w:p w14:paraId="2CD76820">
            <w:pPr>
              <w:widowControl/>
              <w:jc w:val="left"/>
              <w:rPr>
                <w:rFonts w:ascii="方正仿宋_GBK" w:hAnsi="方正仿宋_GBK" w:eastAsia="方正仿宋_GBK" w:cs="方正仿宋_GBK"/>
              </w:rPr>
            </w:pPr>
          </w:p>
        </w:tc>
        <w:tc>
          <w:tcPr>
            <w:tcW w:w="2415" w:type="dxa"/>
            <w:gridSpan w:val="4"/>
            <w:tcBorders>
              <w:top w:val="single" w:color="auto" w:sz="4" w:space="0"/>
              <w:left w:val="single" w:color="auto" w:sz="4" w:space="0"/>
              <w:bottom w:val="single" w:color="auto" w:sz="4" w:space="0"/>
              <w:right w:val="single" w:color="auto" w:sz="4" w:space="0"/>
            </w:tcBorders>
            <w:vAlign w:val="center"/>
          </w:tcPr>
          <w:p w14:paraId="1626D010">
            <w:pPr>
              <w:pStyle w:val="244"/>
              <w:rPr>
                <w:rFonts w:ascii="方正仿宋_GBK" w:hAnsi="方正仿宋_GBK" w:eastAsia="方正仿宋_GBK" w:cs="方正仿宋_GBK"/>
              </w:rPr>
            </w:pPr>
          </w:p>
        </w:tc>
        <w:tc>
          <w:tcPr>
            <w:tcW w:w="1948" w:type="dxa"/>
            <w:gridSpan w:val="2"/>
            <w:tcBorders>
              <w:top w:val="single" w:color="auto" w:sz="4" w:space="0"/>
              <w:left w:val="single" w:color="auto" w:sz="4" w:space="0"/>
              <w:bottom w:val="single" w:color="auto" w:sz="4" w:space="0"/>
              <w:right w:val="single" w:color="auto" w:sz="4" w:space="0"/>
            </w:tcBorders>
            <w:vAlign w:val="center"/>
          </w:tcPr>
          <w:p w14:paraId="4C51E072">
            <w:pPr>
              <w:pStyle w:val="243"/>
              <w:topLinePunct/>
              <w:spacing w:line="440" w:lineRule="exact"/>
              <w:jc w:val="center"/>
              <w:rPr>
                <w:rFonts w:ascii="方正仿宋_GBK" w:hAnsi="方正仿宋_GBK" w:eastAsia="方正仿宋_GBK" w:cs="方正仿宋_GBK"/>
              </w:rPr>
            </w:pPr>
          </w:p>
        </w:tc>
      </w:tr>
      <w:tr w14:paraId="3CE6FB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813" w:type="dxa"/>
            <w:tcBorders>
              <w:top w:val="single" w:color="auto" w:sz="4" w:space="0"/>
              <w:left w:val="single" w:color="auto" w:sz="4" w:space="0"/>
              <w:bottom w:val="nil"/>
              <w:right w:val="single" w:color="auto" w:sz="4" w:space="0"/>
            </w:tcBorders>
            <w:vAlign w:val="center"/>
          </w:tcPr>
          <w:p w14:paraId="61C23401">
            <w:pPr>
              <w:pStyle w:val="243"/>
              <w:topLinePunct/>
              <w:spacing w:line="440" w:lineRule="exact"/>
              <w:ind w:firstLine="210" w:firstLineChars="100"/>
              <w:jc w:val="center"/>
              <w:rPr>
                <w:rFonts w:ascii="方正仿宋_GBK" w:hAnsi="方正仿宋_GBK" w:eastAsia="方正仿宋_GBK" w:cs="方正仿宋_GBK"/>
              </w:rPr>
            </w:pPr>
            <w:r>
              <w:rPr>
                <w:rFonts w:hint="eastAsia" w:ascii="方正仿宋_GBK" w:hAnsi="方正仿宋_GBK" w:eastAsia="方正仿宋_GBK" w:cs="方正仿宋_GBK"/>
                <w:highlight w:val="white"/>
              </w:rPr>
              <w:t>经营范围</w:t>
            </w:r>
          </w:p>
        </w:tc>
        <w:tc>
          <w:tcPr>
            <w:tcW w:w="7186" w:type="dxa"/>
            <w:gridSpan w:val="9"/>
            <w:tcBorders>
              <w:top w:val="single" w:color="auto" w:sz="4" w:space="0"/>
              <w:left w:val="single" w:color="auto" w:sz="4" w:space="0"/>
              <w:bottom w:val="nil"/>
              <w:right w:val="single" w:color="auto" w:sz="4" w:space="0"/>
            </w:tcBorders>
            <w:vAlign w:val="center"/>
          </w:tcPr>
          <w:p w14:paraId="6387B4E5">
            <w:pPr>
              <w:pStyle w:val="243"/>
              <w:topLinePunct/>
              <w:spacing w:line="440" w:lineRule="exact"/>
              <w:rPr>
                <w:rFonts w:ascii="方正仿宋_GBK" w:hAnsi="方正仿宋_GBK" w:eastAsia="方正仿宋_GBK" w:cs="方正仿宋_GBK"/>
              </w:rPr>
            </w:pPr>
          </w:p>
        </w:tc>
      </w:tr>
      <w:tr w14:paraId="7F6633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6" w:hRule="atLeast"/>
        </w:trPr>
        <w:tc>
          <w:tcPr>
            <w:tcW w:w="1813" w:type="dxa"/>
            <w:tcBorders>
              <w:top w:val="single" w:color="auto" w:sz="4" w:space="0"/>
              <w:left w:val="single" w:color="auto" w:sz="4" w:space="0"/>
              <w:bottom w:val="single" w:color="auto" w:sz="4" w:space="0"/>
              <w:right w:val="single" w:color="auto" w:sz="4" w:space="0"/>
            </w:tcBorders>
            <w:vAlign w:val="center"/>
          </w:tcPr>
          <w:p w14:paraId="6A987B57">
            <w:pPr>
              <w:pStyle w:val="243"/>
              <w:topLinePunct/>
              <w:spacing w:line="440" w:lineRule="exact"/>
              <w:jc w:val="center"/>
              <w:rPr>
                <w:rFonts w:ascii="方正仿宋_GBK" w:hAnsi="方正仿宋_GBK" w:eastAsia="方正仿宋_GBK" w:cs="方正仿宋_GBK"/>
              </w:rPr>
            </w:pPr>
            <w:r>
              <w:rPr>
                <w:rFonts w:hint="eastAsia" w:ascii="方正仿宋_GBK" w:hAnsi="方正仿宋_GBK" w:eastAsia="方正仿宋_GBK" w:cs="方正仿宋_GBK"/>
                <w:highlight w:val="white"/>
              </w:rPr>
              <w:t>备注</w:t>
            </w:r>
          </w:p>
        </w:tc>
        <w:tc>
          <w:tcPr>
            <w:tcW w:w="7186" w:type="dxa"/>
            <w:gridSpan w:val="9"/>
            <w:tcBorders>
              <w:top w:val="single" w:color="auto" w:sz="4" w:space="0"/>
              <w:left w:val="single" w:color="auto" w:sz="4" w:space="0"/>
              <w:bottom w:val="single" w:color="auto" w:sz="4" w:space="0"/>
              <w:right w:val="single" w:color="auto" w:sz="4" w:space="0"/>
            </w:tcBorders>
            <w:vAlign w:val="center"/>
          </w:tcPr>
          <w:p w14:paraId="14C32ABD">
            <w:pPr>
              <w:pStyle w:val="243"/>
              <w:topLinePunct/>
              <w:spacing w:line="440" w:lineRule="exact"/>
              <w:rPr>
                <w:rFonts w:ascii="方正仿宋_GBK" w:hAnsi="方正仿宋_GBK" w:eastAsia="方正仿宋_GBK" w:cs="方正仿宋_GBK"/>
              </w:rPr>
            </w:pPr>
          </w:p>
        </w:tc>
      </w:tr>
    </w:tbl>
    <w:p w14:paraId="1D87EFD2">
      <w:pPr>
        <w:rPr>
          <w:rFonts w:ascii="宋体" w:hAnsi="宋体" w:cs="宋体"/>
          <w:color w:val="000000"/>
          <w:kern w:val="0"/>
          <w:szCs w:val="21"/>
          <w:highlight w:val="white"/>
        </w:rPr>
      </w:pPr>
    </w:p>
    <w:p w14:paraId="46BBE3C8">
      <w:pPr>
        <w:pStyle w:val="188"/>
        <w:spacing w:beforeLines="0"/>
        <w:rPr>
          <w:rFonts w:ascii="Times New Roman"/>
          <w:sz w:val="21"/>
          <w:szCs w:val="21"/>
        </w:rPr>
      </w:pPr>
    </w:p>
    <w:tbl>
      <w:tblPr>
        <w:tblStyle w:val="52"/>
        <w:tblW w:w="0" w:type="auto"/>
        <w:jc w:val="right"/>
        <w:tblLayout w:type="fixed"/>
        <w:tblCellMar>
          <w:top w:w="0" w:type="dxa"/>
          <w:left w:w="108" w:type="dxa"/>
          <w:bottom w:w="0" w:type="dxa"/>
          <w:right w:w="108" w:type="dxa"/>
        </w:tblCellMar>
      </w:tblPr>
      <w:tblGrid>
        <w:gridCol w:w="3570"/>
        <w:gridCol w:w="2778"/>
      </w:tblGrid>
      <w:tr w14:paraId="59612E2B">
        <w:tblPrEx>
          <w:tblCellMar>
            <w:top w:w="0" w:type="dxa"/>
            <w:left w:w="108" w:type="dxa"/>
            <w:bottom w:w="0" w:type="dxa"/>
            <w:right w:w="108" w:type="dxa"/>
          </w:tblCellMar>
        </w:tblPrEx>
        <w:trPr>
          <w:trHeight w:val="268" w:hRule="atLeast"/>
          <w:jc w:val="right"/>
        </w:trPr>
        <w:tc>
          <w:tcPr>
            <w:tcW w:w="3570" w:type="dxa"/>
            <w:tcBorders>
              <w:top w:val="nil"/>
              <w:left w:val="nil"/>
              <w:bottom w:val="nil"/>
              <w:right w:val="nil"/>
            </w:tcBorders>
          </w:tcPr>
          <w:p w14:paraId="3BF7D568">
            <w:pPr>
              <w:pStyle w:val="223"/>
              <w:jc w:val="both"/>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投标人（盖单位公章) ：</w:t>
            </w:r>
          </w:p>
        </w:tc>
        <w:tc>
          <w:tcPr>
            <w:tcW w:w="2778" w:type="dxa"/>
            <w:tcBorders>
              <w:top w:val="nil"/>
              <w:left w:val="nil"/>
              <w:bottom w:val="single" w:color="auto" w:sz="4" w:space="0"/>
              <w:right w:val="nil"/>
            </w:tcBorders>
          </w:tcPr>
          <w:p w14:paraId="05FDAB31">
            <w:pPr>
              <w:pStyle w:val="223"/>
              <w:rPr>
                <w:rFonts w:ascii="方正仿宋_GBK" w:hAnsi="方正仿宋_GBK" w:eastAsia="方正仿宋_GBK" w:cs="方正仿宋_GBK"/>
                <w:sz w:val="21"/>
                <w:szCs w:val="21"/>
              </w:rPr>
            </w:pPr>
          </w:p>
        </w:tc>
      </w:tr>
      <w:tr w14:paraId="4DD3981A">
        <w:trPr>
          <w:trHeight w:val="495" w:hRule="atLeast"/>
          <w:jc w:val="right"/>
        </w:trPr>
        <w:tc>
          <w:tcPr>
            <w:tcW w:w="3570" w:type="dxa"/>
            <w:tcBorders>
              <w:top w:val="nil"/>
              <w:left w:val="nil"/>
              <w:bottom w:val="nil"/>
              <w:right w:val="nil"/>
            </w:tcBorders>
          </w:tcPr>
          <w:p w14:paraId="16D52DBC">
            <w:pPr>
              <w:pStyle w:val="223"/>
              <w:jc w:val="both"/>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法定代表人或其委托代理人（签字）：</w:t>
            </w:r>
          </w:p>
        </w:tc>
        <w:tc>
          <w:tcPr>
            <w:tcW w:w="2778" w:type="dxa"/>
            <w:tcBorders>
              <w:top w:val="single" w:color="auto" w:sz="4" w:space="0"/>
              <w:left w:val="nil"/>
              <w:bottom w:val="single" w:color="auto" w:sz="4" w:space="0"/>
              <w:right w:val="nil"/>
            </w:tcBorders>
          </w:tcPr>
          <w:p w14:paraId="1A0F9479">
            <w:pPr>
              <w:pStyle w:val="223"/>
              <w:rPr>
                <w:rFonts w:ascii="方正仿宋_GBK" w:hAnsi="方正仿宋_GBK" w:eastAsia="方正仿宋_GBK" w:cs="方正仿宋_GBK"/>
                <w:sz w:val="21"/>
                <w:szCs w:val="21"/>
              </w:rPr>
            </w:pPr>
          </w:p>
        </w:tc>
      </w:tr>
      <w:tr w14:paraId="6101979A">
        <w:tblPrEx>
          <w:tblCellMar>
            <w:top w:w="0" w:type="dxa"/>
            <w:left w:w="108" w:type="dxa"/>
            <w:bottom w:w="0" w:type="dxa"/>
            <w:right w:w="108" w:type="dxa"/>
          </w:tblCellMar>
        </w:tblPrEx>
        <w:trPr>
          <w:trHeight w:val="495" w:hRule="atLeast"/>
          <w:jc w:val="right"/>
        </w:trPr>
        <w:tc>
          <w:tcPr>
            <w:tcW w:w="3570" w:type="dxa"/>
            <w:tcBorders>
              <w:top w:val="nil"/>
              <w:left w:val="nil"/>
              <w:bottom w:val="nil"/>
              <w:right w:val="nil"/>
            </w:tcBorders>
          </w:tcPr>
          <w:p w14:paraId="66DC17D0">
            <w:pPr>
              <w:pStyle w:val="223"/>
              <w:jc w:val="both"/>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日               期：</w:t>
            </w:r>
          </w:p>
        </w:tc>
        <w:tc>
          <w:tcPr>
            <w:tcW w:w="2778" w:type="dxa"/>
            <w:tcBorders>
              <w:top w:val="single" w:color="auto" w:sz="4" w:space="0"/>
              <w:left w:val="nil"/>
              <w:bottom w:val="single" w:color="auto" w:sz="4" w:space="0"/>
              <w:right w:val="nil"/>
            </w:tcBorders>
          </w:tcPr>
          <w:p w14:paraId="78AB24E9">
            <w:pPr>
              <w:pStyle w:val="223"/>
              <w:rPr>
                <w:rFonts w:ascii="方正仿宋_GBK" w:hAnsi="方正仿宋_GBK" w:eastAsia="方正仿宋_GBK" w:cs="方正仿宋_GBK"/>
                <w:sz w:val="21"/>
                <w:szCs w:val="21"/>
              </w:rPr>
            </w:pPr>
          </w:p>
        </w:tc>
      </w:tr>
    </w:tbl>
    <w:p w14:paraId="7DF859E9">
      <w:r>
        <w:rPr>
          <w:sz w:val="32"/>
        </w:rPr>
        <w:br w:type="page"/>
      </w:r>
      <w:r>
        <w:rPr>
          <w:rFonts w:hint="eastAsia" w:ascii="方正黑体_GBK" w:hAnsi="方正黑体_GBK" w:eastAsia="方正黑体_GBK" w:cs="方正黑体_GBK"/>
          <w:kern w:val="0"/>
          <w:sz w:val="32"/>
          <w:szCs w:val="32"/>
        </w:rPr>
        <w:t xml:space="preserve"> 格式6：</w:t>
      </w:r>
      <w:r>
        <w:t xml:space="preserve"> </w:t>
      </w:r>
    </w:p>
    <w:p w14:paraId="481D41FA">
      <w:pPr>
        <w:pStyle w:val="3"/>
        <w:jc w:val="center"/>
        <w:rPr>
          <w:rFonts w:ascii="方正小标宋简体" w:hAnsi="方正小标宋简体" w:eastAsia="方正小标宋简体" w:cs="方正小标宋简体"/>
          <w:b w:val="0"/>
          <w:sz w:val="44"/>
          <w:szCs w:val="44"/>
        </w:rPr>
      </w:pPr>
      <w:bookmarkStart w:id="62" w:name="_Toc17446"/>
      <w:bookmarkStart w:id="63" w:name="_Toc25848"/>
      <w:bookmarkStart w:id="64" w:name="_Toc21995"/>
      <w:bookmarkStart w:id="65" w:name="_Toc25346"/>
      <w:bookmarkStart w:id="66" w:name="_Toc5777"/>
      <w:bookmarkStart w:id="67" w:name="_Toc5758"/>
      <w:bookmarkStart w:id="68" w:name="_Toc11281"/>
      <w:bookmarkStart w:id="69" w:name="_Toc11608"/>
      <w:r>
        <w:rPr>
          <w:rFonts w:hint="eastAsia" w:ascii="方正小标宋简体" w:hAnsi="方正小标宋简体" w:eastAsia="方正小标宋简体" w:cs="方正小标宋简体"/>
          <w:b w:val="0"/>
          <w:sz w:val="44"/>
          <w:szCs w:val="44"/>
        </w:rPr>
        <w:t>实施方案</w:t>
      </w:r>
      <w:bookmarkEnd w:id="62"/>
      <w:bookmarkEnd w:id="63"/>
      <w:bookmarkEnd w:id="64"/>
      <w:bookmarkEnd w:id="65"/>
      <w:bookmarkEnd w:id="66"/>
      <w:bookmarkEnd w:id="67"/>
      <w:bookmarkEnd w:id="68"/>
      <w:bookmarkEnd w:id="69"/>
    </w:p>
    <w:p w14:paraId="65F1FDE0">
      <w:pPr>
        <w:spacing w:line="600" w:lineRule="exact"/>
        <w:rPr>
          <w:sz w:val="32"/>
          <w:szCs w:val="32"/>
        </w:rPr>
      </w:pPr>
    </w:p>
    <w:p w14:paraId="04DBB693">
      <w:pPr>
        <w:pStyle w:val="19"/>
        <w:spacing w:line="600" w:lineRule="exact"/>
        <w:ind w:firstLine="640" w:firstLineChars="200"/>
        <w:jc w:val="left"/>
        <w:rPr>
          <w:rFonts w:ascii="方正仿宋简体" w:eastAsia="方正仿宋简体"/>
          <w:kern w:val="0"/>
          <w:sz w:val="32"/>
          <w:szCs w:val="32"/>
        </w:rPr>
      </w:pPr>
      <w:r>
        <w:rPr>
          <w:rFonts w:hint="eastAsia" w:ascii="方正仿宋简体" w:eastAsia="方正仿宋简体"/>
          <w:sz w:val="32"/>
          <w:szCs w:val="32"/>
        </w:rPr>
        <w:t>由投标人按招标文件及技术要求等</w:t>
      </w:r>
      <w:r>
        <w:rPr>
          <w:rFonts w:hint="eastAsia" w:ascii="方正仿宋简体" w:eastAsia="方正仿宋简体"/>
          <w:kern w:val="0"/>
          <w:sz w:val="32"/>
          <w:szCs w:val="32"/>
        </w:rPr>
        <w:t>方面进行编写，格式自拟（以下内容仅供参考，不做强制要求，投标人根据自身情况进行编制，若技术部分有要求编制，但格式部分无的，可自行根据要求编制）。</w:t>
      </w:r>
    </w:p>
    <w:p w14:paraId="221F53A4">
      <w:pPr>
        <w:pStyle w:val="19"/>
        <w:spacing w:line="600" w:lineRule="exact"/>
        <w:jc w:val="center"/>
        <w:rPr>
          <w:rFonts w:ascii="方正仿宋简体" w:eastAsia="方正仿宋简体"/>
          <w:sz w:val="32"/>
          <w:szCs w:val="32"/>
        </w:rPr>
      </w:pPr>
    </w:p>
    <w:p w14:paraId="6DAF3F21">
      <w:pPr>
        <w:spacing w:line="600" w:lineRule="exact"/>
        <w:rPr>
          <w:rFonts w:ascii="方正仿宋简体" w:eastAsia="方正仿宋简体"/>
          <w:sz w:val="32"/>
          <w:szCs w:val="32"/>
        </w:rPr>
      </w:pPr>
    </w:p>
    <w:p w14:paraId="7316FE0D">
      <w:pPr>
        <w:spacing w:line="600" w:lineRule="exact"/>
        <w:rPr>
          <w:rFonts w:ascii="方正仿宋简体" w:eastAsia="方正仿宋简体"/>
          <w:sz w:val="32"/>
          <w:szCs w:val="32"/>
        </w:rPr>
      </w:pPr>
      <w:r>
        <w:rPr>
          <w:rFonts w:hint="eastAsia" w:ascii="方正仿宋简体" w:eastAsia="方正仿宋简体"/>
          <w:sz w:val="32"/>
          <w:szCs w:val="32"/>
        </w:rPr>
        <w:t>1.设备配置情况</w:t>
      </w:r>
    </w:p>
    <w:p w14:paraId="19BD0EFB">
      <w:pPr>
        <w:spacing w:line="600" w:lineRule="exact"/>
        <w:rPr>
          <w:rFonts w:ascii="方正仿宋简体" w:eastAsia="方正仿宋简体"/>
          <w:sz w:val="32"/>
          <w:szCs w:val="32"/>
        </w:rPr>
      </w:pPr>
      <w:r>
        <w:rPr>
          <w:rFonts w:hint="eastAsia" w:ascii="方正仿宋简体" w:eastAsia="方正仿宋简体"/>
          <w:sz w:val="32"/>
          <w:szCs w:val="32"/>
        </w:rPr>
        <w:t>2.项目实施方案（包含项目组织、实施方案等）</w:t>
      </w:r>
    </w:p>
    <w:p w14:paraId="5F609C8E">
      <w:pPr>
        <w:spacing w:line="600" w:lineRule="exact"/>
        <w:rPr>
          <w:rFonts w:ascii="方正仿宋简体" w:eastAsia="方正仿宋简体"/>
          <w:sz w:val="32"/>
          <w:szCs w:val="32"/>
        </w:rPr>
      </w:pPr>
      <w:r>
        <w:rPr>
          <w:rFonts w:hint="eastAsia" w:ascii="方正仿宋简体" w:eastAsia="方正仿宋简体"/>
          <w:sz w:val="32"/>
          <w:szCs w:val="32"/>
        </w:rPr>
        <w:t>3.验收方案</w:t>
      </w:r>
    </w:p>
    <w:p w14:paraId="14191DB4">
      <w:pPr>
        <w:spacing w:line="600" w:lineRule="exact"/>
        <w:rPr>
          <w:rFonts w:ascii="方正仿宋简体" w:eastAsia="方正仿宋简体"/>
          <w:sz w:val="32"/>
          <w:szCs w:val="32"/>
        </w:rPr>
      </w:pPr>
      <w:r>
        <w:rPr>
          <w:rFonts w:hint="eastAsia" w:ascii="方正仿宋简体" w:eastAsia="方正仿宋简体"/>
          <w:sz w:val="32"/>
          <w:szCs w:val="32"/>
        </w:rPr>
        <w:t>4.项目组织机构</w:t>
      </w:r>
    </w:p>
    <w:p w14:paraId="0068CA36">
      <w:pPr>
        <w:spacing w:line="600" w:lineRule="exact"/>
        <w:rPr>
          <w:rFonts w:ascii="方正仿宋简体" w:eastAsia="方正仿宋简体"/>
          <w:sz w:val="32"/>
          <w:szCs w:val="32"/>
        </w:rPr>
      </w:pPr>
      <w:r>
        <w:rPr>
          <w:rFonts w:hint="eastAsia" w:ascii="方正仿宋简体" w:eastAsia="方正仿宋简体"/>
          <w:sz w:val="32"/>
          <w:szCs w:val="32"/>
        </w:rPr>
        <w:t>5.HSE目标及管理保障措施（项目安全文明目标及相应保障措施、环保目标及相应保障措施等）</w:t>
      </w:r>
    </w:p>
    <w:p w14:paraId="7C22EF6E">
      <w:pPr>
        <w:spacing w:line="600" w:lineRule="exact"/>
        <w:rPr>
          <w:rFonts w:ascii="方正仿宋简体" w:eastAsia="方正仿宋简体"/>
          <w:sz w:val="32"/>
          <w:szCs w:val="32"/>
        </w:rPr>
      </w:pPr>
      <w:r>
        <w:rPr>
          <w:rFonts w:hint="eastAsia" w:ascii="方正仿宋简体" w:eastAsia="方正仿宋简体"/>
          <w:sz w:val="32"/>
          <w:szCs w:val="32"/>
        </w:rPr>
        <w:t>6、工期、质量目标及管理保障措施（包括项目工期目标及进度计划保障措施、项目设备质量项目系统质量目标及相应质量保障措施）</w:t>
      </w:r>
    </w:p>
    <w:p w14:paraId="580EB17B">
      <w:pPr>
        <w:spacing w:line="600" w:lineRule="exact"/>
        <w:rPr>
          <w:rFonts w:ascii="方正仿宋简体" w:eastAsia="方正仿宋简体"/>
          <w:sz w:val="32"/>
          <w:szCs w:val="32"/>
        </w:rPr>
      </w:pPr>
      <w:r>
        <w:rPr>
          <w:rFonts w:hint="eastAsia" w:ascii="方正仿宋简体" w:eastAsia="方正仿宋简体"/>
          <w:sz w:val="32"/>
          <w:szCs w:val="32"/>
        </w:rPr>
        <w:t>7.保修服务</w:t>
      </w:r>
    </w:p>
    <w:p w14:paraId="237D3C8B"/>
    <w:p w14:paraId="3DB9A671">
      <w:r>
        <w:br w:type="page"/>
      </w:r>
      <w:r>
        <w:rPr>
          <w:rFonts w:hint="eastAsia" w:ascii="方正黑体_GBK" w:hAnsi="方正黑体_GBK" w:eastAsia="方正黑体_GBK" w:cs="方正黑体_GBK"/>
          <w:kern w:val="0"/>
          <w:sz w:val="32"/>
          <w:szCs w:val="32"/>
        </w:rPr>
        <w:t>附表1：</w:t>
      </w:r>
    </w:p>
    <w:p w14:paraId="69950D66">
      <w:pPr>
        <w:jc w:val="center"/>
        <w:rPr>
          <w:rFonts w:ascii="方正小标宋简体" w:hAnsi="方正小标宋简体" w:eastAsia="方正小标宋简体" w:cs="方正小标宋简体"/>
          <w:sz w:val="24"/>
        </w:rPr>
      </w:pPr>
    </w:p>
    <w:p w14:paraId="30CA5D6F">
      <w:pPr>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表1：项目负责人情况表</w:t>
      </w:r>
    </w:p>
    <w:tbl>
      <w:tblPr>
        <w:tblStyle w:val="5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96"/>
        <w:gridCol w:w="404"/>
        <w:gridCol w:w="1017"/>
        <w:gridCol w:w="462"/>
        <w:gridCol w:w="1050"/>
        <w:gridCol w:w="177"/>
        <w:gridCol w:w="1336"/>
        <w:gridCol w:w="565"/>
        <w:gridCol w:w="961"/>
        <w:gridCol w:w="138"/>
        <w:gridCol w:w="1698"/>
      </w:tblGrid>
      <w:tr w14:paraId="0E1480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196" w:type="dxa"/>
            <w:vAlign w:val="center"/>
          </w:tcPr>
          <w:p w14:paraId="1725C091">
            <w:pPr>
              <w:jc w:val="center"/>
              <w:rPr>
                <w:rFonts w:ascii="方正仿宋_GBK" w:hAnsi="方正仿宋_GBK" w:eastAsia="方正仿宋_GBK" w:cs="方正仿宋_GBK"/>
              </w:rPr>
            </w:pPr>
            <w:r>
              <w:rPr>
                <w:rFonts w:hint="eastAsia" w:ascii="方正仿宋_GBK" w:hAnsi="方正仿宋_GBK" w:eastAsia="方正仿宋_GBK" w:cs="方正仿宋_GBK"/>
              </w:rPr>
              <w:t>姓名</w:t>
            </w:r>
          </w:p>
        </w:tc>
        <w:tc>
          <w:tcPr>
            <w:tcW w:w="1883" w:type="dxa"/>
            <w:gridSpan w:val="3"/>
            <w:vAlign w:val="center"/>
          </w:tcPr>
          <w:p w14:paraId="0CA9F1A9">
            <w:pPr>
              <w:jc w:val="center"/>
              <w:rPr>
                <w:rFonts w:ascii="方正仿宋_GBK" w:hAnsi="方正仿宋_GBK" w:eastAsia="方正仿宋_GBK" w:cs="方正仿宋_GBK"/>
              </w:rPr>
            </w:pPr>
          </w:p>
        </w:tc>
        <w:tc>
          <w:tcPr>
            <w:tcW w:w="1227" w:type="dxa"/>
            <w:gridSpan w:val="2"/>
            <w:vAlign w:val="center"/>
          </w:tcPr>
          <w:p w14:paraId="58302E43">
            <w:pPr>
              <w:jc w:val="center"/>
              <w:rPr>
                <w:rFonts w:ascii="方正仿宋_GBK" w:hAnsi="方正仿宋_GBK" w:eastAsia="方正仿宋_GBK" w:cs="方正仿宋_GBK"/>
              </w:rPr>
            </w:pPr>
            <w:r>
              <w:rPr>
                <w:rFonts w:hint="eastAsia" w:ascii="方正仿宋_GBK" w:hAnsi="方正仿宋_GBK" w:eastAsia="方正仿宋_GBK" w:cs="方正仿宋_GBK"/>
              </w:rPr>
              <w:t>性别</w:t>
            </w:r>
          </w:p>
        </w:tc>
        <w:tc>
          <w:tcPr>
            <w:tcW w:w="1901" w:type="dxa"/>
            <w:gridSpan w:val="2"/>
            <w:vAlign w:val="center"/>
          </w:tcPr>
          <w:p w14:paraId="2A5AACEC">
            <w:pPr>
              <w:jc w:val="center"/>
              <w:rPr>
                <w:rFonts w:ascii="方正仿宋_GBK" w:hAnsi="方正仿宋_GBK" w:eastAsia="方正仿宋_GBK" w:cs="方正仿宋_GBK"/>
              </w:rPr>
            </w:pPr>
          </w:p>
        </w:tc>
        <w:tc>
          <w:tcPr>
            <w:tcW w:w="1099" w:type="dxa"/>
            <w:gridSpan w:val="2"/>
            <w:vAlign w:val="center"/>
          </w:tcPr>
          <w:p w14:paraId="2BF88DC2">
            <w:pPr>
              <w:jc w:val="center"/>
              <w:rPr>
                <w:rFonts w:ascii="方正仿宋_GBK" w:hAnsi="方正仿宋_GBK" w:eastAsia="方正仿宋_GBK" w:cs="方正仿宋_GBK"/>
              </w:rPr>
            </w:pPr>
            <w:r>
              <w:rPr>
                <w:rFonts w:hint="eastAsia" w:ascii="方正仿宋_GBK" w:hAnsi="方正仿宋_GBK" w:eastAsia="方正仿宋_GBK" w:cs="方正仿宋_GBK"/>
              </w:rPr>
              <w:t>年龄</w:t>
            </w:r>
          </w:p>
        </w:tc>
        <w:tc>
          <w:tcPr>
            <w:tcW w:w="1698" w:type="dxa"/>
            <w:vAlign w:val="center"/>
          </w:tcPr>
          <w:p w14:paraId="56804CDD">
            <w:pPr>
              <w:jc w:val="center"/>
              <w:rPr>
                <w:rFonts w:ascii="方正仿宋_GBK" w:hAnsi="方正仿宋_GBK" w:eastAsia="方正仿宋_GBK" w:cs="方正仿宋_GBK"/>
              </w:rPr>
            </w:pPr>
          </w:p>
        </w:tc>
      </w:tr>
      <w:tr w14:paraId="0D5C5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196" w:type="dxa"/>
            <w:vAlign w:val="center"/>
          </w:tcPr>
          <w:p w14:paraId="014093E6">
            <w:pPr>
              <w:jc w:val="center"/>
              <w:rPr>
                <w:rFonts w:ascii="方正仿宋_GBK" w:hAnsi="方正仿宋_GBK" w:eastAsia="方正仿宋_GBK" w:cs="方正仿宋_GBK"/>
              </w:rPr>
            </w:pPr>
            <w:r>
              <w:rPr>
                <w:rFonts w:hint="eastAsia" w:ascii="方正仿宋_GBK" w:hAnsi="方正仿宋_GBK" w:eastAsia="方正仿宋_GBK" w:cs="方正仿宋_GBK"/>
              </w:rPr>
              <w:t>职务</w:t>
            </w:r>
          </w:p>
        </w:tc>
        <w:tc>
          <w:tcPr>
            <w:tcW w:w="1883" w:type="dxa"/>
            <w:gridSpan w:val="3"/>
            <w:vAlign w:val="center"/>
          </w:tcPr>
          <w:p w14:paraId="2220A2AC">
            <w:pPr>
              <w:jc w:val="center"/>
              <w:rPr>
                <w:rFonts w:ascii="方正仿宋_GBK" w:hAnsi="方正仿宋_GBK" w:eastAsia="方正仿宋_GBK" w:cs="方正仿宋_GBK"/>
              </w:rPr>
            </w:pPr>
          </w:p>
        </w:tc>
        <w:tc>
          <w:tcPr>
            <w:tcW w:w="1227" w:type="dxa"/>
            <w:gridSpan w:val="2"/>
            <w:vAlign w:val="center"/>
          </w:tcPr>
          <w:p w14:paraId="095588C0">
            <w:pPr>
              <w:jc w:val="center"/>
              <w:rPr>
                <w:rFonts w:ascii="方正仿宋_GBK" w:hAnsi="方正仿宋_GBK" w:eastAsia="方正仿宋_GBK" w:cs="方正仿宋_GBK"/>
              </w:rPr>
            </w:pPr>
            <w:r>
              <w:rPr>
                <w:rFonts w:hint="eastAsia" w:ascii="方正仿宋_GBK" w:hAnsi="方正仿宋_GBK" w:eastAsia="方正仿宋_GBK" w:cs="方正仿宋_GBK"/>
              </w:rPr>
              <w:t>职称</w:t>
            </w:r>
          </w:p>
        </w:tc>
        <w:tc>
          <w:tcPr>
            <w:tcW w:w="1901" w:type="dxa"/>
            <w:gridSpan w:val="2"/>
            <w:vAlign w:val="center"/>
          </w:tcPr>
          <w:p w14:paraId="71CFB76B">
            <w:pPr>
              <w:jc w:val="center"/>
              <w:rPr>
                <w:rFonts w:ascii="方正仿宋_GBK" w:hAnsi="方正仿宋_GBK" w:eastAsia="方正仿宋_GBK" w:cs="方正仿宋_GBK"/>
              </w:rPr>
            </w:pPr>
          </w:p>
        </w:tc>
        <w:tc>
          <w:tcPr>
            <w:tcW w:w="1099" w:type="dxa"/>
            <w:gridSpan w:val="2"/>
            <w:vAlign w:val="center"/>
          </w:tcPr>
          <w:p w14:paraId="72B95E79">
            <w:pPr>
              <w:jc w:val="center"/>
              <w:rPr>
                <w:rFonts w:ascii="方正仿宋_GBK" w:hAnsi="方正仿宋_GBK" w:eastAsia="方正仿宋_GBK" w:cs="方正仿宋_GBK"/>
              </w:rPr>
            </w:pPr>
            <w:r>
              <w:rPr>
                <w:rFonts w:hint="eastAsia" w:ascii="方正仿宋_GBK" w:hAnsi="方正仿宋_GBK" w:eastAsia="方正仿宋_GBK" w:cs="方正仿宋_GBK"/>
              </w:rPr>
              <w:t>学历</w:t>
            </w:r>
          </w:p>
        </w:tc>
        <w:tc>
          <w:tcPr>
            <w:tcW w:w="1698" w:type="dxa"/>
            <w:vAlign w:val="center"/>
          </w:tcPr>
          <w:p w14:paraId="19CD7CC2">
            <w:pPr>
              <w:jc w:val="center"/>
              <w:rPr>
                <w:rFonts w:ascii="方正仿宋_GBK" w:hAnsi="方正仿宋_GBK" w:eastAsia="方正仿宋_GBK" w:cs="方正仿宋_GBK"/>
              </w:rPr>
            </w:pPr>
          </w:p>
        </w:tc>
      </w:tr>
      <w:tr w14:paraId="26F9E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600" w:type="dxa"/>
            <w:gridSpan w:val="2"/>
            <w:vAlign w:val="center"/>
          </w:tcPr>
          <w:p w14:paraId="3381D8B8">
            <w:pPr>
              <w:jc w:val="center"/>
              <w:rPr>
                <w:rFonts w:ascii="方正仿宋_GBK" w:hAnsi="方正仿宋_GBK" w:eastAsia="方正仿宋_GBK" w:cs="方正仿宋_GBK"/>
              </w:rPr>
            </w:pPr>
            <w:r>
              <w:rPr>
                <w:rFonts w:hint="eastAsia" w:ascii="方正仿宋_GBK" w:hAnsi="方正仿宋_GBK" w:eastAsia="方正仿宋_GBK" w:cs="方正仿宋_GBK"/>
              </w:rPr>
              <w:t>参加工作时间</w:t>
            </w:r>
          </w:p>
        </w:tc>
        <w:tc>
          <w:tcPr>
            <w:tcW w:w="2706" w:type="dxa"/>
            <w:gridSpan w:val="4"/>
            <w:vAlign w:val="center"/>
          </w:tcPr>
          <w:p w14:paraId="7BA8D066">
            <w:pPr>
              <w:rPr>
                <w:rFonts w:ascii="方正仿宋_GBK" w:hAnsi="方正仿宋_GBK" w:eastAsia="方正仿宋_GBK" w:cs="方正仿宋_GBK"/>
              </w:rPr>
            </w:pPr>
          </w:p>
        </w:tc>
        <w:tc>
          <w:tcPr>
            <w:tcW w:w="1901" w:type="dxa"/>
            <w:gridSpan w:val="2"/>
            <w:vAlign w:val="center"/>
          </w:tcPr>
          <w:p w14:paraId="249F9615">
            <w:pPr>
              <w:jc w:val="center"/>
              <w:rPr>
                <w:rFonts w:ascii="方正仿宋_GBK" w:hAnsi="方正仿宋_GBK" w:eastAsia="方正仿宋_GBK" w:cs="方正仿宋_GBK"/>
              </w:rPr>
            </w:pPr>
            <w:r>
              <w:rPr>
                <w:rFonts w:hint="eastAsia" w:ascii="方正仿宋_GBK" w:hAnsi="方正仿宋_GBK" w:eastAsia="方正仿宋_GBK" w:cs="方正仿宋_GBK"/>
              </w:rPr>
              <w:t>担任项目负责人年限</w:t>
            </w:r>
          </w:p>
        </w:tc>
        <w:tc>
          <w:tcPr>
            <w:tcW w:w="2797" w:type="dxa"/>
            <w:gridSpan w:val="3"/>
            <w:vAlign w:val="center"/>
          </w:tcPr>
          <w:p w14:paraId="57957CD2">
            <w:pPr>
              <w:rPr>
                <w:rFonts w:ascii="方正仿宋_GBK" w:hAnsi="方正仿宋_GBK" w:eastAsia="方正仿宋_GBK" w:cs="方正仿宋_GBK"/>
              </w:rPr>
            </w:pPr>
          </w:p>
        </w:tc>
      </w:tr>
      <w:tr w14:paraId="64BA8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04" w:type="dxa"/>
            <w:gridSpan w:val="11"/>
            <w:vAlign w:val="center"/>
          </w:tcPr>
          <w:p w14:paraId="6A90FB81">
            <w:pPr>
              <w:jc w:val="center"/>
              <w:rPr>
                <w:rFonts w:ascii="方正仿宋_GBK" w:hAnsi="方正仿宋_GBK" w:eastAsia="方正仿宋_GBK" w:cs="方正仿宋_GBK"/>
              </w:rPr>
            </w:pPr>
            <w:r>
              <w:rPr>
                <w:rFonts w:hint="eastAsia" w:ascii="方正仿宋_GBK" w:hAnsi="方正仿宋_GBK" w:eastAsia="方正仿宋_GBK" w:cs="方正仿宋_GBK"/>
              </w:rPr>
              <w:t>已完类似项目情况</w:t>
            </w:r>
          </w:p>
        </w:tc>
      </w:tr>
      <w:tr w14:paraId="1FF34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617" w:type="dxa"/>
            <w:gridSpan w:val="3"/>
            <w:vAlign w:val="center"/>
          </w:tcPr>
          <w:p w14:paraId="52335D88">
            <w:pPr>
              <w:jc w:val="center"/>
              <w:rPr>
                <w:rFonts w:ascii="方正仿宋_GBK" w:hAnsi="方正仿宋_GBK" w:eastAsia="方正仿宋_GBK" w:cs="方正仿宋_GBK"/>
              </w:rPr>
            </w:pPr>
            <w:r>
              <w:rPr>
                <w:rFonts w:hint="eastAsia" w:ascii="方正仿宋_GBK" w:hAnsi="方正仿宋_GBK" w:eastAsia="方正仿宋_GBK" w:cs="方正仿宋_GBK"/>
              </w:rPr>
              <w:t>项目名称</w:t>
            </w:r>
          </w:p>
        </w:tc>
        <w:tc>
          <w:tcPr>
            <w:tcW w:w="1512" w:type="dxa"/>
            <w:gridSpan w:val="2"/>
            <w:vAlign w:val="center"/>
          </w:tcPr>
          <w:p w14:paraId="5CDC786C">
            <w:pPr>
              <w:jc w:val="center"/>
              <w:rPr>
                <w:rFonts w:ascii="方正仿宋_GBK" w:hAnsi="方正仿宋_GBK" w:eastAsia="方正仿宋_GBK" w:cs="方正仿宋_GBK"/>
              </w:rPr>
            </w:pPr>
            <w:r>
              <w:rPr>
                <w:rFonts w:hint="eastAsia" w:ascii="方正仿宋_GBK" w:hAnsi="方正仿宋_GBK" w:eastAsia="方正仿宋_GBK" w:cs="方正仿宋_GBK"/>
              </w:rPr>
              <w:t>业主名称</w:t>
            </w:r>
          </w:p>
        </w:tc>
        <w:tc>
          <w:tcPr>
            <w:tcW w:w="1513" w:type="dxa"/>
            <w:gridSpan w:val="2"/>
            <w:vAlign w:val="center"/>
          </w:tcPr>
          <w:p w14:paraId="5C13A60D">
            <w:pPr>
              <w:jc w:val="center"/>
              <w:rPr>
                <w:rFonts w:ascii="方正仿宋_GBK" w:hAnsi="方正仿宋_GBK" w:eastAsia="方正仿宋_GBK" w:cs="方正仿宋_GBK"/>
              </w:rPr>
            </w:pPr>
            <w:r>
              <w:rPr>
                <w:rFonts w:hint="eastAsia" w:ascii="方正仿宋_GBK" w:hAnsi="方正仿宋_GBK" w:eastAsia="方正仿宋_GBK" w:cs="方正仿宋_GBK"/>
              </w:rPr>
              <w:t>项目地点</w:t>
            </w:r>
          </w:p>
        </w:tc>
        <w:tc>
          <w:tcPr>
            <w:tcW w:w="1526" w:type="dxa"/>
            <w:gridSpan w:val="2"/>
            <w:vAlign w:val="center"/>
          </w:tcPr>
          <w:p w14:paraId="5FAA7689">
            <w:pPr>
              <w:jc w:val="center"/>
              <w:rPr>
                <w:rFonts w:ascii="方正仿宋_GBK" w:hAnsi="方正仿宋_GBK" w:eastAsia="方正仿宋_GBK" w:cs="方正仿宋_GBK"/>
              </w:rPr>
            </w:pPr>
            <w:r>
              <w:rPr>
                <w:rFonts w:hint="eastAsia" w:ascii="方正仿宋_GBK" w:hAnsi="方正仿宋_GBK" w:eastAsia="方正仿宋_GBK" w:cs="方正仿宋_GBK"/>
              </w:rPr>
              <w:t>合同金额</w:t>
            </w:r>
          </w:p>
          <w:p w14:paraId="577B0702">
            <w:pPr>
              <w:jc w:val="center"/>
              <w:rPr>
                <w:rFonts w:ascii="方正仿宋_GBK" w:hAnsi="方正仿宋_GBK" w:eastAsia="方正仿宋_GBK" w:cs="方正仿宋_GBK"/>
              </w:rPr>
            </w:pPr>
            <w:r>
              <w:rPr>
                <w:rFonts w:hint="eastAsia" w:ascii="方正仿宋_GBK" w:hAnsi="方正仿宋_GBK" w:eastAsia="方正仿宋_GBK" w:cs="方正仿宋_GBK"/>
              </w:rPr>
              <w:t>（万元）</w:t>
            </w:r>
          </w:p>
        </w:tc>
        <w:tc>
          <w:tcPr>
            <w:tcW w:w="1836" w:type="dxa"/>
            <w:gridSpan w:val="2"/>
            <w:vAlign w:val="center"/>
          </w:tcPr>
          <w:p w14:paraId="4691C029">
            <w:pPr>
              <w:jc w:val="center"/>
              <w:rPr>
                <w:rFonts w:ascii="方正仿宋_GBK" w:hAnsi="方正仿宋_GBK" w:eastAsia="方正仿宋_GBK" w:cs="方正仿宋_GBK"/>
              </w:rPr>
            </w:pPr>
            <w:r>
              <w:rPr>
                <w:rFonts w:hint="eastAsia" w:ascii="方正仿宋_GBK" w:hAnsi="方正仿宋_GBK" w:eastAsia="方正仿宋_GBK" w:cs="方正仿宋_GBK"/>
              </w:rPr>
              <w:t>业主评价意见</w:t>
            </w:r>
          </w:p>
        </w:tc>
      </w:tr>
      <w:tr w14:paraId="60996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617" w:type="dxa"/>
            <w:gridSpan w:val="3"/>
            <w:vAlign w:val="center"/>
          </w:tcPr>
          <w:p w14:paraId="090DD46C">
            <w:pPr>
              <w:jc w:val="center"/>
              <w:rPr>
                <w:rFonts w:ascii="方正仿宋_GBK" w:hAnsi="方正仿宋_GBK" w:eastAsia="方正仿宋_GBK" w:cs="方正仿宋_GBK"/>
              </w:rPr>
            </w:pPr>
          </w:p>
        </w:tc>
        <w:tc>
          <w:tcPr>
            <w:tcW w:w="1512" w:type="dxa"/>
            <w:gridSpan w:val="2"/>
            <w:vAlign w:val="center"/>
          </w:tcPr>
          <w:p w14:paraId="323A9D90">
            <w:pPr>
              <w:jc w:val="center"/>
              <w:rPr>
                <w:rFonts w:ascii="方正仿宋_GBK" w:hAnsi="方正仿宋_GBK" w:eastAsia="方正仿宋_GBK" w:cs="方正仿宋_GBK"/>
              </w:rPr>
            </w:pPr>
          </w:p>
        </w:tc>
        <w:tc>
          <w:tcPr>
            <w:tcW w:w="1513" w:type="dxa"/>
            <w:gridSpan w:val="2"/>
            <w:vAlign w:val="center"/>
          </w:tcPr>
          <w:p w14:paraId="6A845AD8">
            <w:pPr>
              <w:jc w:val="center"/>
              <w:rPr>
                <w:rFonts w:ascii="方正仿宋_GBK" w:hAnsi="方正仿宋_GBK" w:eastAsia="方正仿宋_GBK" w:cs="方正仿宋_GBK"/>
              </w:rPr>
            </w:pPr>
          </w:p>
        </w:tc>
        <w:tc>
          <w:tcPr>
            <w:tcW w:w="1526" w:type="dxa"/>
            <w:gridSpan w:val="2"/>
            <w:vAlign w:val="center"/>
          </w:tcPr>
          <w:p w14:paraId="5536DC53">
            <w:pPr>
              <w:jc w:val="center"/>
              <w:rPr>
                <w:rFonts w:ascii="方正仿宋_GBK" w:hAnsi="方正仿宋_GBK" w:eastAsia="方正仿宋_GBK" w:cs="方正仿宋_GBK"/>
              </w:rPr>
            </w:pPr>
          </w:p>
        </w:tc>
        <w:tc>
          <w:tcPr>
            <w:tcW w:w="1836" w:type="dxa"/>
            <w:gridSpan w:val="2"/>
            <w:vAlign w:val="center"/>
          </w:tcPr>
          <w:p w14:paraId="29A5E01A">
            <w:pPr>
              <w:jc w:val="center"/>
              <w:rPr>
                <w:rFonts w:ascii="方正仿宋_GBK" w:hAnsi="方正仿宋_GBK" w:eastAsia="方正仿宋_GBK" w:cs="方正仿宋_GBK"/>
              </w:rPr>
            </w:pPr>
          </w:p>
        </w:tc>
      </w:tr>
      <w:tr w14:paraId="075A9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617" w:type="dxa"/>
            <w:gridSpan w:val="3"/>
            <w:vAlign w:val="center"/>
          </w:tcPr>
          <w:p w14:paraId="725C7A8C">
            <w:pPr>
              <w:jc w:val="center"/>
              <w:rPr>
                <w:rFonts w:ascii="方正仿宋_GBK" w:hAnsi="方正仿宋_GBK" w:eastAsia="方正仿宋_GBK" w:cs="方正仿宋_GBK"/>
              </w:rPr>
            </w:pPr>
          </w:p>
        </w:tc>
        <w:tc>
          <w:tcPr>
            <w:tcW w:w="1512" w:type="dxa"/>
            <w:gridSpan w:val="2"/>
            <w:vAlign w:val="center"/>
          </w:tcPr>
          <w:p w14:paraId="13C256F5">
            <w:pPr>
              <w:jc w:val="center"/>
              <w:rPr>
                <w:rFonts w:ascii="方正仿宋_GBK" w:hAnsi="方正仿宋_GBK" w:eastAsia="方正仿宋_GBK" w:cs="方正仿宋_GBK"/>
              </w:rPr>
            </w:pPr>
          </w:p>
        </w:tc>
        <w:tc>
          <w:tcPr>
            <w:tcW w:w="1513" w:type="dxa"/>
            <w:gridSpan w:val="2"/>
            <w:vAlign w:val="center"/>
          </w:tcPr>
          <w:p w14:paraId="073F3A3E">
            <w:pPr>
              <w:jc w:val="center"/>
              <w:rPr>
                <w:rFonts w:ascii="方正仿宋_GBK" w:hAnsi="方正仿宋_GBK" w:eastAsia="方正仿宋_GBK" w:cs="方正仿宋_GBK"/>
              </w:rPr>
            </w:pPr>
          </w:p>
        </w:tc>
        <w:tc>
          <w:tcPr>
            <w:tcW w:w="1526" w:type="dxa"/>
            <w:gridSpan w:val="2"/>
            <w:vAlign w:val="center"/>
          </w:tcPr>
          <w:p w14:paraId="39B9DF55">
            <w:pPr>
              <w:jc w:val="center"/>
              <w:rPr>
                <w:rFonts w:ascii="方正仿宋_GBK" w:hAnsi="方正仿宋_GBK" w:eastAsia="方正仿宋_GBK" w:cs="方正仿宋_GBK"/>
              </w:rPr>
            </w:pPr>
          </w:p>
        </w:tc>
        <w:tc>
          <w:tcPr>
            <w:tcW w:w="1836" w:type="dxa"/>
            <w:gridSpan w:val="2"/>
            <w:vAlign w:val="center"/>
          </w:tcPr>
          <w:p w14:paraId="0563BE23">
            <w:pPr>
              <w:jc w:val="center"/>
              <w:rPr>
                <w:rFonts w:ascii="方正仿宋_GBK" w:hAnsi="方正仿宋_GBK" w:eastAsia="方正仿宋_GBK" w:cs="方正仿宋_GBK"/>
              </w:rPr>
            </w:pPr>
          </w:p>
        </w:tc>
      </w:tr>
      <w:tr w14:paraId="331C4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617" w:type="dxa"/>
            <w:gridSpan w:val="3"/>
            <w:vAlign w:val="center"/>
          </w:tcPr>
          <w:p w14:paraId="28B18C19">
            <w:pPr>
              <w:jc w:val="center"/>
              <w:rPr>
                <w:rFonts w:ascii="方正仿宋_GBK" w:hAnsi="方正仿宋_GBK" w:eastAsia="方正仿宋_GBK" w:cs="方正仿宋_GBK"/>
              </w:rPr>
            </w:pPr>
          </w:p>
        </w:tc>
        <w:tc>
          <w:tcPr>
            <w:tcW w:w="1512" w:type="dxa"/>
            <w:gridSpan w:val="2"/>
            <w:vAlign w:val="center"/>
          </w:tcPr>
          <w:p w14:paraId="218B6DE3">
            <w:pPr>
              <w:jc w:val="center"/>
              <w:rPr>
                <w:rFonts w:ascii="方正仿宋_GBK" w:hAnsi="方正仿宋_GBK" w:eastAsia="方正仿宋_GBK" w:cs="方正仿宋_GBK"/>
              </w:rPr>
            </w:pPr>
          </w:p>
        </w:tc>
        <w:tc>
          <w:tcPr>
            <w:tcW w:w="1513" w:type="dxa"/>
            <w:gridSpan w:val="2"/>
            <w:vAlign w:val="center"/>
          </w:tcPr>
          <w:p w14:paraId="0398F200">
            <w:pPr>
              <w:jc w:val="center"/>
              <w:rPr>
                <w:rFonts w:ascii="方正仿宋_GBK" w:hAnsi="方正仿宋_GBK" w:eastAsia="方正仿宋_GBK" w:cs="方正仿宋_GBK"/>
              </w:rPr>
            </w:pPr>
          </w:p>
        </w:tc>
        <w:tc>
          <w:tcPr>
            <w:tcW w:w="1526" w:type="dxa"/>
            <w:gridSpan w:val="2"/>
            <w:vAlign w:val="center"/>
          </w:tcPr>
          <w:p w14:paraId="4E41D9A3">
            <w:pPr>
              <w:jc w:val="center"/>
              <w:rPr>
                <w:rFonts w:ascii="方正仿宋_GBK" w:hAnsi="方正仿宋_GBK" w:eastAsia="方正仿宋_GBK" w:cs="方正仿宋_GBK"/>
              </w:rPr>
            </w:pPr>
          </w:p>
        </w:tc>
        <w:tc>
          <w:tcPr>
            <w:tcW w:w="1836" w:type="dxa"/>
            <w:gridSpan w:val="2"/>
            <w:vAlign w:val="center"/>
          </w:tcPr>
          <w:p w14:paraId="6FD61098">
            <w:pPr>
              <w:jc w:val="center"/>
              <w:rPr>
                <w:rFonts w:ascii="方正仿宋_GBK" w:hAnsi="方正仿宋_GBK" w:eastAsia="方正仿宋_GBK" w:cs="方正仿宋_GBK"/>
              </w:rPr>
            </w:pPr>
          </w:p>
        </w:tc>
      </w:tr>
      <w:tr w14:paraId="2B355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617" w:type="dxa"/>
            <w:gridSpan w:val="3"/>
            <w:vAlign w:val="center"/>
          </w:tcPr>
          <w:p w14:paraId="77B31B4F">
            <w:pPr>
              <w:jc w:val="center"/>
              <w:rPr>
                <w:rFonts w:ascii="方正仿宋_GBK" w:hAnsi="方正仿宋_GBK" w:eastAsia="方正仿宋_GBK" w:cs="方正仿宋_GBK"/>
              </w:rPr>
            </w:pPr>
          </w:p>
        </w:tc>
        <w:tc>
          <w:tcPr>
            <w:tcW w:w="1512" w:type="dxa"/>
            <w:gridSpan w:val="2"/>
            <w:vAlign w:val="center"/>
          </w:tcPr>
          <w:p w14:paraId="4AA66C60">
            <w:pPr>
              <w:jc w:val="center"/>
              <w:rPr>
                <w:rFonts w:ascii="方正仿宋_GBK" w:hAnsi="方正仿宋_GBK" w:eastAsia="方正仿宋_GBK" w:cs="方正仿宋_GBK"/>
              </w:rPr>
            </w:pPr>
          </w:p>
        </w:tc>
        <w:tc>
          <w:tcPr>
            <w:tcW w:w="1513" w:type="dxa"/>
            <w:gridSpan w:val="2"/>
            <w:vAlign w:val="center"/>
          </w:tcPr>
          <w:p w14:paraId="7EA21528">
            <w:pPr>
              <w:jc w:val="center"/>
              <w:rPr>
                <w:rFonts w:ascii="方正仿宋_GBK" w:hAnsi="方正仿宋_GBK" w:eastAsia="方正仿宋_GBK" w:cs="方正仿宋_GBK"/>
              </w:rPr>
            </w:pPr>
          </w:p>
        </w:tc>
        <w:tc>
          <w:tcPr>
            <w:tcW w:w="1526" w:type="dxa"/>
            <w:gridSpan w:val="2"/>
            <w:vAlign w:val="center"/>
          </w:tcPr>
          <w:p w14:paraId="588DD648">
            <w:pPr>
              <w:jc w:val="center"/>
              <w:rPr>
                <w:rFonts w:ascii="方正仿宋_GBK" w:hAnsi="方正仿宋_GBK" w:eastAsia="方正仿宋_GBK" w:cs="方正仿宋_GBK"/>
              </w:rPr>
            </w:pPr>
          </w:p>
        </w:tc>
        <w:tc>
          <w:tcPr>
            <w:tcW w:w="1836" w:type="dxa"/>
            <w:gridSpan w:val="2"/>
            <w:vAlign w:val="center"/>
          </w:tcPr>
          <w:p w14:paraId="3133A183">
            <w:pPr>
              <w:jc w:val="center"/>
              <w:rPr>
                <w:rFonts w:ascii="方正仿宋_GBK" w:hAnsi="方正仿宋_GBK" w:eastAsia="方正仿宋_GBK" w:cs="方正仿宋_GBK"/>
              </w:rPr>
            </w:pPr>
          </w:p>
        </w:tc>
      </w:tr>
    </w:tbl>
    <w:p w14:paraId="58EE1F1E">
      <w:r>
        <w:rPr>
          <w:rFonts w:hint="eastAsia" w:ascii="方正仿宋_GBK" w:hAnsi="方正仿宋_GBK" w:eastAsia="方正仿宋_GBK" w:cs="方正仿宋_GBK"/>
        </w:rPr>
        <w:t>注：需提供项目负责人的注册建造师证、安全B类证、职称证书。</w:t>
      </w:r>
    </w:p>
    <w:p w14:paraId="39EFE143">
      <w:pPr>
        <w:jc w:val="center"/>
        <w:rPr>
          <w:sz w:val="24"/>
        </w:rPr>
      </w:pPr>
      <w:r>
        <w:rPr>
          <w:sz w:val="24"/>
        </w:rPr>
        <w:br w:type="page"/>
      </w:r>
      <w:r>
        <w:rPr>
          <w:rFonts w:hint="eastAsia" w:ascii="方正小标宋简体" w:hAnsi="方正小标宋简体" w:eastAsia="方正小标宋简体" w:cs="方正小标宋简体"/>
          <w:sz w:val="32"/>
          <w:szCs w:val="32"/>
        </w:rPr>
        <w:t>表2：项目组成员情况表</w:t>
      </w:r>
    </w:p>
    <w:tbl>
      <w:tblPr>
        <w:tblStyle w:val="5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4"/>
        <w:gridCol w:w="1329"/>
        <w:gridCol w:w="1328"/>
        <w:gridCol w:w="1329"/>
        <w:gridCol w:w="3454"/>
      </w:tblGrid>
      <w:tr w14:paraId="6FCF8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64" w:type="dxa"/>
            <w:vAlign w:val="center"/>
          </w:tcPr>
          <w:p w14:paraId="11C46661">
            <w:pPr>
              <w:jc w:val="center"/>
              <w:rPr>
                <w:rFonts w:ascii="方正仿宋_GBK" w:hAnsi="方正仿宋_GBK" w:eastAsia="方正仿宋_GBK" w:cs="方正仿宋_GBK"/>
                <w:sz w:val="22"/>
                <w:szCs w:val="28"/>
              </w:rPr>
            </w:pPr>
            <w:r>
              <w:rPr>
                <w:rFonts w:hint="eastAsia" w:ascii="方正仿宋_GBK" w:hAnsi="方正仿宋_GBK" w:eastAsia="方正仿宋_GBK" w:cs="方正仿宋_GBK"/>
                <w:sz w:val="22"/>
                <w:szCs w:val="28"/>
              </w:rPr>
              <w:t>名称</w:t>
            </w:r>
          </w:p>
        </w:tc>
        <w:tc>
          <w:tcPr>
            <w:tcW w:w="1329" w:type="dxa"/>
            <w:vAlign w:val="center"/>
          </w:tcPr>
          <w:p w14:paraId="7A0F667E">
            <w:pPr>
              <w:jc w:val="center"/>
              <w:rPr>
                <w:rFonts w:ascii="方正仿宋_GBK" w:hAnsi="方正仿宋_GBK" w:eastAsia="方正仿宋_GBK" w:cs="方正仿宋_GBK"/>
                <w:sz w:val="22"/>
                <w:szCs w:val="28"/>
              </w:rPr>
            </w:pPr>
            <w:r>
              <w:rPr>
                <w:rFonts w:hint="eastAsia" w:ascii="方正仿宋_GBK" w:hAnsi="方正仿宋_GBK" w:eastAsia="方正仿宋_GBK" w:cs="方正仿宋_GBK"/>
                <w:sz w:val="22"/>
                <w:szCs w:val="28"/>
              </w:rPr>
              <w:t>姓名</w:t>
            </w:r>
          </w:p>
        </w:tc>
        <w:tc>
          <w:tcPr>
            <w:tcW w:w="1328" w:type="dxa"/>
            <w:vAlign w:val="center"/>
          </w:tcPr>
          <w:p w14:paraId="6F4A5FE8">
            <w:pPr>
              <w:jc w:val="center"/>
              <w:rPr>
                <w:rFonts w:ascii="方正仿宋_GBK" w:hAnsi="方正仿宋_GBK" w:eastAsia="方正仿宋_GBK" w:cs="方正仿宋_GBK"/>
                <w:sz w:val="22"/>
                <w:szCs w:val="28"/>
              </w:rPr>
            </w:pPr>
            <w:r>
              <w:rPr>
                <w:rFonts w:hint="eastAsia" w:ascii="方正仿宋_GBK" w:hAnsi="方正仿宋_GBK" w:eastAsia="方正仿宋_GBK" w:cs="方正仿宋_GBK"/>
                <w:sz w:val="22"/>
                <w:szCs w:val="28"/>
              </w:rPr>
              <w:t>拟担任职务</w:t>
            </w:r>
          </w:p>
        </w:tc>
        <w:tc>
          <w:tcPr>
            <w:tcW w:w="1329" w:type="dxa"/>
            <w:vAlign w:val="center"/>
          </w:tcPr>
          <w:p w14:paraId="46557FA9">
            <w:pPr>
              <w:jc w:val="center"/>
              <w:rPr>
                <w:rFonts w:ascii="方正仿宋_GBK" w:hAnsi="方正仿宋_GBK" w:eastAsia="方正仿宋_GBK" w:cs="方正仿宋_GBK"/>
                <w:sz w:val="22"/>
                <w:szCs w:val="28"/>
              </w:rPr>
            </w:pPr>
            <w:r>
              <w:rPr>
                <w:rFonts w:hint="eastAsia" w:ascii="方正仿宋_GBK" w:hAnsi="方正仿宋_GBK" w:eastAsia="方正仿宋_GBK" w:cs="方正仿宋_GBK"/>
                <w:sz w:val="22"/>
                <w:szCs w:val="28"/>
              </w:rPr>
              <w:t>职称</w:t>
            </w:r>
          </w:p>
        </w:tc>
        <w:tc>
          <w:tcPr>
            <w:tcW w:w="3454" w:type="dxa"/>
            <w:vAlign w:val="center"/>
          </w:tcPr>
          <w:p w14:paraId="25172F94">
            <w:pPr>
              <w:jc w:val="center"/>
              <w:rPr>
                <w:rFonts w:ascii="方正仿宋_GBK" w:hAnsi="方正仿宋_GBK" w:eastAsia="方正仿宋_GBK" w:cs="方正仿宋_GBK"/>
                <w:sz w:val="22"/>
                <w:szCs w:val="28"/>
              </w:rPr>
            </w:pPr>
            <w:r>
              <w:rPr>
                <w:rFonts w:hint="eastAsia" w:ascii="方正仿宋_GBK" w:hAnsi="方正仿宋_GBK" w:eastAsia="方正仿宋_GBK" w:cs="方正仿宋_GBK"/>
                <w:sz w:val="22"/>
                <w:szCs w:val="28"/>
              </w:rPr>
              <w:t>主要资历、经验及承担过的项目</w:t>
            </w:r>
          </w:p>
        </w:tc>
      </w:tr>
      <w:tr w14:paraId="676D5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64" w:type="dxa"/>
            <w:vMerge w:val="restart"/>
            <w:vAlign w:val="center"/>
          </w:tcPr>
          <w:p w14:paraId="6DF82A0C">
            <w:pPr>
              <w:jc w:val="center"/>
              <w:rPr>
                <w:rFonts w:ascii="方正仿宋_GBK" w:hAnsi="方正仿宋_GBK" w:eastAsia="方正仿宋_GBK" w:cs="方正仿宋_GBK"/>
                <w:sz w:val="22"/>
                <w:szCs w:val="28"/>
              </w:rPr>
            </w:pPr>
            <w:r>
              <w:rPr>
                <w:rFonts w:hint="eastAsia" w:ascii="方正仿宋_GBK" w:hAnsi="方正仿宋_GBK" w:eastAsia="方正仿宋_GBK" w:cs="方正仿宋_GBK"/>
                <w:sz w:val="22"/>
                <w:szCs w:val="28"/>
              </w:rPr>
              <w:t>各</w:t>
            </w:r>
          </w:p>
          <w:p w14:paraId="3C964516">
            <w:pPr>
              <w:jc w:val="center"/>
              <w:rPr>
                <w:rFonts w:ascii="方正仿宋_GBK" w:hAnsi="方正仿宋_GBK" w:eastAsia="方正仿宋_GBK" w:cs="方正仿宋_GBK"/>
                <w:sz w:val="22"/>
                <w:szCs w:val="28"/>
              </w:rPr>
            </w:pPr>
            <w:r>
              <w:rPr>
                <w:rFonts w:hint="eastAsia" w:ascii="方正仿宋_GBK" w:hAnsi="方正仿宋_GBK" w:eastAsia="方正仿宋_GBK" w:cs="方正仿宋_GBK"/>
                <w:sz w:val="22"/>
                <w:szCs w:val="28"/>
              </w:rPr>
              <w:t>岗</w:t>
            </w:r>
          </w:p>
          <w:p w14:paraId="750D41F2">
            <w:pPr>
              <w:jc w:val="center"/>
              <w:rPr>
                <w:rFonts w:ascii="方正仿宋_GBK" w:hAnsi="方正仿宋_GBK" w:eastAsia="方正仿宋_GBK" w:cs="方正仿宋_GBK"/>
                <w:sz w:val="22"/>
                <w:szCs w:val="28"/>
              </w:rPr>
            </w:pPr>
            <w:r>
              <w:rPr>
                <w:rFonts w:hint="eastAsia" w:ascii="方正仿宋_GBK" w:hAnsi="方正仿宋_GBK" w:eastAsia="方正仿宋_GBK" w:cs="方正仿宋_GBK"/>
                <w:sz w:val="22"/>
                <w:szCs w:val="28"/>
              </w:rPr>
              <w:t>位</w:t>
            </w:r>
          </w:p>
          <w:p w14:paraId="4DF1F9F3">
            <w:pPr>
              <w:jc w:val="center"/>
              <w:rPr>
                <w:rFonts w:ascii="方正仿宋_GBK" w:hAnsi="方正仿宋_GBK" w:eastAsia="方正仿宋_GBK" w:cs="方正仿宋_GBK"/>
                <w:sz w:val="22"/>
                <w:szCs w:val="28"/>
              </w:rPr>
            </w:pPr>
            <w:r>
              <w:rPr>
                <w:rFonts w:hint="eastAsia" w:ascii="方正仿宋_GBK" w:hAnsi="方正仿宋_GBK" w:eastAsia="方正仿宋_GBK" w:cs="方正仿宋_GBK"/>
                <w:sz w:val="22"/>
                <w:szCs w:val="28"/>
              </w:rPr>
              <w:t>主</w:t>
            </w:r>
          </w:p>
          <w:p w14:paraId="726B44F3">
            <w:pPr>
              <w:jc w:val="center"/>
              <w:rPr>
                <w:rFonts w:ascii="方正仿宋_GBK" w:hAnsi="方正仿宋_GBK" w:eastAsia="方正仿宋_GBK" w:cs="方正仿宋_GBK"/>
                <w:sz w:val="22"/>
                <w:szCs w:val="28"/>
              </w:rPr>
            </w:pPr>
            <w:r>
              <w:rPr>
                <w:rFonts w:hint="eastAsia" w:ascii="方正仿宋_GBK" w:hAnsi="方正仿宋_GBK" w:eastAsia="方正仿宋_GBK" w:cs="方正仿宋_GBK"/>
                <w:sz w:val="22"/>
                <w:szCs w:val="28"/>
              </w:rPr>
              <w:t>要</w:t>
            </w:r>
          </w:p>
          <w:p w14:paraId="125E3AEA">
            <w:pPr>
              <w:jc w:val="center"/>
              <w:rPr>
                <w:rFonts w:ascii="方正仿宋_GBK" w:hAnsi="方正仿宋_GBK" w:eastAsia="方正仿宋_GBK" w:cs="方正仿宋_GBK"/>
                <w:sz w:val="22"/>
                <w:szCs w:val="28"/>
              </w:rPr>
            </w:pPr>
            <w:r>
              <w:rPr>
                <w:rFonts w:hint="eastAsia" w:ascii="方正仿宋_GBK" w:hAnsi="方正仿宋_GBK" w:eastAsia="方正仿宋_GBK" w:cs="方正仿宋_GBK"/>
                <w:sz w:val="22"/>
                <w:szCs w:val="28"/>
              </w:rPr>
              <w:t>负</w:t>
            </w:r>
          </w:p>
          <w:p w14:paraId="4AEEDE40">
            <w:pPr>
              <w:jc w:val="center"/>
              <w:rPr>
                <w:rFonts w:ascii="方正仿宋_GBK" w:hAnsi="方正仿宋_GBK" w:eastAsia="方正仿宋_GBK" w:cs="方正仿宋_GBK"/>
                <w:sz w:val="22"/>
                <w:szCs w:val="28"/>
              </w:rPr>
            </w:pPr>
            <w:r>
              <w:rPr>
                <w:rFonts w:hint="eastAsia" w:ascii="方正仿宋_GBK" w:hAnsi="方正仿宋_GBK" w:eastAsia="方正仿宋_GBK" w:cs="方正仿宋_GBK"/>
                <w:sz w:val="22"/>
                <w:szCs w:val="28"/>
              </w:rPr>
              <w:t>责</w:t>
            </w:r>
          </w:p>
          <w:p w14:paraId="7CB445DE">
            <w:pPr>
              <w:jc w:val="center"/>
              <w:rPr>
                <w:rFonts w:ascii="方正仿宋_GBK" w:hAnsi="方正仿宋_GBK" w:eastAsia="方正仿宋_GBK" w:cs="方正仿宋_GBK"/>
                <w:sz w:val="22"/>
                <w:szCs w:val="28"/>
              </w:rPr>
            </w:pPr>
            <w:r>
              <w:rPr>
                <w:rFonts w:hint="eastAsia" w:ascii="方正仿宋_GBK" w:hAnsi="方正仿宋_GBK" w:eastAsia="方正仿宋_GBK" w:cs="方正仿宋_GBK"/>
                <w:sz w:val="22"/>
                <w:szCs w:val="28"/>
              </w:rPr>
              <w:t>人</w:t>
            </w:r>
          </w:p>
        </w:tc>
        <w:tc>
          <w:tcPr>
            <w:tcW w:w="1329" w:type="dxa"/>
            <w:vAlign w:val="center"/>
          </w:tcPr>
          <w:p w14:paraId="188C0A4B">
            <w:pPr>
              <w:jc w:val="center"/>
              <w:rPr>
                <w:rFonts w:ascii="方正仿宋_GBK" w:hAnsi="方正仿宋_GBK" w:eastAsia="方正仿宋_GBK" w:cs="方正仿宋_GBK"/>
                <w:sz w:val="22"/>
                <w:szCs w:val="28"/>
              </w:rPr>
            </w:pPr>
          </w:p>
        </w:tc>
        <w:tc>
          <w:tcPr>
            <w:tcW w:w="1328" w:type="dxa"/>
            <w:vAlign w:val="center"/>
          </w:tcPr>
          <w:p w14:paraId="1BA804C7">
            <w:pPr>
              <w:jc w:val="center"/>
              <w:rPr>
                <w:rFonts w:ascii="方正仿宋_GBK" w:hAnsi="方正仿宋_GBK" w:eastAsia="方正仿宋_GBK" w:cs="方正仿宋_GBK"/>
                <w:sz w:val="22"/>
                <w:szCs w:val="28"/>
              </w:rPr>
            </w:pPr>
          </w:p>
        </w:tc>
        <w:tc>
          <w:tcPr>
            <w:tcW w:w="1329" w:type="dxa"/>
            <w:vAlign w:val="center"/>
          </w:tcPr>
          <w:p w14:paraId="5C9F5D02">
            <w:pPr>
              <w:jc w:val="center"/>
              <w:rPr>
                <w:rFonts w:ascii="方正仿宋_GBK" w:hAnsi="方正仿宋_GBK" w:eastAsia="方正仿宋_GBK" w:cs="方正仿宋_GBK"/>
                <w:sz w:val="22"/>
                <w:szCs w:val="28"/>
              </w:rPr>
            </w:pPr>
          </w:p>
        </w:tc>
        <w:tc>
          <w:tcPr>
            <w:tcW w:w="3454" w:type="dxa"/>
            <w:vAlign w:val="center"/>
          </w:tcPr>
          <w:p w14:paraId="5CB91617">
            <w:pPr>
              <w:jc w:val="center"/>
              <w:rPr>
                <w:rFonts w:ascii="方正仿宋_GBK" w:hAnsi="方正仿宋_GBK" w:eastAsia="方正仿宋_GBK" w:cs="方正仿宋_GBK"/>
                <w:sz w:val="22"/>
                <w:szCs w:val="28"/>
              </w:rPr>
            </w:pPr>
          </w:p>
        </w:tc>
      </w:tr>
      <w:tr w14:paraId="0395D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jc w:val="center"/>
        </w:trPr>
        <w:tc>
          <w:tcPr>
            <w:tcW w:w="1564" w:type="dxa"/>
            <w:vMerge w:val="continue"/>
            <w:vAlign w:val="center"/>
          </w:tcPr>
          <w:p w14:paraId="2EE140E8">
            <w:pPr>
              <w:rPr>
                <w:rFonts w:ascii="方正仿宋_GBK" w:hAnsi="方正仿宋_GBK" w:eastAsia="方正仿宋_GBK" w:cs="方正仿宋_GBK"/>
                <w:sz w:val="22"/>
                <w:szCs w:val="28"/>
              </w:rPr>
            </w:pPr>
          </w:p>
        </w:tc>
        <w:tc>
          <w:tcPr>
            <w:tcW w:w="1329" w:type="dxa"/>
            <w:vAlign w:val="center"/>
          </w:tcPr>
          <w:p w14:paraId="43F74B92">
            <w:pPr>
              <w:jc w:val="center"/>
              <w:rPr>
                <w:rFonts w:ascii="方正仿宋_GBK" w:hAnsi="方正仿宋_GBK" w:eastAsia="方正仿宋_GBK" w:cs="方正仿宋_GBK"/>
                <w:sz w:val="22"/>
                <w:szCs w:val="28"/>
              </w:rPr>
            </w:pPr>
          </w:p>
        </w:tc>
        <w:tc>
          <w:tcPr>
            <w:tcW w:w="1328" w:type="dxa"/>
            <w:vAlign w:val="center"/>
          </w:tcPr>
          <w:p w14:paraId="15A5D76E">
            <w:pPr>
              <w:jc w:val="center"/>
              <w:rPr>
                <w:rFonts w:ascii="方正仿宋_GBK" w:hAnsi="方正仿宋_GBK" w:eastAsia="方正仿宋_GBK" w:cs="方正仿宋_GBK"/>
                <w:sz w:val="22"/>
                <w:szCs w:val="28"/>
              </w:rPr>
            </w:pPr>
          </w:p>
        </w:tc>
        <w:tc>
          <w:tcPr>
            <w:tcW w:w="1329" w:type="dxa"/>
            <w:vAlign w:val="center"/>
          </w:tcPr>
          <w:p w14:paraId="10B39D17">
            <w:pPr>
              <w:jc w:val="center"/>
              <w:rPr>
                <w:rFonts w:ascii="方正仿宋_GBK" w:hAnsi="方正仿宋_GBK" w:eastAsia="方正仿宋_GBK" w:cs="方正仿宋_GBK"/>
                <w:sz w:val="22"/>
                <w:szCs w:val="28"/>
              </w:rPr>
            </w:pPr>
          </w:p>
        </w:tc>
        <w:tc>
          <w:tcPr>
            <w:tcW w:w="3454" w:type="dxa"/>
            <w:vAlign w:val="center"/>
          </w:tcPr>
          <w:p w14:paraId="6A70F728">
            <w:pPr>
              <w:jc w:val="center"/>
              <w:rPr>
                <w:rFonts w:ascii="方正仿宋_GBK" w:hAnsi="方正仿宋_GBK" w:eastAsia="方正仿宋_GBK" w:cs="方正仿宋_GBK"/>
                <w:sz w:val="22"/>
                <w:szCs w:val="28"/>
              </w:rPr>
            </w:pPr>
          </w:p>
        </w:tc>
      </w:tr>
      <w:tr w14:paraId="56334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64" w:type="dxa"/>
            <w:vMerge w:val="continue"/>
            <w:vAlign w:val="center"/>
          </w:tcPr>
          <w:p w14:paraId="5D56B6B2">
            <w:pPr>
              <w:rPr>
                <w:rFonts w:ascii="方正仿宋_GBK" w:hAnsi="方正仿宋_GBK" w:eastAsia="方正仿宋_GBK" w:cs="方正仿宋_GBK"/>
                <w:sz w:val="22"/>
                <w:szCs w:val="28"/>
              </w:rPr>
            </w:pPr>
          </w:p>
        </w:tc>
        <w:tc>
          <w:tcPr>
            <w:tcW w:w="1329" w:type="dxa"/>
            <w:vAlign w:val="center"/>
          </w:tcPr>
          <w:p w14:paraId="73587E61">
            <w:pPr>
              <w:jc w:val="center"/>
              <w:rPr>
                <w:rFonts w:ascii="方正仿宋_GBK" w:hAnsi="方正仿宋_GBK" w:eastAsia="方正仿宋_GBK" w:cs="方正仿宋_GBK"/>
                <w:sz w:val="22"/>
                <w:szCs w:val="28"/>
              </w:rPr>
            </w:pPr>
          </w:p>
        </w:tc>
        <w:tc>
          <w:tcPr>
            <w:tcW w:w="1328" w:type="dxa"/>
            <w:vAlign w:val="center"/>
          </w:tcPr>
          <w:p w14:paraId="136B83A6">
            <w:pPr>
              <w:jc w:val="center"/>
              <w:rPr>
                <w:rFonts w:ascii="方正仿宋_GBK" w:hAnsi="方正仿宋_GBK" w:eastAsia="方正仿宋_GBK" w:cs="方正仿宋_GBK"/>
                <w:sz w:val="22"/>
                <w:szCs w:val="28"/>
              </w:rPr>
            </w:pPr>
          </w:p>
        </w:tc>
        <w:tc>
          <w:tcPr>
            <w:tcW w:w="1329" w:type="dxa"/>
            <w:vAlign w:val="center"/>
          </w:tcPr>
          <w:p w14:paraId="467CBEE0">
            <w:pPr>
              <w:jc w:val="center"/>
              <w:rPr>
                <w:rFonts w:ascii="方正仿宋_GBK" w:hAnsi="方正仿宋_GBK" w:eastAsia="方正仿宋_GBK" w:cs="方正仿宋_GBK"/>
                <w:sz w:val="22"/>
                <w:szCs w:val="28"/>
              </w:rPr>
            </w:pPr>
          </w:p>
        </w:tc>
        <w:tc>
          <w:tcPr>
            <w:tcW w:w="3454" w:type="dxa"/>
            <w:vAlign w:val="center"/>
          </w:tcPr>
          <w:p w14:paraId="67C5597E">
            <w:pPr>
              <w:jc w:val="center"/>
              <w:rPr>
                <w:rFonts w:ascii="方正仿宋_GBK" w:hAnsi="方正仿宋_GBK" w:eastAsia="方正仿宋_GBK" w:cs="方正仿宋_GBK"/>
                <w:sz w:val="22"/>
                <w:szCs w:val="28"/>
              </w:rPr>
            </w:pPr>
          </w:p>
        </w:tc>
      </w:tr>
      <w:tr w14:paraId="45715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64" w:type="dxa"/>
            <w:vMerge w:val="continue"/>
            <w:vAlign w:val="center"/>
          </w:tcPr>
          <w:p w14:paraId="3E95AF19">
            <w:pPr>
              <w:rPr>
                <w:rFonts w:ascii="方正仿宋_GBK" w:hAnsi="方正仿宋_GBK" w:eastAsia="方正仿宋_GBK" w:cs="方正仿宋_GBK"/>
                <w:sz w:val="22"/>
                <w:szCs w:val="28"/>
              </w:rPr>
            </w:pPr>
          </w:p>
        </w:tc>
        <w:tc>
          <w:tcPr>
            <w:tcW w:w="1329" w:type="dxa"/>
            <w:vAlign w:val="center"/>
          </w:tcPr>
          <w:p w14:paraId="14A95892">
            <w:pPr>
              <w:jc w:val="center"/>
              <w:rPr>
                <w:rFonts w:ascii="方正仿宋_GBK" w:hAnsi="方正仿宋_GBK" w:eastAsia="方正仿宋_GBK" w:cs="方正仿宋_GBK"/>
                <w:sz w:val="22"/>
                <w:szCs w:val="28"/>
              </w:rPr>
            </w:pPr>
          </w:p>
        </w:tc>
        <w:tc>
          <w:tcPr>
            <w:tcW w:w="1328" w:type="dxa"/>
            <w:vAlign w:val="center"/>
          </w:tcPr>
          <w:p w14:paraId="5D66ABBF">
            <w:pPr>
              <w:jc w:val="center"/>
              <w:rPr>
                <w:rFonts w:ascii="方正仿宋_GBK" w:hAnsi="方正仿宋_GBK" w:eastAsia="方正仿宋_GBK" w:cs="方正仿宋_GBK"/>
                <w:sz w:val="22"/>
                <w:szCs w:val="28"/>
              </w:rPr>
            </w:pPr>
          </w:p>
        </w:tc>
        <w:tc>
          <w:tcPr>
            <w:tcW w:w="1329" w:type="dxa"/>
            <w:vAlign w:val="center"/>
          </w:tcPr>
          <w:p w14:paraId="3142DEF0">
            <w:pPr>
              <w:jc w:val="center"/>
              <w:rPr>
                <w:rFonts w:ascii="方正仿宋_GBK" w:hAnsi="方正仿宋_GBK" w:eastAsia="方正仿宋_GBK" w:cs="方正仿宋_GBK"/>
                <w:sz w:val="22"/>
                <w:szCs w:val="28"/>
              </w:rPr>
            </w:pPr>
          </w:p>
        </w:tc>
        <w:tc>
          <w:tcPr>
            <w:tcW w:w="3454" w:type="dxa"/>
            <w:vAlign w:val="center"/>
          </w:tcPr>
          <w:p w14:paraId="441F920A">
            <w:pPr>
              <w:jc w:val="center"/>
              <w:rPr>
                <w:rFonts w:ascii="方正仿宋_GBK" w:hAnsi="方正仿宋_GBK" w:eastAsia="方正仿宋_GBK" w:cs="方正仿宋_GBK"/>
                <w:sz w:val="22"/>
                <w:szCs w:val="28"/>
              </w:rPr>
            </w:pPr>
          </w:p>
        </w:tc>
      </w:tr>
      <w:tr w14:paraId="0D492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64" w:type="dxa"/>
            <w:vMerge w:val="continue"/>
            <w:vAlign w:val="center"/>
          </w:tcPr>
          <w:p w14:paraId="7012ABD6">
            <w:pPr>
              <w:rPr>
                <w:rFonts w:ascii="方正仿宋_GBK" w:hAnsi="方正仿宋_GBK" w:eastAsia="方正仿宋_GBK" w:cs="方正仿宋_GBK"/>
                <w:sz w:val="22"/>
                <w:szCs w:val="28"/>
              </w:rPr>
            </w:pPr>
          </w:p>
        </w:tc>
        <w:tc>
          <w:tcPr>
            <w:tcW w:w="1329" w:type="dxa"/>
            <w:vAlign w:val="center"/>
          </w:tcPr>
          <w:p w14:paraId="283C9599">
            <w:pPr>
              <w:jc w:val="center"/>
              <w:rPr>
                <w:rFonts w:ascii="方正仿宋_GBK" w:hAnsi="方正仿宋_GBK" w:eastAsia="方正仿宋_GBK" w:cs="方正仿宋_GBK"/>
                <w:sz w:val="22"/>
                <w:szCs w:val="28"/>
              </w:rPr>
            </w:pPr>
          </w:p>
        </w:tc>
        <w:tc>
          <w:tcPr>
            <w:tcW w:w="1328" w:type="dxa"/>
            <w:vAlign w:val="center"/>
          </w:tcPr>
          <w:p w14:paraId="29845262">
            <w:pPr>
              <w:jc w:val="center"/>
              <w:rPr>
                <w:rFonts w:ascii="方正仿宋_GBK" w:hAnsi="方正仿宋_GBK" w:eastAsia="方正仿宋_GBK" w:cs="方正仿宋_GBK"/>
                <w:sz w:val="22"/>
                <w:szCs w:val="28"/>
              </w:rPr>
            </w:pPr>
          </w:p>
        </w:tc>
        <w:tc>
          <w:tcPr>
            <w:tcW w:w="1329" w:type="dxa"/>
            <w:vAlign w:val="center"/>
          </w:tcPr>
          <w:p w14:paraId="753A3CE7">
            <w:pPr>
              <w:jc w:val="center"/>
              <w:rPr>
                <w:rFonts w:ascii="方正仿宋_GBK" w:hAnsi="方正仿宋_GBK" w:eastAsia="方正仿宋_GBK" w:cs="方正仿宋_GBK"/>
                <w:sz w:val="22"/>
                <w:szCs w:val="28"/>
              </w:rPr>
            </w:pPr>
          </w:p>
        </w:tc>
        <w:tc>
          <w:tcPr>
            <w:tcW w:w="3454" w:type="dxa"/>
            <w:vAlign w:val="center"/>
          </w:tcPr>
          <w:p w14:paraId="62E9D0FE">
            <w:pPr>
              <w:jc w:val="center"/>
              <w:rPr>
                <w:rFonts w:ascii="方正仿宋_GBK" w:hAnsi="方正仿宋_GBK" w:eastAsia="方正仿宋_GBK" w:cs="方正仿宋_GBK"/>
                <w:sz w:val="22"/>
                <w:szCs w:val="28"/>
              </w:rPr>
            </w:pPr>
          </w:p>
        </w:tc>
      </w:tr>
      <w:tr w14:paraId="5D297C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64" w:type="dxa"/>
            <w:vMerge w:val="continue"/>
            <w:vAlign w:val="center"/>
          </w:tcPr>
          <w:p w14:paraId="3568FB2A">
            <w:pPr>
              <w:rPr>
                <w:rFonts w:ascii="方正仿宋_GBK" w:hAnsi="方正仿宋_GBK" w:eastAsia="方正仿宋_GBK" w:cs="方正仿宋_GBK"/>
                <w:sz w:val="22"/>
                <w:szCs w:val="28"/>
              </w:rPr>
            </w:pPr>
          </w:p>
        </w:tc>
        <w:tc>
          <w:tcPr>
            <w:tcW w:w="1329" w:type="dxa"/>
            <w:vAlign w:val="center"/>
          </w:tcPr>
          <w:p w14:paraId="0969F997">
            <w:pPr>
              <w:jc w:val="center"/>
              <w:rPr>
                <w:rFonts w:ascii="方正仿宋_GBK" w:hAnsi="方正仿宋_GBK" w:eastAsia="方正仿宋_GBK" w:cs="方正仿宋_GBK"/>
                <w:sz w:val="22"/>
                <w:szCs w:val="28"/>
              </w:rPr>
            </w:pPr>
          </w:p>
        </w:tc>
        <w:tc>
          <w:tcPr>
            <w:tcW w:w="1328" w:type="dxa"/>
            <w:vAlign w:val="center"/>
          </w:tcPr>
          <w:p w14:paraId="27DC1704">
            <w:pPr>
              <w:jc w:val="center"/>
              <w:rPr>
                <w:rFonts w:ascii="方正仿宋_GBK" w:hAnsi="方正仿宋_GBK" w:eastAsia="方正仿宋_GBK" w:cs="方正仿宋_GBK"/>
                <w:sz w:val="22"/>
                <w:szCs w:val="28"/>
              </w:rPr>
            </w:pPr>
          </w:p>
        </w:tc>
        <w:tc>
          <w:tcPr>
            <w:tcW w:w="1329" w:type="dxa"/>
            <w:vAlign w:val="center"/>
          </w:tcPr>
          <w:p w14:paraId="33B9109E">
            <w:pPr>
              <w:jc w:val="center"/>
              <w:rPr>
                <w:rFonts w:ascii="方正仿宋_GBK" w:hAnsi="方正仿宋_GBK" w:eastAsia="方正仿宋_GBK" w:cs="方正仿宋_GBK"/>
                <w:sz w:val="22"/>
                <w:szCs w:val="28"/>
              </w:rPr>
            </w:pPr>
          </w:p>
        </w:tc>
        <w:tc>
          <w:tcPr>
            <w:tcW w:w="3454" w:type="dxa"/>
            <w:vAlign w:val="center"/>
          </w:tcPr>
          <w:p w14:paraId="4CF335C7">
            <w:pPr>
              <w:jc w:val="center"/>
              <w:rPr>
                <w:rFonts w:ascii="方正仿宋_GBK" w:hAnsi="方正仿宋_GBK" w:eastAsia="方正仿宋_GBK" w:cs="方正仿宋_GBK"/>
                <w:sz w:val="22"/>
                <w:szCs w:val="28"/>
              </w:rPr>
            </w:pPr>
          </w:p>
        </w:tc>
      </w:tr>
    </w:tbl>
    <w:p w14:paraId="6F92824C"/>
    <w:p w14:paraId="76D1053B">
      <w:pPr>
        <w:spacing w:line="600" w:lineRule="exact"/>
        <w:rPr>
          <w:rFonts w:ascii="方正仿宋_GBK" w:hAnsi="方正仿宋_GBK" w:eastAsia="方正仿宋_GBK" w:cs="方正仿宋_GBK"/>
        </w:rPr>
      </w:pPr>
      <w:r>
        <w:rPr>
          <w:rFonts w:hint="eastAsia" w:ascii="方正仿宋_GBK" w:hAnsi="方正仿宋_GBK" w:eastAsia="方正仿宋_GBK" w:cs="方正仿宋_GBK"/>
        </w:rPr>
        <w:t>注：1．此表可扩展。</w:t>
      </w:r>
    </w:p>
    <w:p w14:paraId="19481DB4">
      <w:pPr>
        <w:spacing w:line="600" w:lineRule="exact"/>
        <w:ind w:firstLine="420" w:firstLineChars="200"/>
        <w:rPr>
          <w:rFonts w:ascii="方正仿宋_GBK" w:hAnsi="方正仿宋_GBK" w:eastAsia="方正仿宋_GBK" w:cs="方正仿宋_GBK"/>
        </w:rPr>
      </w:pPr>
      <w:r>
        <w:rPr>
          <w:rFonts w:hint="eastAsia" w:ascii="方正仿宋_GBK" w:hAnsi="方正仿宋_GBK" w:eastAsia="方正仿宋_GBK" w:cs="方正仿宋_GBK"/>
        </w:rPr>
        <w:t>2．应提供相应证书。</w:t>
      </w:r>
    </w:p>
    <w:p w14:paraId="2C86BFFB">
      <w:pPr>
        <w:pStyle w:val="19"/>
        <w:rPr>
          <w:rFonts w:ascii="Times New Roman"/>
          <w:sz w:val="24"/>
          <w:szCs w:val="24"/>
        </w:rPr>
      </w:pPr>
    </w:p>
    <w:tbl>
      <w:tblPr>
        <w:tblStyle w:val="52"/>
        <w:tblW w:w="0" w:type="auto"/>
        <w:jc w:val="right"/>
        <w:tblLayout w:type="fixed"/>
        <w:tblCellMar>
          <w:top w:w="0" w:type="dxa"/>
          <w:left w:w="108" w:type="dxa"/>
          <w:bottom w:w="0" w:type="dxa"/>
          <w:right w:w="108" w:type="dxa"/>
        </w:tblCellMar>
      </w:tblPr>
      <w:tblGrid>
        <w:gridCol w:w="3570"/>
        <w:gridCol w:w="2778"/>
      </w:tblGrid>
      <w:tr w14:paraId="51E442D1">
        <w:tblPrEx>
          <w:tblCellMar>
            <w:top w:w="0" w:type="dxa"/>
            <w:left w:w="108" w:type="dxa"/>
            <w:bottom w:w="0" w:type="dxa"/>
            <w:right w:w="108" w:type="dxa"/>
          </w:tblCellMar>
        </w:tblPrEx>
        <w:trPr>
          <w:trHeight w:val="268" w:hRule="atLeast"/>
          <w:jc w:val="right"/>
        </w:trPr>
        <w:tc>
          <w:tcPr>
            <w:tcW w:w="3570" w:type="dxa"/>
            <w:tcBorders>
              <w:top w:val="nil"/>
              <w:left w:val="nil"/>
              <w:bottom w:val="nil"/>
              <w:right w:val="nil"/>
            </w:tcBorders>
          </w:tcPr>
          <w:p w14:paraId="6B37EA65">
            <w:pPr>
              <w:pStyle w:val="223"/>
              <w:jc w:val="both"/>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投标人（盖单位公章) ：</w:t>
            </w:r>
          </w:p>
        </w:tc>
        <w:tc>
          <w:tcPr>
            <w:tcW w:w="2778" w:type="dxa"/>
            <w:tcBorders>
              <w:top w:val="nil"/>
              <w:left w:val="nil"/>
              <w:bottom w:val="single" w:color="auto" w:sz="4" w:space="0"/>
              <w:right w:val="nil"/>
            </w:tcBorders>
          </w:tcPr>
          <w:p w14:paraId="38A01E92">
            <w:pPr>
              <w:pStyle w:val="223"/>
              <w:rPr>
                <w:rFonts w:ascii="Times New Roman"/>
                <w:sz w:val="21"/>
                <w:szCs w:val="21"/>
              </w:rPr>
            </w:pPr>
          </w:p>
        </w:tc>
      </w:tr>
      <w:tr w14:paraId="2DB9DB78">
        <w:tblPrEx>
          <w:tblCellMar>
            <w:top w:w="0" w:type="dxa"/>
            <w:left w:w="108" w:type="dxa"/>
            <w:bottom w:w="0" w:type="dxa"/>
            <w:right w:w="108" w:type="dxa"/>
          </w:tblCellMar>
        </w:tblPrEx>
        <w:trPr>
          <w:trHeight w:val="495" w:hRule="atLeast"/>
          <w:jc w:val="right"/>
        </w:trPr>
        <w:tc>
          <w:tcPr>
            <w:tcW w:w="3570" w:type="dxa"/>
            <w:tcBorders>
              <w:top w:val="nil"/>
              <w:left w:val="nil"/>
              <w:bottom w:val="nil"/>
              <w:right w:val="nil"/>
            </w:tcBorders>
          </w:tcPr>
          <w:p w14:paraId="24FF923A">
            <w:pPr>
              <w:pStyle w:val="223"/>
              <w:jc w:val="both"/>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法定代表人或其委托代理人（签字）：</w:t>
            </w:r>
          </w:p>
        </w:tc>
        <w:tc>
          <w:tcPr>
            <w:tcW w:w="2778" w:type="dxa"/>
            <w:tcBorders>
              <w:top w:val="single" w:color="auto" w:sz="4" w:space="0"/>
              <w:left w:val="nil"/>
              <w:bottom w:val="single" w:color="auto" w:sz="4" w:space="0"/>
              <w:right w:val="nil"/>
            </w:tcBorders>
          </w:tcPr>
          <w:p w14:paraId="59424F5D">
            <w:pPr>
              <w:pStyle w:val="223"/>
              <w:rPr>
                <w:rFonts w:ascii="Times New Roman"/>
                <w:sz w:val="21"/>
                <w:szCs w:val="21"/>
              </w:rPr>
            </w:pPr>
          </w:p>
        </w:tc>
      </w:tr>
      <w:tr w14:paraId="58371350">
        <w:tblPrEx>
          <w:tblCellMar>
            <w:top w:w="0" w:type="dxa"/>
            <w:left w:w="108" w:type="dxa"/>
            <w:bottom w:w="0" w:type="dxa"/>
            <w:right w:w="108" w:type="dxa"/>
          </w:tblCellMar>
        </w:tblPrEx>
        <w:trPr>
          <w:trHeight w:val="495" w:hRule="atLeast"/>
          <w:jc w:val="right"/>
        </w:trPr>
        <w:tc>
          <w:tcPr>
            <w:tcW w:w="3570" w:type="dxa"/>
            <w:tcBorders>
              <w:top w:val="nil"/>
              <w:left w:val="nil"/>
              <w:bottom w:val="nil"/>
              <w:right w:val="nil"/>
            </w:tcBorders>
          </w:tcPr>
          <w:p w14:paraId="3B27DE44">
            <w:pPr>
              <w:pStyle w:val="223"/>
              <w:jc w:val="both"/>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日               期：</w:t>
            </w:r>
          </w:p>
        </w:tc>
        <w:tc>
          <w:tcPr>
            <w:tcW w:w="2778" w:type="dxa"/>
            <w:tcBorders>
              <w:top w:val="single" w:color="auto" w:sz="4" w:space="0"/>
              <w:left w:val="nil"/>
              <w:bottom w:val="single" w:color="auto" w:sz="4" w:space="0"/>
              <w:right w:val="nil"/>
            </w:tcBorders>
          </w:tcPr>
          <w:p w14:paraId="75194A58">
            <w:pPr>
              <w:pStyle w:val="223"/>
              <w:rPr>
                <w:rFonts w:ascii="Times New Roman"/>
                <w:sz w:val="21"/>
                <w:szCs w:val="21"/>
              </w:rPr>
            </w:pPr>
          </w:p>
        </w:tc>
      </w:tr>
    </w:tbl>
    <w:p w14:paraId="72420F2C"/>
    <w:p w14:paraId="75E4AEEE"/>
    <w:p w14:paraId="24606F81">
      <w:r>
        <w:br w:type="page"/>
      </w:r>
      <w:r>
        <w:rPr>
          <w:rFonts w:hint="eastAsia" w:ascii="方正黑体_GBK" w:hAnsi="方正黑体_GBK" w:eastAsia="方正黑体_GBK" w:cs="方正黑体_GBK"/>
          <w:kern w:val="0"/>
          <w:sz w:val="32"/>
          <w:szCs w:val="32"/>
        </w:rPr>
        <w:t xml:space="preserve">格式7： </w:t>
      </w:r>
    </w:p>
    <w:p w14:paraId="52B8233A"/>
    <w:p w14:paraId="676D16DB">
      <w:pPr>
        <w:spacing w:line="360" w:lineRule="auto"/>
        <w:jc w:val="center"/>
        <w:rPr>
          <w:rFonts w:ascii="方正小标宋简体" w:hAnsi="方正小标宋简体" w:eastAsia="方正小标宋简体" w:cs="方正小标宋简体"/>
          <w:sz w:val="44"/>
          <w:szCs w:val="44"/>
        </w:rPr>
      </w:pPr>
      <w:bookmarkStart w:id="70" w:name="_Toc27370"/>
      <w:bookmarkStart w:id="71" w:name="_Toc14181"/>
      <w:bookmarkStart w:id="72" w:name="_Toc24250"/>
      <w:bookmarkStart w:id="73" w:name="_Toc8157"/>
      <w:bookmarkStart w:id="74" w:name="_Toc3597"/>
      <w:bookmarkStart w:id="75" w:name="_Toc23094"/>
      <w:bookmarkStart w:id="76" w:name="_Toc25873"/>
      <w:bookmarkStart w:id="77" w:name="_Toc23156"/>
      <w:r>
        <w:rPr>
          <w:rFonts w:hint="eastAsia" w:ascii="方正小标宋简体" w:hAnsi="方正小标宋简体" w:eastAsia="方正小标宋简体" w:cs="方正小标宋简体"/>
          <w:sz w:val="44"/>
          <w:szCs w:val="44"/>
        </w:rPr>
        <w:t>质量保修承诺书</w:t>
      </w:r>
      <w:bookmarkEnd w:id="70"/>
      <w:bookmarkEnd w:id="71"/>
      <w:bookmarkEnd w:id="72"/>
      <w:bookmarkEnd w:id="73"/>
      <w:bookmarkEnd w:id="74"/>
      <w:bookmarkEnd w:id="75"/>
      <w:bookmarkEnd w:id="76"/>
      <w:bookmarkEnd w:id="77"/>
    </w:p>
    <w:p w14:paraId="61015D08">
      <w:pPr>
        <w:pStyle w:val="19"/>
        <w:jc w:val="center"/>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（由投标人按招标文件售后服务及要求自行分别填写）</w:t>
      </w:r>
    </w:p>
    <w:p w14:paraId="1DCD8219">
      <w:pPr>
        <w:pStyle w:val="19"/>
        <w:jc w:val="center"/>
        <w:rPr>
          <w:rFonts w:ascii="方正仿宋_GBK" w:hAnsi="方正仿宋_GBK" w:eastAsia="方正仿宋_GBK" w:cs="方正仿宋_GBK"/>
          <w:sz w:val="32"/>
          <w:szCs w:val="32"/>
        </w:rPr>
      </w:pPr>
    </w:p>
    <w:p w14:paraId="7ADD560F">
      <w:pPr>
        <w:pStyle w:val="19"/>
        <w:jc w:val="center"/>
        <w:rPr>
          <w:rFonts w:ascii="Times New Roman"/>
          <w:sz w:val="24"/>
          <w:szCs w:val="24"/>
        </w:rPr>
      </w:pPr>
    </w:p>
    <w:p w14:paraId="6B8DBA26">
      <w:pPr>
        <w:pStyle w:val="19"/>
        <w:jc w:val="center"/>
        <w:rPr>
          <w:rFonts w:ascii="Times New Roman"/>
          <w:sz w:val="24"/>
          <w:szCs w:val="24"/>
        </w:rPr>
      </w:pPr>
    </w:p>
    <w:p w14:paraId="6217A72E">
      <w:pPr>
        <w:pStyle w:val="19"/>
        <w:jc w:val="center"/>
        <w:rPr>
          <w:rFonts w:ascii="Times New Roman"/>
          <w:sz w:val="24"/>
          <w:szCs w:val="24"/>
        </w:rPr>
      </w:pPr>
    </w:p>
    <w:p w14:paraId="3FE1FC80">
      <w:pPr>
        <w:pStyle w:val="19"/>
        <w:jc w:val="center"/>
        <w:rPr>
          <w:rFonts w:ascii="Times New Roman"/>
          <w:sz w:val="24"/>
          <w:szCs w:val="24"/>
        </w:rPr>
      </w:pPr>
    </w:p>
    <w:p w14:paraId="30CAAABE">
      <w:pPr>
        <w:pStyle w:val="19"/>
        <w:jc w:val="center"/>
        <w:rPr>
          <w:rFonts w:ascii="Times New Roman"/>
          <w:sz w:val="24"/>
          <w:szCs w:val="24"/>
        </w:rPr>
      </w:pPr>
    </w:p>
    <w:p w14:paraId="601BFD14">
      <w:pPr>
        <w:pStyle w:val="19"/>
        <w:jc w:val="center"/>
        <w:rPr>
          <w:rFonts w:ascii="Times New Roman"/>
          <w:sz w:val="24"/>
          <w:szCs w:val="24"/>
        </w:rPr>
      </w:pPr>
    </w:p>
    <w:p w14:paraId="1B995BCD">
      <w:pPr>
        <w:pStyle w:val="19"/>
        <w:jc w:val="center"/>
        <w:rPr>
          <w:rFonts w:ascii="Times New Roman"/>
          <w:sz w:val="24"/>
          <w:szCs w:val="24"/>
        </w:rPr>
      </w:pPr>
    </w:p>
    <w:p w14:paraId="2CD17B04">
      <w:pPr>
        <w:pStyle w:val="19"/>
        <w:jc w:val="center"/>
        <w:rPr>
          <w:rFonts w:ascii="Times New Roman"/>
          <w:sz w:val="24"/>
          <w:szCs w:val="24"/>
        </w:rPr>
      </w:pPr>
    </w:p>
    <w:p w14:paraId="0918DE7A">
      <w:pPr>
        <w:pStyle w:val="19"/>
        <w:jc w:val="center"/>
        <w:rPr>
          <w:rFonts w:ascii="Times New Roman"/>
          <w:sz w:val="24"/>
          <w:szCs w:val="24"/>
        </w:rPr>
      </w:pPr>
    </w:p>
    <w:p w14:paraId="0ACB9DF8">
      <w:pPr>
        <w:pStyle w:val="19"/>
        <w:jc w:val="center"/>
        <w:rPr>
          <w:rFonts w:ascii="Times New Roman"/>
          <w:sz w:val="24"/>
          <w:szCs w:val="24"/>
        </w:rPr>
      </w:pPr>
    </w:p>
    <w:p w14:paraId="4841BD92">
      <w:pPr>
        <w:pStyle w:val="19"/>
        <w:jc w:val="center"/>
        <w:rPr>
          <w:rFonts w:ascii="Times New Roman"/>
          <w:sz w:val="24"/>
          <w:szCs w:val="24"/>
        </w:rPr>
      </w:pPr>
    </w:p>
    <w:p w14:paraId="3B3AEF57">
      <w:pPr>
        <w:pStyle w:val="19"/>
        <w:jc w:val="center"/>
        <w:rPr>
          <w:rFonts w:ascii="Times New Roman"/>
          <w:sz w:val="24"/>
          <w:szCs w:val="24"/>
        </w:rPr>
      </w:pPr>
    </w:p>
    <w:p w14:paraId="4D71FAED">
      <w:pPr>
        <w:pStyle w:val="19"/>
        <w:jc w:val="center"/>
        <w:rPr>
          <w:rFonts w:ascii="Times New Roman"/>
          <w:sz w:val="24"/>
          <w:szCs w:val="24"/>
        </w:rPr>
      </w:pPr>
    </w:p>
    <w:p w14:paraId="6DC8ECBA">
      <w:pPr>
        <w:pStyle w:val="19"/>
        <w:jc w:val="center"/>
        <w:rPr>
          <w:rFonts w:ascii="Times New Roman"/>
          <w:sz w:val="24"/>
          <w:szCs w:val="24"/>
        </w:rPr>
      </w:pPr>
    </w:p>
    <w:p w14:paraId="10486827">
      <w:pPr>
        <w:pStyle w:val="19"/>
        <w:jc w:val="center"/>
        <w:rPr>
          <w:rFonts w:ascii="Times New Roman"/>
          <w:sz w:val="24"/>
          <w:szCs w:val="24"/>
        </w:rPr>
      </w:pPr>
    </w:p>
    <w:p w14:paraId="2632F0B5">
      <w:pPr>
        <w:pStyle w:val="19"/>
        <w:jc w:val="center"/>
        <w:rPr>
          <w:rFonts w:ascii="Times New Roman"/>
          <w:sz w:val="24"/>
          <w:szCs w:val="24"/>
        </w:rPr>
      </w:pPr>
    </w:p>
    <w:p w14:paraId="17B7D0D1">
      <w:pPr>
        <w:pStyle w:val="19"/>
        <w:jc w:val="center"/>
        <w:rPr>
          <w:rFonts w:ascii="Times New Roman"/>
          <w:sz w:val="24"/>
          <w:szCs w:val="24"/>
        </w:rPr>
      </w:pPr>
    </w:p>
    <w:tbl>
      <w:tblPr>
        <w:tblStyle w:val="52"/>
        <w:tblW w:w="0" w:type="auto"/>
        <w:jc w:val="right"/>
        <w:tblLayout w:type="fixed"/>
        <w:tblCellMar>
          <w:top w:w="0" w:type="dxa"/>
          <w:left w:w="108" w:type="dxa"/>
          <w:bottom w:w="0" w:type="dxa"/>
          <w:right w:w="108" w:type="dxa"/>
        </w:tblCellMar>
      </w:tblPr>
      <w:tblGrid>
        <w:gridCol w:w="3570"/>
        <w:gridCol w:w="2778"/>
      </w:tblGrid>
      <w:tr w14:paraId="775FE0AE">
        <w:tblPrEx>
          <w:tblCellMar>
            <w:top w:w="0" w:type="dxa"/>
            <w:left w:w="108" w:type="dxa"/>
            <w:bottom w:w="0" w:type="dxa"/>
            <w:right w:w="108" w:type="dxa"/>
          </w:tblCellMar>
        </w:tblPrEx>
        <w:trPr>
          <w:trHeight w:val="268" w:hRule="atLeast"/>
          <w:jc w:val="right"/>
        </w:trPr>
        <w:tc>
          <w:tcPr>
            <w:tcW w:w="3570" w:type="dxa"/>
            <w:tcBorders>
              <w:top w:val="nil"/>
              <w:left w:val="nil"/>
              <w:bottom w:val="nil"/>
              <w:right w:val="nil"/>
            </w:tcBorders>
          </w:tcPr>
          <w:p w14:paraId="375A5375">
            <w:pPr>
              <w:pStyle w:val="223"/>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投标人（盖单位公章) ：</w:t>
            </w:r>
          </w:p>
        </w:tc>
        <w:tc>
          <w:tcPr>
            <w:tcW w:w="2778" w:type="dxa"/>
            <w:tcBorders>
              <w:top w:val="nil"/>
              <w:left w:val="nil"/>
              <w:bottom w:val="single" w:color="auto" w:sz="4" w:space="0"/>
              <w:right w:val="nil"/>
            </w:tcBorders>
          </w:tcPr>
          <w:p w14:paraId="653428AC">
            <w:pPr>
              <w:pStyle w:val="223"/>
              <w:rPr>
                <w:rFonts w:ascii="Times New Roman"/>
                <w:sz w:val="21"/>
                <w:szCs w:val="21"/>
              </w:rPr>
            </w:pPr>
          </w:p>
        </w:tc>
      </w:tr>
      <w:tr w14:paraId="5618BD85">
        <w:tblPrEx>
          <w:tblCellMar>
            <w:top w:w="0" w:type="dxa"/>
            <w:left w:w="108" w:type="dxa"/>
            <w:bottom w:w="0" w:type="dxa"/>
            <w:right w:w="108" w:type="dxa"/>
          </w:tblCellMar>
        </w:tblPrEx>
        <w:trPr>
          <w:trHeight w:val="495" w:hRule="atLeast"/>
          <w:jc w:val="right"/>
        </w:trPr>
        <w:tc>
          <w:tcPr>
            <w:tcW w:w="3570" w:type="dxa"/>
            <w:tcBorders>
              <w:top w:val="nil"/>
              <w:left w:val="nil"/>
              <w:bottom w:val="nil"/>
              <w:right w:val="nil"/>
            </w:tcBorders>
          </w:tcPr>
          <w:p w14:paraId="45DE6A68">
            <w:pPr>
              <w:pStyle w:val="223"/>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法定代表人或其委托代理人（签字）：</w:t>
            </w:r>
          </w:p>
        </w:tc>
        <w:tc>
          <w:tcPr>
            <w:tcW w:w="2778" w:type="dxa"/>
            <w:tcBorders>
              <w:top w:val="single" w:color="auto" w:sz="4" w:space="0"/>
              <w:left w:val="nil"/>
              <w:bottom w:val="single" w:color="auto" w:sz="4" w:space="0"/>
              <w:right w:val="nil"/>
            </w:tcBorders>
          </w:tcPr>
          <w:p w14:paraId="22C4F016">
            <w:pPr>
              <w:pStyle w:val="223"/>
              <w:rPr>
                <w:rFonts w:ascii="Times New Roman"/>
                <w:sz w:val="21"/>
                <w:szCs w:val="21"/>
              </w:rPr>
            </w:pPr>
          </w:p>
        </w:tc>
      </w:tr>
      <w:tr w14:paraId="09B94850">
        <w:tblPrEx>
          <w:tblCellMar>
            <w:top w:w="0" w:type="dxa"/>
            <w:left w:w="108" w:type="dxa"/>
            <w:bottom w:w="0" w:type="dxa"/>
            <w:right w:w="108" w:type="dxa"/>
          </w:tblCellMar>
        </w:tblPrEx>
        <w:trPr>
          <w:trHeight w:val="495" w:hRule="atLeast"/>
          <w:jc w:val="right"/>
        </w:trPr>
        <w:tc>
          <w:tcPr>
            <w:tcW w:w="3570" w:type="dxa"/>
            <w:tcBorders>
              <w:top w:val="nil"/>
              <w:left w:val="nil"/>
              <w:bottom w:val="nil"/>
              <w:right w:val="nil"/>
            </w:tcBorders>
          </w:tcPr>
          <w:p w14:paraId="600F73A5">
            <w:pPr>
              <w:pStyle w:val="223"/>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日               期：</w:t>
            </w:r>
          </w:p>
        </w:tc>
        <w:tc>
          <w:tcPr>
            <w:tcW w:w="2778" w:type="dxa"/>
            <w:tcBorders>
              <w:top w:val="single" w:color="auto" w:sz="4" w:space="0"/>
              <w:left w:val="nil"/>
              <w:bottom w:val="single" w:color="auto" w:sz="4" w:space="0"/>
              <w:right w:val="nil"/>
            </w:tcBorders>
          </w:tcPr>
          <w:p w14:paraId="59241330">
            <w:pPr>
              <w:pStyle w:val="223"/>
              <w:rPr>
                <w:rFonts w:ascii="Times New Roman"/>
                <w:sz w:val="21"/>
                <w:szCs w:val="21"/>
              </w:rPr>
            </w:pPr>
          </w:p>
        </w:tc>
      </w:tr>
    </w:tbl>
    <w:p w14:paraId="53E163F1"/>
    <w:p w14:paraId="6D6913E2"/>
    <w:p w14:paraId="515E814B"/>
    <w:p w14:paraId="291F64B4">
      <w:r>
        <w:br w:type="page"/>
      </w:r>
      <w:bookmarkStart w:id="78" w:name="_Toc202771039"/>
    </w:p>
    <w:p w14:paraId="67CEFF58">
      <w:pPr>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格式8：</w:t>
      </w:r>
      <w:bookmarkEnd w:id="78"/>
    </w:p>
    <w:p w14:paraId="4F0A1E8F">
      <w:pPr>
        <w:spacing w:line="360" w:lineRule="auto"/>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进度计划情况表</w:t>
      </w:r>
    </w:p>
    <w:p w14:paraId="13B51266">
      <w:pPr>
        <w:spacing w:line="360" w:lineRule="auto"/>
        <w:rPr>
          <w:sz w:val="28"/>
          <w:szCs w:val="28"/>
        </w:rPr>
      </w:pPr>
    </w:p>
    <w:p w14:paraId="2E1F103A">
      <w:pPr>
        <w:pStyle w:val="19"/>
        <w:spacing w:line="500" w:lineRule="exact"/>
        <w:ind w:firstLine="36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格式自拟。</w:t>
      </w:r>
    </w:p>
    <w:p w14:paraId="2029C3A1">
      <w:pPr>
        <w:pStyle w:val="19"/>
        <w:spacing w:line="500" w:lineRule="exact"/>
        <w:rPr>
          <w:rFonts w:ascii="Times New Roman"/>
          <w:szCs w:val="21"/>
        </w:rPr>
      </w:pPr>
      <w:r>
        <w:rPr>
          <w:rFonts w:ascii="Times New Roman"/>
          <w:sz w:val="18"/>
          <w:szCs w:val="18"/>
        </w:rPr>
        <w:br w:type="page"/>
      </w:r>
      <w:r>
        <w:rPr>
          <w:rFonts w:hint="eastAsia" w:ascii="方正黑体_GBK" w:hAnsi="方正黑体_GBK" w:eastAsia="方正黑体_GBK" w:cs="方正黑体_GBK"/>
          <w:kern w:val="0"/>
          <w:sz w:val="32"/>
          <w:szCs w:val="32"/>
        </w:rPr>
        <w:t>格式9：</w:t>
      </w:r>
    </w:p>
    <w:p w14:paraId="3BF77645">
      <w:pPr>
        <w:spacing w:line="360" w:lineRule="auto"/>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廉洁承诺书</w:t>
      </w:r>
    </w:p>
    <w:p w14:paraId="5382345B">
      <w:pPr>
        <w:spacing w:line="360" w:lineRule="auto"/>
        <w:rPr>
          <w:szCs w:val="30"/>
        </w:rPr>
      </w:pPr>
    </w:p>
    <w:p w14:paraId="0EC35B26">
      <w:pPr>
        <w:spacing w:line="600" w:lineRule="exac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致：招标人</w:t>
      </w:r>
    </w:p>
    <w:p w14:paraId="5A5FB9F0">
      <w:pPr>
        <w:spacing w:line="600" w:lineRule="exact"/>
        <w:ind w:firstLine="63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本公司就参加＿＿＿＿＿＿＿＿＿＿＿＿＿项目投标工作，郑重作出如下承诺：</w:t>
      </w:r>
    </w:p>
    <w:p w14:paraId="6C15F27A">
      <w:pPr>
        <w:spacing w:line="600" w:lineRule="exact"/>
        <w:ind w:firstLine="63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我公司已经充分阅读并清楚理解招标要求，我司参加投标所提供的所有材料是真实、合法的。如有机会成为正式投标人，我公司保证不与其他投标人围标、串标，不出让投标资格，不向评标委员会成员行贿和私下联系，同时不出现其他不廉洁行为，如有违反上述规定，本人和本公司愿意接受没收投标保证金及6个月至2年内不得参与贵公司管辖工程项目的投标等处罚，并愿意承担由此带来的法律后果；如果中标，本公司愿意与贵公司签署并执行廉洁协议。</w:t>
      </w:r>
    </w:p>
    <w:p w14:paraId="1159933D">
      <w:pPr>
        <w:spacing w:line="600" w:lineRule="exact"/>
        <w:ind w:firstLine="63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特此承诺！</w:t>
      </w:r>
    </w:p>
    <w:p w14:paraId="1E213E62">
      <w:pPr>
        <w:spacing w:line="600" w:lineRule="exact"/>
        <w:ind w:firstLine="630"/>
        <w:rPr>
          <w:rFonts w:ascii="方正仿宋_GBK" w:hAnsi="方正仿宋_GBK" w:eastAsia="方正仿宋_GBK" w:cs="方正仿宋_GBK"/>
          <w:sz w:val="32"/>
          <w:szCs w:val="32"/>
        </w:rPr>
      </w:pPr>
    </w:p>
    <w:p w14:paraId="4FAC47E0">
      <w:pPr>
        <w:spacing w:line="600" w:lineRule="exact"/>
        <w:ind w:firstLine="630"/>
        <w:rPr>
          <w:rFonts w:ascii="方正仿宋_GBK" w:hAnsi="方正仿宋_GBK" w:eastAsia="方正仿宋_GBK" w:cs="方正仿宋_GBK"/>
          <w:sz w:val="32"/>
          <w:szCs w:val="32"/>
          <w:u w:val="single"/>
        </w:rPr>
      </w:pPr>
      <w:r>
        <w:rPr>
          <w:rFonts w:hint="eastAsia" w:ascii="方正仿宋_GBK" w:hAnsi="方正仿宋_GBK" w:eastAsia="方正仿宋_GBK" w:cs="方正仿宋_GBK"/>
          <w:sz w:val="32"/>
          <w:szCs w:val="32"/>
        </w:rPr>
        <w:t>投标人名称：</w:t>
      </w:r>
      <w:r>
        <w:rPr>
          <w:rFonts w:hint="eastAsia" w:ascii="方正仿宋_GBK" w:hAnsi="方正仿宋_GBK" w:eastAsia="方正仿宋_GBK" w:cs="方正仿宋_GBK"/>
          <w:sz w:val="32"/>
          <w:szCs w:val="32"/>
          <w:u w:val="single"/>
        </w:rPr>
        <w:t xml:space="preserve">                                         </w:t>
      </w:r>
    </w:p>
    <w:p w14:paraId="3371F868">
      <w:pPr>
        <w:spacing w:line="600" w:lineRule="exact"/>
        <w:ind w:firstLine="630"/>
        <w:rPr>
          <w:rFonts w:ascii="方正仿宋_GBK" w:hAnsi="方正仿宋_GBK" w:eastAsia="方正仿宋_GBK" w:cs="方正仿宋_GBK"/>
          <w:sz w:val="32"/>
          <w:szCs w:val="32"/>
          <w:u w:val="single"/>
        </w:rPr>
      </w:pPr>
      <w:r>
        <w:rPr>
          <w:rFonts w:hint="eastAsia" w:ascii="方正仿宋_GBK" w:hAnsi="方正仿宋_GBK" w:eastAsia="方正仿宋_GBK" w:cs="方正仿宋_GBK"/>
          <w:sz w:val="32"/>
          <w:szCs w:val="32"/>
        </w:rPr>
        <w:t>承诺人（法定代表人或法定代表人授权人）签字：</w:t>
      </w:r>
      <w:r>
        <w:rPr>
          <w:rFonts w:hint="eastAsia" w:ascii="方正仿宋_GBK" w:hAnsi="方正仿宋_GBK" w:eastAsia="方正仿宋_GBK" w:cs="方正仿宋_GBK"/>
          <w:sz w:val="32"/>
          <w:szCs w:val="32"/>
          <w:u w:val="single"/>
        </w:rPr>
        <w:t xml:space="preserve">          </w:t>
      </w:r>
    </w:p>
    <w:p w14:paraId="473935FF">
      <w:pPr>
        <w:spacing w:line="600" w:lineRule="exact"/>
        <w:ind w:firstLine="960" w:firstLineChars="3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日        期：</w:t>
      </w:r>
      <w:r>
        <w:rPr>
          <w:rFonts w:hint="eastAsia" w:ascii="方正仿宋_GBK" w:hAnsi="方正仿宋_GBK" w:eastAsia="方正仿宋_GBK" w:cs="方正仿宋_GBK"/>
          <w:sz w:val="32"/>
          <w:szCs w:val="32"/>
          <w:u w:val="single"/>
        </w:rPr>
        <w:t xml:space="preserve">          年     月     日              </w:t>
      </w:r>
    </w:p>
    <w:p w14:paraId="3638EDE4">
      <w:pPr>
        <w:pStyle w:val="19"/>
        <w:spacing w:line="500" w:lineRule="exact"/>
        <w:rPr>
          <w:rFonts w:ascii="Times New Roman"/>
          <w:szCs w:val="21"/>
        </w:rPr>
      </w:pPr>
      <w:r>
        <w:rPr>
          <w:rFonts w:ascii="Times New Roman"/>
        </w:rPr>
        <w:br w:type="page"/>
      </w:r>
      <w:r>
        <w:rPr>
          <w:rFonts w:hint="eastAsia" w:ascii="方正黑体_GBK" w:hAnsi="方正黑体_GBK" w:eastAsia="方正黑体_GBK" w:cs="方正黑体_GBK"/>
          <w:kern w:val="0"/>
          <w:sz w:val="32"/>
          <w:szCs w:val="32"/>
        </w:rPr>
        <w:t>格式10：</w:t>
      </w:r>
    </w:p>
    <w:p w14:paraId="215EBB09">
      <w:pPr>
        <w:pStyle w:val="3"/>
        <w:ind w:left="425"/>
        <w:jc w:val="center"/>
        <w:rPr>
          <w:rFonts w:ascii="方正小标宋简体" w:hAnsi="方正小标宋简体" w:eastAsia="方正小标宋简体" w:cs="方正小标宋简体"/>
          <w:b w:val="0"/>
          <w:sz w:val="36"/>
          <w:szCs w:val="36"/>
        </w:rPr>
      </w:pPr>
      <w:bookmarkStart w:id="79" w:name="_Toc5678"/>
      <w:bookmarkStart w:id="80" w:name="_Toc15821"/>
      <w:bookmarkStart w:id="81" w:name="_Toc3269"/>
      <w:bookmarkStart w:id="82" w:name="_Toc29312"/>
      <w:bookmarkStart w:id="83" w:name="_Toc27590"/>
      <w:bookmarkStart w:id="84" w:name="_Toc31044"/>
      <w:bookmarkStart w:id="85" w:name="_Toc31740"/>
      <w:bookmarkStart w:id="86" w:name="_Toc20625"/>
      <w:r>
        <w:rPr>
          <w:rFonts w:hint="eastAsia" w:ascii="方正小标宋简体" w:hAnsi="方正小标宋简体" w:eastAsia="方正小标宋简体" w:cs="方正小标宋简体"/>
          <w:b w:val="0"/>
          <w:sz w:val="36"/>
          <w:szCs w:val="36"/>
        </w:rPr>
        <w:t>其他资料</w:t>
      </w:r>
      <w:bookmarkEnd w:id="79"/>
      <w:bookmarkEnd w:id="80"/>
      <w:bookmarkEnd w:id="81"/>
      <w:bookmarkEnd w:id="82"/>
      <w:bookmarkEnd w:id="83"/>
      <w:bookmarkEnd w:id="84"/>
      <w:bookmarkEnd w:id="85"/>
      <w:bookmarkEnd w:id="86"/>
    </w:p>
    <w:p w14:paraId="191699DD">
      <w:pPr>
        <w:pStyle w:val="19"/>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1.详见“投标人须知前附表”，有格式的请按给定格式填写，无格式要求的请自拟格式。</w:t>
      </w:r>
    </w:p>
    <w:p w14:paraId="3EE71D2E">
      <w:pPr>
        <w:pStyle w:val="19"/>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2.本招标文件所提供的投标文件格式中如有重复或冲突时，以有利于招标人的内容为准，不解之处请及时与招标单位联系确定。</w:t>
      </w:r>
    </w:p>
    <w:p w14:paraId="50FA2938">
      <w:pPr>
        <w:adjustRightInd w:val="0"/>
        <w:spacing w:line="360" w:lineRule="auto"/>
      </w:pPr>
    </w:p>
    <w:p w14:paraId="1239A848">
      <w:pPr>
        <w:pStyle w:val="2"/>
        <w:jc w:val="center"/>
        <w:rPr>
          <w:rFonts w:eastAsia="宋体"/>
          <w:b w:val="0"/>
          <w:sz w:val="36"/>
        </w:rPr>
        <w:sectPr>
          <w:headerReference r:id="rId13" w:type="first"/>
          <w:headerReference r:id="rId12" w:type="default"/>
          <w:pgSz w:w="11906" w:h="16838"/>
          <w:pgMar w:top="1418" w:right="1418" w:bottom="1134" w:left="1418" w:header="720" w:footer="567" w:gutter="0"/>
          <w:cols w:space="720" w:num="1"/>
          <w:titlePg/>
          <w:docGrid w:linePitch="331" w:charSpace="0"/>
        </w:sectPr>
      </w:pPr>
    </w:p>
    <w:p w14:paraId="1F2F1C3E">
      <w:pPr>
        <w:pStyle w:val="2"/>
        <w:jc w:val="center"/>
        <w:rPr>
          <w:rFonts w:ascii="方正小标宋简体" w:hAnsi="宋体" w:eastAsia="方正小标宋简体" w:cs="宋体"/>
          <w:b w:val="0"/>
          <w:sz w:val="44"/>
        </w:rPr>
      </w:pPr>
      <w:bookmarkStart w:id="87" w:name="_Toc5769"/>
      <w:bookmarkStart w:id="88" w:name="_Toc20158"/>
      <w:bookmarkStart w:id="89" w:name="_Toc26494"/>
      <w:bookmarkStart w:id="90" w:name="_Toc22755"/>
      <w:bookmarkStart w:id="91" w:name="_Toc16604"/>
      <w:bookmarkStart w:id="92" w:name="_Toc5087"/>
      <w:bookmarkStart w:id="93" w:name="_Toc23364"/>
      <w:bookmarkStart w:id="94" w:name="_Toc29700"/>
      <w:r>
        <w:rPr>
          <w:rFonts w:ascii="方正小标宋简体" w:hAnsi="宋体" w:eastAsia="方正小标宋简体" w:cs="宋体"/>
          <w:b w:val="0"/>
          <w:sz w:val="44"/>
        </w:rPr>
        <w:t>第</w:t>
      </w:r>
      <w:r>
        <w:rPr>
          <w:rFonts w:hint="eastAsia" w:ascii="方正小标宋简体" w:hAnsi="宋体" w:eastAsia="方正小标宋简体" w:cs="宋体"/>
          <w:b w:val="0"/>
          <w:sz w:val="44"/>
        </w:rPr>
        <w:t>三</w:t>
      </w:r>
      <w:r>
        <w:rPr>
          <w:rFonts w:ascii="方正小标宋简体" w:hAnsi="宋体" w:eastAsia="方正小标宋简体" w:cs="宋体"/>
          <w:b w:val="0"/>
          <w:sz w:val="44"/>
        </w:rPr>
        <w:t>章  技术要求</w:t>
      </w:r>
      <w:bookmarkEnd w:id="87"/>
      <w:bookmarkEnd w:id="88"/>
      <w:bookmarkEnd w:id="89"/>
      <w:bookmarkEnd w:id="90"/>
      <w:bookmarkEnd w:id="91"/>
      <w:bookmarkEnd w:id="92"/>
      <w:bookmarkEnd w:id="93"/>
      <w:bookmarkEnd w:id="94"/>
    </w:p>
    <w:p w14:paraId="7728177A"/>
    <w:p w14:paraId="53CE834B">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1.严格按照施工图、国家规范要求进行施工、安装、验收。</w:t>
      </w:r>
    </w:p>
    <w:p w14:paraId="526D2007">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2.施工前进行图纸会审。</w:t>
      </w:r>
    </w:p>
    <w:p w14:paraId="34AF6CCC">
      <w:pPr>
        <w:spacing w:line="360" w:lineRule="auto"/>
        <w:jc w:val="center"/>
        <w:outlineLvl w:val="0"/>
        <w:rPr>
          <w:sz w:val="36"/>
        </w:rPr>
      </w:pPr>
      <w:r>
        <w:rPr>
          <w:szCs w:val="21"/>
        </w:rPr>
        <w:br w:type="page"/>
      </w:r>
      <w:bookmarkStart w:id="95" w:name="_Toc17758"/>
      <w:r>
        <w:rPr>
          <w:rFonts w:ascii="方正小标宋简体" w:hAnsi="宋体" w:eastAsia="方正小标宋简体" w:cs="宋体"/>
          <w:kern w:val="44"/>
          <w:sz w:val="44"/>
          <w:szCs w:val="20"/>
        </w:rPr>
        <w:t>第</w:t>
      </w:r>
      <w:r>
        <w:rPr>
          <w:rFonts w:hint="eastAsia" w:ascii="方正小标宋简体" w:hAnsi="宋体" w:eastAsia="方正小标宋简体" w:cs="宋体"/>
          <w:kern w:val="44"/>
          <w:sz w:val="44"/>
          <w:szCs w:val="20"/>
        </w:rPr>
        <w:t>四</w:t>
      </w:r>
      <w:r>
        <w:rPr>
          <w:rFonts w:ascii="方正小标宋简体" w:hAnsi="宋体" w:eastAsia="方正小标宋简体" w:cs="宋体"/>
          <w:kern w:val="44"/>
          <w:sz w:val="44"/>
          <w:szCs w:val="20"/>
        </w:rPr>
        <w:t>章  评标办法</w:t>
      </w:r>
      <w:bookmarkEnd w:id="95"/>
    </w:p>
    <w:p w14:paraId="783C9CDE">
      <w:pPr>
        <w:pStyle w:val="3"/>
        <w:jc w:val="center"/>
        <w:rPr>
          <w:rFonts w:eastAsia="宋体"/>
          <w:b w:val="0"/>
        </w:rPr>
      </w:pPr>
      <w:bookmarkStart w:id="96" w:name="_Toc462160867"/>
      <w:bookmarkStart w:id="97" w:name="_Toc17931"/>
      <w:bookmarkStart w:id="98" w:name="_Toc1196"/>
      <w:bookmarkStart w:id="99" w:name="_Toc24905"/>
      <w:bookmarkStart w:id="100" w:name="_Toc18314"/>
      <w:bookmarkStart w:id="101" w:name="_Toc18006"/>
      <w:bookmarkStart w:id="102" w:name="_Toc16966"/>
      <w:bookmarkStart w:id="103" w:name="_Toc3869"/>
      <w:bookmarkStart w:id="104" w:name="_Toc462322810"/>
      <w:bookmarkStart w:id="105" w:name="_Toc23506"/>
      <w:bookmarkStart w:id="106" w:name="_Toc3440"/>
      <w:bookmarkStart w:id="107" w:name="_Toc451969696"/>
      <w:bookmarkStart w:id="108" w:name="_Toc30686"/>
      <w:bookmarkStart w:id="109" w:name="_Toc478030215"/>
      <w:bookmarkStart w:id="110" w:name="_Toc11001"/>
      <w:bookmarkStart w:id="111" w:name="_Toc10420"/>
      <w:r>
        <w:rPr>
          <w:rFonts w:eastAsia="宋体"/>
          <w:b w:val="0"/>
        </w:rPr>
        <w:t>第一节  评标办法前附表</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tbl>
      <w:tblPr>
        <w:tblStyle w:val="52"/>
        <w:tblW w:w="0" w:type="auto"/>
        <w:jc w:val="center"/>
        <w:tblBorders>
          <w:top w:val="double" w:color="0000FF" w:sz="4" w:space="0"/>
          <w:left w:val="double" w:color="0000FF" w:sz="4" w:space="0"/>
          <w:bottom w:val="double" w:color="0000FF" w:sz="4" w:space="0"/>
          <w:right w:val="double" w:color="0000FF" w:sz="4" w:space="0"/>
          <w:insideH w:val="single" w:color="0000FF" w:sz="6" w:space="0"/>
          <w:insideV w:val="single" w:color="0000FF" w:sz="6" w:space="0"/>
        </w:tblBorders>
        <w:tblLayout w:type="fixed"/>
        <w:tblCellMar>
          <w:top w:w="0" w:type="dxa"/>
          <w:left w:w="108" w:type="dxa"/>
          <w:bottom w:w="0" w:type="dxa"/>
          <w:right w:w="108" w:type="dxa"/>
        </w:tblCellMar>
      </w:tblPr>
      <w:tblGrid>
        <w:gridCol w:w="747"/>
        <w:gridCol w:w="887"/>
        <w:gridCol w:w="1986"/>
        <w:gridCol w:w="5512"/>
      </w:tblGrid>
      <w:tr w14:paraId="7E3F3E63">
        <w:tblPrEx>
          <w:tblBorders>
            <w:top w:val="double" w:color="0000FF" w:sz="4" w:space="0"/>
            <w:left w:val="double" w:color="0000FF" w:sz="4" w:space="0"/>
            <w:bottom w:val="double" w:color="0000FF" w:sz="4" w:space="0"/>
            <w:right w:val="double" w:color="0000FF" w:sz="4" w:space="0"/>
            <w:insideH w:val="single" w:color="0000FF" w:sz="6" w:space="0"/>
            <w:insideV w:val="single" w:color="0000FF" w:sz="6" w:space="0"/>
          </w:tblBorders>
          <w:tblCellMar>
            <w:top w:w="0" w:type="dxa"/>
            <w:left w:w="108" w:type="dxa"/>
            <w:bottom w:w="0" w:type="dxa"/>
            <w:right w:w="108" w:type="dxa"/>
          </w:tblCellMar>
        </w:tblPrEx>
        <w:trPr>
          <w:trHeight w:val="567" w:hRule="atLeast"/>
          <w:tblHeader/>
          <w:jc w:val="center"/>
        </w:trPr>
        <w:tc>
          <w:tcPr>
            <w:tcW w:w="1634" w:type="dxa"/>
            <w:gridSpan w:val="2"/>
            <w:vAlign w:val="center"/>
          </w:tcPr>
          <w:p w14:paraId="04F46337">
            <w:pPr>
              <w:jc w:val="center"/>
              <w:rPr>
                <w:szCs w:val="21"/>
              </w:rPr>
            </w:pPr>
            <w:r>
              <w:rPr>
                <w:szCs w:val="21"/>
              </w:rPr>
              <w:t>条款号</w:t>
            </w:r>
          </w:p>
        </w:tc>
        <w:tc>
          <w:tcPr>
            <w:tcW w:w="1986" w:type="dxa"/>
            <w:vAlign w:val="center"/>
          </w:tcPr>
          <w:p w14:paraId="60477408">
            <w:pPr>
              <w:jc w:val="center"/>
              <w:rPr>
                <w:szCs w:val="21"/>
              </w:rPr>
            </w:pPr>
            <w:r>
              <w:rPr>
                <w:szCs w:val="21"/>
              </w:rPr>
              <w:t>评 审 因 素</w:t>
            </w:r>
          </w:p>
        </w:tc>
        <w:tc>
          <w:tcPr>
            <w:tcW w:w="5512" w:type="dxa"/>
            <w:vAlign w:val="center"/>
          </w:tcPr>
          <w:p w14:paraId="3C966330">
            <w:pPr>
              <w:jc w:val="center"/>
              <w:rPr>
                <w:szCs w:val="21"/>
              </w:rPr>
            </w:pPr>
            <w:r>
              <w:rPr>
                <w:szCs w:val="21"/>
              </w:rPr>
              <w:t>评 审 标 准</w:t>
            </w:r>
          </w:p>
        </w:tc>
      </w:tr>
      <w:tr w14:paraId="7E5D5762">
        <w:tblPrEx>
          <w:tblBorders>
            <w:top w:val="double" w:color="0000FF" w:sz="4" w:space="0"/>
            <w:left w:val="double" w:color="0000FF" w:sz="4" w:space="0"/>
            <w:bottom w:val="double" w:color="0000FF" w:sz="4" w:space="0"/>
            <w:right w:val="double" w:color="0000FF" w:sz="4" w:space="0"/>
            <w:insideH w:val="single" w:color="0000FF" w:sz="6" w:space="0"/>
            <w:insideV w:val="single" w:color="0000FF" w:sz="6" w:space="0"/>
          </w:tblBorders>
          <w:tblCellMar>
            <w:top w:w="0" w:type="dxa"/>
            <w:left w:w="108" w:type="dxa"/>
            <w:bottom w:w="0" w:type="dxa"/>
            <w:right w:w="108" w:type="dxa"/>
          </w:tblCellMar>
        </w:tblPrEx>
        <w:trPr>
          <w:trHeight w:val="567" w:hRule="atLeast"/>
          <w:jc w:val="center"/>
        </w:trPr>
        <w:tc>
          <w:tcPr>
            <w:tcW w:w="747" w:type="dxa"/>
            <w:vAlign w:val="center"/>
          </w:tcPr>
          <w:p w14:paraId="0245B6B6">
            <w:pPr>
              <w:jc w:val="center"/>
              <w:rPr>
                <w:szCs w:val="21"/>
              </w:rPr>
            </w:pPr>
            <w:r>
              <w:rPr>
                <w:rFonts w:hint="eastAsia"/>
                <w:szCs w:val="21"/>
              </w:rPr>
              <w:t>1</w:t>
            </w:r>
          </w:p>
        </w:tc>
        <w:tc>
          <w:tcPr>
            <w:tcW w:w="887" w:type="dxa"/>
            <w:vAlign w:val="center"/>
          </w:tcPr>
          <w:p w14:paraId="55BC6B1B">
            <w:pPr>
              <w:jc w:val="center"/>
              <w:rPr>
                <w:szCs w:val="21"/>
              </w:rPr>
            </w:pPr>
            <w:r>
              <w:rPr>
                <w:szCs w:val="21"/>
              </w:rPr>
              <w:t>资格评审标准</w:t>
            </w:r>
          </w:p>
        </w:tc>
        <w:tc>
          <w:tcPr>
            <w:tcW w:w="1986" w:type="dxa"/>
            <w:vAlign w:val="center"/>
          </w:tcPr>
          <w:p w14:paraId="534F0C07">
            <w:pPr>
              <w:jc w:val="center"/>
              <w:rPr>
                <w:szCs w:val="21"/>
              </w:rPr>
            </w:pPr>
            <w:r>
              <w:rPr>
                <w:szCs w:val="21"/>
              </w:rPr>
              <w:t>资格条件</w:t>
            </w:r>
          </w:p>
        </w:tc>
        <w:tc>
          <w:tcPr>
            <w:tcW w:w="5512" w:type="dxa"/>
            <w:vAlign w:val="center"/>
          </w:tcPr>
          <w:p w14:paraId="5C8EAA85">
            <w:pPr>
              <w:jc w:val="center"/>
              <w:rPr>
                <w:szCs w:val="21"/>
              </w:rPr>
            </w:pPr>
            <w:r>
              <w:rPr>
                <w:szCs w:val="21"/>
              </w:rPr>
              <w:t>符合第</w:t>
            </w:r>
            <w:r>
              <w:rPr>
                <w:rFonts w:hint="eastAsia"/>
                <w:szCs w:val="21"/>
              </w:rPr>
              <w:t>一</w:t>
            </w:r>
            <w:r>
              <w:rPr>
                <w:szCs w:val="21"/>
              </w:rPr>
              <w:t>章“投标人须知前附表”投标人资格要求的规定</w:t>
            </w:r>
          </w:p>
        </w:tc>
      </w:tr>
      <w:tr w14:paraId="7B66BB6F">
        <w:tblPrEx>
          <w:tblBorders>
            <w:top w:val="double" w:color="0000FF" w:sz="4" w:space="0"/>
            <w:left w:val="double" w:color="0000FF" w:sz="4" w:space="0"/>
            <w:bottom w:val="double" w:color="0000FF" w:sz="4" w:space="0"/>
            <w:right w:val="double" w:color="0000FF" w:sz="4" w:space="0"/>
            <w:insideH w:val="single" w:color="0000FF" w:sz="6" w:space="0"/>
            <w:insideV w:val="single" w:color="0000FF" w:sz="6" w:space="0"/>
          </w:tblBorders>
          <w:tblCellMar>
            <w:top w:w="0" w:type="dxa"/>
            <w:left w:w="108" w:type="dxa"/>
            <w:bottom w:w="0" w:type="dxa"/>
            <w:right w:w="108" w:type="dxa"/>
          </w:tblCellMar>
        </w:tblPrEx>
        <w:trPr>
          <w:trHeight w:val="567" w:hRule="atLeast"/>
          <w:jc w:val="center"/>
        </w:trPr>
        <w:tc>
          <w:tcPr>
            <w:tcW w:w="747" w:type="dxa"/>
            <w:vMerge w:val="restart"/>
            <w:vAlign w:val="center"/>
          </w:tcPr>
          <w:p w14:paraId="1156C868">
            <w:pPr>
              <w:jc w:val="center"/>
              <w:rPr>
                <w:szCs w:val="21"/>
              </w:rPr>
            </w:pPr>
            <w:r>
              <w:rPr>
                <w:rFonts w:hint="eastAsia"/>
                <w:szCs w:val="21"/>
              </w:rPr>
              <w:t>2</w:t>
            </w:r>
          </w:p>
        </w:tc>
        <w:tc>
          <w:tcPr>
            <w:tcW w:w="887" w:type="dxa"/>
            <w:vMerge w:val="restart"/>
            <w:vAlign w:val="center"/>
          </w:tcPr>
          <w:p w14:paraId="30E9E80B">
            <w:pPr>
              <w:jc w:val="center"/>
              <w:rPr>
                <w:szCs w:val="21"/>
              </w:rPr>
            </w:pPr>
            <w:r>
              <w:rPr>
                <w:rFonts w:hint="eastAsia"/>
                <w:szCs w:val="21"/>
              </w:rPr>
              <w:t>初步</w:t>
            </w:r>
            <w:r>
              <w:rPr>
                <w:szCs w:val="21"/>
              </w:rPr>
              <w:t>评审标准</w:t>
            </w:r>
          </w:p>
        </w:tc>
        <w:tc>
          <w:tcPr>
            <w:tcW w:w="1986" w:type="dxa"/>
            <w:vAlign w:val="center"/>
          </w:tcPr>
          <w:p w14:paraId="0F542C3C">
            <w:pPr>
              <w:jc w:val="center"/>
              <w:rPr>
                <w:szCs w:val="21"/>
              </w:rPr>
            </w:pPr>
            <w:r>
              <w:rPr>
                <w:szCs w:val="21"/>
              </w:rPr>
              <w:t>投标人经营范围</w:t>
            </w:r>
          </w:p>
        </w:tc>
        <w:tc>
          <w:tcPr>
            <w:tcW w:w="5512" w:type="dxa"/>
            <w:vAlign w:val="center"/>
          </w:tcPr>
          <w:p w14:paraId="7558951A">
            <w:pPr>
              <w:jc w:val="center"/>
              <w:rPr>
                <w:szCs w:val="21"/>
              </w:rPr>
            </w:pPr>
            <w:r>
              <w:rPr>
                <w:szCs w:val="21"/>
              </w:rPr>
              <w:t>与营业执照一致</w:t>
            </w:r>
          </w:p>
        </w:tc>
      </w:tr>
      <w:tr w14:paraId="696E0E21">
        <w:tblPrEx>
          <w:tblBorders>
            <w:top w:val="double" w:color="0000FF" w:sz="4" w:space="0"/>
            <w:left w:val="double" w:color="0000FF" w:sz="4" w:space="0"/>
            <w:bottom w:val="double" w:color="0000FF" w:sz="4" w:space="0"/>
            <w:right w:val="double" w:color="0000FF" w:sz="4" w:space="0"/>
            <w:insideH w:val="single" w:color="0000FF" w:sz="6" w:space="0"/>
            <w:insideV w:val="single" w:color="0000FF" w:sz="6" w:space="0"/>
          </w:tblBorders>
          <w:tblCellMar>
            <w:top w:w="0" w:type="dxa"/>
            <w:left w:w="108" w:type="dxa"/>
            <w:bottom w:w="0" w:type="dxa"/>
            <w:right w:w="108" w:type="dxa"/>
          </w:tblCellMar>
        </w:tblPrEx>
        <w:trPr>
          <w:trHeight w:val="567" w:hRule="atLeast"/>
          <w:jc w:val="center"/>
        </w:trPr>
        <w:tc>
          <w:tcPr>
            <w:tcW w:w="747" w:type="dxa"/>
            <w:vMerge w:val="continue"/>
            <w:vAlign w:val="center"/>
          </w:tcPr>
          <w:p w14:paraId="6E2E73FD">
            <w:pPr>
              <w:jc w:val="center"/>
              <w:rPr>
                <w:szCs w:val="21"/>
              </w:rPr>
            </w:pPr>
          </w:p>
        </w:tc>
        <w:tc>
          <w:tcPr>
            <w:tcW w:w="887" w:type="dxa"/>
            <w:vMerge w:val="continue"/>
            <w:vAlign w:val="center"/>
          </w:tcPr>
          <w:p w14:paraId="440AEB15">
            <w:pPr>
              <w:jc w:val="center"/>
              <w:rPr>
                <w:szCs w:val="21"/>
              </w:rPr>
            </w:pPr>
          </w:p>
        </w:tc>
        <w:tc>
          <w:tcPr>
            <w:tcW w:w="1986" w:type="dxa"/>
            <w:vAlign w:val="center"/>
          </w:tcPr>
          <w:p w14:paraId="2C9DDE8D">
            <w:pPr>
              <w:jc w:val="center"/>
              <w:rPr>
                <w:szCs w:val="21"/>
              </w:rPr>
            </w:pPr>
            <w:r>
              <w:rPr>
                <w:szCs w:val="21"/>
              </w:rPr>
              <w:t>签字盖章</w:t>
            </w:r>
          </w:p>
        </w:tc>
        <w:tc>
          <w:tcPr>
            <w:tcW w:w="5512" w:type="dxa"/>
            <w:vAlign w:val="center"/>
          </w:tcPr>
          <w:p w14:paraId="7A13A417">
            <w:pPr>
              <w:jc w:val="center"/>
              <w:rPr>
                <w:szCs w:val="21"/>
              </w:rPr>
            </w:pPr>
            <w:r>
              <w:rPr>
                <w:szCs w:val="21"/>
              </w:rPr>
              <w:t>招标文件中要求签字或盖章处，有法定代表人或其委托代理人签字和加盖单位公章</w:t>
            </w:r>
          </w:p>
        </w:tc>
      </w:tr>
      <w:tr w14:paraId="1E512A27">
        <w:tblPrEx>
          <w:tblBorders>
            <w:top w:val="double" w:color="0000FF" w:sz="4" w:space="0"/>
            <w:left w:val="double" w:color="0000FF" w:sz="4" w:space="0"/>
            <w:bottom w:val="double" w:color="0000FF" w:sz="4" w:space="0"/>
            <w:right w:val="double" w:color="0000FF" w:sz="4" w:space="0"/>
            <w:insideH w:val="single" w:color="0000FF" w:sz="6" w:space="0"/>
            <w:insideV w:val="single" w:color="0000FF" w:sz="6" w:space="0"/>
          </w:tblBorders>
          <w:tblCellMar>
            <w:top w:w="0" w:type="dxa"/>
            <w:left w:w="108" w:type="dxa"/>
            <w:bottom w:w="0" w:type="dxa"/>
            <w:right w:w="108" w:type="dxa"/>
          </w:tblCellMar>
        </w:tblPrEx>
        <w:trPr>
          <w:trHeight w:val="567" w:hRule="atLeast"/>
          <w:jc w:val="center"/>
        </w:trPr>
        <w:tc>
          <w:tcPr>
            <w:tcW w:w="747" w:type="dxa"/>
            <w:vMerge w:val="continue"/>
            <w:vAlign w:val="center"/>
          </w:tcPr>
          <w:p w14:paraId="30AB94CC">
            <w:pPr>
              <w:jc w:val="center"/>
              <w:rPr>
                <w:szCs w:val="21"/>
              </w:rPr>
            </w:pPr>
          </w:p>
        </w:tc>
        <w:tc>
          <w:tcPr>
            <w:tcW w:w="887" w:type="dxa"/>
            <w:vMerge w:val="continue"/>
            <w:vAlign w:val="center"/>
          </w:tcPr>
          <w:p w14:paraId="072F23C7">
            <w:pPr>
              <w:jc w:val="center"/>
              <w:rPr>
                <w:szCs w:val="21"/>
              </w:rPr>
            </w:pPr>
          </w:p>
        </w:tc>
        <w:tc>
          <w:tcPr>
            <w:tcW w:w="1986" w:type="dxa"/>
            <w:vAlign w:val="center"/>
          </w:tcPr>
          <w:p w14:paraId="571AB215">
            <w:pPr>
              <w:jc w:val="center"/>
              <w:rPr>
                <w:szCs w:val="21"/>
              </w:rPr>
            </w:pPr>
            <w:r>
              <w:rPr>
                <w:szCs w:val="21"/>
              </w:rPr>
              <w:t>投标文件格式</w:t>
            </w:r>
          </w:p>
        </w:tc>
        <w:tc>
          <w:tcPr>
            <w:tcW w:w="5512" w:type="dxa"/>
            <w:vAlign w:val="center"/>
          </w:tcPr>
          <w:p w14:paraId="56CC2797">
            <w:pPr>
              <w:jc w:val="center"/>
              <w:rPr>
                <w:szCs w:val="21"/>
              </w:rPr>
            </w:pPr>
            <w:r>
              <w:rPr>
                <w:szCs w:val="21"/>
              </w:rPr>
              <w:t>符合第</w:t>
            </w:r>
            <w:r>
              <w:rPr>
                <w:rFonts w:hint="eastAsia"/>
                <w:szCs w:val="21"/>
              </w:rPr>
              <w:t>二</w:t>
            </w:r>
            <w:r>
              <w:rPr>
                <w:szCs w:val="21"/>
              </w:rPr>
              <w:t>章“投标文件格式”的要求</w:t>
            </w:r>
          </w:p>
        </w:tc>
      </w:tr>
      <w:tr w14:paraId="165B0358">
        <w:tblPrEx>
          <w:tblBorders>
            <w:top w:val="double" w:color="0000FF" w:sz="4" w:space="0"/>
            <w:left w:val="double" w:color="0000FF" w:sz="4" w:space="0"/>
            <w:bottom w:val="double" w:color="0000FF" w:sz="4" w:space="0"/>
            <w:right w:val="double" w:color="0000FF" w:sz="4" w:space="0"/>
            <w:insideH w:val="single" w:color="0000FF" w:sz="6" w:space="0"/>
            <w:insideV w:val="single" w:color="0000FF" w:sz="6" w:space="0"/>
          </w:tblBorders>
          <w:tblCellMar>
            <w:top w:w="0" w:type="dxa"/>
            <w:left w:w="108" w:type="dxa"/>
            <w:bottom w:w="0" w:type="dxa"/>
            <w:right w:w="108" w:type="dxa"/>
          </w:tblCellMar>
        </w:tblPrEx>
        <w:trPr>
          <w:trHeight w:val="567" w:hRule="atLeast"/>
          <w:jc w:val="center"/>
        </w:trPr>
        <w:tc>
          <w:tcPr>
            <w:tcW w:w="747" w:type="dxa"/>
            <w:vMerge w:val="continue"/>
            <w:vAlign w:val="center"/>
          </w:tcPr>
          <w:p w14:paraId="3A79ED64">
            <w:pPr>
              <w:jc w:val="center"/>
              <w:rPr>
                <w:szCs w:val="21"/>
              </w:rPr>
            </w:pPr>
          </w:p>
        </w:tc>
        <w:tc>
          <w:tcPr>
            <w:tcW w:w="887" w:type="dxa"/>
            <w:vMerge w:val="continue"/>
            <w:vAlign w:val="center"/>
          </w:tcPr>
          <w:p w14:paraId="2C777D0D">
            <w:pPr>
              <w:jc w:val="center"/>
              <w:rPr>
                <w:szCs w:val="21"/>
              </w:rPr>
            </w:pPr>
          </w:p>
        </w:tc>
        <w:tc>
          <w:tcPr>
            <w:tcW w:w="1986" w:type="dxa"/>
            <w:vAlign w:val="center"/>
          </w:tcPr>
          <w:p w14:paraId="005F7976">
            <w:pPr>
              <w:jc w:val="center"/>
              <w:rPr>
                <w:szCs w:val="21"/>
              </w:rPr>
            </w:pPr>
            <w:r>
              <w:rPr>
                <w:szCs w:val="21"/>
              </w:rPr>
              <w:t>投标报价</w:t>
            </w:r>
          </w:p>
        </w:tc>
        <w:tc>
          <w:tcPr>
            <w:tcW w:w="5512" w:type="dxa"/>
            <w:vAlign w:val="center"/>
          </w:tcPr>
          <w:p w14:paraId="474BD9EE">
            <w:pPr>
              <w:jc w:val="center"/>
              <w:rPr>
                <w:szCs w:val="21"/>
              </w:rPr>
            </w:pPr>
            <w:r>
              <w:rPr>
                <w:szCs w:val="21"/>
              </w:rPr>
              <w:t>只有一个有效报价</w:t>
            </w:r>
          </w:p>
        </w:tc>
      </w:tr>
      <w:tr w14:paraId="66F0F8B9">
        <w:tblPrEx>
          <w:tblBorders>
            <w:top w:val="double" w:color="0000FF" w:sz="4" w:space="0"/>
            <w:left w:val="double" w:color="0000FF" w:sz="4" w:space="0"/>
            <w:bottom w:val="double" w:color="0000FF" w:sz="4" w:space="0"/>
            <w:right w:val="double" w:color="0000FF" w:sz="4" w:space="0"/>
            <w:insideH w:val="single" w:color="0000FF" w:sz="6" w:space="0"/>
            <w:insideV w:val="single" w:color="0000FF" w:sz="6" w:space="0"/>
          </w:tblBorders>
          <w:tblCellMar>
            <w:top w:w="0" w:type="dxa"/>
            <w:left w:w="108" w:type="dxa"/>
            <w:bottom w:w="0" w:type="dxa"/>
            <w:right w:w="108" w:type="dxa"/>
          </w:tblCellMar>
        </w:tblPrEx>
        <w:trPr>
          <w:trHeight w:val="567" w:hRule="atLeast"/>
          <w:jc w:val="center"/>
        </w:trPr>
        <w:tc>
          <w:tcPr>
            <w:tcW w:w="747" w:type="dxa"/>
            <w:vMerge w:val="continue"/>
            <w:vAlign w:val="center"/>
          </w:tcPr>
          <w:p w14:paraId="252D3577">
            <w:pPr>
              <w:jc w:val="center"/>
              <w:rPr>
                <w:szCs w:val="21"/>
              </w:rPr>
            </w:pPr>
          </w:p>
        </w:tc>
        <w:tc>
          <w:tcPr>
            <w:tcW w:w="887" w:type="dxa"/>
            <w:vMerge w:val="continue"/>
            <w:vAlign w:val="center"/>
          </w:tcPr>
          <w:p w14:paraId="39A254AF">
            <w:pPr>
              <w:jc w:val="center"/>
              <w:rPr>
                <w:szCs w:val="21"/>
              </w:rPr>
            </w:pPr>
          </w:p>
        </w:tc>
        <w:tc>
          <w:tcPr>
            <w:tcW w:w="1986" w:type="dxa"/>
            <w:vAlign w:val="center"/>
          </w:tcPr>
          <w:p w14:paraId="5A3980AD">
            <w:pPr>
              <w:jc w:val="center"/>
              <w:rPr>
                <w:szCs w:val="21"/>
              </w:rPr>
            </w:pPr>
            <w:r>
              <w:rPr>
                <w:szCs w:val="21"/>
              </w:rPr>
              <w:t>投标有效期</w:t>
            </w:r>
          </w:p>
        </w:tc>
        <w:tc>
          <w:tcPr>
            <w:tcW w:w="5512" w:type="dxa"/>
            <w:vAlign w:val="center"/>
          </w:tcPr>
          <w:p w14:paraId="17318164">
            <w:pPr>
              <w:jc w:val="center"/>
              <w:rPr>
                <w:szCs w:val="21"/>
              </w:rPr>
            </w:pPr>
            <w:r>
              <w:rPr>
                <w:szCs w:val="21"/>
              </w:rPr>
              <w:t>符合第</w:t>
            </w:r>
            <w:r>
              <w:rPr>
                <w:rFonts w:hint="eastAsia"/>
                <w:szCs w:val="21"/>
              </w:rPr>
              <w:t>一</w:t>
            </w:r>
            <w:r>
              <w:rPr>
                <w:szCs w:val="21"/>
              </w:rPr>
              <w:t>章“投标人须知”规定</w:t>
            </w:r>
          </w:p>
        </w:tc>
      </w:tr>
      <w:tr w14:paraId="798109A4">
        <w:tblPrEx>
          <w:tblBorders>
            <w:top w:val="double" w:color="0000FF" w:sz="4" w:space="0"/>
            <w:left w:val="double" w:color="0000FF" w:sz="4" w:space="0"/>
            <w:bottom w:val="double" w:color="0000FF" w:sz="4" w:space="0"/>
            <w:right w:val="double" w:color="0000FF" w:sz="4" w:space="0"/>
            <w:insideH w:val="single" w:color="0000FF" w:sz="6" w:space="0"/>
            <w:insideV w:val="single" w:color="0000FF" w:sz="6" w:space="0"/>
          </w:tblBorders>
          <w:tblCellMar>
            <w:top w:w="0" w:type="dxa"/>
            <w:left w:w="108" w:type="dxa"/>
            <w:bottom w:w="0" w:type="dxa"/>
            <w:right w:w="108" w:type="dxa"/>
          </w:tblCellMar>
        </w:tblPrEx>
        <w:trPr>
          <w:trHeight w:val="567" w:hRule="atLeast"/>
          <w:jc w:val="center"/>
        </w:trPr>
        <w:tc>
          <w:tcPr>
            <w:tcW w:w="747" w:type="dxa"/>
            <w:vMerge w:val="continue"/>
            <w:vAlign w:val="center"/>
          </w:tcPr>
          <w:p w14:paraId="4B3229BB">
            <w:pPr>
              <w:jc w:val="center"/>
              <w:rPr>
                <w:szCs w:val="21"/>
              </w:rPr>
            </w:pPr>
          </w:p>
        </w:tc>
        <w:tc>
          <w:tcPr>
            <w:tcW w:w="887" w:type="dxa"/>
            <w:vMerge w:val="continue"/>
            <w:vAlign w:val="center"/>
          </w:tcPr>
          <w:p w14:paraId="7F0F93C9">
            <w:pPr>
              <w:jc w:val="center"/>
              <w:rPr>
                <w:szCs w:val="21"/>
              </w:rPr>
            </w:pPr>
          </w:p>
        </w:tc>
        <w:tc>
          <w:tcPr>
            <w:tcW w:w="1986" w:type="dxa"/>
            <w:vAlign w:val="center"/>
          </w:tcPr>
          <w:p w14:paraId="65D3DE70">
            <w:pPr>
              <w:jc w:val="center"/>
              <w:rPr>
                <w:szCs w:val="21"/>
              </w:rPr>
            </w:pPr>
            <w:r>
              <w:rPr>
                <w:szCs w:val="21"/>
              </w:rPr>
              <w:t>投标保证金</w:t>
            </w:r>
          </w:p>
        </w:tc>
        <w:tc>
          <w:tcPr>
            <w:tcW w:w="5512" w:type="dxa"/>
            <w:vAlign w:val="center"/>
          </w:tcPr>
          <w:p w14:paraId="27FA62CE">
            <w:pPr>
              <w:jc w:val="center"/>
              <w:rPr>
                <w:szCs w:val="21"/>
              </w:rPr>
            </w:pPr>
            <w:r>
              <w:rPr>
                <w:szCs w:val="21"/>
              </w:rPr>
              <w:t>符合第</w:t>
            </w:r>
            <w:r>
              <w:rPr>
                <w:rFonts w:hint="eastAsia"/>
                <w:szCs w:val="21"/>
              </w:rPr>
              <w:t>一</w:t>
            </w:r>
            <w:r>
              <w:rPr>
                <w:szCs w:val="21"/>
              </w:rPr>
              <w:t>章“投标人须知”规定</w:t>
            </w:r>
          </w:p>
        </w:tc>
      </w:tr>
      <w:tr w14:paraId="78400981">
        <w:tblPrEx>
          <w:tblBorders>
            <w:top w:val="double" w:color="0000FF" w:sz="4" w:space="0"/>
            <w:left w:val="double" w:color="0000FF" w:sz="4" w:space="0"/>
            <w:bottom w:val="double" w:color="0000FF" w:sz="4" w:space="0"/>
            <w:right w:val="double" w:color="0000FF" w:sz="4" w:space="0"/>
            <w:insideH w:val="single" w:color="0000FF" w:sz="6" w:space="0"/>
            <w:insideV w:val="single" w:color="0000FF" w:sz="6" w:space="0"/>
          </w:tblBorders>
          <w:tblCellMar>
            <w:top w:w="0" w:type="dxa"/>
            <w:left w:w="108" w:type="dxa"/>
            <w:bottom w:w="0" w:type="dxa"/>
            <w:right w:w="108" w:type="dxa"/>
          </w:tblCellMar>
        </w:tblPrEx>
        <w:trPr>
          <w:trHeight w:val="567" w:hRule="atLeast"/>
          <w:jc w:val="center"/>
        </w:trPr>
        <w:tc>
          <w:tcPr>
            <w:tcW w:w="747" w:type="dxa"/>
            <w:vMerge w:val="continue"/>
            <w:vAlign w:val="center"/>
          </w:tcPr>
          <w:p w14:paraId="0FD64F90">
            <w:pPr>
              <w:jc w:val="center"/>
              <w:rPr>
                <w:szCs w:val="21"/>
              </w:rPr>
            </w:pPr>
          </w:p>
        </w:tc>
        <w:tc>
          <w:tcPr>
            <w:tcW w:w="887" w:type="dxa"/>
            <w:vMerge w:val="continue"/>
            <w:vAlign w:val="center"/>
          </w:tcPr>
          <w:p w14:paraId="78CFF658">
            <w:pPr>
              <w:jc w:val="center"/>
              <w:rPr>
                <w:szCs w:val="21"/>
              </w:rPr>
            </w:pPr>
          </w:p>
        </w:tc>
        <w:tc>
          <w:tcPr>
            <w:tcW w:w="1986" w:type="dxa"/>
            <w:vAlign w:val="center"/>
          </w:tcPr>
          <w:p w14:paraId="5F05D920">
            <w:pPr>
              <w:jc w:val="center"/>
              <w:rPr>
                <w:szCs w:val="21"/>
              </w:rPr>
            </w:pPr>
            <w:r>
              <w:rPr>
                <w:szCs w:val="21"/>
              </w:rPr>
              <w:t>附加条件</w:t>
            </w:r>
          </w:p>
        </w:tc>
        <w:tc>
          <w:tcPr>
            <w:tcW w:w="5512" w:type="dxa"/>
            <w:vAlign w:val="center"/>
          </w:tcPr>
          <w:p w14:paraId="1A99C99F">
            <w:pPr>
              <w:jc w:val="center"/>
              <w:rPr>
                <w:szCs w:val="21"/>
              </w:rPr>
            </w:pPr>
            <w:r>
              <w:rPr>
                <w:szCs w:val="21"/>
              </w:rPr>
              <w:t>投标文件附有招标人不能接受的条件</w:t>
            </w:r>
          </w:p>
        </w:tc>
      </w:tr>
      <w:tr w14:paraId="23EDED3B">
        <w:tblPrEx>
          <w:tblBorders>
            <w:top w:val="double" w:color="0000FF" w:sz="4" w:space="0"/>
            <w:left w:val="double" w:color="0000FF" w:sz="4" w:space="0"/>
            <w:bottom w:val="double" w:color="0000FF" w:sz="4" w:space="0"/>
            <w:right w:val="double" w:color="0000FF" w:sz="4" w:space="0"/>
            <w:insideH w:val="single" w:color="0000FF" w:sz="6" w:space="0"/>
            <w:insideV w:val="single" w:color="0000FF" w:sz="6" w:space="0"/>
          </w:tblBorders>
          <w:tblCellMar>
            <w:top w:w="0" w:type="dxa"/>
            <w:left w:w="108" w:type="dxa"/>
            <w:bottom w:w="0" w:type="dxa"/>
            <w:right w:w="108" w:type="dxa"/>
          </w:tblCellMar>
        </w:tblPrEx>
        <w:trPr>
          <w:trHeight w:val="567" w:hRule="atLeast"/>
          <w:jc w:val="center"/>
        </w:trPr>
        <w:tc>
          <w:tcPr>
            <w:tcW w:w="747" w:type="dxa"/>
            <w:vMerge w:val="continue"/>
            <w:vAlign w:val="center"/>
          </w:tcPr>
          <w:p w14:paraId="7AD4010D">
            <w:pPr>
              <w:jc w:val="center"/>
              <w:rPr>
                <w:szCs w:val="21"/>
              </w:rPr>
            </w:pPr>
          </w:p>
        </w:tc>
        <w:tc>
          <w:tcPr>
            <w:tcW w:w="887" w:type="dxa"/>
            <w:vMerge w:val="continue"/>
            <w:vAlign w:val="center"/>
          </w:tcPr>
          <w:p w14:paraId="39AF0A54">
            <w:pPr>
              <w:jc w:val="center"/>
              <w:rPr>
                <w:szCs w:val="21"/>
              </w:rPr>
            </w:pPr>
          </w:p>
        </w:tc>
        <w:tc>
          <w:tcPr>
            <w:tcW w:w="1986" w:type="dxa"/>
            <w:vAlign w:val="center"/>
          </w:tcPr>
          <w:p w14:paraId="2753568C">
            <w:pPr>
              <w:jc w:val="center"/>
              <w:rPr>
                <w:szCs w:val="21"/>
              </w:rPr>
            </w:pPr>
            <w:r>
              <w:rPr>
                <w:szCs w:val="21"/>
              </w:rPr>
              <w:t>实质性条件</w:t>
            </w:r>
          </w:p>
        </w:tc>
        <w:tc>
          <w:tcPr>
            <w:tcW w:w="5512" w:type="dxa"/>
            <w:vAlign w:val="center"/>
          </w:tcPr>
          <w:p w14:paraId="3A7889D8">
            <w:pPr>
              <w:jc w:val="center"/>
              <w:rPr>
                <w:szCs w:val="21"/>
              </w:rPr>
            </w:pPr>
            <w:r>
              <w:rPr>
                <w:szCs w:val="21"/>
              </w:rPr>
              <w:t>无其他重大偏离</w:t>
            </w:r>
          </w:p>
        </w:tc>
      </w:tr>
      <w:tr w14:paraId="5D300F71">
        <w:tblPrEx>
          <w:tblBorders>
            <w:top w:val="double" w:color="0000FF" w:sz="4" w:space="0"/>
            <w:left w:val="double" w:color="0000FF" w:sz="4" w:space="0"/>
            <w:bottom w:val="double" w:color="0000FF" w:sz="4" w:space="0"/>
            <w:right w:val="double" w:color="0000FF" w:sz="4" w:space="0"/>
            <w:insideH w:val="single" w:color="0000FF" w:sz="6" w:space="0"/>
            <w:insideV w:val="single" w:color="0000FF" w:sz="6" w:space="0"/>
          </w:tblBorders>
          <w:tblCellMar>
            <w:top w:w="0" w:type="dxa"/>
            <w:left w:w="108" w:type="dxa"/>
            <w:bottom w:w="0" w:type="dxa"/>
            <w:right w:w="108" w:type="dxa"/>
          </w:tblCellMar>
        </w:tblPrEx>
        <w:trPr>
          <w:trHeight w:val="567" w:hRule="atLeast"/>
          <w:jc w:val="center"/>
        </w:trPr>
        <w:tc>
          <w:tcPr>
            <w:tcW w:w="1634" w:type="dxa"/>
            <w:gridSpan w:val="2"/>
            <w:vAlign w:val="center"/>
          </w:tcPr>
          <w:p w14:paraId="2460E711">
            <w:pPr>
              <w:jc w:val="center"/>
              <w:rPr>
                <w:szCs w:val="21"/>
              </w:rPr>
            </w:pPr>
            <w:r>
              <w:rPr>
                <w:szCs w:val="21"/>
              </w:rPr>
              <w:t>条款号</w:t>
            </w:r>
          </w:p>
        </w:tc>
        <w:tc>
          <w:tcPr>
            <w:tcW w:w="1986" w:type="dxa"/>
            <w:vAlign w:val="center"/>
          </w:tcPr>
          <w:p w14:paraId="1F7D792A">
            <w:pPr>
              <w:jc w:val="center"/>
              <w:rPr>
                <w:szCs w:val="21"/>
              </w:rPr>
            </w:pPr>
            <w:r>
              <w:rPr>
                <w:szCs w:val="21"/>
              </w:rPr>
              <w:t>评分因素</w:t>
            </w:r>
          </w:p>
        </w:tc>
        <w:tc>
          <w:tcPr>
            <w:tcW w:w="5512" w:type="dxa"/>
            <w:vAlign w:val="center"/>
          </w:tcPr>
          <w:p w14:paraId="725717F5">
            <w:pPr>
              <w:jc w:val="center"/>
              <w:rPr>
                <w:szCs w:val="21"/>
              </w:rPr>
            </w:pPr>
            <w:r>
              <w:rPr>
                <w:szCs w:val="21"/>
              </w:rPr>
              <w:t>评分标准</w:t>
            </w:r>
          </w:p>
        </w:tc>
      </w:tr>
      <w:tr w14:paraId="02A718B3">
        <w:tblPrEx>
          <w:tblBorders>
            <w:top w:val="double" w:color="0000FF" w:sz="4" w:space="0"/>
            <w:left w:val="double" w:color="0000FF" w:sz="4" w:space="0"/>
            <w:bottom w:val="double" w:color="0000FF" w:sz="4" w:space="0"/>
            <w:right w:val="double" w:color="0000FF" w:sz="4" w:space="0"/>
            <w:insideH w:val="single" w:color="0000FF" w:sz="6" w:space="0"/>
            <w:insideV w:val="single" w:color="0000FF" w:sz="6" w:space="0"/>
          </w:tblBorders>
          <w:tblCellMar>
            <w:top w:w="0" w:type="dxa"/>
            <w:left w:w="108" w:type="dxa"/>
            <w:bottom w:w="0" w:type="dxa"/>
            <w:right w:w="108" w:type="dxa"/>
          </w:tblCellMar>
        </w:tblPrEx>
        <w:trPr>
          <w:trHeight w:val="567" w:hRule="atLeast"/>
          <w:jc w:val="center"/>
        </w:trPr>
        <w:tc>
          <w:tcPr>
            <w:tcW w:w="1634" w:type="dxa"/>
            <w:gridSpan w:val="2"/>
            <w:vAlign w:val="center"/>
          </w:tcPr>
          <w:p w14:paraId="04BEEAF2">
            <w:pPr>
              <w:jc w:val="center"/>
              <w:rPr>
                <w:szCs w:val="21"/>
              </w:rPr>
            </w:pPr>
            <w:r>
              <w:rPr>
                <w:rFonts w:hint="eastAsia"/>
                <w:szCs w:val="21"/>
              </w:rPr>
              <w:t>3</w:t>
            </w:r>
          </w:p>
        </w:tc>
        <w:tc>
          <w:tcPr>
            <w:tcW w:w="1986" w:type="dxa"/>
            <w:vAlign w:val="center"/>
          </w:tcPr>
          <w:p w14:paraId="60710A0E">
            <w:pPr>
              <w:jc w:val="center"/>
              <w:rPr>
                <w:szCs w:val="21"/>
              </w:rPr>
            </w:pPr>
            <w:r>
              <w:rPr>
                <w:szCs w:val="21"/>
              </w:rPr>
              <w:t>评分细则</w:t>
            </w:r>
          </w:p>
        </w:tc>
        <w:tc>
          <w:tcPr>
            <w:tcW w:w="5512" w:type="dxa"/>
            <w:vAlign w:val="center"/>
          </w:tcPr>
          <w:p w14:paraId="635FFB67">
            <w:pPr>
              <w:jc w:val="center"/>
              <w:rPr>
                <w:szCs w:val="21"/>
              </w:rPr>
            </w:pPr>
            <w:r>
              <w:rPr>
                <w:szCs w:val="21"/>
              </w:rPr>
              <w:t>详见本章第二节</w:t>
            </w:r>
          </w:p>
        </w:tc>
      </w:tr>
    </w:tbl>
    <w:p w14:paraId="56294979">
      <w:pPr>
        <w:pStyle w:val="3"/>
        <w:jc w:val="center"/>
        <w:rPr>
          <w:b w:val="0"/>
        </w:rPr>
      </w:pPr>
      <w:r>
        <w:rPr>
          <w:b w:val="0"/>
        </w:rPr>
        <w:br w:type="page"/>
      </w:r>
      <w:bookmarkStart w:id="112" w:name="_Toc25238"/>
      <w:bookmarkStart w:id="113" w:name="_Toc17069"/>
      <w:bookmarkStart w:id="114" w:name="_Toc29847"/>
      <w:bookmarkStart w:id="115" w:name="_Toc451969697"/>
      <w:bookmarkStart w:id="116" w:name="_Toc27890"/>
      <w:bookmarkStart w:id="117" w:name="_Toc462322811"/>
      <w:bookmarkStart w:id="118" w:name="_Toc462160868"/>
      <w:bookmarkStart w:id="119" w:name="_Toc4375"/>
      <w:bookmarkStart w:id="120" w:name="_Toc8047"/>
      <w:bookmarkStart w:id="121" w:name="_Toc4816"/>
      <w:bookmarkStart w:id="122" w:name="_Toc3959"/>
      <w:bookmarkStart w:id="123" w:name="_Toc18636"/>
      <w:bookmarkStart w:id="124" w:name="_Toc6746"/>
      <w:bookmarkStart w:id="125" w:name="_Toc478030216"/>
      <w:bookmarkStart w:id="126" w:name="_Toc29313"/>
      <w:bookmarkStart w:id="127" w:name="_Toc13300"/>
      <w:r>
        <w:rPr>
          <w:b w:val="0"/>
        </w:rPr>
        <w:t>第二节  评标办法</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tbl>
      <w:tblPr>
        <w:tblStyle w:val="52"/>
        <w:tblW w:w="5346" w:type="pct"/>
        <w:tblInd w:w="-761" w:type="dxa"/>
        <w:tblLayout w:type="fixed"/>
        <w:tblCellMar>
          <w:top w:w="0" w:type="dxa"/>
          <w:left w:w="108" w:type="dxa"/>
          <w:bottom w:w="0" w:type="dxa"/>
          <w:right w:w="108" w:type="dxa"/>
        </w:tblCellMar>
      </w:tblPr>
      <w:tblGrid>
        <w:gridCol w:w="369"/>
        <w:gridCol w:w="242"/>
        <w:gridCol w:w="1015"/>
        <w:gridCol w:w="995"/>
        <w:gridCol w:w="6112"/>
        <w:gridCol w:w="628"/>
        <w:gridCol w:w="568"/>
      </w:tblGrid>
      <w:tr w14:paraId="07B263B0">
        <w:tblPrEx>
          <w:tblCellMar>
            <w:top w:w="0" w:type="dxa"/>
            <w:left w:w="108" w:type="dxa"/>
            <w:bottom w:w="0" w:type="dxa"/>
            <w:right w:w="108" w:type="dxa"/>
          </w:tblCellMar>
        </w:tblPrEx>
        <w:trPr>
          <w:trHeight w:val="652" w:hRule="atLeast"/>
        </w:trPr>
        <w:tc>
          <w:tcPr>
            <w:tcW w:w="5000" w:type="pct"/>
            <w:gridSpan w:val="7"/>
            <w:tcBorders>
              <w:top w:val="single" w:color="000000" w:sz="4" w:space="0"/>
              <w:left w:val="single" w:color="000000" w:sz="4" w:space="0"/>
              <w:bottom w:val="single" w:color="000000" w:sz="4" w:space="0"/>
              <w:right w:val="single" w:color="000000" w:sz="4" w:space="0"/>
            </w:tcBorders>
            <w:vAlign w:val="center"/>
          </w:tcPr>
          <w:p w14:paraId="3EF6FF1E">
            <w:pPr>
              <w:widowControl/>
              <w:jc w:val="center"/>
              <w:textAlignment w:val="center"/>
              <w:rPr>
                <w:rFonts w:ascii="楷体" w:hAnsi="楷体" w:eastAsia="楷体" w:cs="楷体"/>
                <w:kern w:val="0"/>
                <w:sz w:val="24"/>
              </w:rPr>
            </w:pPr>
            <w:r>
              <w:rPr>
                <w:rFonts w:hint="eastAsia" w:ascii="楷体" w:hAnsi="楷体" w:eastAsia="楷体" w:cs="楷体"/>
                <w:kern w:val="0"/>
                <w:sz w:val="36"/>
                <w:szCs w:val="36"/>
              </w:rPr>
              <w:t>综合评审表</w:t>
            </w:r>
          </w:p>
        </w:tc>
      </w:tr>
      <w:tr w14:paraId="445289A6">
        <w:tblPrEx>
          <w:tblCellMar>
            <w:top w:w="0" w:type="dxa"/>
            <w:left w:w="108" w:type="dxa"/>
            <w:bottom w:w="0" w:type="dxa"/>
            <w:right w:w="108" w:type="dxa"/>
          </w:tblCellMar>
        </w:tblPrEx>
        <w:trPr>
          <w:trHeight w:val="400" w:hRule="atLeast"/>
        </w:trPr>
        <w:tc>
          <w:tcPr>
            <w:tcW w:w="819" w:type="pct"/>
            <w:gridSpan w:val="3"/>
            <w:tcBorders>
              <w:top w:val="single" w:color="000000" w:sz="4" w:space="0"/>
              <w:left w:val="single" w:color="000000" w:sz="4" w:space="0"/>
              <w:bottom w:val="single" w:color="000000" w:sz="4" w:space="0"/>
              <w:right w:val="single" w:color="000000" w:sz="4" w:space="0"/>
            </w:tcBorders>
            <w:vAlign w:val="center"/>
          </w:tcPr>
          <w:p w14:paraId="5CCB6450">
            <w:pPr>
              <w:widowControl/>
              <w:jc w:val="center"/>
              <w:textAlignment w:val="center"/>
              <w:rPr>
                <w:rFonts w:ascii="楷体" w:hAnsi="楷体" w:eastAsia="楷体" w:cs="楷体"/>
                <w:sz w:val="24"/>
              </w:rPr>
            </w:pPr>
            <w:r>
              <w:rPr>
                <w:rFonts w:hint="eastAsia" w:ascii="楷体" w:hAnsi="楷体" w:eastAsia="楷体" w:cs="楷体"/>
                <w:kern w:val="0"/>
                <w:sz w:val="24"/>
              </w:rPr>
              <w:t>条款</w:t>
            </w:r>
          </w:p>
        </w:tc>
        <w:tc>
          <w:tcPr>
            <w:tcW w:w="501" w:type="pct"/>
            <w:tcBorders>
              <w:top w:val="single" w:color="000000" w:sz="4" w:space="0"/>
              <w:left w:val="single" w:color="000000" w:sz="4" w:space="0"/>
              <w:bottom w:val="single" w:color="000000" w:sz="4" w:space="0"/>
              <w:right w:val="single" w:color="000000" w:sz="4" w:space="0"/>
            </w:tcBorders>
            <w:vAlign w:val="center"/>
          </w:tcPr>
          <w:p w14:paraId="2547E4F0">
            <w:pPr>
              <w:widowControl/>
              <w:jc w:val="center"/>
              <w:textAlignment w:val="center"/>
              <w:rPr>
                <w:rFonts w:ascii="楷体" w:hAnsi="楷体" w:eastAsia="楷体" w:cs="楷体"/>
                <w:sz w:val="24"/>
              </w:rPr>
            </w:pPr>
            <w:r>
              <w:rPr>
                <w:rFonts w:hint="eastAsia" w:ascii="楷体" w:hAnsi="楷体" w:eastAsia="楷体" w:cs="楷体"/>
                <w:kern w:val="0"/>
                <w:sz w:val="24"/>
              </w:rPr>
              <w:t>条款内容</w:t>
            </w:r>
          </w:p>
        </w:tc>
        <w:tc>
          <w:tcPr>
            <w:tcW w:w="3680" w:type="pct"/>
            <w:gridSpan w:val="3"/>
            <w:tcBorders>
              <w:top w:val="single" w:color="000000" w:sz="4" w:space="0"/>
              <w:left w:val="single" w:color="000000" w:sz="4" w:space="0"/>
              <w:bottom w:val="single" w:color="000000" w:sz="4" w:space="0"/>
              <w:right w:val="single" w:color="000000" w:sz="4" w:space="0"/>
            </w:tcBorders>
            <w:vAlign w:val="center"/>
          </w:tcPr>
          <w:p w14:paraId="01571E1E">
            <w:pPr>
              <w:widowControl/>
              <w:jc w:val="center"/>
              <w:textAlignment w:val="center"/>
              <w:rPr>
                <w:rFonts w:ascii="楷体" w:hAnsi="楷体" w:eastAsia="楷体" w:cs="楷体"/>
                <w:kern w:val="0"/>
                <w:sz w:val="24"/>
              </w:rPr>
            </w:pPr>
            <w:r>
              <w:rPr>
                <w:rFonts w:hint="eastAsia" w:ascii="楷体" w:hAnsi="楷体" w:eastAsia="楷体" w:cs="楷体"/>
                <w:kern w:val="0"/>
                <w:sz w:val="24"/>
              </w:rPr>
              <w:t>编列内容</w:t>
            </w:r>
          </w:p>
        </w:tc>
      </w:tr>
      <w:tr w14:paraId="3A2947BA">
        <w:tblPrEx>
          <w:tblCellMar>
            <w:top w:w="0" w:type="dxa"/>
            <w:left w:w="108" w:type="dxa"/>
            <w:bottom w:w="0" w:type="dxa"/>
            <w:right w:w="108" w:type="dxa"/>
          </w:tblCellMar>
        </w:tblPrEx>
        <w:trPr>
          <w:trHeight w:val="701" w:hRule="atLeast"/>
        </w:trPr>
        <w:tc>
          <w:tcPr>
            <w:tcW w:w="819" w:type="pct"/>
            <w:gridSpan w:val="3"/>
            <w:tcBorders>
              <w:top w:val="single" w:color="000000" w:sz="4" w:space="0"/>
              <w:left w:val="single" w:color="000000" w:sz="4" w:space="0"/>
              <w:bottom w:val="single" w:color="000000" w:sz="4" w:space="0"/>
              <w:right w:val="single" w:color="000000" w:sz="4" w:space="0"/>
            </w:tcBorders>
            <w:vAlign w:val="center"/>
          </w:tcPr>
          <w:p w14:paraId="4A92C8AD">
            <w:pPr>
              <w:widowControl/>
              <w:jc w:val="center"/>
              <w:textAlignment w:val="center"/>
              <w:rPr>
                <w:rFonts w:ascii="楷体" w:hAnsi="楷体" w:eastAsia="楷体" w:cs="楷体"/>
                <w:szCs w:val="21"/>
              </w:rPr>
            </w:pPr>
            <w:r>
              <w:rPr>
                <w:rFonts w:hint="eastAsia" w:ascii="楷体" w:hAnsi="楷体" w:eastAsia="楷体" w:cs="楷体"/>
                <w:kern w:val="0"/>
                <w:szCs w:val="21"/>
              </w:rPr>
              <w:t>1</w:t>
            </w:r>
          </w:p>
        </w:tc>
        <w:tc>
          <w:tcPr>
            <w:tcW w:w="501" w:type="pct"/>
            <w:tcBorders>
              <w:top w:val="single" w:color="000000" w:sz="4" w:space="0"/>
              <w:left w:val="single" w:color="000000" w:sz="4" w:space="0"/>
              <w:bottom w:val="single" w:color="000000" w:sz="4" w:space="0"/>
              <w:right w:val="single" w:color="000000" w:sz="4" w:space="0"/>
            </w:tcBorders>
            <w:vAlign w:val="center"/>
          </w:tcPr>
          <w:p w14:paraId="423C46C2">
            <w:pPr>
              <w:widowControl/>
              <w:jc w:val="center"/>
              <w:textAlignment w:val="center"/>
              <w:rPr>
                <w:rFonts w:ascii="楷体" w:hAnsi="楷体" w:eastAsia="楷体" w:cs="楷体"/>
                <w:szCs w:val="21"/>
              </w:rPr>
            </w:pPr>
            <w:r>
              <w:rPr>
                <w:rFonts w:hint="eastAsia" w:ascii="楷体" w:hAnsi="楷体" w:eastAsia="楷体" w:cs="楷体"/>
                <w:kern w:val="0"/>
                <w:szCs w:val="21"/>
              </w:rPr>
              <w:t>分值构成(总分100分)</w:t>
            </w:r>
          </w:p>
        </w:tc>
        <w:tc>
          <w:tcPr>
            <w:tcW w:w="3680" w:type="pct"/>
            <w:gridSpan w:val="3"/>
            <w:tcBorders>
              <w:top w:val="single" w:color="000000" w:sz="4" w:space="0"/>
              <w:left w:val="single" w:color="000000" w:sz="4" w:space="0"/>
              <w:bottom w:val="single" w:color="000000" w:sz="4" w:space="0"/>
              <w:right w:val="single" w:color="000000" w:sz="4" w:space="0"/>
            </w:tcBorders>
            <w:vAlign w:val="center"/>
          </w:tcPr>
          <w:p w14:paraId="6F0B5271">
            <w:pPr>
              <w:widowControl/>
              <w:jc w:val="left"/>
              <w:textAlignment w:val="center"/>
              <w:rPr>
                <w:rFonts w:ascii="楷体" w:hAnsi="楷体" w:eastAsia="楷体" w:cs="楷体"/>
                <w:kern w:val="0"/>
                <w:szCs w:val="21"/>
              </w:rPr>
            </w:pPr>
            <w:r>
              <w:rPr>
                <w:rFonts w:hint="eastAsia" w:ascii="楷体" w:hAnsi="楷体" w:eastAsia="楷体" w:cs="楷体"/>
                <w:kern w:val="0"/>
                <w:szCs w:val="21"/>
              </w:rPr>
              <w:t>1.本次招标采用“综合评估法”评标，总分为100分，其中商务部分92分，技术部分8分，计算过程及结果均四舍五入保留两位小数。</w:t>
            </w:r>
          </w:p>
          <w:p w14:paraId="7953F124">
            <w:pPr>
              <w:widowControl/>
              <w:jc w:val="left"/>
              <w:textAlignment w:val="center"/>
              <w:rPr>
                <w:rFonts w:ascii="宋体" w:hAnsi="宋体" w:cs="宋体"/>
                <w:sz w:val="20"/>
                <w:szCs w:val="20"/>
              </w:rPr>
            </w:pPr>
            <w:r>
              <w:rPr>
                <w:rFonts w:hint="eastAsia" w:ascii="楷体" w:hAnsi="楷体" w:eastAsia="楷体" w:cs="楷体"/>
                <w:kern w:val="0"/>
                <w:szCs w:val="21"/>
              </w:rPr>
              <w:t>2.投标价格超过控制价的判为无效投标。</w:t>
            </w:r>
          </w:p>
        </w:tc>
      </w:tr>
      <w:tr w14:paraId="0AB6D116">
        <w:tblPrEx>
          <w:tblCellMar>
            <w:top w:w="0" w:type="dxa"/>
            <w:left w:w="108" w:type="dxa"/>
            <w:bottom w:w="0" w:type="dxa"/>
            <w:right w:w="108" w:type="dxa"/>
          </w:tblCellMar>
        </w:tblPrEx>
        <w:trPr>
          <w:trHeight w:val="620" w:hRule="atLeast"/>
        </w:trPr>
        <w:tc>
          <w:tcPr>
            <w:tcW w:w="5000" w:type="pct"/>
            <w:gridSpan w:val="7"/>
            <w:tcBorders>
              <w:top w:val="single" w:color="000000" w:sz="4" w:space="0"/>
              <w:left w:val="single" w:color="000000" w:sz="4" w:space="0"/>
              <w:bottom w:val="single" w:color="000000" w:sz="4" w:space="0"/>
              <w:right w:val="single" w:color="000000" w:sz="4" w:space="0"/>
            </w:tcBorders>
            <w:vAlign w:val="center"/>
          </w:tcPr>
          <w:p w14:paraId="00AD1744">
            <w:pPr>
              <w:widowControl/>
              <w:jc w:val="center"/>
              <w:textAlignment w:val="center"/>
              <w:rPr>
                <w:rFonts w:ascii="宋体" w:hAnsi="宋体" w:cs="宋体"/>
                <w:kern w:val="0"/>
                <w:sz w:val="24"/>
              </w:rPr>
            </w:pPr>
            <w:r>
              <w:rPr>
                <w:rFonts w:hint="eastAsia" w:ascii="楷体" w:hAnsi="楷体" w:eastAsia="楷体" w:cs="楷体"/>
                <w:kern w:val="0"/>
                <w:sz w:val="28"/>
                <w:szCs w:val="28"/>
              </w:rPr>
              <w:t>商务部分</w:t>
            </w:r>
          </w:p>
        </w:tc>
      </w:tr>
      <w:tr w14:paraId="6F0F2645">
        <w:tblPrEx>
          <w:tblCellMar>
            <w:top w:w="0" w:type="dxa"/>
            <w:left w:w="108" w:type="dxa"/>
            <w:bottom w:w="0" w:type="dxa"/>
            <w:right w:w="108" w:type="dxa"/>
          </w:tblCellMar>
        </w:tblPrEx>
        <w:trPr>
          <w:trHeight w:val="633" w:hRule="atLeast"/>
        </w:trPr>
        <w:tc>
          <w:tcPr>
            <w:tcW w:w="819" w:type="pct"/>
            <w:gridSpan w:val="3"/>
            <w:tcBorders>
              <w:top w:val="single" w:color="000000" w:sz="4" w:space="0"/>
              <w:left w:val="single" w:color="000000" w:sz="4" w:space="0"/>
              <w:bottom w:val="single" w:color="000000" w:sz="4" w:space="0"/>
              <w:right w:val="single" w:color="000000" w:sz="4" w:space="0"/>
            </w:tcBorders>
            <w:vAlign w:val="center"/>
          </w:tcPr>
          <w:p w14:paraId="541F868B">
            <w:pPr>
              <w:widowControl/>
              <w:jc w:val="center"/>
              <w:textAlignment w:val="center"/>
              <w:rPr>
                <w:rFonts w:ascii="楷体" w:hAnsi="楷体" w:eastAsia="楷体" w:cs="楷体"/>
                <w:sz w:val="24"/>
              </w:rPr>
            </w:pPr>
            <w:r>
              <w:rPr>
                <w:rFonts w:hint="eastAsia" w:ascii="楷体" w:hAnsi="楷体" w:eastAsia="楷体" w:cs="楷体"/>
                <w:kern w:val="0"/>
                <w:sz w:val="24"/>
              </w:rPr>
              <w:t>条款</w:t>
            </w:r>
          </w:p>
        </w:tc>
        <w:tc>
          <w:tcPr>
            <w:tcW w:w="501" w:type="pct"/>
            <w:tcBorders>
              <w:top w:val="single" w:color="000000" w:sz="4" w:space="0"/>
              <w:left w:val="single" w:color="000000" w:sz="4" w:space="0"/>
              <w:bottom w:val="single" w:color="000000" w:sz="4" w:space="0"/>
              <w:right w:val="single" w:color="000000" w:sz="4" w:space="0"/>
            </w:tcBorders>
            <w:vAlign w:val="center"/>
          </w:tcPr>
          <w:p w14:paraId="76EFCABC">
            <w:pPr>
              <w:widowControl/>
              <w:jc w:val="center"/>
              <w:textAlignment w:val="center"/>
              <w:rPr>
                <w:rFonts w:ascii="楷体" w:hAnsi="楷体" w:eastAsia="楷体" w:cs="楷体"/>
                <w:sz w:val="24"/>
              </w:rPr>
            </w:pPr>
            <w:r>
              <w:rPr>
                <w:rFonts w:hint="eastAsia" w:ascii="楷体" w:hAnsi="楷体" w:eastAsia="楷体" w:cs="楷体"/>
                <w:kern w:val="0"/>
                <w:sz w:val="24"/>
              </w:rPr>
              <w:t>评分因素</w:t>
            </w:r>
          </w:p>
        </w:tc>
        <w:tc>
          <w:tcPr>
            <w:tcW w:w="3078" w:type="pct"/>
            <w:tcBorders>
              <w:top w:val="single" w:color="000000" w:sz="4" w:space="0"/>
              <w:left w:val="single" w:color="000000" w:sz="4" w:space="0"/>
              <w:bottom w:val="single" w:color="000000" w:sz="4" w:space="0"/>
              <w:right w:val="single" w:color="000000" w:sz="4" w:space="0"/>
            </w:tcBorders>
            <w:vAlign w:val="center"/>
          </w:tcPr>
          <w:p w14:paraId="055405FF">
            <w:pPr>
              <w:widowControl/>
              <w:jc w:val="center"/>
              <w:textAlignment w:val="center"/>
              <w:rPr>
                <w:rFonts w:ascii="楷体" w:hAnsi="楷体" w:eastAsia="楷体" w:cs="楷体"/>
                <w:sz w:val="24"/>
              </w:rPr>
            </w:pPr>
            <w:r>
              <w:rPr>
                <w:rFonts w:hint="eastAsia" w:ascii="楷体" w:hAnsi="楷体" w:eastAsia="楷体" w:cs="楷体"/>
                <w:kern w:val="0"/>
                <w:sz w:val="24"/>
              </w:rPr>
              <w:t>评分标准</w:t>
            </w:r>
          </w:p>
        </w:tc>
        <w:tc>
          <w:tcPr>
            <w:tcW w:w="316" w:type="pct"/>
            <w:tcBorders>
              <w:top w:val="single" w:color="000000" w:sz="4" w:space="0"/>
              <w:left w:val="single" w:color="000000" w:sz="4" w:space="0"/>
              <w:bottom w:val="single" w:color="000000" w:sz="4" w:space="0"/>
              <w:right w:val="single" w:color="000000" w:sz="4" w:space="0"/>
            </w:tcBorders>
            <w:vAlign w:val="center"/>
          </w:tcPr>
          <w:p w14:paraId="428CCA40">
            <w:pPr>
              <w:widowControl/>
              <w:jc w:val="center"/>
              <w:textAlignment w:val="center"/>
              <w:rPr>
                <w:rFonts w:ascii="楷体" w:hAnsi="楷体" w:eastAsia="楷体" w:cs="楷体"/>
                <w:sz w:val="24"/>
              </w:rPr>
            </w:pPr>
            <w:r>
              <w:rPr>
                <w:rFonts w:hint="eastAsia" w:ascii="楷体" w:hAnsi="楷体" w:eastAsia="楷体" w:cs="楷体"/>
                <w:kern w:val="0"/>
                <w:sz w:val="24"/>
              </w:rPr>
              <w:t>分值</w:t>
            </w:r>
          </w:p>
        </w:tc>
        <w:tc>
          <w:tcPr>
            <w:tcW w:w="286" w:type="pct"/>
            <w:tcBorders>
              <w:top w:val="single" w:color="000000" w:sz="4" w:space="0"/>
              <w:left w:val="single" w:color="000000" w:sz="4" w:space="0"/>
              <w:bottom w:val="single" w:color="000000" w:sz="4" w:space="0"/>
              <w:right w:val="single" w:color="000000" w:sz="4" w:space="0"/>
            </w:tcBorders>
            <w:vAlign w:val="center"/>
          </w:tcPr>
          <w:p w14:paraId="394EAA0C">
            <w:pPr>
              <w:widowControl/>
              <w:jc w:val="center"/>
              <w:textAlignment w:val="center"/>
              <w:rPr>
                <w:rFonts w:ascii="楷体" w:hAnsi="楷体" w:eastAsia="楷体" w:cs="楷体"/>
                <w:kern w:val="0"/>
                <w:sz w:val="24"/>
              </w:rPr>
            </w:pPr>
            <w:r>
              <w:rPr>
                <w:rFonts w:hint="eastAsia" w:ascii="楷体" w:hAnsi="楷体" w:eastAsia="楷体" w:cs="楷体"/>
                <w:kern w:val="0"/>
                <w:sz w:val="24"/>
              </w:rPr>
              <w:t>得分值</w:t>
            </w:r>
          </w:p>
        </w:tc>
      </w:tr>
      <w:tr w14:paraId="2B663566">
        <w:tblPrEx>
          <w:tblCellMar>
            <w:top w:w="0" w:type="dxa"/>
            <w:left w:w="108" w:type="dxa"/>
            <w:bottom w:w="0" w:type="dxa"/>
            <w:right w:w="108" w:type="dxa"/>
          </w:tblCellMar>
        </w:tblPrEx>
        <w:trPr>
          <w:trHeight w:val="2823" w:hRule="atLeast"/>
        </w:trPr>
        <w:tc>
          <w:tcPr>
            <w:tcW w:w="186" w:type="pct"/>
            <w:tcBorders>
              <w:top w:val="single" w:color="000000" w:sz="4" w:space="0"/>
              <w:left w:val="single" w:color="000000" w:sz="4" w:space="0"/>
              <w:bottom w:val="single" w:color="000000" w:sz="4" w:space="0"/>
              <w:right w:val="single" w:color="auto" w:sz="4" w:space="0"/>
            </w:tcBorders>
            <w:vAlign w:val="center"/>
          </w:tcPr>
          <w:p w14:paraId="7BFC8124">
            <w:pPr>
              <w:widowControl/>
              <w:jc w:val="center"/>
              <w:textAlignment w:val="center"/>
              <w:rPr>
                <w:rFonts w:ascii="楷体" w:hAnsi="楷体" w:eastAsia="楷体" w:cs="楷体"/>
                <w:szCs w:val="21"/>
              </w:rPr>
            </w:pPr>
            <w:r>
              <w:rPr>
                <w:rFonts w:hint="eastAsia" w:ascii="楷体" w:hAnsi="楷体" w:eastAsia="楷体" w:cs="楷体"/>
                <w:szCs w:val="21"/>
              </w:rPr>
              <w:t>1</w:t>
            </w:r>
          </w:p>
          <w:p w14:paraId="7E853EE5">
            <w:pPr>
              <w:widowControl/>
              <w:jc w:val="center"/>
              <w:textAlignment w:val="center"/>
              <w:rPr>
                <w:rFonts w:ascii="楷体" w:hAnsi="楷体" w:eastAsia="楷体" w:cs="楷体"/>
                <w:szCs w:val="21"/>
              </w:rPr>
            </w:pPr>
          </w:p>
        </w:tc>
        <w:tc>
          <w:tcPr>
            <w:tcW w:w="633" w:type="pct"/>
            <w:gridSpan w:val="2"/>
            <w:tcBorders>
              <w:top w:val="single" w:color="000000" w:sz="4" w:space="0"/>
              <w:left w:val="single" w:color="auto" w:sz="4" w:space="0"/>
              <w:bottom w:val="single" w:color="000000" w:sz="4" w:space="0"/>
              <w:right w:val="single" w:color="000000" w:sz="4" w:space="0"/>
            </w:tcBorders>
            <w:vAlign w:val="center"/>
          </w:tcPr>
          <w:p w14:paraId="7E6C5125">
            <w:pPr>
              <w:widowControl/>
              <w:jc w:val="center"/>
              <w:textAlignment w:val="center"/>
              <w:rPr>
                <w:rFonts w:ascii="楷体" w:hAnsi="楷体" w:eastAsia="楷体" w:cs="楷体"/>
                <w:kern w:val="0"/>
                <w:szCs w:val="21"/>
              </w:rPr>
            </w:pPr>
            <w:r>
              <w:rPr>
                <w:rFonts w:hint="eastAsia" w:ascii="楷体" w:hAnsi="楷体" w:eastAsia="楷体" w:cs="楷体"/>
                <w:kern w:val="0"/>
                <w:szCs w:val="21"/>
              </w:rPr>
              <w:t>价格分（80分）</w:t>
            </w:r>
          </w:p>
        </w:tc>
        <w:tc>
          <w:tcPr>
            <w:tcW w:w="501" w:type="pct"/>
            <w:tcBorders>
              <w:top w:val="single" w:color="000000" w:sz="4" w:space="0"/>
              <w:left w:val="single" w:color="000000" w:sz="4" w:space="0"/>
              <w:bottom w:val="single" w:color="000000" w:sz="4" w:space="0"/>
              <w:right w:val="single" w:color="000000" w:sz="4" w:space="0"/>
            </w:tcBorders>
            <w:vAlign w:val="center"/>
          </w:tcPr>
          <w:p w14:paraId="5565EC5F">
            <w:pPr>
              <w:widowControl/>
              <w:jc w:val="center"/>
              <w:textAlignment w:val="center"/>
              <w:rPr>
                <w:rFonts w:ascii="楷体" w:hAnsi="楷体" w:eastAsia="楷体" w:cs="楷体"/>
                <w:szCs w:val="21"/>
              </w:rPr>
            </w:pPr>
            <w:r>
              <w:rPr>
                <w:rFonts w:hint="eastAsia" w:ascii="楷体" w:hAnsi="楷体" w:eastAsia="楷体" w:cs="楷体"/>
                <w:kern w:val="0"/>
                <w:szCs w:val="21"/>
              </w:rPr>
              <w:t>报价分值计算</w:t>
            </w:r>
          </w:p>
        </w:tc>
        <w:tc>
          <w:tcPr>
            <w:tcW w:w="3078" w:type="pct"/>
            <w:tcBorders>
              <w:top w:val="single" w:color="000000" w:sz="4" w:space="0"/>
              <w:left w:val="single" w:color="000000" w:sz="4" w:space="0"/>
              <w:bottom w:val="single" w:color="000000" w:sz="4" w:space="0"/>
              <w:right w:val="single" w:color="000000" w:sz="4" w:space="0"/>
            </w:tcBorders>
            <w:vAlign w:val="center"/>
          </w:tcPr>
          <w:p w14:paraId="264349FF">
            <w:pPr>
              <w:widowControl/>
              <w:jc w:val="left"/>
              <w:textAlignment w:val="center"/>
              <w:rPr>
                <w:rFonts w:ascii="楷体" w:hAnsi="楷体" w:eastAsia="楷体" w:cs="楷体"/>
                <w:kern w:val="0"/>
                <w:szCs w:val="21"/>
              </w:rPr>
            </w:pPr>
            <w:r>
              <w:rPr>
                <w:rFonts w:hint="eastAsia" w:ascii="楷体" w:hAnsi="楷体" w:eastAsia="楷体" w:cs="楷体"/>
                <w:kern w:val="0"/>
                <w:szCs w:val="21"/>
              </w:rPr>
              <w:t>价格分计算方法：</w:t>
            </w:r>
          </w:p>
          <w:p w14:paraId="761B74BF">
            <w:pPr>
              <w:widowControl/>
              <w:jc w:val="left"/>
              <w:textAlignment w:val="center"/>
              <w:rPr>
                <w:rFonts w:hint="eastAsia" w:ascii="楷体" w:hAnsi="楷体" w:eastAsia="楷体" w:cs="楷体"/>
                <w:kern w:val="0"/>
                <w:szCs w:val="21"/>
                <w:lang w:eastAsia="zh-CN"/>
              </w:rPr>
            </w:pPr>
            <w:r>
              <w:rPr>
                <w:rFonts w:hint="eastAsia" w:ascii="楷体" w:hAnsi="楷体" w:eastAsia="楷体" w:cs="楷体"/>
                <w:kern w:val="0"/>
                <w:szCs w:val="21"/>
              </w:rPr>
              <w:t>以有效投标报价的平均价格为评标基准价，若有效投标文件≥5时，剔除一个最高报价和一个最低报价（最高报价相同的均剔除）后的算术平均值为评标基准价</w:t>
            </w:r>
            <w:r>
              <w:rPr>
                <w:rFonts w:hint="eastAsia" w:ascii="楷体" w:hAnsi="楷体" w:eastAsia="楷体" w:cs="楷体"/>
                <w:kern w:val="0"/>
                <w:szCs w:val="21"/>
                <w:lang w:eastAsia="zh-CN"/>
              </w:rPr>
              <w:t>。</w:t>
            </w:r>
          </w:p>
          <w:p w14:paraId="48CB8902">
            <w:pPr>
              <w:widowControl/>
              <w:jc w:val="left"/>
              <w:textAlignment w:val="center"/>
              <w:rPr>
                <w:rFonts w:ascii="楷体" w:hAnsi="楷体" w:eastAsia="楷体" w:cs="楷体"/>
                <w:kern w:val="0"/>
                <w:szCs w:val="21"/>
              </w:rPr>
            </w:pPr>
            <w:r>
              <w:rPr>
                <w:rFonts w:hint="eastAsia" w:ascii="楷体" w:hAnsi="楷体" w:eastAsia="楷体" w:cs="楷体"/>
                <w:kern w:val="0"/>
                <w:szCs w:val="21"/>
              </w:rPr>
              <w:t>投标报价与评标基准价相比：</w:t>
            </w:r>
          </w:p>
          <w:p w14:paraId="6A628FC7">
            <w:pPr>
              <w:widowControl/>
              <w:jc w:val="left"/>
              <w:textAlignment w:val="center"/>
              <w:rPr>
                <w:rFonts w:ascii="楷体" w:hAnsi="楷体" w:eastAsia="楷体" w:cs="楷体"/>
                <w:kern w:val="0"/>
                <w:szCs w:val="21"/>
              </w:rPr>
            </w:pPr>
            <w:r>
              <w:rPr>
                <w:rFonts w:hint="eastAsia" w:ascii="楷体" w:hAnsi="楷体" w:eastAsia="楷体" w:cs="楷体"/>
                <w:kern w:val="0"/>
                <w:szCs w:val="21"/>
              </w:rPr>
              <w:t>（1）投标报价等于评标基准价得满分；</w:t>
            </w:r>
          </w:p>
          <w:p w14:paraId="1E48A6D9">
            <w:pPr>
              <w:widowControl/>
              <w:jc w:val="left"/>
              <w:textAlignment w:val="center"/>
              <w:rPr>
                <w:rFonts w:ascii="楷体" w:hAnsi="楷体" w:eastAsia="楷体" w:cs="楷体"/>
                <w:kern w:val="0"/>
                <w:szCs w:val="21"/>
              </w:rPr>
            </w:pPr>
            <w:r>
              <w:rPr>
                <w:rFonts w:hint="eastAsia" w:ascii="楷体" w:hAnsi="楷体" w:eastAsia="楷体" w:cs="楷体"/>
                <w:kern w:val="0"/>
                <w:szCs w:val="21"/>
              </w:rPr>
              <w:t>（2）投标报价每高于评标基准价的1%扣1分，扣至0分为止；</w:t>
            </w:r>
          </w:p>
          <w:p w14:paraId="70640319">
            <w:pPr>
              <w:widowControl/>
              <w:jc w:val="left"/>
              <w:textAlignment w:val="center"/>
              <w:rPr>
                <w:rFonts w:ascii="楷体" w:hAnsi="楷体" w:eastAsia="楷体" w:cs="楷体"/>
                <w:kern w:val="0"/>
                <w:szCs w:val="21"/>
              </w:rPr>
            </w:pPr>
            <w:r>
              <w:rPr>
                <w:rFonts w:hint="eastAsia" w:ascii="楷体" w:hAnsi="楷体" w:eastAsia="楷体" w:cs="楷体"/>
                <w:kern w:val="0"/>
                <w:szCs w:val="21"/>
              </w:rPr>
              <w:t>（3）投标报价每低于评标基准价的1%扣0.5分，扣至0分为止。</w:t>
            </w:r>
          </w:p>
          <w:p w14:paraId="6544FDC7">
            <w:pPr>
              <w:widowControl/>
              <w:jc w:val="left"/>
              <w:textAlignment w:val="center"/>
              <w:rPr>
                <w:rFonts w:ascii="方正楷体_GBK" w:hAnsi="宋体" w:eastAsia="方正楷体_GBK" w:cs="宋体"/>
                <w:color w:val="FF0000"/>
              </w:rPr>
            </w:pPr>
            <w:r>
              <w:rPr>
                <w:rFonts w:hint="eastAsia" w:ascii="方正楷体_GBK" w:hAnsi="宋体" w:eastAsia="方正楷体_GBK"/>
                <w:szCs w:val="21"/>
              </w:rPr>
              <w:t>采用插入法计算，四舍五入保留小数点后二位。</w:t>
            </w:r>
          </w:p>
        </w:tc>
        <w:tc>
          <w:tcPr>
            <w:tcW w:w="316" w:type="pct"/>
            <w:tcBorders>
              <w:top w:val="single" w:color="000000" w:sz="4" w:space="0"/>
              <w:left w:val="single" w:color="000000" w:sz="4" w:space="0"/>
              <w:bottom w:val="single" w:color="000000" w:sz="4" w:space="0"/>
              <w:right w:val="single" w:color="000000" w:sz="4" w:space="0"/>
            </w:tcBorders>
            <w:vAlign w:val="center"/>
          </w:tcPr>
          <w:p w14:paraId="6D048D4B">
            <w:pPr>
              <w:widowControl/>
              <w:jc w:val="center"/>
              <w:textAlignment w:val="center"/>
              <w:rPr>
                <w:rFonts w:ascii="楷体" w:hAnsi="楷体" w:eastAsia="楷体" w:cs="楷体"/>
                <w:szCs w:val="21"/>
              </w:rPr>
            </w:pPr>
            <w:r>
              <w:rPr>
                <w:rFonts w:hint="eastAsia" w:ascii="楷体" w:hAnsi="楷体" w:eastAsia="楷体" w:cs="楷体"/>
                <w:kern w:val="0"/>
                <w:szCs w:val="21"/>
              </w:rPr>
              <w:t>80分</w:t>
            </w:r>
          </w:p>
        </w:tc>
        <w:tc>
          <w:tcPr>
            <w:tcW w:w="286" w:type="pct"/>
            <w:tcBorders>
              <w:top w:val="single" w:color="000000" w:sz="4" w:space="0"/>
              <w:left w:val="single" w:color="000000" w:sz="4" w:space="0"/>
              <w:bottom w:val="single" w:color="000000" w:sz="4" w:space="0"/>
              <w:right w:val="single" w:color="000000" w:sz="4" w:space="0"/>
            </w:tcBorders>
            <w:vAlign w:val="center"/>
          </w:tcPr>
          <w:p w14:paraId="7FFB7852">
            <w:pPr>
              <w:widowControl/>
              <w:jc w:val="center"/>
              <w:textAlignment w:val="center"/>
              <w:rPr>
                <w:rFonts w:ascii="楷体" w:hAnsi="楷体" w:eastAsia="楷体" w:cs="楷体"/>
                <w:kern w:val="0"/>
                <w:szCs w:val="21"/>
              </w:rPr>
            </w:pPr>
          </w:p>
        </w:tc>
      </w:tr>
      <w:tr w14:paraId="78C206E4">
        <w:tblPrEx>
          <w:tblCellMar>
            <w:top w:w="0" w:type="dxa"/>
            <w:left w:w="108" w:type="dxa"/>
            <w:bottom w:w="0" w:type="dxa"/>
            <w:right w:w="108" w:type="dxa"/>
          </w:tblCellMar>
        </w:tblPrEx>
        <w:trPr>
          <w:trHeight w:val="1609" w:hRule="atLeast"/>
        </w:trPr>
        <w:tc>
          <w:tcPr>
            <w:tcW w:w="186" w:type="pct"/>
            <w:tcBorders>
              <w:top w:val="single" w:color="000000" w:sz="4" w:space="0"/>
              <w:left w:val="single" w:color="000000" w:sz="4" w:space="0"/>
              <w:bottom w:val="single" w:color="000000" w:sz="4" w:space="0"/>
              <w:right w:val="single" w:color="000000" w:sz="4" w:space="0"/>
            </w:tcBorders>
            <w:noWrap/>
            <w:vAlign w:val="center"/>
          </w:tcPr>
          <w:p w14:paraId="40CC0DF0">
            <w:pPr>
              <w:widowControl/>
              <w:jc w:val="center"/>
              <w:textAlignment w:val="center"/>
              <w:rPr>
                <w:rFonts w:ascii="楷体" w:hAnsi="楷体" w:eastAsia="楷体" w:cs="宋体"/>
                <w:kern w:val="0"/>
              </w:rPr>
            </w:pPr>
            <w:r>
              <w:rPr>
                <w:rFonts w:hint="eastAsia" w:ascii="楷体" w:hAnsi="楷体" w:eastAsia="楷体" w:cs="楷体"/>
                <w:kern w:val="0"/>
                <w:szCs w:val="21"/>
              </w:rPr>
              <w:t>2</w:t>
            </w:r>
          </w:p>
        </w:tc>
        <w:tc>
          <w:tcPr>
            <w:tcW w:w="633" w:type="pct"/>
            <w:gridSpan w:val="2"/>
            <w:tcBorders>
              <w:top w:val="single" w:color="000000" w:sz="4" w:space="0"/>
              <w:left w:val="single" w:color="000000" w:sz="4" w:space="0"/>
              <w:bottom w:val="single" w:color="000000" w:sz="4" w:space="0"/>
              <w:right w:val="single" w:color="000000" w:sz="4" w:space="0"/>
            </w:tcBorders>
            <w:noWrap/>
            <w:vAlign w:val="center"/>
          </w:tcPr>
          <w:p w14:paraId="77D6CBAE">
            <w:pPr>
              <w:widowControl/>
              <w:jc w:val="center"/>
              <w:textAlignment w:val="center"/>
              <w:rPr>
                <w:rFonts w:ascii="楷体" w:hAnsi="楷体" w:eastAsia="楷体" w:cs="楷体"/>
                <w:kern w:val="0"/>
                <w:szCs w:val="21"/>
              </w:rPr>
            </w:pPr>
            <w:r>
              <w:rPr>
                <w:rFonts w:hint="eastAsia" w:ascii="楷体" w:hAnsi="楷体" w:eastAsia="楷体" w:cs="楷体"/>
                <w:kern w:val="0"/>
                <w:szCs w:val="21"/>
              </w:rPr>
              <w:t>业绩案例（10分）</w:t>
            </w:r>
          </w:p>
          <w:p w14:paraId="135EF2D3">
            <w:pPr>
              <w:widowControl/>
              <w:jc w:val="center"/>
              <w:textAlignment w:val="center"/>
              <w:rPr>
                <w:rFonts w:ascii="宋体" w:hAnsi="宋体" w:cs="宋体"/>
                <w:kern w:val="0"/>
              </w:rPr>
            </w:pPr>
          </w:p>
        </w:tc>
        <w:tc>
          <w:tcPr>
            <w:tcW w:w="501" w:type="pct"/>
            <w:tcBorders>
              <w:top w:val="single" w:color="000000" w:sz="4" w:space="0"/>
              <w:left w:val="single" w:color="000000" w:sz="4" w:space="0"/>
              <w:bottom w:val="single" w:color="000000" w:sz="4" w:space="0"/>
              <w:right w:val="single" w:color="000000" w:sz="4" w:space="0"/>
            </w:tcBorders>
            <w:noWrap/>
            <w:vAlign w:val="center"/>
          </w:tcPr>
          <w:p w14:paraId="6516349A">
            <w:pPr>
              <w:widowControl/>
              <w:jc w:val="left"/>
              <w:textAlignment w:val="center"/>
              <w:rPr>
                <w:rFonts w:ascii="楷体" w:hAnsi="楷体" w:eastAsia="楷体" w:cs="楷体"/>
                <w:kern w:val="0"/>
                <w:szCs w:val="21"/>
              </w:rPr>
            </w:pPr>
            <w:r>
              <w:rPr>
                <w:rFonts w:hint="eastAsia" w:ascii="楷体" w:hAnsi="楷体" w:eastAsia="楷体" w:cs="楷体"/>
                <w:kern w:val="0"/>
                <w:szCs w:val="21"/>
              </w:rPr>
              <w:t>202</w:t>
            </w:r>
            <w:r>
              <w:rPr>
                <w:rFonts w:hint="eastAsia" w:ascii="楷体" w:hAnsi="楷体" w:eastAsia="楷体" w:cs="楷体"/>
                <w:kern w:val="0"/>
                <w:szCs w:val="21"/>
                <w:lang w:val="en-US" w:eastAsia="zh-CN"/>
              </w:rPr>
              <w:t>1</w:t>
            </w:r>
            <w:r>
              <w:rPr>
                <w:rFonts w:hint="eastAsia" w:ascii="楷体" w:hAnsi="楷体" w:eastAsia="楷体" w:cs="楷体"/>
                <w:kern w:val="0"/>
                <w:szCs w:val="21"/>
              </w:rPr>
              <w:t>年1月1日至投标截止日相关业绩</w:t>
            </w:r>
          </w:p>
        </w:tc>
        <w:tc>
          <w:tcPr>
            <w:tcW w:w="3078" w:type="pct"/>
            <w:tcBorders>
              <w:top w:val="single" w:color="000000" w:sz="4" w:space="0"/>
              <w:left w:val="single" w:color="000000" w:sz="4" w:space="0"/>
              <w:bottom w:val="single" w:color="000000" w:sz="4" w:space="0"/>
              <w:right w:val="single" w:color="000000" w:sz="4" w:space="0"/>
            </w:tcBorders>
            <w:noWrap/>
            <w:vAlign w:val="center"/>
          </w:tcPr>
          <w:p w14:paraId="2AD37F30">
            <w:pPr>
              <w:widowControl/>
              <w:jc w:val="left"/>
              <w:textAlignment w:val="center"/>
              <w:rPr>
                <w:rFonts w:hint="eastAsia" w:ascii="楷体" w:hAnsi="楷体" w:eastAsia="楷体" w:cs="楷体"/>
                <w:kern w:val="0"/>
                <w:szCs w:val="21"/>
              </w:rPr>
            </w:pPr>
            <w:r>
              <w:rPr>
                <w:rFonts w:hint="eastAsia" w:ascii="楷体" w:hAnsi="楷体" w:eastAsia="楷体" w:cs="楷体"/>
                <w:kern w:val="0"/>
                <w:szCs w:val="21"/>
              </w:rPr>
              <w:t>每提供一个</w:t>
            </w:r>
            <w:r>
              <w:rPr>
                <w:rFonts w:hint="eastAsia" w:ascii="楷体" w:hAnsi="楷体" w:eastAsia="楷体" w:cs="楷体"/>
                <w:kern w:val="0"/>
                <w:szCs w:val="21"/>
                <w:lang w:val="en-US" w:eastAsia="zh-CN"/>
              </w:rPr>
              <w:t>建筑工程</w:t>
            </w:r>
            <w:r>
              <w:rPr>
                <w:rFonts w:hint="eastAsia" w:ascii="楷体" w:hAnsi="楷体" w:eastAsia="楷体" w:cs="楷体"/>
                <w:kern w:val="0"/>
                <w:szCs w:val="21"/>
                <w:lang w:val="zh-CN"/>
              </w:rPr>
              <w:t>施工</w:t>
            </w:r>
            <w:r>
              <w:rPr>
                <w:rFonts w:hint="eastAsia" w:ascii="楷体" w:hAnsi="楷体" w:eastAsia="楷体" w:cs="楷体"/>
                <w:kern w:val="0"/>
                <w:szCs w:val="21"/>
              </w:rPr>
              <w:t>业绩合同</w:t>
            </w:r>
            <w:r>
              <w:rPr>
                <w:rFonts w:hint="eastAsia" w:ascii="楷体" w:hAnsi="楷体" w:eastAsia="楷体" w:cs="楷体"/>
                <w:kern w:val="0"/>
                <w:szCs w:val="21"/>
                <w:lang w:eastAsia="zh-CN"/>
              </w:rPr>
              <w:t>，</w:t>
            </w:r>
            <w:r>
              <w:rPr>
                <w:rFonts w:hint="eastAsia" w:ascii="楷体" w:hAnsi="楷体" w:eastAsia="楷体" w:cs="楷体"/>
                <w:kern w:val="0"/>
                <w:szCs w:val="21"/>
                <w:lang w:val="zh-CN"/>
              </w:rPr>
              <w:t>每份业绩合同金额</w:t>
            </w:r>
            <w:r>
              <w:rPr>
                <w:rFonts w:hint="eastAsia" w:ascii="楷体" w:hAnsi="楷体" w:eastAsia="楷体" w:cs="楷体"/>
                <w:kern w:val="0"/>
                <w:szCs w:val="21"/>
              </w:rPr>
              <w:t>大于15</w:t>
            </w:r>
            <w:r>
              <w:rPr>
                <w:rFonts w:hint="eastAsia" w:ascii="楷体" w:hAnsi="楷体" w:eastAsia="楷体" w:cs="楷体"/>
                <w:kern w:val="0"/>
                <w:szCs w:val="21"/>
                <w:lang w:val="zh-CN"/>
              </w:rPr>
              <w:t>0万元（</w:t>
            </w:r>
            <w:r>
              <w:rPr>
                <w:rFonts w:hint="eastAsia" w:ascii="楷体" w:hAnsi="楷体" w:eastAsia="楷体" w:cs="楷体"/>
                <w:kern w:val="0"/>
                <w:szCs w:val="21"/>
                <w:lang w:val="en-US" w:eastAsia="zh-CN"/>
              </w:rPr>
              <w:t>含</w:t>
            </w:r>
            <w:r>
              <w:rPr>
                <w:rFonts w:hint="eastAsia" w:ascii="楷体" w:hAnsi="楷体" w:eastAsia="楷体" w:cs="楷体"/>
                <w:kern w:val="0"/>
                <w:szCs w:val="21"/>
                <w:lang w:eastAsia="zh-CN"/>
              </w:rPr>
              <w:t>）</w:t>
            </w:r>
            <w:r>
              <w:rPr>
                <w:rFonts w:hint="eastAsia" w:ascii="楷体" w:hAnsi="楷体" w:eastAsia="楷体" w:cs="楷体"/>
                <w:kern w:val="0"/>
                <w:szCs w:val="21"/>
              </w:rPr>
              <w:t>得1分，</w:t>
            </w:r>
            <w:r>
              <w:rPr>
                <w:rFonts w:hint="eastAsia" w:ascii="楷体" w:hAnsi="楷体" w:eastAsia="楷体" w:cs="楷体"/>
                <w:kern w:val="0"/>
                <w:szCs w:val="21"/>
                <w:lang w:val="en-US" w:eastAsia="zh-CN"/>
              </w:rPr>
              <w:t>若</w:t>
            </w:r>
            <w:r>
              <w:rPr>
                <w:rFonts w:hint="eastAsia" w:ascii="楷体" w:hAnsi="楷体" w:eastAsia="楷体" w:cs="楷体"/>
                <w:kern w:val="0"/>
                <w:szCs w:val="21"/>
              </w:rPr>
              <w:t>该业绩为化工企业</w:t>
            </w:r>
            <w:r>
              <w:rPr>
                <w:rFonts w:hint="eastAsia" w:ascii="楷体" w:hAnsi="楷体" w:eastAsia="楷体" w:cs="楷体"/>
                <w:kern w:val="0"/>
                <w:szCs w:val="21"/>
                <w:lang w:val="en-US" w:eastAsia="zh-CN"/>
              </w:rPr>
              <w:t>内施工</w:t>
            </w:r>
            <w:r>
              <w:rPr>
                <w:rFonts w:hint="eastAsia" w:ascii="楷体" w:hAnsi="楷体" w:eastAsia="楷体" w:cs="楷体"/>
                <w:kern w:val="0"/>
                <w:szCs w:val="21"/>
              </w:rPr>
              <w:t>得2分。最多对5个业绩进行累计评分。</w:t>
            </w:r>
          </w:p>
          <w:p w14:paraId="43F57C35">
            <w:pPr>
              <w:widowControl/>
              <w:jc w:val="left"/>
              <w:textAlignment w:val="center"/>
              <w:rPr>
                <w:rFonts w:hint="eastAsia" w:ascii="楷体" w:hAnsi="楷体" w:eastAsia="楷体" w:cs="楷体"/>
                <w:kern w:val="0"/>
                <w:szCs w:val="21"/>
                <w:lang w:val="en-US" w:eastAsia="zh-CN"/>
              </w:rPr>
            </w:pPr>
            <w:r>
              <w:rPr>
                <w:rFonts w:hint="eastAsia" w:ascii="楷体" w:hAnsi="楷体" w:eastAsia="楷体" w:cs="楷体"/>
                <w:kern w:val="0"/>
                <w:szCs w:val="21"/>
              </w:rPr>
              <w:t>（1）须提供清晰的项目合同首末页、载明合同价、合同期限的页次，否则不计分。</w:t>
            </w:r>
          </w:p>
          <w:p w14:paraId="08A72FAE">
            <w:pPr>
              <w:pStyle w:val="51"/>
              <w:ind w:left="0" w:firstLine="0"/>
              <w:rPr>
                <w:rFonts w:hint="default" w:ascii="楷体" w:hAnsi="楷体" w:eastAsia="楷体" w:cs="楷体"/>
                <w:kern w:val="0"/>
                <w:sz w:val="21"/>
                <w:szCs w:val="21"/>
                <w:lang w:val="en-US" w:eastAsia="zh-CN"/>
              </w:rPr>
            </w:pPr>
            <w:r>
              <w:rPr>
                <w:rFonts w:hint="eastAsia" w:ascii="楷体" w:hAnsi="楷体" w:eastAsia="楷体" w:cs="楷体"/>
                <w:kern w:val="0"/>
                <w:sz w:val="21"/>
                <w:szCs w:val="21"/>
                <w:lang w:eastAsia="zh-CN"/>
              </w:rPr>
              <w:t>（</w:t>
            </w:r>
            <w:r>
              <w:rPr>
                <w:rFonts w:hint="eastAsia" w:ascii="楷体" w:hAnsi="楷体" w:eastAsia="楷体" w:cs="楷体"/>
                <w:kern w:val="0"/>
                <w:sz w:val="21"/>
                <w:szCs w:val="21"/>
                <w:lang w:val="en-US" w:eastAsia="zh-CN"/>
              </w:rPr>
              <w:t>2</w:t>
            </w:r>
            <w:r>
              <w:rPr>
                <w:rFonts w:hint="eastAsia" w:ascii="楷体" w:hAnsi="楷体" w:eastAsia="楷体" w:cs="楷体"/>
                <w:kern w:val="0"/>
                <w:sz w:val="21"/>
                <w:szCs w:val="21"/>
                <w:lang w:eastAsia="zh-CN"/>
              </w:rPr>
              <w:t>）</w:t>
            </w:r>
            <w:r>
              <w:rPr>
                <w:rFonts w:hint="eastAsia" w:ascii="楷体" w:hAnsi="楷体" w:eastAsia="楷体" w:cs="楷体"/>
                <w:kern w:val="0"/>
                <w:sz w:val="21"/>
                <w:szCs w:val="21"/>
                <w:lang w:val="en-US" w:eastAsia="zh-CN" w:bidi="ar-SA"/>
              </w:rPr>
              <w:t>同时须提供与合同相对应竣工验收证明（包含但不限于单位工程竣工验收单、共检单）。</w:t>
            </w:r>
          </w:p>
          <w:p w14:paraId="7B208C2E">
            <w:pPr>
              <w:pStyle w:val="51"/>
              <w:ind w:left="0" w:firstLine="0"/>
              <w:rPr>
                <w:rFonts w:ascii="楷体" w:hAnsi="楷体" w:eastAsia="楷体" w:cs="楷体"/>
                <w:kern w:val="0"/>
                <w:sz w:val="21"/>
                <w:szCs w:val="21"/>
              </w:rPr>
            </w:pPr>
            <w:r>
              <w:rPr>
                <w:rFonts w:hint="eastAsia" w:ascii="楷体" w:hAnsi="楷体" w:eastAsia="楷体" w:cs="楷体"/>
                <w:kern w:val="0"/>
                <w:sz w:val="21"/>
                <w:szCs w:val="21"/>
                <w:lang w:eastAsia="zh-CN"/>
              </w:rPr>
              <w:t>（</w:t>
            </w:r>
            <w:r>
              <w:rPr>
                <w:rFonts w:hint="eastAsia" w:ascii="楷体" w:hAnsi="楷体" w:eastAsia="楷体" w:cs="楷体"/>
                <w:kern w:val="0"/>
                <w:sz w:val="21"/>
                <w:szCs w:val="21"/>
                <w:lang w:val="en-US" w:eastAsia="zh-CN"/>
              </w:rPr>
              <w:t>3</w:t>
            </w:r>
            <w:r>
              <w:rPr>
                <w:rFonts w:hint="eastAsia" w:ascii="楷体" w:hAnsi="楷体" w:eastAsia="楷体" w:cs="楷体"/>
                <w:kern w:val="0"/>
                <w:sz w:val="21"/>
                <w:szCs w:val="21"/>
                <w:lang w:eastAsia="zh-CN"/>
              </w:rPr>
              <w:t>）</w:t>
            </w:r>
            <w:r>
              <w:rPr>
                <w:rFonts w:hint="eastAsia" w:ascii="楷体" w:hAnsi="楷体" w:eastAsia="楷体" w:cs="楷体"/>
                <w:kern w:val="0"/>
                <w:sz w:val="21"/>
                <w:szCs w:val="21"/>
              </w:rPr>
              <w:t>以上证明复印件均需加盖公章，原件备查。</w:t>
            </w:r>
          </w:p>
          <w:p w14:paraId="53559548">
            <w:pPr>
              <w:pStyle w:val="51"/>
              <w:ind w:left="0" w:firstLine="0"/>
              <w:rPr>
                <w:rFonts w:ascii="楷体" w:hAnsi="楷体" w:eastAsia="楷体" w:cs="楷体"/>
                <w:kern w:val="0"/>
                <w:sz w:val="21"/>
                <w:szCs w:val="21"/>
              </w:rPr>
            </w:pPr>
            <w:r>
              <w:rPr>
                <w:rFonts w:hint="eastAsia" w:ascii="楷体" w:hAnsi="楷体" w:eastAsia="楷体" w:cs="楷体"/>
                <w:color w:val="FF0000"/>
                <w:kern w:val="0"/>
                <w:sz w:val="21"/>
                <w:szCs w:val="21"/>
              </w:rPr>
              <w:t>（若经发现证明材料弄虚作假，按废标处理）</w:t>
            </w:r>
          </w:p>
        </w:tc>
        <w:tc>
          <w:tcPr>
            <w:tcW w:w="316" w:type="pct"/>
            <w:tcBorders>
              <w:top w:val="single" w:color="000000" w:sz="4" w:space="0"/>
              <w:left w:val="single" w:color="000000" w:sz="4" w:space="0"/>
              <w:bottom w:val="single" w:color="000000" w:sz="4" w:space="0"/>
              <w:right w:val="single" w:color="000000" w:sz="4" w:space="0"/>
            </w:tcBorders>
            <w:noWrap/>
            <w:vAlign w:val="center"/>
          </w:tcPr>
          <w:p w14:paraId="019187DB">
            <w:pPr>
              <w:widowControl/>
              <w:jc w:val="center"/>
              <w:textAlignment w:val="center"/>
              <w:rPr>
                <w:rFonts w:ascii="宋体" w:hAnsi="宋体" w:cs="宋体"/>
                <w:kern w:val="0"/>
              </w:rPr>
            </w:pPr>
            <w:r>
              <w:rPr>
                <w:rFonts w:hint="eastAsia" w:ascii="楷体" w:hAnsi="楷体" w:eastAsia="楷体" w:cs="楷体"/>
                <w:kern w:val="0"/>
                <w:szCs w:val="21"/>
              </w:rPr>
              <w:t>10分</w:t>
            </w:r>
          </w:p>
        </w:tc>
        <w:tc>
          <w:tcPr>
            <w:tcW w:w="286" w:type="pct"/>
            <w:tcBorders>
              <w:top w:val="single" w:color="000000" w:sz="4" w:space="0"/>
              <w:left w:val="single" w:color="000000" w:sz="4" w:space="0"/>
              <w:bottom w:val="single" w:color="000000" w:sz="4" w:space="0"/>
              <w:right w:val="single" w:color="auto" w:sz="4" w:space="0"/>
            </w:tcBorders>
            <w:noWrap/>
            <w:vAlign w:val="center"/>
          </w:tcPr>
          <w:p w14:paraId="350C44BD">
            <w:pPr>
              <w:widowControl/>
              <w:jc w:val="center"/>
              <w:textAlignment w:val="center"/>
              <w:rPr>
                <w:rFonts w:ascii="楷体" w:hAnsi="楷体" w:eastAsia="楷体" w:cs="楷体"/>
                <w:kern w:val="0"/>
                <w:szCs w:val="21"/>
              </w:rPr>
            </w:pPr>
          </w:p>
        </w:tc>
      </w:tr>
      <w:tr w14:paraId="6BA396EE">
        <w:tblPrEx>
          <w:tblCellMar>
            <w:top w:w="0" w:type="dxa"/>
            <w:left w:w="108" w:type="dxa"/>
            <w:bottom w:w="0" w:type="dxa"/>
            <w:right w:w="108" w:type="dxa"/>
          </w:tblCellMar>
        </w:tblPrEx>
        <w:trPr>
          <w:trHeight w:val="853" w:hRule="atLeast"/>
        </w:trPr>
        <w:tc>
          <w:tcPr>
            <w:tcW w:w="186" w:type="pct"/>
            <w:tcBorders>
              <w:top w:val="single" w:color="000000" w:sz="4" w:space="0"/>
              <w:left w:val="single" w:color="000000" w:sz="4" w:space="0"/>
              <w:bottom w:val="single" w:color="000000" w:sz="4" w:space="0"/>
              <w:right w:val="single" w:color="000000" w:sz="4" w:space="0"/>
            </w:tcBorders>
            <w:noWrap/>
            <w:vAlign w:val="center"/>
          </w:tcPr>
          <w:p w14:paraId="7FE6529E">
            <w:pPr>
              <w:widowControl/>
              <w:jc w:val="center"/>
              <w:textAlignment w:val="center"/>
              <w:rPr>
                <w:rFonts w:ascii="楷体" w:hAnsi="楷体" w:eastAsia="楷体" w:cs="宋体"/>
                <w:kern w:val="0"/>
              </w:rPr>
            </w:pPr>
            <w:r>
              <w:rPr>
                <w:rFonts w:hint="eastAsia" w:ascii="楷体" w:hAnsi="楷体" w:eastAsia="楷体" w:cs="宋体"/>
                <w:kern w:val="0"/>
              </w:rPr>
              <w:t>3</w:t>
            </w:r>
          </w:p>
        </w:tc>
        <w:tc>
          <w:tcPr>
            <w:tcW w:w="633" w:type="pct"/>
            <w:gridSpan w:val="2"/>
            <w:tcBorders>
              <w:top w:val="single" w:color="000000" w:sz="4" w:space="0"/>
              <w:left w:val="single" w:color="000000" w:sz="4" w:space="0"/>
              <w:bottom w:val="single" w:color="000000" w:sz="4" w:space="0"/>
              <w:right w:val="single" w:color="000000" w:sz="4" w:space="0"/>
            </w:tcBorders>
            <w:noWrap/>
            <w:vAlign w:val="center"/>
          </w:tcPr>
          <w:p w14:paraId="2DC1A87F">
            <w:pPr>
              <w:widowControl/>
              <w:jc w:val="center"/>
              <w:textAlignment w:val="center"/>
              <w:rPr>
                <w:rFonts w:ascii="宋体" w:hAnsi="宋体" w:cs="宋体"/>
                <w:kern w:val="0"/>
              </w:rPr>
            </w:pPr>
            <w:r>
              <w:rPr>
                <w:rFonts w:hint="eastAsia" w:ascii="楷体" w:hAnsi="楷体" w:eastAsia="楷体" w:cs="楷体"/>
                <w:kern w:val="0"/>
                <w:szCs w:val="21"/>
              </w:rPr>
              <w:t>资质（2分）</w:t>
            </w:r>
          </w:p>
        </w:tc>
        <w:tc>
          <w:tcPr>
            <w:tcW w:w="501" w:type="pct"/>
            <w:tcBorders>
              <w:top w:val="single" w:color="000000" w:sz="4" w:space="0"/>
              <w:left w:val="single" w:color="000000" w:sz="4" w:space="0"/>
              <w:bottom w:val="single" w:color="000000" w:sz="4" w:space="0"/>
              <w:right w:val="single" w:color="000000" w:sz="4" w:space="0"/>
            </w:tcBorders>
            <w:noWrap/>
            <w:vAlign w:val="center"/>
          </w:tcPr>
          <w:p w14:paraId="1D32964F">
            <w:pPr>
              <w:widowControl/>
              <w:jc w:val="center"/>
              <w:textAlignment w:val="center"/>
              <w:rPr>
                <w:rFonts w:ascii="楷体" w:hAnsi="楷体" w:eastAsia="楷体" w:cs="楷体"/>
                <w:kern w:val="0"/>
                <w:szCs w:val="21"/>
              </w:rPr>
            </w:pPr>
            <w:r>
              <w:rPr>
                <w:rFonts w:hint="eastAsia" w:ascii="楷体" w:hAnsi="楷体" w:eastAsia="楷体" w:cs="楷体"/>
                <w:kern w:val="0"/>
                <w:szCs w:val="21"/>
              </w:rPr>
              <w:t>单位资质</w:t>
            </w:r>
          </w:p>
        </w:tc>
        <w:tc>
          <w:tcPr>
            <w:tcW w:w="3078" w:type="pct"/>
            <w:tcBorders>
              <w:top w:val="single" w:color="000000" w:sz="4" w:space="0"/>
              <w:left w:val="single" w:color="000000" w:sz="4" w:space="0"/>
              <w:bottom w:val="single" w:color="000000" w:sz="4" w:space="0"/>
              <w:right w:val="single" w:color="000000" w:sz="4" w:space="0"/>
            </w:tcBorders>
            <w:noWrap/>
            <w:vAlign w:val="center"/>
          </w:tcPr>
          <w:p w14:paraId="266734F7">
            <w:pPr>
              <w:widowControl/>
              <w:jc w:val="left"/>
              <w:textAlignment w:val="center"/>
              <w:rPr>
                <w:rFonts w:ascii="宋体" w:hAnsi="宋体" w:eastAsia="楷体" w:cs="宋体"/>
                <w:kern w:val="0"/>
                <w:sz w:val="20"/>
                <w:szCs w:val="20"/>
              </w:rPr>
            </w:pPr>
            <w:r>
              <w:rPr>
                <w:rFonts w:hint="eastAsia" w:ascii="楷体" w:hAnsi="楷体" w:eastAsia="楷体" w:cs="楷体"/>
                <w:kern w:val="0"/>
                <w:szCs w:val="21"/>
              </w:rPr>
              <w:t>具有建筑工程施工总承包壹级及以上资质得1分、地基基础工程专业承包壹级及以上资质得1分。</w:t>
            </w:r>
          </w:p>
        </w:tc>
        <w:tc>
          <w:tcPr>
            <w:tcW w:w="316" w:type="pct"/>
            <w:tcBorders>
              <w:top w:val="single" w:color="000000" w:sz="4" w:space="0"/>
              <w:left w:val="single" w:color="000000" w:sz="4" w:space="0"/>
              <w:bottom w:val="single" w:color="000000" w:sz="4" w:space="0"/>
              <w:right w:val="single" w:color="000000" w:sz="4" w:space="0"/>
            </w:tcBorders>
            <w:noWrap/>
            <w:vAlign w:val="center"/>
          </w:tcPr>
          <w:p w14:paraId="15C5534E">
            <w:pPr>
              <w:widowControl/>
              <w:jc w:val="center"/>
              <w:textAlignment w:val="center"/>
              <w:rPr>
                <w:rFonts w:ascii="宋体" w:hAnsi="宋体" w:cs="宋体"/>
                <w:kern w:val="0"/>
              </w:rPr>
            </w:pPr>
            <w:r>
              <w:rPr>
                <w:rFonts w:hint="eastAsia" w:ascii="楷体" w:hAnsi="楷体" w:eastAsia="楷体" w:cs="楷体"/>
                <w:kern w:val="0"/>
                <w:szCs w:val="21"/>
              </w:rPr>
              <w:t>2分</w:t>
            </w:r>
          </w:p>
        </w:tc>
        <w:tc>
          <w:tcPr>
            <w:tcW w:w="286" w:type="pct"/>
            <w:tcBorders>
              <w:top w:val="single" w:color="000000" w:sz="4" w:space="0"/>
              <w:left w:val="single" w:color="000000" w:sz="4" w:space="0"/>
              <w:bottom w:val="single" w:color="000000" w:sz="4" w:space="0"/>
              <w:right w:val="single" w:color="auto" w:sz="4" w:space="0"/>
            </w:tcBorders>
            <w:noWrap/>
            <w:vAlign w:val="center"/>
          </w:tcPr>
          <w:p w14:paraId="2C8B6596">
            <w:pPr>
              <w:widowControl/>
              <w:jc w:val="center"/>
              <w:textAlignment w:val="center"/>
              <w:rPr>
                <w:rFonts w:ascii="宋体" w:hAnsi="宋体" w:cs="宋体"/>
                <w:kern w:val="0"/>
              </w:rPr>
            </w:pPr>
          </w:p>
        </w:tc>
      </w:tr>
      <w:tr w14:paraId="5630BBB6">
        <w:tblPrEx>
          <w:tblCellMar>
            <w:top w:w="0" w:type="dxa"/>
            <w:left w:w="108" w:type="dxa"/>
            <w:bottom w:w="0" w:type="dxa"/>
            <w:right w:w="108" w:type="dxa"/>
          </w:tblCellMar>
        </w:tblPrEx>
        <w:trPr>
          <w:trHeight w:val="722" w:hRule="atLeast"/>
        </w:trPr>
        <w:tc>
          <w:tcPr>
            <w:tcW w:w="5000" w:type="pct"/>
            <w:gridSpan w:val="7"/>
            <w:tcBorders>
              <w:top w:val="single" w:color="000000" w:sz="4" w:space="0"/>
              <w:left w:val="single" w:color="000000" w:sz="4" w:space="0"/>
              <w:bottom w:val="single" w:color="000000" w:sz="4" w:space="0"/>
              <w:right w:val="single" w:color="000000" w:sz="4" w:space="0"/>
            </w:tcBorders>
            <w:noWrap/>
            <w:vAlign w:val="center"/>
          </w:tcPr>
          <w:p w14:paraId="565B40A3">
            <w:pPr>
              <w:widowControl/>
              <w:jc w:val="center"/>
              <w:textAlignment w:val="center"/>
              <w:rPr>
                <w:rFonts w:ascii="宋体" w:hAnsi="宋体" w:cs="宋体"/>
                <w:kern w:val="0"/>
                <w:sz w:val="24"/>
              </w:rPr>
            </w:pPr>
            <w:r>
              <w:rPr>
                <w:rFonts w:hint="eastAsia" w:ascii="楷体" w:hAnsi="楷体" w:eastAsia="楷体" w:cs="楷体"/>
                <w:kern w:val="0"/>
                <w:sz w:val="28"/>
                <w:szCs w:val="28"/>
              </w:rPr>
              <w:t>技术方案部分</w:t>
            </w:r>
          </w:p>
        </w:tc>
      </w:tr>
      <w:tr w14:paraId="7ACDEAA8">
        <w:tblPrEx>
          <w:tblCellMar>
            <w:top w:w="0" w:type="dxa"/>
            <w:left w:w="108" w:type="dxa"/>
            <w:bottom w:w="0" w:type="dxa"/>
            <w:right w:w="108" w:type="dxa"/>
          </w:tblCellMar>
        </w:tblPrEx>
        <w:trPr>
          <w:trHeight w:val="325" w:hRule="atLeast"/>
        </w:trPr>
        <w:tc>
          <w:tcPr>
            <w:tcW w:w="819" w:type="pct"/>
            <w:gridSpan w:val="3"/>
            <w:tcBorders>
              <w:top w:val="single" w:color="000000" w:sz="4" w:space="0"/>
              <w:left w:val="single" w:color="000000" w:sz="4" w:space="0"/>
              <w:bottom w:val="single" w:color="000000" w:sz="4" w:space="0"/>
              <w:right w:val="single" w:color="000000" w:sz="4" w:space="0"/>
            </w:tcBorders>
            <w:vAlign w:val="center"/>
          </w:tcPr>
          <w:p w14:paraId="3216DD06">
            <w:pPr>
              <w:widowControl/>
              <w:jc w:val="center"/>
              <w:textAlignment w:val="center"/>
              <w:rPr>
                <w:rFonts w:ascii="楷体" w:hAnsi="楷体" w:eastAsia="楷体" w:cs="楷体"/>
                <w:sz w:val="24"/>
              </w:rPr>
            </w:pPr>
            <w:r>
              <w:rPr>
                <w:rFonts w:hint="eastAsia" w:ascii="楷体" w:hAnsi="楷体" w:eastAsia="楷体" w:cs="楷体"/>
                <w:kern w:val="0"/>
                <w:sz w:val="24"/>
              </w:rPr>
              <w:t>条款</w:t>
            </w:r>
          </w:p>
        </w:tc>
        <w:tc>
          <w:tcPr>
            <w:tcW w:w="501" w:type="pct"/>
            <w:tcBorders>
              <w:top w:val="single" w:color="000000" w:sz="4" w:space="0"/>
              <w:left w:val="single" w:color="000000" w:sz="4" w:space="0"/>
              <w:bottom w:val="single" w:color="000000" w:sz="4" w:space="0"/>
              <w:right w:val="single" w:color="000000" w:sz="4" w:space="0"/>
            </w:tcBorders>
            <w:vAlign w:val="center"/>
          </w:tcPr>
          <w:p w14:paraId="638FFC67">
            <w:pPr>
              <w:widowControl/>
              <w:jc w:val="center"/>
              <w:textAlignment w:val="center"/>
              <w:rPr>
                <w:rFonts w:ascii="楷体" w:hAnsi="楷体" w:eastAsia="楷体" w:cs="楷体"/>
                <w:sz w:val="24"/>
              </w:rPr>
            </w:pPr>
            <w:r>
              <w:rPr>
                <w:rFonts w:hint="eastAsia" w:ascii="楷体" w:hAnsi="楷体" w:eastAsia="楷体" w:cs="楷体"/>
                <w:kern w:val="0"/>
                <w:sz w:val="24"/>
              </w:rPr>
              <w:t>评分因素</w:t>
            </w:r>
          </w:p>
        </w:tc>
        <w:tc>
          <w:tcPr>
            <w:tcW w:w="3078" w:type="pct"/>
            <w:tcBorders>
              <w:top w:val="single" w:color="000000" w:sz="4" w:space="0"/>
              <w:left w:val="single" w:color="000000" w:sz="4" w:space="0"/>
              <w:bottom w:val="single" w:color="000000" w:sz="4" w:space="0"/>
              <w:right w:val="single" w:color="000000" w:sz="4" w:space="0"/>
            </w:tcBorders>
            <w:vAlign w:val="center"/>
          </w:tcPr>
          <w:p w14:paraId="22CDC648">
            <w:pPr>
              <w:widowControl/>
              <w:jc w:val="center"/>
              <w:textAlignment w:val="center"/>
              <w:rPr>
                <w:rFonts w:ascii="楷体" w:hAnsi="楷体" w:eastAsia="楷体" w:cs="楷体"/>
                <w:sz w:val="24"/>
              </w:rPr>
            </w:pPr>
            <w:r>
              <w:rPr>
                <w:rFonts w:hint="eastAsia" w:ascii="楷体" w:hAnsi="楷体" w:eastAsia="楷体" w:cs="楷体"/>
                <w:kern w:val="0"/>
                <w:sz w:val="24"/>
              </w:rPr>
              <w:t>评分标准</w:t>
            </w:r>
          </w:p>
        </w:tc>
        <w:tc>
          <w:tcPr>
            <w:tcW w:w="316" w:type="pct"/>
            <w:tcBorders>
              <w:top w:val="single" w:color="000000" w:sz="4" w:space="0"/>
              <w:left w:val="single" w:color="000000" w:sz="4" w:space="0"/>
              <w:bottom w:val="single" w:color="000000" w:sz="4" w:space="0"/>
              <w:right w:val="single" w:color="000000" w:sz="4" w:space="0"/>
            </w:tcBorders>
            <w:vAlign w:val="center"/>
          </w:tcPr>
          <w:p w14:paraId="50E8BA8B">
            <w:pPr>
              <w:widowControl/>
              <w:jc w:val="center"/>
              <w:textAlignment w:val="center"/>
              <w:rPr>
                <w:rFonts w:ascii="楷体" w:hAnsi="楷体" w:eastAsia="楷体" w:cs="楷体"/>
                <w:sz w:val="24"/>
              </w:rPr>
            </w:pPr>
            <w:r>
              <w:rPr>
                <w:rFonts w:hint="eastAsia" w:ascii="楷体" w:hAnsi="楷体" w:eastAsia="楷体" w:cs="楷体"/>
                <w:kern w:val="0"/>
                <w:sz w:val="24"/>
              </w:rPr>
              <w:t>分值</w:t>
            </w:r>
          </w:p>
        </w:tc>
        <w:tc>
          <w:tcPr>
            <w:tcW w:w="286" w:type="pct"/>
            <w:tcBorders>
              <w:top w:val="single" w:color="000000" w:sz="4" w:space="0"/>
              <w:left w:val="single" w:color="000000" w:sz="4" w:space="0"/>
              <w:bottom w:val="single" w:color="000000" w:sz="4" w:space="0"/>
              <w:right w:val="single" w:color="000000" w:sz="4" w:space="0"/>
            </w:tcBorders>
            <w:vAlign w:val="center"/>
          </w:tcPr>
          <w:p w14:paraId="06047A77">
            <w:pPr>
              <w:widowControl/>
              <w:jc w:val="center"/>
              <w:textAlignment w:val="center"/>
              <w:rPr>
                <w:rFonts w:ascii="楷体" w:hAnsi="楷体" w:eastAsia="楷体" w:cs="楷体"/>
                <w:kern w:val="0"/>
                <w:sz w:val="24"/>
              </w:rPr>
            </w:pPr>
            <w:r>
              <w:rPr>
                <w:rFonts w:hint="eastAsia" w:ascii="楷体" w:hAnsi="楷体" w:eastAsia="楷体" w:cs="楷体"/>
                <w:kern w:val="0"/>
                <w:sz w:val="24"/>
              </w:rPr>
              <w:t>得分值</w:t>
            </w:r>
          </w:p>
        </w:tc>
      </w:tr>
      <w:tr w14:paraId="06166F2E">
        <w:tblPrEx>
          <w:tblCellMar>
            <w:top w:w="0" w:type="dxa"/>
            <w:left w:w="108" w:type="dxa"/>
            <w:bottom w:w="0" w:type="dxa"/>
            <w:right w:w="108" w:type="dxa"/>
          </w:tblCellMar>
        </w:tblPrEx>
        <w:trPr>
          <w:trHeight w:val="1958" w:hRule="atLeast"/>
        </w:trPr>
        <w:tc>
          <w:tcPr>
            <w:tcW w:w="308" w:type="pct"/>
            <w:gridSpan w:val="2"/>
            <w:tcBorders>
              <w:top w:val="single" w:color="000000" w:sz="4" w:space="0"/>
              <w:left w:val="single" w:color="000000" w:sz="4" w:space="0"/>
              <w:bottom w:val="single" w:color="000000" w:sz="4" w:space="0"/>
              <w:right w:val="single" w:color="000000" w:sz="4" w:space="0"/>
            </w:tcBorders>
            <w:noWrap/>
            <w:vAlign w:val="center"/>
          </w:tcPr>
          <w:p w14:paraId="70602E6A">
            <w:pPr>
              <w:widowControl/>
              <w:jc w:val="center"/>
              <w:textAlignment w:val="center"/>
              <w:rPr>
                <w:rFonts w:ascii="楷体" w:hAnsi="楷体" w:eastAsia="楷体" w:cs="楷体"/>
                <w:kern w:val="0"/>
                <w:szCs w:val="21"/>
              </w:rPr>
            </w:pPr>
            <w:r>
              <w:rPr>
                <w:rFonts w:hint="eastAsia" w:ascii="楷体" w:hAnsi="楷体" w:eastAsia="楷体" w:cs="楷体"/>
                <w:kern w:val="0"/>
                <w:szCs w:val="21"/>
              </w:rPr>
              <w:t>1</w:t>
            </w:r>
          </w:p>
        </w:tc>
        <w:tc>
          <w:tcPr>
            <w:tcW w:w="511" w:type="pct"/>
            <w:tcBorders>
              <w:top w:val="single" w:color="000000" w:sz="4" w:space="0"/>
              <w:left w:val="single" w:color="000000" w:sz="4" w:space="0"/>
              <w:bottom w:val="single" w:color="000000" w:sz="4" w:space="0"/>
              <w:right w:val="single" w:color="000000" w:sz="4" w:space="0"/>
            </w:tcBorders>
            <w:vAlign w:val="center"/>
          </w:tcPr>
          <w:p w14:paraId="73CDEAF8">
            <w:pPr>
              <w:widowControl/>
              <w:jc w:val="center"/>
              <w:textAlignment w:val="center"/>
              <w:rPr>
                <w:rFonts w:ascii="楷体" w:hAnsi="楷体" w:eastAsia="楷体" w:cs="楷体"/>
                <w:kern w:val="0"/>
                <w:szCs w:val="21"/>
              </w:rPr>
            </w:pPr>
            <w:r>
              <w:rPr>
                <w:rFonts w:hint="eastAsia" w:ascii="楷体" w:hAnsi="楷体" w:eastAsia="楷体" w:cs="楷体"/>
                <w:kern w:val="0"/>
                <w:szCs w:val="21"/>
              </w:rPr>
              <w:t>总体施工方案（</w:t>
            </w:r>
            <w:r>
              <w:rPr>
                <w:rFonts w:hint="eastAsia" w:ascii="楷体" w:hAnsi="楷体" w:eastAsia="楷体" w:cs="楷体"/>
                <w:kern w:val="0"/>
                <w:szCs w:val="21"/>
                <w:lang w:val="en-US" w:eastAsia="zh-CN"/>
              </w:rPr>
              <w:t>4</w:t>
            </w:r>
            <w:r>
              <w:rPr>
                <w:rFonts w:hint="eastAsia" w:ascii="楷体" w:hAnsi="楷体" w:eastAsia="楷体" w:cs="楷体"/>
                <w:kern w:val="0"/>
                <w:szCs w:val="21"/>
              </w:rPr>
              <w:t>分）</w:t>
            </w:r>
          </w:p>
        </w:tc>
        <w:tc>
          <w:tcPr>
            <w:tcW w:w="501" w:type="pct"/>
            <w:tcBorders>
              <w:top w:val="single" w:color="000000" w:sz="4" w:space="0"/>
              <w:left w:val="single" w:color="000000" w:sz="4" w:space="0"/>
              <w:bottom w:val="single" w:color="000000" w:sz="4" w:space="0"/>
              <w:right w:val="single" w:color="000000" w:sz="4" w:space="0"/>
            </w:tcBorders>
            <w:noWrap/>
            <w:vAlign w:val="center"/>
          </w:tcPr>
          <w:p w14:paraId="58525F52">
            <w:pPr>
              <w:widowControl/>
              <w:jc w:val="center"/>
              <w:textAlignment w:val="center"/>
              <w:rPr>
                <w:rFonts w:ascii="楷体" w:hAnsi="楷体" w:eastAsia="楷体" w:cs="楷体"/>
                <w:kern w:val="0"/>
                <w:szCs w:val="21"/>
              </w:rPr>
            </w:pPr>
            <w:r>
              <w:rPr>
                <w:rFonts w:hint="eastAsia" w:ascii="楷体" w:hAnsi="楷体" w:eastAsia="楷体" w:cs="楷体"/>
                <w:kern w:val="0"/>
                <w:szCs w:val="21"/>
              </w:rPr>
              <w:t>施工方案施工组织及技术方案安全、合理、可靠性</w:t>
            </w:r>
          </w:p>
        </w:tc>
        <w:tc>
          <w:tcPr>
            <w:tcW w:w="3078" w:type="pct"/>
            <w:tcBorders>
              <w:top w:val="single" w:color="000000" w:sz="4" w:space="0"/>
              <w:left w:val="single" w:color="000000" w:sz="4" w:space="0"/>
              <w:bottom w:val="single" w:color="000000" w:sz="4" w:space="0"/>
              <w:right w:val="single" w:color="000000" w:sz="4" w:space="0"/>
            </w:tcBorders>
            <w:vAlign w:val="center"/>
          </w:tcPr>
          <w:p w14:paraId="0ACC2B57">
            <w:pPr>
              <w:widowControl/>
              <w:jc w:val="left"/>
              <w:textAlignment w:val="center"/>
              <w:rPr>
                <w:rFonts w:ascii="楷体" w:hAnsi="楷体" w:eastAsia="楷体" w:cs="楷体"/>
                <w:kern w:val="0"/>
                <w:szCs w:val="21"/>
              </w:rPr>
            </w:pPr>
            <w:r>
              <w:rPr>
                <w:rFonts w:hint="eastAsia" w:ascii="楷体" w:hAnsi="楷体" w:eastAsia="楷体" w:cs="楷体"/>
                <w:kern w:val="0"/>
                <w:szCs w:val="21"/>
              </w:rPr>
              <w:t>根据对该项目功能需求、性能要求和实施要求等内容的目标理解，设计方案完整性、合理性、可操作性，具有针对性（特别是工程关键部位、针对本项目施工环境需要采取的施工技术、组织措施情况、应急处置措施），现场管理方案是否具备安全文明施工，对以上内容进行打分，好得</w:t>
            </w:r>
            <w:r>
              <w:rPr>
                <w:rFonts w:hint="eastAsia" w:ascii="楷体" w:hAnsi="楷体" w:eastAsia="楷体" w:cs="楷体"/>
                <w:kern w:val="0"/>
                <w:szCs w:val="21"/>
                <w:lang w:val="en-US" w:eastAsia="zh-CN"/>
              </w:rPr>
              <w:t>4</w:t>
            </w:r>
            <w:r>
              <w:rPr>
                <w:rFonts w:hint="eastAsia" w:ascii="楷体" w:hAnsi="楷体" w:eastAsia="楷体" w:cs="楷体"/>
                <w:kern w:val="0"/>
                <w:szCs w:val="21"/>
              </w:rPr>
              <w:t>分、中得</w:t>
            </w:r>
            <w:r>
              <w:rPr>
                <w:rFonts w:hint="eastAsia" w:ascii="楷体" w:hAnsi="楷体" w:eastAsia="楷体" w:cs="楷体"/>
                <w:kern w:val="0"/>
                <w:szCs w:val="21"/>
                <w:lang w:val="en-US" w:eastAsia="zh-CN"/>
              </w:rPr>
              <w:t>2</w:t>
            </w:r>
            <w:r>
              <w:rPr>
                <w:rFonts w:hint="eastAsia" w:ascii="楷体" w:hAnsi="楷体" w:eastAsia="楷体" w:cs="楷体"/>
                <w:kern w:val="0"/>
                <w:szCs w:val="21"/>
              </w:rPr>
              <w:t>分、一般得1分、差或未提供得0分。</w:t>
            </w:r>
          </w:p>
          <w:p w14:paraId="1077ACD3">
            <w:pPr>
              <w:widowControl/>
              <w:jc w:val="left"/>
              <w:textAlignment w:val="center"/>
              <w:rPr>
                <w:rFonts w:ascii="楷体" w:hAnsi="楷体" w:eastAsia="楷体" w:cs="楷体"/>
                <w:kern w:val="0"/>
                <w:szCs w:val="21"/>
              </w:rPr>
            </w:pPr>
            <w:r>
              <w:rPr>
                <w:rFonts w:hint="eastAsia" w:ascii="楷体" w:hAnsi="楷体" w:eastAsia="楷体" w:cs="楷体"/>
                <w:color w:val="FF0000"/>
                <w:kern w:val="0"/>
                <w:szCs w:val="21"/>
              </w:rPr>
              <w:t>（注：该项望投标人根据招标人实际情况，提出切实可行的方案）</w:t>
            </w:r>
          </w:p>
        </w:tc>
        <w:tc>
          <w:tcPr>
            <w:tcW w:w="316" w:type="pct"/>
            <w:tcBorders>
              <w:top w:val="single" w:color="000000" w:sz="4" w:space="0"/>
              <w:left w:val="single" w:color="000000" w:sz="4" w:space="0"/>
              <w:bottom w:val="single" w:color="000000" w:sz="4" w:space="0"/>
              <w:right w:val="single" w:color="000000" w:sz="4" w:space="0"/>
            </w:tcBorders>
            <w:noWrap/>
            <w:vAlign w:val="center"/>
          </w:tcPr>
          <w:p w14:paraId="67DFD4C4">
            <w:pPr>
              <w:widowControl/>
              <w:jc w:val="center"/>
              <w:textAlignment w:val="center"/>
              <w:rPr>
                <w:rFonts w:ascii="楷体" w:hAnsi="楷体" w:eastAsia="楷体" w:cs="楷体"/>
                <w:szCs w:val="21"/>
              </w:rPr>
            </w:pPr>
            <w:r>
              <w:rPr>
                <w:rFonts w:hint="eastAsia" w:ascii="楷体" w:hAnsi="楷体" w:eastAsia="楷体" w:cs="楷体"/>
                <w:kern w:val="0"/>
                <w:szCs w:val="21"/>
                <w:lang w:val="en-US" w:eastAsia="zh-CN"/>
              </w:rPr>
              <w:t>4</w:t>
            </w:r>
            <w:r>
              <w:rPr>
                <w:rFonts w:hint="eastAsia" w:ascii="楷体" w:hAnsi="楷体" w:eastAsia="楷体" w:cs="楷体"/>
                <w:kern w:val="0"/>
                <w:szCs w:val="21"/>
              </w:rPr>
              <w:t>分</w:t>
            </w:r>
          </w:p>
        </w:tc>
        <w:tc>
          <w:tcPr>
            <w:tcW w:w="286" w:type="pct"/>
            <w:tcBorders>
              <w:top w:val="single" w:color="000000" w:sz="4" w:space="0"/>
              <w:left w:val="single" w:color="000000" w:sz="4" w:space="0"/>
              <w:bottom w:val="single" w:color="000000" w:sz="4" w:space="0"/>
              <w:right w:val="single" w:color="000000" w:sz="4" w:space="0"/>
            </w:tcBorders>
            <w:noWrap/>
            <w:vAlign w:val="center"/>
          </w:tcPr>
          <w:p w14:paraId="44A66BE0">
            <w:pPr>
              <w:widowControl/>
              <w:jc w:val="center"/>
              <w:textAlignment w:val="center"/>
              <w:rPr>
                <w:rFonts w:ascii="楷体" w:hAnsi="楷体" w:eastAsia="楷体" w:cs="楷体"/>
                <w:kern w:val="0"/>
                <w:szCs w:val="21"/>
              </w:rPr>
            </w:pPr>
          </w:p>
        </w:tc>
      </w:tr>
      <w:tr w14:paraId="3D3AAF2A">
        <w:tblPrEx>
          <w:tblCellMar>
            <w:top w:w="0" w:type="dxa"/>
            <w:left w:w="108" w:type="dxa"/>
            <w:bottom w:w="0" w:type="dxa"/>
            <w:right w:w="108" w:type="dxa"/>
          </w:tblCellMar>
        </w:tblPrEx>
        <w:trPr>
          <w:trHeight w:val="90" w:hRule="atLeast"/>
        </w:trPr>
        <w:tc>
          <w:tcPr>
            <w:tcW w:w="308" w:type="pct"/>
            <w:gridSpan w:val="2"/>
            <w:tcBorders>
              <w:top w:val="single" w:color="000000" w:sz="4" w:space="0"/>
              <w:left w:val="single" w:color="000000" w:sz="4" w:space="0"/>
              <w:bottom w:val="single" w:color="000000" w:sz="4" w:space="0"/>
              <w:right w:val="single" w:color="000000" w:sz="4" w:space="0"/>
            </w:tcBorders>
            <w:noWrap/>
            <w:vAlign w:val="center"/>
          </w:tcPr>
          <w:p w14:paraId="126AEAF1">
            <w:pPr>
              <w:widowControl/>
              <w:jc w:val="center"/>
              <w:textAlignment w:val="center"/>
              <w:rPr>
                <w:rFonts w:ascii="楷体" w:hAnsi="楷体" w:eastAsia="楷体" w:cs="楷体"/>
                <w:kern w:val="0"/>
                <w:szCs w:val="21"/>
              </w:rPr>
            </w:pPr>
            <w:r>
              <w:rPr>
                <w:rFonts w:hint="eastAsia" w:ascii="楷体" w:hAnsi="楷体" w:eastAsia="楷体" w:cs="楷体"/>
                <w:kern w:val="0"/>
                <w:szCs w:val="21"/>
              </w:rPr>
              <w:t>2</w:t>
            </w:r>
          </w:p>
        </w:tc>
        <w:tc>
          <w:tcPr>
            <w:tcW w:w="511" w:type="pct"/>
            <w:tcBorders>
              <w:top w:val="single" w:color="000000" w:sz="4" w:space="0"/>
              <w:left w:val="single" w:color="000000" w:sz="4" w:space="0"/>
              <w:bottom w:val="single" w:color="000000" w:sz="4" w:space="0"/>
              <w:right w:val="single" w:color="000000" w:sz="4" w:space="0"/>
            </w:tcBorders>
            <w:vAlign w:val="center"/>
          </w:tcPr>
          <w:p w14:paraId="38D20988">
            <w:pPr>
              <w:widowControl/>
              <w:jc w:val="center"/>
              <w:textAlignment w:val="center"/>
              <w:rPr>
                <w:rFonts w:ascii="楷体" w:hAnsi="楷体" w:eastAsia="楷体" w:cs="楷体"/>
                <w:kern w:val="0"/>
                <w:szCs w:val="21"/>
              </w:rPr>
            </w:pPr>
            <w:r>
              <w:rPr>
                <w:rFonts w:hint="eastAsia" w:ascii="楷体" w:hAnsi="楷体" w:eastAsia="楷体" w:cs="楷体"/>
                <w:kern w:val="0"/>
                <w:szCs w:val="21"/>
              </w:rPr>
              <w:t>质量保障措施方案</w:t>
            </w:r>
          </w:p>
          <w:p w14:paraId="335BC649">
            <w:pPr>
              <w:widowControl/>
              <w:jc w:val="center"/>
              <w:textAlignment w:val="center"/>
              <w:rPr>
                <w:rFonts w:ascii="楷体" w:hAnsi="楷体" w:eastAsia="楷体" w:cs="楷体"/>
                <w:kern w:val="0"/>
                <w:szCs w:val="21"/>
              </w:rPr>
            </w:pPr>
            <w:r>
              <w:rPr>
                <w:rFonts w:hint="eastAsia" w:ascii="楷体" w:hAnsi="楷体" w:eastAsia="楷体" w:cs="楷体"/>
                <w:kern w:val="0"/>
                <w:szCs w:val="21"/>
              </w:rPr>
              <w:t>（2分）</w:t>
            </w:r>
          </w:p>
        </w:tc>
        <w:tc>
          <w:tcPr>
            <w:tcW w:w="501" w:type="pct"/>
            <w:tcBorders>
              <w:top w:val="single" w:color="000000" w:sz="4" w:space="0"/>
              <w:left w:val="single" w:color="000000" w:sz="4" w:space="0"/>
              <w:bottom w:val="single" w:color="000000" w:sz="4" w:space="0"/>
              <w:right w:val="single" w:color="000000" w:sz="4" w:space="0"/>
            </w:tcBorders>
            <w:noWrap/>
            <w:vAlign w:val="center"/>
          </w:tcPr>
          <w:p w14:paraId="4E5CD602">
            <w:pPr>
              <w:widowControl/>
              <w:jc w:val="center"/>
              <w:textAlignment w:val="center"/>
              <w:rPr>
                <w:rFonts w:ascii="楷体" w:hAnsi="楷体" w:eastAsia="楷体" w:cs="楷体"/>
                <w:kern w:val="0"/>
                <w:szCs w:val="21"/>
              </w:rPr>
            </w:pPr>
            <w:r>
              <w:rPr>
                <w:rFonts w:hint="eastAsia" w:ascii="楷体" w:hAnsi="楷体" w:eastAsia="楷体" w:cs="楷体"/>
                <w:kern w:val="0"/>
                <w:szCs w:val="21"/>
              </w:rPr>
              <w:t>质量方案</w:t>
            </w:r>
          </w:p>
        </w:tc>
        <w:tc>
          <w:tcPr>
            <w:tcW w:w="3078" w:type="pct"/>
            <w:tcBorders>
              <w:top w:val="single" w:color="000000" w:sz="4" w:space="0"/>
              <w:left w:val="single" w:color="000000" w:sz="4" w:space="0"/>
              <w:bottom w:val="single" w:color="000000" w:sz="4" w:space="0"/>
              <w:right w:val="single" w:color="000000" w:sz="4" w:space="0"/>
            </w:tcBorders>
            <w:vAlign w:val="center"/>
          </w:tcPr>
          <w:p w14:paraId="21F91E70">
            <w:pPr>
              <w:widowControl/>
              <w:jc w:val="left"/>
              <w:textAlignment w:val="center"/>
              <w:rPr>
                <w:rFonts w:ascii="楷体" w:hAnsi="楷体" w:eastAsia="楷体" w:cs="楷体"/>
                <w:kern w:val="0"/>
                <w:szCs w:val="21"/>
              </w:rPr>
            </w:pPr>
            <w:r>
              <w:rPr>
                <w:rFonts w:hint="eastAsia" w:ascii="楷体" w:hAnsi="楷体" w:eastAsia="楷体" w:cs="楷体"/>
                <w:kern w:val="0"/>
                <w:szCs w:val="21"/>
              </w:rPr>
              <w:t>项目质量目标明确，质量管理制度健全，质量控制措施到位，根据投标人提供的施工质量控制措施的科学性和合理性进行横向比较，好得2分、中得1分、差或未提供得0分。</w:t>
            </w:r>
          </w:p>
        </w:tc>
        <w:tc>
          <w:tcPr>
            <w:tcW w:w="316" w:type="pct"/>
            <w:tcBorders>
              <w:top w:val="single" w:color="000000" w:sz="4" w:space="0"/>
              <w:left w:val="single" w:color="000000" w:sz="4" w:space="0"/>
              <w:bottom w:val="single" w:color="000000" w:sz="4" w:space="0"/>
              <w:right w:val="single" w:color="000000" w:sz="4" w:space="0"/>
            </w:tcBorders>
            <w:noWrap/>
            <w:vAlign w:val="center"/>
          </w:tcPr>
          <w:p w14:paraId="63070D5C">
            <w:pPr>
              <w:widowControl/>
              <w:jc w:val="center"/>
              <w:textAlignment w:val="center"/>
              <w:rPr>
                <w:rFonts w:ascii="楷体" w:hAnsi="楷体" w:eastAsia="楷体" w:cs="楷体"/>
                <w:kern w:val="0"/>
                <w:szCs w:val="21"/>
              </w:rPr>
            </w:pPr>
            <w:r>
              <w:rPr>
                <w:rFonts w:hint="eastAsia" w:ascii="楷体" w:hAnsi="楷体" w:eastAsia="楷体" w:cs="楷体"/>
                <w:kern w:val="0"/>
                <w:szCs w:val="21"/>
              </w:rPr>
              <w:t>2分</w:t>
            </w:r>
          </w:p>
        </w:tc>
        <w:tc>
          <w:tcPr>
            <w:tcW w:w="286" w:type="pct"/>
            <w:tcBorders>
              <w:top w:val="single" w:color="000000" w:sz="4" w:space="0"/>
              <w:left w:val="single" w:color="000000" w:sz="4" w:space="0"/>
              <w:bottom w:val="single" w:color="000000" w:sz="4" w:space="0"/>
              <w:right w:val="single" w:color="000000" w:sz="4" w:space="0"/>
            </w:tcBorders>
            <w:noWrap/>
            <w:vAlign w:val="center"/>
          </w:tcPr>
          <w:p w14:paraId="26467065">
            <w:pPr>
              <w:widowControl/>
              <w:jc w:val="center"/>
              <w:textAlignment w:val="center"/>
              <w:rPr>
                <w:rFonts w:ascii="楷体" w:hAnsi="楷体" w:eastAsia="楷体" w:cs="楷体"/>
                <w:kern w:val="0"/>
                <w:szCs w:val="21"/>
              </w:rPr>
            </w:pPr>
          </w:p>
        </w:tc>
      </w:tr>
      <w:tr w14:paraId="30A6225B">
        <w:tblPrEx>
          <w:tblCellMar>
            <w:top w:w="0" w:type="dxa"/>
            <w:left w:w="108" w:type="dxa"/>
            <w:bottom w:w="0" w:type="dxa"/>
            <w:right w:w="108" w:type="dxa"/>
          </w:tblCellMar>
        </w:tblPrEx>
        <w:trPr>
          <w:trHeight w:val="90" w:hRule="atLeast"/>
        </w:trPr>
        <w:tc>
          <w:tcPr>
            <w:tcW w:w="308" w:type="pct"/>
            <w:gridSpan w:val="2"/>
            <w:tcBorders>
              <w:left w:val="single" w:color="000000" w:sz="4" w:space="0"/>
              <w:bottom w:val="single" w:color="000000" w:sz="4" w:space="0"/>
              <w:right w:val="single" w:color="000000" w:sz="4" w:space="0"/>
            </w:tcBorders>
            <w:noWrap/>
            <w:vAlign w:val="center"/>
          </w:tcPr>
          <w:p w14:paraId="26D74B55">
            <w:pPr>
              <w:widowControl/>
              <w:jc w:val="center"/>
              <w:textAlignment w:val="center"/>
              <w:rPr>
                <w:rFonts w:ascii="楷体" w:hAnsi="楷体" w:eastAsia="楷体" w:cs="楷体"/>
                <w:kern w:val="0"/>
                <w:szCs w:val="21"/>
              </w:rPr>
            </w:pPr>
            <w:r>
              <w:rPr>
                <w:rFonts w:hint="eastAsia" w:ascii="楷体" w:hAnsi="楷体" w:eastAsia="楷体" w:cs="楷体"/>
                <w:kern w:val="0"/>
                <w:szCs w:val="21"/>
              </w:rPr>
              <w:t>3</w:t>
            </w:r>
          </w:p>
        </w:tc>
        <w:tc>
          <w:tcPr>
            <w:tcW w:w="511" w:type="pct"/>
            <w:tcBorders>
              <w:left w:val="single" w:color="000000" w:sz="4" w:space="0"/>
              <w:bottom w:val="single" w:color="000000" w:sz="4" w:space="0"/>
              <w:right w:val="single" w:color="000000" w:sz="4" w:space="0"/>
            </w:tcBorders>
            <w:vAlign w:val="center"/>
          </w:tcPr>
          <w:p w14:paraId="2196A4A5">
            <w:pPr>
              <w:widowControl/>
              <w:jc w:val="center"/>
              <w:textAlignment w:val="center"/>
              <w:rPr>
                <w:rFonts w:ascii="楷体" w:hAnsi="楷体" w:eastAsia="楷体" w:cs="楷体"/>
                <w:kern w:val="0"/>
                <w:szCs w:val="21"/>
              </w:rPr>
            </w:pPr>
            <w:r>
              <w:rPr>
                <w:rFonts w:hint="eastAsia" w:ascii="楷体" w:hAnsi="楷体" w:eastAsia="楷体" w:cs="楷体"/>
                <w:kern w:val="0"/>
                <w:szCs w:val="21"/>
              </w:rPr>
              <w:t>保修服务</w:t>
            </w:r>
          </w:p>
          <w:p w14:paraId="666CC81C">
            <w:pPr>
              <w:widowControl/>
              <w:jc w:val="center"/>
              <w:textAlignment w:val="center"/>
              <w:rPr>
                <w:rFonts w:ascii="楷体" w:hAnsi="楷体" w:eastAsia="楷体" w:cs="楷体"/>
                <w:kern w:val="0"/>
                <w:szCs w:val="21"/>
              </w:rPr>
            </w:pPr>
            <w:r>
              <w:rPr>
                <w:rFonts w:hint="eastAsia" w:ascii="楷体" w:hAnsi="楷体" w:eastAsia="楷体" w:cs="楷体"/>
                <w:kern w:val="0"/>
                <w:szCs w:val="21"/>
              </w:rPr>
              <w:t>（</w:t>
            </w:r>
            <w:r>
              <w:rPr>
                <w:rFonts w:hint="eastAsia" w:ascii="楷体" w:hAnsi="楷体" w:eastAsia="楷体" w:cs="楷体"/>
                <w:kern w:val="0"/>
                <w:szCs w:val="21"/>
                <w:lang w:val="en-US" w:eastAsia="zh-CN"/>
              </w:rPr>
              <w:t>2</w:t>
            </w:r>
            <w:r>
              <w:rPr>
                <w:rFonts w:hint="eastAsia" w:ascii="楷体" w:hAnsi="楷体" w:eastAsia="楷体" w:cs="楷体"/>
                <w:kern w:val="0"/>
                <w:szCs w:val="21"/>
              </w:rPr>
              <w:t>分）</w:t>
            </w:r>
          </w:p>
        </w:tc>
        <w:tc>
          <w:tcPr>
            <w:tcW w:w="501" w:type="pct"/>
            <w:tcBorders>
              <w:top w:val="single" w:color="000000" w:sz="4" w:space="0"/>
              <w:left w:val="single" w:color="000000" w:sz="4" w:space="0"/>
              <w:bottom w:val="single" w:color="000000" w:sz="4" w:space="0"/>
              <w:right w:val="single" w:color="000000" w:sz="4" w:space="0"/>
            </w:tcBorders>
            <w:noWrap/>
            <w:vAlign w:val="center"/>
          </w:tcPr>
          <w:p w14:paraId="0E210085">
            <w:pPr>
              <w:widowControl/>
              <w:jc w:val="center"/>
              <w:textAlignment w:val="center"/>
              <w:rPr>
                <w:rFonts w:ascii="楷体" w:hAnsi="楷体" w:eastAsia="楷体" w:cs="楷体"/>
                <w:kern w:val="0"/>
                <w:szCs w:val="21"/>
              </w:rPr>
            </w:pPr>
            <w:r>
              <w:rPr>
                <w:rFonts w:hint="eastAsia" w:ascii="楷体" w:hAnsi="楷体" w:eastAsia="楷体" w:cs="楷体"/>
                <w:kern w:val="0"/>
                <w:szCs w:val="21"/>
              </w:rPr>
              <w:t>保修服务方案及承诺</w:t>
            </w:r>
          </w:p>
        </w:tc>
        <w:tc>
          <w:tcPr>
            <w:tcW w:w="3078" w:type="pct"/>
            <w:tcBorders>
              <w:top w:val="single" w:color="000000" w:sz="4" w:space="0"/>
              <w:left w:val="single" w:color="000000" w:sz="4" w:space="0"/>
              <w:bottom w:val="single" w:color="000000" w:sz="4" w:space="0"/>
              <w:right w:val="single" w:color="000000" w:sz="4" w:space="0"/>
            </w:tcBorders>
            <w:vAlign w:val="center"/>
          </w:tcPr>
          <w:p w14:paraId="78AA773E">
            <w:pPr>
              <w:widowControl/>
              <w:jc w:val="left"/>
              <w:textAlignment w:val="center"/>
              <w:rPr>
                <w:rFonts w:ascii="楷体" w:hAnsi="楷体" w:eastAsia="楷体" w:cs="楷体"/>
                <w:kern w:val="0"/>
                <w:szCs w:val="21"/>
              </w:rPr>
            </w:pPr>
            <w:r>
              <w:rPr>
                <w:rFonts w:hint="eastAsia" w:ascii="楷体" w:hAnsi="楷体" w:eastAsia="楷体" w:cs="楷体"/>
                <w:kern w:val="0"/>
                <w:szCs w:val="21"/>
              </w:rPr>
              <w:t>评委会根据投标人提供的售后服务方案的可行性、合理性、及时性横向比较，承诺质保保修1年的得0分，</w:t>
            </w:r>
            <w:r>
              <w:rPr>
                <w:rFonts w:hint="eastAsia" w:ascii="楷体" w:hAnsi="楷体" w:eastAsia="楷体" w:cs="楷体"/>
                <w:kern w:val="0"/>
                <w:szCs w:val="21"/>
                <w:lang w:val="en-US" w:eastAsia="zh-CN"/>
              </w:rPr>
              <w:t>每增加半年得1分上限为2分</w:t>
            </w:r>
            <w:r>
              <w:rPr>
                <w:rFonts w:hint="eastAsia" w:ascii="楷体" w:hAnsi="楷体" w:eastAsia="楷体" w:cs="楷体"/>
                <w:kern w:val="0"/>
                <w:szCs w:val="21"/>
              </w:rPr>
              <w:t>。(关联</w:t>
            </w:r>
            <w:r>
              <w:rPr>
                <w:rFonts w:ascii="楷体" w:hAnsi="楷体" w:eastAsia="楷体" w:cs="楷体"/>
                <w:kern w:val="0"/>
                <w:szCs w:val="21"/>
              </w:rPr>
              <w:t>合同质保金支付期限</w:t>
            </w:r>
            <w:r>
              <w:rPr>
                <w:rFonts w:hint="eastAsia" w:ascii="楷体" w:hAnsi="楷体" w:eastAsia="楷体" w:cs="楷体"/>
                <w:kern w:val="0"/>
                <w:szCs w:val="21"/>
              </w:rPr>
              <w:t>)</w:t>
            </w:r>
          </w:p>
          <w:p w14:paraId="7025C5E4">
            <w:pPr>
              <w:widowControl/>
              <w:jc w:val="left"/>
              <w:textAlignment w:val="center"/>
              <w:rPr>
                <w:rFonts w:ascii="楷体" w:hAnsi="楷体" w:eastAsia="楷体" w:cs="楷体"/>
                <w:kern w:val="0"/>
                <w:szCs w:val="21"/>
              </w:rPr>
            </w:pPr>
            <w:r>
              <w:rPr>
                <w:rFonts w:hint="eastAsia" w:ascii="楷体" w:hAnsi="楷体" w:eastAsia="楷体" w:cs="楷体"/>
                <w:kern w:val="0"/>
                <w:szCs w:val="21"/>
              </w:rPr>
              <w:t>（注：将该承诺作为实际质保期的依据，并明确纳入合同条款中）</w:t>
            </w:r>
          </w:p>
        </w:tc>
        <w:tc>
          <w:tcPr>
            <w:tcW w:w="316" w:type="pct"/>
            <w:tcBorders>
              <w:top w:val="single" w:color="000000" w:sz="4" w:space="0"/>
              <w:left w:val="single" w:color="000000" w:sz="4" w:space="0"/>
              <w:bottom w:val="single" w:color="000000" w:sz="4" w:space="0"/>
              <w:right w:val="single" w:color="000000" w:sz="4" w:space="0"/>
            </w:tcBorders>
            <w:noWrap/>
            <w:vAlign w:val="center"/>
          </w:tcPr>
          <w:p w14:paraId="0CEEBEC5">
            <w:pPr>
              <w:widowControl/>
              <w:jc w:val="center"/>
              <w:textAlignment w:val="center"/>
              <w:rPr>
                <w:rFonts w:ascii="楷体" w:hAnsi="楷体" w:eastAsia="楷体" w:cs="楷体"/>
                <w:kern w:val="0"/>
                <w:szCs w:val="21"/>
              </w:rPr>
            </w:pPr>
            <w:r>
              <w:rPr>
                <w:rFonts w:hint="eastAsia" w:ascii="楷体" w:hAnsi="楷体" w:eastAsia="楷体" w:cs="楷体"/>
                <w:kern w:val="0"/>
                <w:szCs w:val="21"/>
                <w:lang w:val="en-US" w:eastAsia="zh-CN"/>
              </w:rPr>
              <w:t>2</w:t>
            </w:r>
            <w:r>
              <w:rPr>
                <w:rFonts w:hint="eastAsia" w:ascii="楷体" w:hAnsi="楷体" w:eastAsia="楷体" w:cs="楷体"/>
                <w:kern w:val="0"/>
                <w:szCs w:val="21"/>
              </w:rPr>
              <w:t>分</w:t>
            </w:r>
          </w:p>
        </w:tc>
        <w:tc>
          <w:tcPr>
            <w:tcW w:w="286" w:type="pct"/>
            <w:tcBorders>
              <w:top w:val="single" w:color="000000" w:sz="4" w:space="0"/>
              <w:left w:val="single" w:color="000000" w:sz="4" w:space="0"/>
              <w:bottom w:val="single" w:color="000000" w:sz="4" w:space="0"/>
              <w:right w:val="single" w:color="000000" w:sz="4" w:space="0"/>
            </w:tcBorders>
            <w:noWrap/>
            <w:vAlign w:val="center"/>
          </w:tcPr>
          <w:p w14:paraId="258D9DA6">
            <w:pPr>
              <w:widowControl/>
              <w:jc w:val="center"/>
              <w:textAlignment w:val="center"/>
              <w:rPr>
                <w:rFonts w:ascii="楷体" w:hAnsi="楷体" w:eastAsia="楷体" w:cs="楷体"/>
                <w:kern w:val="0"/>
                <w:szCs w:val="21"/>
              </w:rPr>
            </w:pPr>
          </w:p>
        </w:tc>
      </w:tr>
      <w:tr w14:paraId="36C66A04">
        <w:tblPrEx>
          <w:tblCellMar>
            <w:top w:w="0" w:type="dxa"/>
            <w:left w:w="108" w:type="dxa"/>
            <w:bottom w:w="0" w:type="dxa"/>
            <w:right w:w="108" w:type="dxa"/>
          </w:tblCellMar>
        </w:tblPrEx>
        <w:trPr>
          <w:trHeight w:val="508" w:hRule="atLeast"/>
        </w:trPr>
        <w:tc>
          <w:tcPr>
            <w:tcW w:w="1320" w:type="pct"/>
            <w:gridSpan w:val="4"/>
            <w:tcBorders>
              <w:top w:val="single" w:color="000000" w:sz="4" w:space="0"/>
              <w:left w:val="single" w:color="000000" w:sz="4" w:space="0"/>
              <w:right w:val="single" w:color="000000" w:sz="4" w:space="0"/>
            </w:tcBorders>
            <w:noWrap/>
            <w:vAlign w:val="center"/>
          </w:tcPr>
          <w:p w14:paraId="5B1986EF">
            <w:pPr>
              <w:jc w:val="center"/>
              <w:rPr>
                <w:rFonts w:ascii="楷体" w:hAnsi="楷体" w:eastAsia="楷体" w:cs="楷体"/>
                <w:szCs w:val="21"/>
              </w:rPr>
            </w:pPr>
            <w:r>
              <w:rPr>
                <w:rFonts w:hint="eastAsia" w:ascii="楷体" w:hAnsi="楷体" w:eastAsia="楷体" w:cs="楷体"/>
                <w:szCs w:val="21"/>
              </w:rPr>
              <w:t>投标人总得分：</w:t>
            </w:r>
          </w:p>
        </w:tc>
        <w:tc>
          <w:tcPr>
            <w:tcW w:w="3680" w:type="pct"/>
            <w:gridSpan w:val="3"/>
            <w:tcBorders>
              <w:top w:val="single" w:color="000000" w:sz="4" w:space="0"/>
              <w:left w:val="single" w:color="000000" w:sz="4" w:space="0"/>
              <w:bottom w:val="single" w:color="000000" w:sz="4" w:space="0"/>
              <w:right w:val="single" w:color="000000" w:sz="4" w:space="0"/>
            </w:tcBorders>
            <w:vAlign w:val="center"/>
          </w:tcPr>
          <w:p w14:paraId="709AD397">
            <w:pPr>
              <w:widowControl/>
              <w:jc w:val="center"/>
              <w:textAlignment w:val="center"/>
              <w:rPr>
                <w:rFonts w:ascii="楷体" w:hAnsi="楷体" w:eastAsia="楷体" w:cs="楷体"/>
                <w:kern w:val="0"/>
                <w:szCs w:val="21"/>
              </w:rPr>
            </w:pPr>
          </w:p>
        </w:tc>
      </w:tr>
      <w:tr w14:paraId="6B979ECA">
        <w:tblPrEx>
          <w:tblCellMar>
            <w:top w:w="0" w:type="dxa"/>
            <w:left w:w="108" w:type="dxa"/>
            <w:bottom w:w="0" w:type="dxa"/>
            <w:right w:w="108" w:type="dxa"/>
          </w:tblCellMar>
        </w:tblPrEx>
        <w:trPr>
          <w:trHeight w:val="508" w:hRule="atLeast"/>
        </w:trPr>
        <w:tc>
          <w:tcPr>
            <w:tcW w:w="1320" w:type="pct"/>
            <w:gridSpan w:val="4"/>
            <w:tcBorders>
              <w:top w:val="single" w:color="000000" w:sz="4" w:space="0"/>
              <w:left w:val="single" w:color="000000" w:sz="4" w:space="0"/>
              <w:right w:val="single" w:color="000000" w:sz="4" w:space="0"/>
            </w:tcBorders>
            <w:noWrap/>
            <w:vAlign w:val="center"/>
          </w:tcPr>
          <w:p w14:paraId="05ABA78F">
            <w:pPr>
              <w:jc w:val="center"/>
              <w:rPr>
                <w:rFonts w:ascii="楷体" w:hAnsi="楷体" w:eastAsia="楷体" w:cs="楷体"/>
                <w:szCs w:val="21"/>
              </w:rPr>
            </w:pPr>
            <w:r>
              <w:rPr>
                <w:rFonts w:hint="eastAsia" w:ascii="楷体" w:hAnsi="楷体" w:eastAsia="楷体" w:cs="楷体"/>
                <w:szCs w:val="21"/>
              </w:rPr>
              <w:t>投标人排名：</w:t>
            </w:r>
          </w:p>
        </w:tc>
        <w:tc>
          <w:tcPr>
            <w:tcW w:w="3680" w:type="pct"/>
            <w:gridSpan w:val="3"/>
            <w:tcBorders>
              <w:top w:val="single" w:color="000000" w:sz="4" w:space="0"/>
              <w:left w:val="single" w:color="000000" w:sz="4" w:space="0"/>
              <w:bottom w:val="single" w:color="000000" w:sz="4" w:space="0"/>
              <w:right w:val="single" w:color="000000" w:sz="4" w:space="0"/>
            </w:tcBorders>
            <w:vAlign w:val="center"/>
          </w:tcPr>
          <w:p w14:paraId="118714BE">
            <w:pPr>
              <w:widowControl/>
              <w:jc w:val="center"/>
              <w:textAlignment w:val="center"/>
              <w:rPr>
                <w:rFonts w:ascii="楷体" w:hAnsi="楷体" w:eastAsia="楷体" w:cs="楷体"/>
                <w:kern w:val="0"/>
                <w:szCs w:val="21"/>
              </w:rPr>
            </w:pPr>
          </w:p>
        </w:tc>
      </w:tr>
      <w:tr w14:paraId="3573CD4C">
        <w:tblPrEx>
          <w:tblCellMar>
            <w:top w:w="0" w:type="dxa"/>
            <w:left w:w="108" w:type="dxa"/>
            <w:bottom w:w="0" w:type="dxa"/>
            <w:right w:w="108" w:type="dxa"/>
          </w:tblCellMar>
        </w:tblPrEx>
        <w:trPr>
          <w:trHeight w:val="508" w:hRule="atLeast"/>
        </w:trPr>
        <w:tc>
          <w:tcPr>
            <w:tcW w:w="1320" w:type="pct"/>
            <w:gridSpan w:val="4"/>
            <w:vMerge w:val="restart"/>
            <w:tcBorders>
              <w:top w:val="single" w:color="000000" w:sz="4" w:space="0"/>
              <w:left w:val="single" w:color="000000" w:sz="4" w:space="0"/>
              <w:right w:val="single" w:color="000000" w:sz="4" w:space="0"/>
            </w:tcBorders>
            <w:noWrap/>
            <w:vAlign w:val="center"/>
          </w:tcPr>
          <w:p w14:paraId="6E7430CA">
            <w:pPr>
              <w:jc w:val="center"/>
              <w:rPr>
                <w:rFonts w:ascii="楷体" w:hAnsi="楷体" w:eastAsia="楷体" w:cs="楷体"/>
                <w:szCs w:val="21"/>
              </w:rPr>
            </w:pPr>
            <w:r>
              <w:rPr>
                <w:rFonts w:hint="eastAsia" w:ascii="楷体" w:hAnsi="楷体" w:eastAsia="楷体" w:cs="楷体"/>
                <w:szCs w:val="21"/>
              </w:rPr>
              <w:t>评标小组成员签字：</w:t>
            </w:r>
          </w:p>
        </w:tc>
        <w:tc>
          <w:tcPr>
            <w:tcW w:w="3680" w:type="pct"/>
            <w:gridSpan w:val="3"/>
            <w:tcBorders>
              <w:top w:val="single" w:color="000000" w:sz="4" w:space="0"/>
              <w:left w:val="single" w:color="000000" w:sz="4" w:space="0"/>
              <w:bottom w:val="single" w:color="000000" w:sz="4" w:space="0"/>
              <w:right w:val="single" w:color="000000" w:sz="4" w:space="0"/>
            </w:tcBorders>
            <w:vAlign w:val="center"/>
          </w:tcPr>
          <w:p w14:paraId="48C98748">
            <w:pPr>
              <w:widowControl/>
              <w:jc w:val="center"/>
              <w:textAlignment w:val="center"/>
              <w:rPr>
                <w:rFonts w:ascii="楷体" w:hAnsi="楷体" w:eastAsia="楷体" w:cs="楷体"/>
                <w:kern w:val="0"/>
                <w:szCs w:val="21"/>
              </w:rPr>
            </w:pPr>
          </w:p>
        </w:tc>
      </w:tr>
      <w:tr w14:paraId="7C7F38DA">
        <w:tblPrEx>
          <w:tblCellMar>
            <w:top w:w="0" w:type="dxa"/>
            <w:left w:w="108" w:type="dxa"/>
            <w:bottom w:w="0" w:type="dxa"/>
            <w:right w:w="108" w:type="dxa"/>
          </w:tblCellMar>
        </w:tblPrEx>
        <w:trPr>
          <w:trHeight w:val="508" w:hRule="atLeast"/>
        </w:trPr>
        <w:tc>
          <w:tcPr>
            <w:tcW w:w="1320" w:type="pct"/>
            <w:gridSpan w:val="4"/>
            <w:vMerge w:val="continue"/>
            <w:tcBorders>
              <w:left w:val="single" w:color="000000" w:sz="4" w:space="0"/>
              <w:bottom w:val="single" w:color="000000" w:sz="4" w:space="0"/>
              <w:right w:val="single" w:color="000000" w:sz="4" w:space="0"/>
            </w:tcBorders>
            <w:noWrap/>
            <w:vAlign w:val="center"/>
          </w:tcPr>
          <w:p w14:paraId="6499F3AB">
            <w:pPr>
              <w:jc w:val="center"/>
              <w:rPr>
                <w:rFonts w:ascii="楷体" w:hAnsi="楷体" w:eastAsia="楷体" w:cs="楷体"/>
                <w:szCs w:val="21"/>
              </w:rPr>
            </w:pPr>
          </w:p>
        </w:tc>
        <w:tc>
          <w:tcPr>
            <w:tcW w:w="3680" w:type="pct"/>
            <w:gridSpan w:val="3"/>
            <w:tcBorders>
              <w:top w:val="single" w:color="000000" w:sz="4" w:space="0"/>
              <w:left w:val="single" w:color="000000" w:sz="4" w:space="0"/>
              <w:bottom w:val="single" w:color="000000" w:sz="4" w:space="0"/>
              <w:right w:val="single" w:color="000000" w:sz="4" w:space="0"/>
            </w:tcBorders>
            <w:vAlign w:val="center"/>
          </w:tcPr>
          <w:p w14:paraId="67E7A391">
            <w:pPr>
              <w:widowControl/>
              <w:jc w:val="center"/>
              <w:textAlignment w:val="center"/>
              <w:rPr>
                <w:rFonts w:ascii="楷体" w:hAnsi="楷体" w:eastAsia="楷体" w:cs="楷体"/>
                <w:kern w:val="0"/>
                <w:szCs w:val="21"/>
              </w:rPr>
            </w:pPr>
          </w:p>
        </w:tc>
      </w:tr>
    </w:tbl>
    <w:p w14:paraId="55EEE34B">
      <w:pPr>
        <w:rPr>
          <w:rFonts w:ascii="宋体" w:hAnsi="宋体"/>
          <w:szCs w:val="21"/>
        </w:rPr>
      </w:pPr>
    </w:p>
    <w:p w14:paraId="02669810">
      <w:pPr>
        <w:spacing w:line="600" w:lineRule="exact"/>
        <w:rPr>
          <w:rFonts w:ascii="方正仿宋简体" w:hAnsi="宋体" w:eastAsia="方正仿宋简体"/>
          <w:sz w:val="32"/>
          <w:szCs w:val="32"/>
        </w:rPr>
      </w:pPr>
      <w:r>
        <w:rPr>
          <w:rFonts w:hint="eastAsia" w:ascii="方正仿宋简体" w:hAnsi="宋体" w:eastAsia="方正仿宋简体"/>
          <w:sz w:val="32"/>
          <w:szCs w:val="32"/>
        </w:rPr>
        <w:t xml:space="preserve">注： </w:t>
      </w:r>
    </w:p>
    <w:p w14:paraId="7B8A087B">
      <w:pPr>
        <w:spacing w:line="600" w:lineRule="exact"/>
        <w:ind w:firstLine="640" w:firstLineChars="200"/>
        <w:rPr>
          <w:rFonts w:ascii="方正仿宋简体" w:hAnsi="宋体" w:eastAsia="方正仿宋简体"/>
          <w:sz w:val="32"/>
          <w:szCs w:val="32"/>
        </w:rPr>
      </w:pPr>
      <w:r>
        <w:rPr>
          <w:rFonts w:hint="eastAsia" w:ascii="方正仿宋简体" w:hAnsi="宋体" w:eastAsia="方正仿宋简体"/>
          <w:sz w:val="32"/>
          <w:szCs w:val="32"/>
        </w:rPr>
        <w:t>1.总得分值小数位按四舍五入保留两位计算。</w:t>
      </w:r>
    </w:p>
    <w:p w14:paraId="3AED543C">
      <w:pPr>
        <w:tabs>
          <w:tab w:val="center" w:pos="4153"/>
          <w:tab w:val="right" w:pos="8306"/>
        </w:tabs>
        <w:autoSpaceDE w:val="0"/>
        <w:autoSpaceDN w:val="0"/>
        <w:adjustRightInd w:val="0"/>
        <w:snapToGrid w:val="0"/>
        <w:spacing w:line="600" w:lineRule="exact"/>
        <w:ind w:firstLine="640" w:firstLineChars="200"/>
        <w:jc w:val="left"/>
        <w:rPr>
          <w:rFonts w:ascii="方正仿宋简体" w:hAnsi="宋体" w:eastAsia="方正仿宋简体"/>
          <w:sz w:val="32"/>
          <w:szCs w:val="32"/>
        </w:rPr>
      </w:pPr>
      <w:r>
        <w:rPr>
          <w:rFonts w:hint="eastAsia" w:ascii="方正仿宋简体" w:hAnsi="宋体" w:eastAsia="方正仿宋简体"/>
          <w:sz w:val="32"/>
          <w:szCs w:val="32"/>
        </w:rPr>
        <w:t>2.评标委员会每位评委根据上述评标办法逐一对投标文件技术部分、商务部分分别进行评审打分，计算出每一投标的技术部分、商务部分的合计分。然后，根据报价评分办法计算出符合规定的投标人的综合得分，经核对无误后，评标委员会全体成员签字确认。</w:t>
      </w:r>
    </w:p>
    <w:p w14:paraId="3756588A">
      <w:pPr>
        <w:spacing w:line="600" w:lineRule="exact"/>
        <w:jc w:val="center"/>
        <w:rPr>
          <w:rFonts w:ascii="方正仿宋简体" w:eastAsia="方正仿宋简体"/>
          <w:kern w:val="0"/>
          <w:sz w:val="32"/>
          <w:szCs w:val="32"/>
        </w:rPr>
      </w:pPr>
      <w:r>
        <w:rPr>
          <w:rFonts w:hint="eastAsia" w:ascii="方正仿宋简体" w:eastAsia="方正仿宋简体"/>
          <w:kern w:val="0"/>
          <w:sz w:val="32"/>
          <w:szCs w:val="32"/>
        </w:rPr>
        <w:t>第三节 评标程序</w:t>
      </w:r>
    </w:p>
    <w:p w14:paraId="290AEC8E">
      <w:pPr>
        <w:spacing w:line="600" w:lineRule="exact"/>
        <w:ind w:firstLine="640" w:firstLineChars="200"/>
        <w:rPr>
          <w:rFonts w:ascii="方正仿宋简体" w:eastAsia="方正仿宋简体"/>
          <w:sz w:val="32"/>
          <w:szCs w:val="32"/>
        </w:rPr>
      </w:pPr>
      <w:r>
        <w:rPr>
          <w:rFonts w:hint="eastAsia" w:ascii="方正仿宋简体" w:eastAsia="方正仿宋简体"/>
          <w:sz w:val="32"/>
          <w:szCs w:val="32"/>
        </w:rPr>
        <w:t>1.初步评审</w:t>
      </w:r>
    </w:p>
    <w:p w14:paraId="47581A73">
      <w:pPr>
        <w:spacing w:line="600" w:lineRule="exact"/>
        <w:jc w:val="left"/>
        <w:rPr>
          <w:rFonts w:ascii="方正仿宋简体" w:eastAsia="方正仿宋简体"/>
          <w:sz w:val="32"/>
          <w:szCs w:val="32"/>
        </w:rPr>
      </w:pPr>
      <w:r>
        <w:rPr>
          <w:rFonts w:hint="eastAsia" w:ascii="方正仿宋简体" w:eastAsia="方正仿宋简体"/>
          <w:sz w:val="32"/>
          <w:szCs w:val="32"/>
        </w:rPr>
        <w:t xml:space="preserve">   </w:t>
      </w:r>
      <w:r>
        <w:rPr>
          <w:rFonts w:ascii="方正仿宋简体" w:eastAsia="方正仿宋简体"/>
          <w:sz w:val="32"/>
          <w:szCs w:val="32"/>
        </w:rPr>
        <w:t xml:space="preserve"> </w:t>
      </w:r>
      <w:r>
        <w:rPr>
          <w:rFonts w:hint="eastAsia" w:ascii="方正仿宋简体" w:eastAsia="方正仿宋简体"/>
          <w:sz w:val="32"/>
          <w:szCs w:val="32"/>
        </w:rPr>
        <w:t>（1）评标委员会依据本章评标办法前附表条款1、2规定的标准对投标文件进行初步评审。有一项不符合评审标准的，作废标处理。</w:t>
      </w:r>
    </w:p>
    <w:p w14:paraId="0C45F3A2">
      <w:pPr>
        <w:spacing w:line="600" w:lineRule="exact"/>
        <w:jc w:val="left"/>
        <w:rPr>
          <w:rFonts w:ascii="方正仿宋简体" w:eastAsia="方正仿宋简体"/>
          <w:sz w:val="32"/>
          <w:szCs w:val="32"/>
        </w:rPr>
      </w:pPr>
      <w:r>
        <w:rPr>
          <w:rFonts w:hint="eastAsia" w:ascii="方正仿宋简体" w:eastAsia="方正仿宋简体"/>
          <w:sz w:val="32"/>
          <w:szCs w:val="32"/>
        </w:rPr>
        <w:t xml:space="preserve">    （2）投标人有以下情形之一的，其投标作废标处理：</w:t>
      </w:r>
    </w:p>
    <w:p w14:paraId="6E7F7027">
      <w:pPr>
        <w:spacing w:line="600" w:lineRule="exact"/>
        <w:ind w:firstLine="640" w:firstLineChars="200"/>
        <w:jc w:val="left"/>
        <w:rPr>
          <w:rFonts w:ascii="方正仿宋简体" w:eastAsia="方正仿宋简体"/>
          <w:sz w:val="32"/>
          <w:szCs w:val="32"/>
        </w:rPr>
      </w:pPr>
      <w:r>
        <w:rPr>
          <w:rFonts w:hint="eastAsia" w:ascii="方正仿宋简体" w:eastAsia="方正仿宋简体"/>
          <w:sz w:val="32"/>
          <w:szCs w:val="32"/>
        </w:rPr>
        <w:t>1）.串通投标或弄虚作假或有其他违法行为的；</w:t>
      </w:r>
    </w:p>
    <w:p w14:paraId="6254F112">
      <w:pPr>
        <w:spacing w:line="600" w:lineRule="exact"/>
        <w:ind w:firstLine="640" w:firstLineChars="200"/>
        <w:jc w:val="left"/>
        <w:rPr>
          <w:rFonts w:ascii="方正仿宋简体" w:eastAsia="方正仿宋简体"/>
          <w:sz w:val="32"/>
          <w:szCs w:val="32"/>
        </w:rPr>
      </w:pPr>
      <w:r>
        <w:rPr>
          <w:rFonts w:hint="eastAsia" w:ascii="方正仿宋简体" w:eastAsia="方正仿宋简体"/>
          <w:sz w:val="32"/>
          <w:szCs w:val="32"/>
        </w:rPr>
        <w:t>2）.不按评标委员会要求澄清、说明或补正的。</w:t>
      </w:r>
    </w:p>
    <w:p w14:paraId="07D5B057">
      <w:pPr>
        <w:spacing w:line="600" w:lineRule="exact"/>
        <w:ind w:firstLine="640" w:firstLineChars="200"/>
        <w:rPr>
          <w:rFonts w:ascii="方正仿宋简体" w:eastAsia="方正仿宋简体"/>
          <w:sz w:val="32"/>
          <w:szCs w:val="32"/>
        </w:rPr>
      </w:pPr>
      <w:r>
        <w:rPr>
          <w:rFonts w:hint="eastAsia" w:ascii="方正仿宋简体" w:eastAsia="方正仿宋简体"/>
          <w:sz w:val="32"/>
          <w:szCs w:val="32"/>
        </w:rPr>
        <w:t>2.详细评审</w:t>
      </w:r>
    </w:p>
    <w:p w14:paraId="4F669059">
      <w:pPr>
        <w:spacing w:line="600" w:lineRule="exact"/>
        <w:jc w:val="left"/>
        <w:rPr>
          <w:rFonts w:ascii="方正仿宋简体" w:eastAsia="方正仿宋简体"/>
          <w:sz w:val="32"/>
          <w:szCs w:val="32"/>
        </w:rPr>
      </w:pPr>
      <w:r>
        <w:rPr>
          <w:rFonts w:hint="eastAsia" w:ascii="方正仿宋简体" w:eastAsia="方正仿宋简体"/>
          <w:sz w:val="32"/>
          <w:szCs w:val="32"/>
        </w:rPr>
        <w:t xml:space="preserve">    （1）评标委员会按“评标办法前附表”规定的评分因素进行综合评分。（本次采用）</w:t>
      </w:r>
    </w:p>
    <w:p w14:paraId="1AF3DB02">
      <w:pPr>
        <w:spacing w:line="600" w:lineRule="exact"/>
        <w:jc w:val="left"/>
        <w:rPr>
          <w:rFonts w:ascii="方正仿宋简体" w:eastAsia="方正仿宋简体"/>
          <w:sz w:val="32"/>
          <w:szCs w:val="32"/>
        </w:rPr>
      </w:pPr>
      <w:r>
        <w:rPr>
          <w:rFonts w:hint="eastAsia" w:ascii="方正仿宋简体" w:eastAsia="方正仿宋简体"/>
          <w:sz w:val="32"/>
          <w:szCs w:val="32"/>
        </w:rPr>
        <w:t xml:space="preserve">    （2）评标委员会发现投标人的报价明显低于其他投标报价，使得其投标报价可能低于其成本的，应当要求该投标人做出书面说明并提供相应的证明材料。投标人不能合理说明或者不能提供相应证明材料的，由评标委员会认定该投标人以低于成本报价竞标，其投标作废标处理。</w:t>
      </w:r>
    </w:p>
    <w:p w14:paraId="18B5E515">
      <w:pPr>
        <w:spacing w:line="600" w:lineRule="exact"/>
        <w:ind w:firstLine="640" w:firstLineChars="200"/>
        <w:rPr>
          <w:rFonts w:ascii="方正仿宋简体" w:eastAsia="方正仿宋简体"/>
          <w:sz w:val="32"/>
          <w:szCs w:val="32"/>
        </w:rPr>
      </w:pPr>
      <w:r>
        <w:rPr>
          <w:rFonts w:hint="eastAsia" w:ascii="方正仿宋简体" w:eastAsia="方正仿宋简体"/>
          <w:sz w:val="32"/>
          <w:szCs w:val="32"/>
        </w:rPr>
        <w:t>3.投标文件的澄清和补正</w:t>
      </w:r>
    </w:p>
    <w:p w14:paraId="48161C01">
      <w:pPr>
        <w:spacing w:line="600" w:lineRule="exact"/>
        <w:ind w:firstLine="640" w:firstLineChars="200"/>
        <w:jc w:val="left"/>
        <w:rPr>
          <w:rFonts w:ascii="方正仿宋简体" w:eastAsia="方正仿宋简体"/>
          <w:sz w:val="32"/>
          <w:szCs w:val="32"/>
        </w:rPr>
      </w:pPr>
      <w:r>
        <w:rPr>
          <w:rFonts w:hint="eastAsia" w:ascii="方正仿宋简体" w:eastAsia="方正仿宋简体"/>
          <w:sz w:val="32"/>
          <w:szCs w:val="32"/>
        </w:rPr>
        <w:t>（1）在评标过程中，评标委员会可以书面形式要求投标人对所提交的投标文件中不明确的内容进行书面澄清或说明，或者对细微偏差进行补正。评标委员会不接受投标人主动提出的澄清、说明或补正。</w:t>
      </w:r>
    </w:p>
    <w:p w14:paraId="35A180CC">
      <w:pPr>
        <w:spacing w:line="600" w:lineRule="exact"/>
        <w:ind w:firstLine="640" w:firstLineChars="200"/>
        <w:jc w:val="left"/>
        <w:rPr>
          <w:rFonts w:ascii="方正仿宋简体" w:eastAsia="方正仿宋简体"/>
          <w:sz w:val="32"/>
          <w:szCs w:val="32"/>
        </w:rPr>
      </w:pPr>
      <w:r>
        <w:rPr>
          <w:rFonts w:hint="eastAsia" w:ascii="方正仿宋简体" w:eastAsia="方正仿宋简体"/>
          <w:sz w:val="32"/>
          <w:szCs w:val="32"/>
        </w:rPr>
        <w:t>（2）澄清、说明和补正不得改变投标文件的实质性内容（算术性错误修正的除外），投标人的书面澄清、说明和补正属于投标文件的组成部分。</w:t>
      </w:r>
    </w:p>
    <w:p w14:paraId="551F8D93">
      <w:pPr>
        <w:spacing w:line="600" w:lineRule="exact"/>
        <w:ind w:firstLine="640" w:firstLineChars="200"/>
        <w:jc w:val="left"/>
        <w:rPr>
          <w:rFonts w:ascii="方正仿宋简体" w:eastAsia="方正仿宋简体"/>
          <w:sz w:val="32"/>
          <w:szCs w:val="32"/>
        </w:rPr>
      </w:pPr>
      <w:r>
        <w:rPr>
          <w:rFonts w:hint="eastAsia" w:ascii="方正仿宋简体" w:eastAsia="方正仿宋简体"/>
          <w:sz w:val="32"/>
          <w:szCs w:val="32"/>
        </w:rPr>
        <w:t>（3）评标委员会对投标人提交的澄清、说明或补正有疑问的，可以要求投标人进一步澄清、说明或补正，直至满足评标委员会的要求。</w:t>
      </w:r>
    </w:p>
    <w:p w14:paraId="648B2EE1">
      <w:pPr>
        <w:spacing w:line="600" w:lineRule="exact"/>
        <w:ind w:firstLine="640" w:firstLineChars="200"/>
        <w:rPr>
          <w:rFonts w:ascii="方正仿宋简体" w:eastAsia="方正仿宋简体"/>
          <w:sz w:val="32"/>
          <w:szCs w:val="32"/>
        </w:rPr>
      </w:pPr>
      <w:r>
        <w:rPr>
          <w:rFonts w:hint="eastAsia" w:ascii="方正仿宋简体" w:eastAsia="方正仿宋简体"/>
          <w:sz w:val="32"/>
          <w:szCs w:val="32"/>
        </w:rPr>
        <w:t>4.评标结果</w:t>
      </w:r>
    </w:p>
    <w:p w14:paraId="0CB49EE5">
      <w:pPr>
        <w:spacing w:line="600" w:lineRule="exact"/>
        <w:ind w:firstLine="640" w:firstLineChars="200"/>
        <w:jc w:val="left"/>
        <w:rPr>
          <w:rFonts w:ascii="方正仿宋简体" w:eastAsia="方正仿宋简体"/>
          <w:sz w:val="32"/>
          <w:szCs w:val="32"/>
        </w:rPr>
      </w:pPr>
      <w:r>
        <w:rPr>
          <w:rFonts w:hint="eastAsia" w:ascii="方正仿宋简体" w:eastAsia="方正仿宋简体"/>
          <w:sz w:val="32"/>
          <w:szCs w:val="32"/>
        </w:rPr>
        <w:t>（1）评标委员会按得分由高到低顺序推荐中标候选人，并提出书面评标报告。</w:t>
      </w:r>
    </w:p>
    <w:p w14:paraId="2975ADD7">
      <w:pPr>
        <w:spacing w:line="600" w:lineRule="exact"/>
        <w:ind w:firstLine="640" w:firstLineChars="200"/>
        <w:jc w:val="left"/>
        <w:rPr>
          <w:rFonts w:ascii="方正仿宋简体" w:eastAsia="方正仿宋简体"/>
          <w:sz w:val="32"/>
          <w:szCs w:val="32"/>
        </w:rPr>
      </w:pPr>
      <w:r>
        <w:rPr>
          <w:rFonts w:hint="eastAsia" w:ascii="方正仿宋简体" w:eastAsia="方正仿宋简体"/>
          <w:sz w:val="32"/>
          <w:szCs w:val="32"/>
        </w:rPr>
        <w:t>（2）招标人根据评标委员会提出的书面评标报告和推荐的中标候选人名单，确定中标人。中标原则按照“七部委局 第27号令《工程建设项目货物招标投标办法》”规定内容确定。</w:t>
      </w:r>
    </w:p>
    <w:p w14:paraId="315C68AF">
      <w:pPr>
        <w:spacing w:line="600" w:lineRule="exact"/>
        <w:ind w:firstLine="640" w:firstLineChars="200"/>
        <w:rPr>
          <w:rFonts w:ascii="方正仿宋简体" w:eastAsia="方正仿宋简体"/>
          <w:sz w:val="32"/>
          <w:szCs w:val="32"/>
        </w:rPr>
      </w:pPr>
      <w:r>
        <w:rPr>
          <w:rFonts w:hint="eastAsia" w:ascii="方正仿宋简体" w:eastAsia="方正仿宋简体"/>
          <w:sz w:val="32"/>
          <w:szCs w:val="32"/>
        </w:rPr>
        <w:t>5.特殊情形</w:t>
      </w:r>
    </w:p>
    <w:p w14:paraId="59A8DA68">
      <w:pPr>
        <w:spacing w:line="600" w:lineRule="exact"/>
        <w:ind w:firstLine="640" w:firstLineChars="200"/>
        <w:rPr>
          <w:rFonts w:ascii="方正仿宋简体" w:eastAsia="方正仿宋简体"/>
          <w:sz w:val="32"/>
          <w:szCs w:val="32"/>
        </w:rPr>
      </w:pPr>
      <w:r>
        <w:rPr>
          <w:rFonts w:hint="eastAsia" w:ascii="方正仿宋简体" w:eastAsia="方正仿宋简体"/>
          <w:sz w:val="32"/>
          <w:szCs w:val="32"/>
        </w:rPr>
        <w:t>当有效投标文件不足3家时，评标委员会认为仍能满足项目要求，并具有竞争性，则由评标委员会对该单位投标文件做出综合评议推荐。</w:t>
      </w:r>
    </w:p>
    <w:p w14:paraId="6E93E393">
      <w:pPr>
        <w:spacing w:line="360" w:lineRule="auto"/>
        <w:ind w:firstLine="420" w:firstLineChars="200"/>
        <w:jc w:val="center"/>
        <w:outlineLvl w:val="0"/>
        <w:rPr>
          <w:kern w:val="44"/>
          <w:sz w:val="36"/>
          <w:szCs w:val="20"/>
        </w:rPr>
      </w:pPr>
      <w:r>
        <w:rPr>
          <w:rFonts w:hint="eastAsia" w:ascii="方正仿宋简体" w:eastAsia="方正仿宋简体"/>
          <w:szCs w:val="21"/>
        </w:rPr>
        <w:br w:type="page"/>
      </w:r>
      <w:r>
        <w:rPr>
          <w:rFonts w:ascii="方正小标宋简体" w:hAnsi="宋体" w:eastAsia="方正小标宋简体" w:cs="宋体"/>
          <w:kern w:val="44"/>
          <w:sz w:val="44"/>
          <w:szCs w:val="20"/>
        </w:rPr>
        <w:t>附件（另附）</w:t>
      </w:r>
    </w:p>
    <w:p w14:paraId="731D05F2">
      <w:pPr>
        <w:pStyle w:val="3"/>
        <w:rPr>
          <w:rFonts w:ascii="方正仿宋简体" w:hAnsi="方正仿宋简体" w:eastAsia="方正仿宋简体" w:cs="方正仿宋简体"/>
          <w:b w:val="0"/>
          <w:kern w:val="1"/>
          <w:sz w:val="32"/>
          <w:szCs w:val="32"/>
        </w:rPr>
      </w:pPr>
      <w:r>
        <w:rPr>
          <w:rFonts w:ascii="方正仿宋简体" w:hAnsi="方正仿宋简体" w:eastAsia="方正仿宋简体" w:cs="方正仿宋简体"/>
          <w:b w:val="0"/>
          <w:kern w:val="1"/>
          <w:sz w:val="32"/>
          <w:szCs w:val="32"/>
        </w:rPr>
        <w:t>1</w:t>
      </w:r>
      <w:r>
        <w:rPr>
          <w:rFonts w:hint="eastAsia" w:ascii="方正仿宋简体" w:hAnsi="方正仿宋简体" w:eastAsia="方正仿宋简体" w:cs="方正仿宋简体"/>
          <w:b w:val="0"/>
          <w:kern w:val="1"/>
          <w:sz w:val="32"/>
          <w:szCs w:val="32"/>
        </w:rPr>
        <w:t>.</w:t>
      </w:r>
      <w:r>
        <w:rPr>
          <w:rFonts w:ascii="方正仿宋简体" w:hAnsi="方正仿宋简体" w:eastAsia="方正仿宋简体" w:cs="方正仿宋简体"/>
          <w:b w:val="0"/>
          <w:kern w:val="1"/>
          <w:sz w:val="32"/>
          <w:szCs w:val="32"/>
        </w:rPr>
        <w:t>招标工程量清单</w:t>
      </w:r>
    </w:p>
    <w:p w14:paraId="38E1F3BA">
      <w:pPr>
        <w:pStyle w:val="3"/>
        <w:rPr>
          <w:rFonts w:eastAsia="宋体"/>
          <w:b w:val="0"/>
          <w:kern w:val="2"/>
          <w:sz w:val="21"/>
          <w:szCs w:val="21"/>
        </w:rPr>
      </w:pPr>
      <w:r>
        <w:rPr>
          <w:rFonts w:hint="eastAsia" w:ascii="方正仿宋简体" w:hAnsi="方正仿宋简体" w:eastAsia="方正仿宋简体" w:cs="方正仿宋简体"/>
          <w:b w:val="0"/>
          <w:kern w:val="1"/>
          <w:sz w:val="32"/>
          <w:szCs w:val="32"/>
        </w:rPr>
        <w:t>2.</w:t>
      </w:r>
      <w:r>
        <w:rPr>
          <w:rFonts w:ascii="方正仿宋简体" w:hAnsi="方正仿宋简体" w:eastAsia="方正仿宋简体" w:cs="方正仿宋简体"/>
          <w:b w:val="0"/>
          <w:kern w:val="1"/>
          <w:sz w:val="32"/>
          <w:szCs w:val="32"/>
        </w:rPr>
        <w:t>施工图</w:t>
      </w:r>
    </w:p>
    <w:p w14:paraId="6C8DA3FC"/>
    <w:sectPr>
      <w:pgSz w:w="11906" w:h="16838"/>
      <w:pgMar w:top="1418" w:right="1418" w:bottom="1134" w:left="1418" w:header="720" w:footer="567" w:gutter="0"/>
      <w:cols w:space="720" w:num="1"/>
      <w:titlePg/>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C608CF8-50A7-4DF3-9C1A-F00EF545C1A5}"/>
  </w:font>
  <w:font w:name="黑体">
    <w:panose1 w:val="02010609060101010101"/>
    <w:charset w:val="86"/>
    <w:family w:val="auto"/>
    <w:pitch w:val="default"/>
    <w:sig w:usb0="800002BF" w:usb1="38CF7CFA" w:usb2="00000016" w:usb3="00000000" w:csb0="00040001" w:csb1="00000000"/>
    <w:embedRegular r:id="rId2" w:fontKey="{E5DE33BD-7B15-4931-B192-252D780CE68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金山简黑体">
    <w:altName w:val="宋体"/>
    <w:panose1 w:val="00000000000000000000"/>
    <w:charset w:val="00"/>
    <w:family w:val="auto"/>
    <w:pitch w:val="default"/>
    <w:sig w:usb0="00000000" w:usb1="00000000" w:usb2="00000000" w:usb3="00000000" w:csb0="00040001"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227400DE-06F7-4A82-A9AD-C045475AC96A}"/>
  </w:font>
  <w:font w:name="华文中宋">
    <w:altName w:val="宋体"/>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FuturaA Bk BT">
    <w:altName w:val="Lucida Sans Unicode"/>
    <w:panose1 w:val="00000000000000000000"/>
    <w:charset w:val="00"/>
    <w:family w:val="swiss"/>
    <w:pitch w:val="default"/>
    <w:sig w:usb0="00000000" w:usb1="00000000" w:usb2="00000000" w:usb3="00000000" w:csb0="0000001B" w:csb1="00000000"/>
  </w:font>
  <w:font w:name="Lucida Sans Unicode">
    <w:panose1 w:val="020B0602030504020204"/>
    <w:charset w:val="00"/>
    <w:family w:val="auto"/>
    <w:pitch w:val="default"/>
    <w:sig w:usb0="80001AFF" w:usb1="0000396B" w:usb2="00000000" w:usb3="00000000" w:csb0="200000BF" w:csb1="D7F70000"/>
  </w:font>
  <w:font w:name="Arial Unicode MS">
    <w:panose1 w:val="020B0604020202020204"/>
    <w:charset w:val="86"/>
    <w:family w:val="swiss"/>
    <w:pitch w:val="default"/>
    <w:sig w:usb0="F7FFAEFF" w:usb1="F9DFFFFF" w:usb2="0000007F" w:usb3="00000000" w:csb0="203F01FF" w:csb1="DFFF0000"/>
  </w:font>
  <w:font w:name="复合字体1">
    <w:altName w:val="宋体"/>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MS Mincho">
    <w:altName w:val="MS UI Gothic"/>
    <w:panose1 w:val="02020609040205080304"/>
    <w:charset w:val="80"/>
    <w:family w:val="modern"/>
    <w:pitch w:val="default"/>
    <w:sig w:usb0="00000000" w:usb1="00000000" w:usb2="00000010" w:usb3="00000000" w:csb0="4002009F" w:csb1="DFD70000"/>
  </w:font>
  <w:font w:name="Yu Gothic UI">
    <w:altName w:val="MS UI Gothic"/>
    <w:panose1 w:val="020B0500000000000000"/>
    <w:charset w:val="80"/>
    <w:family w:val="auto"/>
    <w:pitch w:val="default"/>
    <w:sig w:usb0="00000000" w:usb1="00000000" w:usb2="00000016" w:usb3="00000000" w:csb0="2002009F" w:csb1="00000000"/>
  </w:font>
  <w:font w:name="方正小标宋简体">
    <w:altName w:val="Arial Unicode MS"/>
    <w:panose1 w:val="02010601030101010101"/>
    <w:charset w:val="86"/>
    <w:family w:val="auto"/>
    <w:pitch w:val="default"/>
    <w:sig w:usb0="00000000" w:usb1="00000000" w:usb2="00000000" w:usb3="00000000" w:csb0="00040000" w:csb1="00000000"/>
    <w:embedRegular r:id="rId4" w:fontKey="{0946F290-AFDD-4BAD-8535-75FDDD458E6D}"/>
  </w:font>
  <w:font w:name="方正仿宋简体">
    <w:altName w:val="Arial Unicode MS"/>
    <w:panose1 w:val="02010601030101010101"/>
    <w:charset w:val="86"/>
    <w:family w:val="auto"/>
    <w:pitch w:val="default"/>
    <w:sig w:usb0="00000000" w:usb1="00000000" w:usb2="00000000" w:usb3="00000000" w:csb0="00040000" w:csb1="00000000"/>
    <w:embedRegular r:id="rId5" w:fontKey="{36507B69-6F51-45FE-919B-9B05E756E6C0}"/>
  </w:font>
  <w:font w:name="方正黑体_GBK">
    <w:panose1 w:val="03000509000000000000"/>
    <w:charset w:val="86"/>
    <w:family w:val="script"/>
    <w:pitch w:val="default"/>
    <w:sig w:usb0="00000001" w:usb1="080E0000" w:usb2="00000000" w:usb3="00000000" w:csb0="00040000" w:csb1="00000000"/>
    <w:embedRegular r:id="rId6" w:fontKey="{228D373D-FDEF-456D-A5B0-5F8711D6047E}"/>
  </w:font>
  <w:font w:name="方正仿宋_GBK">
    <w:panose1 w:val="03000509000000000000"/>
    <w:charset w:val="86"/>
    <w:family w:val="script"/>
    <w:pitch w:val="default"/>
    <w:sig w:usb0="00000001" w:usb1="080E0000" w:usb2="00000000" w:usb3="00000000" w:csb0="00040000" w:csb1="00000000"/>
    <w:embedRegular r:id="rId7" w:fontKey="{02D56777-6B7B-4A66-A8D1-472CBF36ABEF}"/>
  </w:font>
  <w:font w:name="方正楷体_GBK">
    <w:panose1 w:val="03000509000000000000"/>
    <w:charset w:val="86"/>
    <w:family w:val="script"/>
    <w:pitch w:val="default"/>
    <w:sig w:usb0="00000001" w:usb1="080E0000" w:usb2="00000000" w:usb3="00000000" w:csb0="00040000" w:csb1="00000000"/>
    <w:embedRegular r:id="rId8" w:fontKey="{491B70C5-B2A4-4F83-AC65-DA918BF2250B}"/>
  </w:font>
  <w:font w:name="微软雅黑">
    <w:panose1 w:val="020B0503020204020204"/>
    <w:charset w:val="86"/>
    <w:family w:val="swiss"/>
    <w:pitch w:val="default"/>
    <w:sig w:usb0="80000287" w:usb1="2ACF3C50" w:usb2="00000016" w:usb3="00000000" w:csb0="0004001F" w:csb1="00000000"/>
    <w:embedRegular r:id="rId9" w:fontKey="{31CEC95C-D154-4A2D-93BC-4F5071CC0C89}"/>
  </w:font>
  <w:font w:name="仿宋">
    <w:panose1 w:val="02010609060101010101"/>
    <w:charset w:val="86"/>
    <w:family w:val="modern"/>
    <w:pitch w:val="default"/>
    <w:sig w:usb0="800002BF" w:usb1="38CF7CFA" w:usb2="00000016" w:usb3="00000000" w:csb0="00040001" w:csb1="00000000"/>
    <w:embedRegular r:id="rId10" w:fontKey="{C95EFD9E-CC89-4987-9EFF-69131EE05699}"/>
  </w:font>
  <w:font w:name="方正小标宋_GBK">
    <w:panose1 w:val="03000509000000000000"/>
    <w:charset w:val="86"/>
    <w:family w:val="auto"/>
    <w:pitch w:val="default"/>
    <w:sig w:usb0="00000001" w:usb1="080E0000" w:usb2="00000000" w:usb3="00000000" w:csb0="00040000" w:csb1="00000000"/>
    <w:embedRegular r:id="rId11" w:fontKey="{8AC1125B-CF06-4BE5-8E28-F8D3FEDC7F92}"/>
  </w:font>
  <w:font w:name="Segoe UI Symbol">
    <w:panose1 w:val="020B0502040204020203"/>
    <w:charset w:val="00"/>
    <w:family w:val="swiss"/>
    <w:pitch w:val="default"/>
    <w:sig w:usb0="800001E3" w:usb1="1200FFEF" w:usb2="00040000" w:usb3="04000000" w:csb0="00000001" w:csb1="40000000"/>
    <w:embedRegular r:id="rId12" w:fontKey="{02BC90D8-93EF-4498-838E-88FF1556CEA6}"/>
  </w:font>
  <w:font w:name="楷体">
    <w:panose1 w:val="02010609060101010101"/>
    <w:charset w:val="86"/>
    <w:family w:val="modern"/>
    <w:pitch w:val="default"/>
    <w:sig w:usb0="800002BF" w:usb1="38CF7CFA" w:usb2="00000016" w:usb3="00000000" w:csb0="00040001" w:csb1="00000000"/>
    <w:embedRegular r:id="rId13" w:fontKey="{F8E0E51D-D650-4E31-B2B4-5615D478343E}"/>
  </w:font>
  <w:font w:name="MS UI 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CA18C">
    <w:pPr>
      <w:pStyle w:val="31"/>
    </w:pPr>
    <w:r>
      <w:pict>
        <v:shape id="_x0000_s2051" o:spid="_x0000_s2051"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path/>
          <v:fill on="f" focussize="0,0"/>
          <v:stroke on="f" weight="0.5pt" joinstyle="miter"/>
          <v:imagedata o:title=""/>
          <o:lock v:ext="edit"/>
          <v:textbox inset="0mm,0mm,0mm,0mm" style="mso-fit-shape-to-text:t;">
            <w:txbxContent>
              <w:p w14:paraId="6E333838">
                <w:pPr>
                  <w:pStyle w:val="31"/>
                </w:pPr>
                <w:r>
                  <w:fldChar w:fldCharType="begin"/>
                </w:r>
                <w:r>
                  <w:instrText xml:space="preserve"> PAGE  \* MERGEFORMAT </w:instrText>
                </w:r>
                <w:r>
                  <w:fldChar w:fldCharType="separate"/>
                </w:r>
                <w:r>
                  <w:t>6</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26BAA">
    <w:pPr>
      <w:pStyle w:val="31"/>
      <w:framePr w:wrap="around" w:vAnchor="text" w:hAnchor="margin" w:xAlign="right" w:y="1"/>
      <w:rPr>
        <w:rStyle w:val="56"/>
      </w:rPr>
    </w:pPr>
    <w:r>
      <w:fldChar w:fldCharType="begin"/>
    </w:r>
    <w:r>
      <w:rPr>
        <w:rStyle w:val="56"/>
      </w:rPr>
      <w:instrText xml:space="preserve">PAGE  </w:instrText>
    </w:r>
    <w:r>
      <w:fldChar w:fldCharType="end"/>
    </w:r>
  </w:p>
  <w:p w14:paraId="75605546">
    <w:pPr>
      <w:pStyle w:val="3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EDD46">
    <w:pPr>
      <w:pStyle w:val="31"/>
    </w:pPr>
    <w:r>
      <w:pict>
        <v:shape id="_x0000_s2052" o:spid="_x0000_s2052"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path/>
          <v:fill on="f" focussize="0,0"/>
          <v:stroke on="f" weight="0.5pt" joinstyle="miter"/>
          <v:imagedata o:title=""/>
          <o:lock v:ext="edit"/>
          <v:textbox inset="0mm,0mm,0mm,0mm" style="mso-fit-shape-to-text:t;">
            <w:txbxContent>
              <w:p w14:paraId="3336F587">
                <w:pPr>
                  <w:pStyle w:val="31"/>
                </w:pPr>
                <w:r>
                  <w:fldChar w:fldCharType="begin"/>
                </w:r>
                <w:r>
                  <w:instrText xml:space="preserve"> PAGE  \* MERGEFORMAT </w:instrText>
                </w:r>
                <w:r>
                  <w:fldChar w:fldCharType="separate"/>
                </w:r>
                <w:r>
                  <w:t>1</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7C209">
    <w:pPr>
      <w:pStyle w:val="31"/>
    </w:pPr>
    <w:r>
      <w:pict>
        <v:shape id="_x0000_s2049" o:spid="_x0000_s2049"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path/>
          <v:fill on="f" focussize="0,0"/>
          <v:stroke on="f" weight="0.5pt" joinstyle="miter"/>
          <v:imagedata o:title=""/>
          <o:lock v:ext="edit"/>
          <v:textbox inset="0mm,0mm,0mm,0mm" style="mso-fit-shape-to-text:t;">
            <w:txbxContent>
              <w:p w14:paraId="316BCD28">
                <w:pPr>
                  <w:pStyle w:val="31"/>
                </w:pPr>
                <w:r>
                  <w:fldChar w:fldCharType="begin"/>
                </w:r>
                <w:r>
                  <w:instrText xml:space="preserve"> PAGE  \* MERGEFORMAT </w:instrText>
                </w:r>
                <w:r>
                  <w:fldChar w:fldCharType="separate"/>
                </w:r>
                <w:r>
                  <w:t>56</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43F6D">
    <w:pPr>
      <w:pStyle w:val="31"/>
    </w:pPr>
    <w:r>
      <w:pict>
        <v:shape id="_x0000_s2050" o:spid="_x0000_s2050"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path/>
          <v:fill on="f" focussize="0,0"/>
          <v:stroke on="f" weight="0.5pt" joinstyle="miter"/>
          <v:imagedata o:title=""/>
          <o:lock v:ext="edit"/>
          <v:textbox inset="0mm,0mm,0mm,0mm" style="mso-fit-shape-to-text:t;">
            <w:txbxContent>
              <w:p w14:paraId="7D6922DC">
                <w:pPr>
                  <w:pStyle w:val="31"/>
                </w:pPr>
                <w:r>
                  <w:fldChar w:fldCharType="begin"/>
                </w:r>
                <w:r>
                  <w:instrText xml:space="preserve"> PAGE  \* MERGEFORMAT </w:instrText>
                </w:r>
                <w:r>
                  <w:fldChar w:fldCharType="separate"/>
                </w:r>
                <w:r>
                  <w:t>53</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9A79C">
    <w:pPr>
      <w:pStyle w:val="101"/>
      <w:pBdr>
        <w:bottom w:val="none" w:color="auto" w:sz="0" w:space="1"/>
      </w:pBdr>
      <w:jc w:val="left"/>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EC71C">
    <w:pPr>
      <w:pStyle w:val="3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E26EB">
    <w:pPr>
      <w:pStyle w:val="101"/>
      <w:pBdr>
        <w:bottom w:val="none" w:color="auto" w:sz="0" w:space="1"/>
      </w:pBdr>
      <w:jc w:val="left"/>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3B973">
    <w:pPr>
      <w:pStyle w:val="3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1F867">
    <w:pPr>
      <w:pStyle w:val="101"/>
      <w:pBdr>
        <w:bottom w:val="none" w:color="auto" w:sz="0" w:space="1"/>
      </w:pBdr>
      <w:jc w:val="left"/>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FF8F4">
    <w:pPr>
      <w:pStyle w:val="101"/>
      <w:pBdr>
        <w:bottom w:val="none" w:color="auto" w:sz="0" w:space="1"/>
      </w:pBdr>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9162F7"/>
    <w:multiLevelType w:val="singleLevel"/>
    <w:tmpl w:val="E49162F7"/>
    <w:lvl w:ilvl="0" w:tentative="0">
      <w:start w:val="1"/>
      <w:numFmt w:val="chineseCounting"/>
      <w:suff w:val="nothing"/>
      <w:lvlText w:val="（%1）"/>
      <w:lvlJc w:val="left"/>
      <w:pPr>
        <w:ind w:left="0" w:firstLine="420"/>
      </w:pPr>
      <w:rPr>
        <w:rFonts w:hint="eastAsia"/>
      </w:rPr>
    </w:lvl>
  </w:abstractNum>
  <w:abstractNum w:abstractNumId="1">
    <w:nsid w:val="FFFFFF83"/>
    <w:multiLevelType w:val="singleLevel"/>
    <w:tmpl w:val="FFFFFF83"/>
    <w:lvl w:ilvl="0" w:tentative="0">
      <w:start w:val="1"/>
      <w:numFmt w:val="bullet"/>
      <w:pStyle w:val="22"/>
      <w:lvlText w:val=""/>
      <w:lvlJc w:val="left"/>
      <w:pPr>
        <w:tabs>
          <w:tab w:val="left" w:pos="780"/>
        </w:tabs>
        <w:ind w:left="780" w:hanging="360"/>
      </w:pPr>
      <w:rPr>
        <w:rFonts w:hint="default" w:ascii="Wingdings" w:hAnsi="Wingdings"/>
      </w:rPr>
    </w:lvl>
  </w:abstractNum>
  <w:abstractNum w:abstractNumId="2">
    <w:nsid w:val="0B5B4942"/>
    <w:multiLevelType w:val="multilevel"/>
    <w:tmpl w:val="0B5B4942"/>
    <w:lvl w:ilvl="0" w:tentative="0">
      <w:start w:val="8"/>
      <w:numFmt w:val="decimal"/>
      <w:lvlText w:val="%1."/>
      <w:lvlJc w:val="left"/>
      <w:pPr>
        <w:tabs>
          <w:tab w:val="left" w:pos="425"/>
        </w:tabs>
        <w:ind w:left="425" w:hanging="425"/>
      </w:pPr>
      <w:rPr>
        <w:rFonts w:hint="eastAsia"/>
        <w:b w:val="0"/>
      </w:rPr>
    </w:lvl>
    <w:lvl w:ilvl="1" w:tentative="0">
      <w:start w:val="1"/>
      <w:numFmt w:val="decimal"/>
      <w:lvlText w:val="%2%1.2."/>
      <w:lvlJc w:val="left"/>
      <w:pPr>
        <w:tabs>
          <w:tab w:val="left" w:pos="567"/>
        </w:tabs>
        <w:ind w:left="567" w:hanging="567"/>
      </w:pPr>
      <w:rPr>
        <w:rFonts w:hint="eastAsia"/>
      </w:rPr>
    </w:lvl>
    <w:lvl w:ilvl="2" w:tentative="0">
      <w:start w:val="1"/>
      <w:numFmt w:val="none"/>
      <w:pStyle w:val="43"/>
      <w:lvlText w:val="8.2.1."/>
      <w:lvlJc w:val="left"/>
      <w:pPr>
        <w:tabs>
          <w:tab w:val="left" w:pos="709"/>
        </w:tabs>
        <w:ind w:left="709" w:hanging="709"/>
      </w:pPr>
      <w:rPr>
        <w:rFonts w:hint="default" w:ascii="Times New Roman" w:hAnsi="Times New Roman" w:cs="Times New Roman"/>
      </w:rPr>
    </w:lvl>
    <w:lvl w:ilvl="3" w:tentative="0">
      <w:start w:val="1"/>
      <w:numFmt w:val="decimal"/>
      <w:lvlText w:val="%1.4.%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
    <w:nsid w:val="0BE45AF2"/>
    <w:multiLevelType w:val="multilevel"/>
    <w:tmpl w:val="0BE45AF2"/>
    <w:lvl w:ilvl="0" w:tentative="0">
      <w:start w:val="1"/>
      <w:numFmt w:val="none"/>
      <w:pStyle w:val="230"/>
      <w:isLgl/>
      <w:lvlText w:val="1."/>
      <w:lvlJc w:val="left"/>
      <w:pPr>
        <w:tabs>
          <w:tab w:val="left" w:pos="425"/>
        </w:tabs>
        <w:ind w:left="425" w:hanging="425"/>
      </w:pPr>
      <w:rPr>
        <w:rFonts w:hint="eastAsia"/>
      </w:rPr>
    </w:lvl>
    <w:lvl w:ilvl="1" w:tentative="0">
      <w:start w:val="1"/>
      <w:numFmt w:val="none"/>
      <w:lvlRestart w:val="0"/>
      <w:isLgl/>
      <w:lvlText w:val="2.1"/>
      <w:lvlJc w:val="left"/>
      <w:pPr>
        <w:tabs>
          <w:tab w:val="left" w:pos="567"/>
        </w:tabs>
        <w:ind w:left="567" w:hanging="567"/>
      </w:pPr>
      <w:rPr>
        <w:rFonts w:hint="eastAsia"/>
      </w:rPr>
    </w:lvl>
    <w:lvl w:ilvl="2" w:tentative="0">
      <w:start w:val="1"/>
      <w:numFmt w:val="decimal"/>
      <w:lvlRestart w:val="0"/>
      <w:isLgl/>
      <w:lvlText w:val="%11.%2.%3."/>
      <w:lvlJc w:val="left"/>
      <w:pPr>
        <w:tabs>
          <w:tab w:val="left" w:pos="1080"/>
        </w:tabs>
        <w:ind w:left="709" w:hanging="709"/>
      </w:pPr>
      <w:rPr>
        <w:rFonts w:hint="eastAsia"/>
      </w:rPr>
    </w:lvl>
    <w:lvl w:ilvl="3" w:tentative="0">
      <w:start w:val="1"/>
      <w:numFmt w:val="decimal"/>
      <w:lvlText w:val="%11.%2.%3.%4."/>
      <w:lvlJc w:val="left"/>
      <w:pPr>
        <w:tabs>
          <w:tab w:val="left" w:pos="1080"/>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1C094AAD"/>
    <w:multiLevelType w:val="multilevel"/>
    <w:tmpl w:val="1C094AAD"/>
    <w:lvl w:ilvl="0" w:tentative="0">
      <w:start w:val="5"/>
      <w:numFmt w:val="lowerLetter"/>
      <w:pStyle w:val="227"/>
      <w:lvlText w:val="%1."/>
      <w:lvlJc w:val="left"/>
      <w:pPr>
        <w:tabs>
          <w:tab w:val="left" w:pos="870"/>
        </w:tabs>
        <w:ind w:left="870" w:hanging="360"/>
      </w:pPr>
      <w:rPr>
        <w:rFonts w:hint="default"/>
      </w:rPr>
    </w:lvl>
    <w:lvl w:ilvl="1" w:tentative="0">
      <w:start w:val="1"/>
      <w:numFmt w:val="lowerLetter"/>
      <w:lvlText w:val="%2)"/>
      <w:lvlJc w:val="left"/>
      <w:pPr>
        <w:tabs>
          <w:tab w:val="left" w:pos="1350"/>
        </w:tabs>
        <w:ind w:left="1350" w:hanging="420"/>
      </w:pPr>
    </w:lvl>
    <w:lvl w:ilvl="2" w:tentative="0">
      <w:start w:val="1"/>
      <w:numFmt w:val="lowerRoman"/>
      <w:lvlText w:val="%3."/>
      <w:lvlJc w:val="right"/>
      <w:pPr>
        <w:tabs>
          <w:tab w:val="left" w:pos="1770"/>
        </w:tabs>
        <w:ind w:left="1770" w:hanging="420"/>
      </w:pPr>
    </w:lvl>
    <w:lvl w:ilvl="3" w:tentative="0">
      <w:start w:val="1"/>
      <w:numFmt w:val="decimal"/>
      <w:lvlText w:val="%4."/>
      <w:lvlJc w:val="left"/>
      <w:pPr>
        <w:tabs>
          <w:tab w:val="left" w:pos="2190"/>
        </w:tabs>
        <w:ind w:left="2190" w:hanging="420"/>
      </w:pPr>
    </w:lvl>
    <w:lvl w:ilvl="4" w:tentative="0">
      <w:start w:val="1"/>
      <w:numFmt w:val="lowerLetter"/>
      <w:lvlText w:val="%5)"/>
      <w:lvlJc w:val="left"/>
      <w:pPr>
        <w:tabs>
          <w:tab w:val="left" w:pos="2610"/>
        </w:tabs>
        <w:ind w:left="2610" w:hanging="420"/>
      </w:pPr>
    </w:lvl>
    <w:lvl w:ilvl="5" w:tentative="0">
      <w:start w:val="1"/>
      <w:numFmt w:val="lowerRoman"/>
      <w:lvlText w:val="%6."/>
      <w:lvlJc w:val="right"/>
      <w:pPr>
        <w:tabs>
          <w:tab w:val="left" w:pos="3030"/>
        </w:tabs>
        <w:ind w:left="3030" w:hanging="420"/>
      </w:pPr>
    </w:lvl>
    <w:lvl w:ilvl="6" w:tentative="0">
      <w:start w:val="1"/>
      <w:numFmt w:val="decimal"/>
      <w:lvlText w:val="%7."/>
      <w:lvlJc w:val="left"/>
      <w:pPr>
        <w:tabs>
          <w:tab w:val="left" w:pos="3450"/>
        </w:tabs>
        <w:ind w:left="3450" w:hanging="420"/>
      </w:pPr>
    </w:lvl>
    <w:lvl w:ilvl="7" w:tentative="0">
      <w:start w:val="1"/>
      <w:numFmt w:val="lowerLetter"/>
      <w:lvlText w:val="%8)"/>
      <w:lvlJc w:val="left"/>
      <w:pPr>
        <w:tabs>
          <w:tab w:val="left" w:pos="3870"/>
        </w:tabs>
        <w:ind w:left="3870" w:hanging="420"/>
      </w:pPr>
    </w:lvl>
    <w:lvl w:ilvl="8" w:tentative="0">
      <w:start w:val="1"/>
      <w:numFmt w:val="lowerRoman"/>
      <w:lvlText w:val="%9."/>
      <w:lvlJc w:val="right"/>
      <w:pPr>
        <w:tabs>
          <w:tab w:val="left" w:pos="4290"/>
        </w:tabs>
        <w:ind w:left="4290" w:hanging="420"/>
      </w:pPr>
    </w:lvl>
  </w:abstractNum>
  <w:abstractNum w:abstractNumId="5">
    <w:nsid w:val="1C8000E7"/>
    <w:multiLevelType w:val="multilevel"/>
    <w:tmpl w:val="1C8000E7"/>
    <w:lvl w:ilvl="0" w:tentative="0">
      <w:start w:val="1"/>
      <w:numFmt w:val="decimal"/>
      <w:pStyle w:val="215"/>
      <w:lvlText w:val="附件%1"/>
      <w:lvlJc w:val="left"/>
      <w:pPr>
        <w:tabs>
          <w:tab w:val="left" w:pos="420"/>
        </w:tabs>
        <w:ind w:left="567" w:hanging="567"/>
      </w:pPr>
      <w:rPr>
        <w:rFonts w:hint="default" w:ascii="Times New Roman" w:hAnsi="Times New Roman" w:eastAsia="宋体" w:cs="Times New Roman"/>
        <w:b/>
        <w:i w:val="0"/>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32616F24"/>
    <w:multiLevelType w:val="multilevel"/>
    <w:tmpl w:val="32616F24"/>
    <w:lvl w:ilvl="0" w:tentative="0">
      <w:start w:val="1"/>
      <w:numFmt w:val="lowerLetter"/>
      <w:pStyle w:val="24"/>
      <w:lvlText w:val="%1."/>
      <w:lvlJc w:val="left"/>
      <w:pPr>
        <w:tabs>
          <w:tab w:val="left" w:pos="870"/>
        </w:tabs>
        <w:ind w:left="870" w:hanging="360"/>
      </w:pPr>
      <w:rPr>
        <w:rFonts w:hint="default"/>
      </w:rPr>
    </w:lvl>
    <w:lvl w:ilvl="1" w:tentative="0">
      <w:start w:val="1"/>
      <w:numFmt w:val="lowerLetter"/>
      <w:lvlText w:val="%2)"/>
      <w:lvlJc w:val="left"/>
      <w:pPr>
        <w:tabs>
          <w:tab w:val="left" w:pos="1350"/>
        </w:tabs>
        <w:ind w:left="1350" w:hanging="420"/>
      </w:pPr>
    </w:lvl>
    <w:lvl w:ilvl="2" w:tentative="0">
      <w:start w:val="1"/>
      <w:numFmt w:val="lowerRoman"/>
      <w:lvlText w:val="%3."/>
      <w:lvlJc w:val="right"/>
      <w:pPr>
        <w:tabs>
          <w:tab w:val="left" w:pos="1770"/>
        </w:tabs>
        <w:ind w:left="1770" w:hanging="420"/>
      </w:pPr>
    </w:lvl>
    <w:lvl w:ilvl="3" w:tentative="0">
      <w:start w:val="1"/>
      <w:numFmt w:val="decimal"/>
      <w:lvlText w:val="%4."/>
      <w:lvlJc w:val="left"/>
      <w:pPr>
        <w:tabs>
          <w:tab w:val="left" w:pos="2190"/>
        </w:tabs>
        <w:ind w:left="2190" w:hanging="420"/>
      </w:pPr>
    </w:lvl>
    <w:lvl w:ilvl="4" w:tentative="0">
      <w:start w:val="1"/>
      <w:numFmt w:val="lowerLetter"/>
      <w:lvlText w:val="%5)"/>
      <w:lvlJc w:val="left"/>
      <w:pPr>
        <w:tabs>
          <w:tab w:val="left" w:pos="2610"/>
        </w:tabs>
        <w:ind w:left="2610" w:hanging="420"/>
      </w:pPr>
    </w:lvl>
    <w:lvl w:ilvl="5" w:tentative="0">
      <w:start w:val="1"/>
      <w:numFmt w:val="lowerRoman"/>
      <w:lvlText w:val="%6."/>
      <w:lvlJc w:val="right"/>
      <w:pPr>
        <w:tabs>
          <w:tab w:val="left" w:pos="3030"/>
        </w:tabs>
        <w:ind w:left="3030" w:hanging="420"/>
      </w:pPr>
    </w:lvl>
    <w:lvl w:ilvl="6" w:tentative="0">
      <w:start w:val="1"/>
      <w:numFmt w:val="decimal"/>
      <w:lvlText w:val="%7."/>
      <w:lvlJc w:val="left"/>
      <w:pPr>
        <w:tabs>
          <w:tab w:val="left" w:pos="3450"/>
        </w:tabs>
        <w:ind w:left="3450" w:hanging="420"/>
      </w:pPr>
    </w:lvl>
    <w:lvl w:ilvl="7" w:tentative="0">
      <w:start w:val="1"/>
      <w:numFmt w:val="lowerLetter"/>
      <w:lvlText w:val="%8)"/>
      <w:lvlJc w:val="left"/>
      <w:pPr>
        <w:tabs>
          <w:tab w:val="left" w:pos="3870"/>
        </w:tabs>
        <w:ind w:left="3870" w:hanging="420"/>
      </w:pPr>
    </w:lvl>
    <w:lvl w:ilvl="8" w:tentative="0">
      <w:start w:val="1"/>
      <w:numFmt w:val="lowerRoman"/>
      <w:lvlText w:val="%9."/>
      <w:lvlJc w:val="right"/>
      <w:pPr>
        <w:tabs>
          <w:tab w:val="left" w:pos="4290"/>
        </w:tabs>
        <w:ind w:left="4290" w:hanging="420"/>
      </w:pPr>
    </w:lvl>
  </w:abstractNum>
  <w:abstractNum w:abstractNumId="7">
    <w:nsid w:val="502D05FB"/>
    <w:multiLevelType w:val="multilevel"/>
    <w:tmpl w:val="502D05FB"/>
    <w:lvl w:ilvl="0" w:tentative="0">
      <w:start w:val="3"/>
      <w:numFmt w:val="japaneseCounting"/>
      <w:pStyle w:val="228"/>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8613EF7"/>
    <w:multiLevelType w:val="singleLevel"/>
    <w:tmpl w:val="58613EF7"/>
    <w:lvl w:ilvl="0" w:tentative="0">
      <w:start w:val="2"/>
      <w:numFmt w:val="chineseCounting"/>
      <w:suff w:val="nothing"/>
      <w:lvlText w:val="（%1）"/>
      <w:lvlJc w:val="left"/>
      <w:rPr>
        <w:rFonts w:hint="eastAsia"/>
      </w:rPr>
    </w:lvl>
  </w:abstractNum>
  <w:abstractNum w:abstractNumId="9">
    <w:nsid w:val="717F5E9D"/>
    <w:multiLevelType w:val="multilevel"/>
    <w:tmpl w:val="717F5E9D"/>
    <w:lvl w:ilvl="0" w:tentative="0">
      <w:start w:val="1"/>
      <w:numFmt w:val="decimal"/>
      <w:lvlText w:val="(%1)"/>
      <w:lvlJc w:val="left"/>
      <w:pPr>
        <w:tabs>
          <w:tab w:val="left" w:pos="1350"/>
        </w:tabs>
        <w:ind w:left="1350" w:hanging="870"/>
      </w:pPr>
      <w:rPr>
        <w:rFonts w:hint="default"/>
      </w:rPr>
    </w:lvl>
    <w:lvl w:ilvl="1" w:tentative="0">
      <w:start w:val="1"/>
      <w:numFmt w:val="lowerLetter"/>
      <w:lvlText w:val="%2)"/>
      <w:lvlJc w:val="left"/>
      <w:pPr>
        <w:tabs>
          <w:tab w:val="left" w:pos="1320"/>
        </w:tabs>
        <w:ind w:left="1320" w:hanging="420"/>
      </w:pPr>
    </w:lvl>
    <w:lvl w:ilvl="2" w:tentative="0">
      <w:start w:val="1"/>
      <w:numFmt w:val="lowerRoman"/>
      <w:pStyle w:val="11"/>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0">
    <w:nsid w:val="72417644"/>
    <w:multiLevelType w:val="singleLevel"/>
    <w:tmpl w:val="72417644"/>
    <w:lvl w:ilvl="0" w:tentative="0">
      <w:start w:val="4"/>
      <w:numFmt w:val="decimal"/>
      <w:suff w:val="nothing"/>
      <w:lvlText w:val="%1）"/>
      <w:lvlJc w:val="left"/>
    </w:lvl>
  </w:abstractNum>
  <w:num w:numId="1">
    <w:abstractNumId w:val="9"/>
  </w:num>
  <w:num w:numId="2">
    <w:abstractNumId w:val="1"/>
  </w:num>
  <w:num w:numId="3">
    <w:abstractNumId w:val="6"/>
  </w:num>
  <w:num w:numId="4">
    <w:abstractNumId w:val="2"/>
  </w:num>
  <w:num w:numId="5">
    <w:abstractNumId w:val="5"/>
  </w:num>
  <w:num w:numId="6">
    <w:abstractNumId w:val="4"/>
  </w:num>
  <w:num w:numId="7">
    <w:abstractNumId w:val="7"/>
  </w:num>
  <w:num w:numId="8">
    <w:abstractNumId w:val="3"/>
  </w:num>
  <w:num w:numId="9">
    <w:abstractNumId w:val="8"/>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HorizontalSpacing w:val="105"/>
  <w:drawingGridVerticalSpacing w:val="33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GNkYmQ2ZjVkNDg1M2NhYjI3OWNmNmE4YjVlMDE2OWQifQ=="/>
  </w:docVars>
  <w:rsids>
    <w:rsidRoot w:val="00172A27"/>
    <w:rsid w:val="00001168"/>
    <w:rsid w:val="00001DED"/>
    <w:rsid w:val="00001F18"/>
    <w:rsid w:val="00002EA1"/>
    <w:rsid w:val="00003102"/>
    <w:rsid w:val="0000364A"/>
    <w:rsid w:val="00004BE4"/>
    <w:rsid w:val="00004F58"/>
    <w:rsid w:val="000050CE"/>
    <w:rsid w:val="00006180"/>
    <w:rsid w:val="0000627E"/>
    <w:rsid w:val="00006798"/>
    <w:rsid w:val="000068C4"/>
    <w:rsid w:val="00007A66"/>
    <w:rsid w:val="00007D14"/>
    <w:rsid w:val="00010606"/>
    <w:rsid w:val="00010A03"/>
    <w:rsid w:val="00010CEF"/>
    <w:rsid w:val="00011F7C"/>
    <w:rsid w:val="0001217F"/>
    <w:rsid w:val="000135DD"/>
    <w:rsid w:val="00013C73"/>
    <w:rsid w:val="00014ACB"/>
    <w:rsid w:val="00014D02"/>
    <w:rsid w:val="0001543C"/>
    <w:rsid w:val="000161DF"/>
    <w:rsid w:val="0001640A"/>
    <w:rsid w:val="00017C1B"/>
    <w:rsid w:val="00020464"/>
    <w:rsid w:val="000205FF"/>
    <w:rsid w:val="00020C96"/>
    <w:rsid w:val="000211B3"/>
    <w:rsid w:val="0002282B"/>
    <w:rsid w:val="00022A7A"/>
    <w:rsid w:val="000238AF"/>
    <w:rsid w:val="00023F93"/>
    <w:rsid w:val="00025A71"/>
    <w:rsid w:val="0002627A"/>
    <w:rsid w:val="000263DF"/>
    <w:rsid w:val="00027CAE"/>
    <w:rsid w:val="00027D62"/>
    <w:rsid w:val="00027E24"/>
    <w:rsid w:val="0003015E"/>
    <w:rsid w:val="000303AD"/>
    <w:rsid w:val="0003080D"/>
    <w:rsid w:val="0003086F"/>
    <w:rsid w:val="00030A52"/>
    <w:rsid w:val="00030E6B"/>
    <w:rsid w:val="000318CC"/>
    <w:rsid w:val="00031D1E"/>
    <w:rsid w:val="000324F2"/>
    <w:rsid w:val="00032926"/>
    <w:rsid w:val="00032B38"/>
    <w:rsid w:val="00032CA6"/>
    <w:rsid w:val="00033989"/>
    <w:rsid w:val="00033ED2"/>
    <w:rsid w:val="00034AFE"/>
    <w:rsid w:val="00034D48"/>
    <w:rsid w:val="00036C2D"/>
    <w:rsid w:val="00036D50"/>
    <w:rsid w:val="000378E1"/>
    <w:rsid w:val="00040F49"/>
    <w:rsid w:val="0004116F"/>
    <w:rsid w:val="0004121D"/>
    <w:rsid w:val="00041E53"/>
    <w:rsid w:val="00041EB4"/>
    <w:rsid w:val="00042F4A"/>
    <w:rsid w:val="00042FA5"/>
    <w:rsid w:val="000436C5"/>
    <w:rsid w:val="00044273"/>
    <w:rsid w:val="000458C8"/>
    <w:rsid w:val="00046AC7"/>
    <w:rsid w:val="000476EA"/>
    <w:rsid w:val="00047B7E"/>
    <w:rsid w:val="000503B4"/>
    <w:rsid w:val="000510BF"/>
    <w:rsid w:val="000520F5"/>
    <w:rsid w:val="00052DAE"/>
    <w:rsid w:val="00052DCA"/>
    <w:rsid w:val="000530BE"/>
    <w:rsid w:val="00054169"/>
    <w:rsid w:val="00054397"/>
    <w:rsid w:val="00054730"/>
    <w:rsid w:val="00055486"/>
    <w:rsid w:val="00055604"/>
    <w:rsid w:val="00055A4D"/>
    <w:rsid w:val="00056453"/>
    <w:rsid w:val="00057B10"/>
    <w:rsid w:val="00060B60"/>
    <w:rsid w:val="00060F3B"/>
    <w:rsid w:val="0006120C"/>
    <w:rsid w:val="00061C4F"/>
    <w:rsid w:val="00061CEB"/>
    <w:rsid w:val="00062198"/>
    <w:rsid w:val="0006284C"/>
    <w:rsid w:val="000640BF"/>
    <w:rsid w:val="000646DE"/>
    <w:rsid w:val="00064A7B"/>
    <w:rsid w:val="00065725"/>
    <w:rsid w:val="0006599A"/>
    <w:rsid w:val="000659CF"/>
    <w:rsid w:val="00065EFA"/>
    <w:rsid w:val="00067DAE"/>
    <w:rsid w:val="00070758"/>
    <w:rsid w:val="00070822"/>
    <w:rsid w:val="0007084A"/>
    <w:rsid w:val="00071AC2"/>
    <w:rsid w:val="00072748"/>
    <w:rsid w:val="00072952"/>
    <w:rsid w:val="000732BF"/>
    <w:rsid w:val="0007361E"/>
    <w:rsid w:val="00073AC6"/>
    <w:rsid w:val="00073EB0"/>
    <w:rsid w:val="00074AB5"/>
    <w:rsid w:val="00074F23"/>
    <w:rsid w:val="00075134"/>
    <w:rsid w:val="000752AA"/>
    <w:rsid w:val="00076B4F"/>
    <w:rsid w:val="00076E7A"/>
    <w:rsid w:val="00077858"/>
    <w:rsid w:val="00080977"/>
    <w:rsid w:val="000809B7"/>
    <w:rsid w:val="00081AB0"/>
    <w:rsid w:val="00082A4B"/>
    <w:rsid w:val="00083595"/>
    <w:rsid w:val="00084362"/>
    <w:rsid w:val="00084AF8"/>
    <w:rsid w:val="0008642F"/>
    <w:rsid w:val="00086EDA"/>
    <w:rsid w:val="0008773F"/>
    <w:rsid w:val="00087D5C"/>
    <w:rsid w:val="00090038"/>
    <w:rsid w:val="000901C6"/>
    <w:rsid w:val="000903D1"/>
    <w:rsid w:val="000908FA"/>
    <w:rsid w:val="00090B9C"/>
    <w:rsid w:val="000910D1"/>
    <w:rsid w:val="00091633"/>
    <w:rsid w:val="00091C6A"/>
    <w:rsid w:val="000925E0"/>
    <w:rsid w:val="00092D17"/>
    <w:rsid w:val="00093A59"/>
    <w:rsid w:val="000941D3"/>
    <w:rsid w:val="000943C0"/>
    <w:rsid w:val="00094586"/>
    <w:rsid w:val="00094641"/>
    <w:rsid w:val="000949C4"/>
    <w:rsid w:val="0009636D"/>
    <w:rsid w:val="0009663C"/>
    <w:rsid w:val="00097015"/>
    <w:rsid w:val="000A05EE"/>
    <w:rsid w:val="000A0D10"/>
    <w:rsid w:val="000A1495"/>
    <w:rsid w:val="000A1CFC"/>
    <w:rsid w:val="000A2484"/>
    <w:rsid w:val="000A2573"/>
    <w:rsid w:val="000A2683"/>
    <w:rsid w:val="000A2EDE"/>
    <w:rsid w:val="000A308A"/>
    <w:rsid w:val="000A37A8"/>
    <w:rsid w:val="000A40F6"/>
    <w:rsid w:val="000A4144"/>
    <w:rsid w:val="000A47F2"/>
    <w:rsid w:val="000A5B73"/>
    <w:rsid w:val="000A6073"/>
    <w:rsid w:val="000A69B5"/>
    <w:rsid w:val="000A6FF9"/>
    <w:rsid w:val="000A77E6"/>
    <w:rsid w:val="000A79FF"/>
    <w:rsid w:val="000B0640"/>
    <w:rsid w:val="000B2978"/>
    <w:rsid w:val="000B2B37"/>
    <w:rsid w:val="000B3C97"/>
    <w:rsid w:val="000B4AD7"/>
    <w:rsid w:val="000B6096"/>
    <w:rsid w:val="000B6270"/>
    <w:rsid w:val="000B66B9"/>
    <w:rsid w:val="000C0727"/>
    <w:rsid w:val="000C0953"/>
    <w:rsid w:val="000C0AF7"/>
    <w:rsid w:val="000C0B69"/>
    <w:rsid w:val="000C0F13"/>
    <w:rsid w:val="000C15FD"/>
    <w:rsid w:val="000C1847"/>
    <w:rsid w:val="000C1A63"/>
    <w:rsid w:val="000C31FD"/>
    <w:rsid w:val="000C3500"/>
    <w:rsid w:val="000C4A27"/>
    <w:rsid w:val="000C4C05"/>
    <w:rsid w:val="000C4F79"/>
    <w:rsid w:val="000C5AFA"/>
    <w:rsid w:val="000C6440"/>
    <w:rsid w:val="000C6D36"/>
    <w:rsid w:val="000C6EC1"/>
    <w:rsid w:val="000C7A65"/>
    <w:rsid w:val="000C7B4C"/>
    <w:rsid w:val="000D1636"/>
    <w:rsid w:val="000D1700"/>
    <w:rsid w:val="000D1A5B"/>
    <w:rsid w:val="000D23B2"/>
    <w:rsid w:val="000D2780"/>
    <w:rsid w:val="000D27DC"/>
    <w:rsid w:val="000D2992"/>
    <w:rsid w:val="000D2A81"/>
    <w:rsid w:val="000D2C84"/>
    <w:rsid w:val="000D3674"/>
    <w:rsid w:val="000D3758"/>
    <w:rsid w:val="000D5B87"/>
    <w:rsid w:val="000D6110"/>
    <w:rsid w:val="000D6144"/>
    <w:rsid w:val="000D620F"/>
    <w:rsid w:val="000D7A95"/>
    <w:rsid w:val="000E01CE"/>
    <w:rsid w:val="000E070B"/>
    <w:rsid w:val="000E0C31"/>
    <w:rsid w:val="000E0F4E"/>
    <w:rsid w:val="000E105D"/>
    <w:rsid w:val="000E2F25"/>
    <w:rsid w:val="000E35E6"/>
    <w:rsid w:val="000E3857"/>
    <w:rsid w:val="000E3B7F"/>
    <w:rsid w:val="000E3FC4"/>
    <w:rsid w:val="000E5324"/>
    <w:rsid w:val="000E5C3E"/>
    <w:rsid w:val="000E5CE9"/>
    <w:rsid w:val="000E72A9"/>
    <w:rsid w:val="000E73ED"/>
    <w:rsid w:val="000E7538"/>
    <w:rsid w:val="000E76C7"/>
    <w:rsid w:val="000F117E"/>
    <w:rsid w:val="000F1863"/>
    <w:rsid w:val="000F243E"/>
    <w:rsid w:val="000F265D"/>
    <w:rsid w:val="000F2DD3"/>
    <w:rsid w:val="000F3432"/>
    <w:rsid w:val="000F34CF"/>
    <w:rsid w:val="000F41A0"/>
    <w:rsid w:val="000F484E"/>
    <w:rsid w:val="000F49AC"/>
    <w:rsid w:val="000F4B9C"/>
    <w:rsid w:val="000F5F35"/>
    <w:rsid w:val="000F7605"/>
    <w:rsid w:val="000F7A9C"/>
    <w:rsid w:val="0010068E"/>
    <w:rsid w:val="00100CD2"/>
    <w:rsid w:val="00101D00"/>
    <w:rsid w:val="00101E14"/>
    <w:rsid w:val="00102621"/>
    <w:rsid w:val="0010291F"/>
    <w:rsid w:val="001033E0"/>
    <w:rsid w:val="00104BCA"/>
    <w:rsid w:val="00104DA6"/>
    <w:rsid w:val="00104E20"/>
    <w:rsid w:val="001071B4"/>
    <w:rsid w:val="00107FE5"/>
    <w:rsid w:val="00110FCA"/>
    <w:rsid w:val="00111149"/>
    <w:rsid w:val="00112336"/>
    <w:rsid w:val="001126C4"/>
    <w:rsid w:val="001128C9"/>
    <w:rsid w:val="001128F8"/>
    <w:rsid w:val="00112A28"/>
    <w:rsid w:val="00112CD6"/>
    <w:rsid w:val="00113808"/>
    <w:rsid w:val="0011443C"/>
    <w:rsid w:val="001145EE"/>
    <w:rsid w:val="00114628"/>
    <w:rsid w:val="0011578C"/>
    <w:rsid w:val="00115A00"/>
    <w:rsid w:val="00116B33"/>
    <w:rsid w:val="00116CCC"/>
    <w:rsid w:val="00116EAD"/>
    <w:rsid w:val="0011715F"/>
    <w:rsid w:val="001172FA"/>
    <w:rsid w:val="00120108"/>
    <w:rsid w:val="00120F0E"/>
    <w:rsid w:val="00121B3C"/>
    <w:rsid w:val="00121C11"/>
    <w:rsid w:val="00121D18"/>
    <w:rsid w:val="001229B8"/>
    <w:rsid w:val="00122E51"/>
    <w:rsid w:val="0012355B"/>
    <w:rsid w:val="00123E52"/>
    <w:rsid w:val="0012446F"/>
    <w:rsid w:val="0012642F"/>
    <w:rsid w:val="00126679"/>
    <w:rsid w:val="00126EC0"/>
    <w:rsid w:val="0012706B"/>
    <w:rsid w:val="0013008F"/>
    <w:rsid w:val="001301A9"/>
    <w:rsid w:val="001307BF"/>
    <w:rsid w:val="00130A40"/>
    <w:rsid w:val="00131E9C"/>
    <w:rsid w:val="0013234D"/>
    <w:rsid w:val="00132AFC"/>
    <w:rsid w:val="00133B0E"/>
    <w:rsid w:val="00135404"/>
    <w:rsid w:val="001358E0"/>
    <w:rsid w:val="00136744"/>
    <w:rsid w:val="00136CAC"/>
    <w:rsid w:val="00137255"/>
    <w:rsid w:val="0013739D"/>
    <w:rsid w:val="0013790B"/>
    <w:rsid w:val="00137A1F"/>
    <w:rsid w:val="001403EB"/>
    <w:rsid w:val="0014070E"/>
    <w:rsid w:val="00140F0D"/>
    <w:rsid w:val="00140F69"/>
    <w:rsid w:val="001419BA"/>
    <w:rsid w:val="00141BFA"/>
    <w:rsid w:val="00141C9F"/>
    <w:rsid w:val="00141EA4"/>
    <w:rsid w:val="00141F3E"/>
    <w:rsid w:val="00142268"/>
    <w:rsid w:val="001424C5"/>
    <w:rsid w:val="001426ED"/>
    <w:rsid w:val="00142E51"/>
    <w:rsid w:val="001436A0"/>
    <w:rsid w:val="0014469F"/>
    <w:rsid w:val="00145379"/>
    <w:rsid w:val="001468FD"/>
    <w:rsid w:val="00147BF5"/>
    <w:rsid w:val="0015025F"/>
    <w:rsid w:val="00153301"/>
    <w:rsid w:val="00153543"/>
    <w:rsid w:val="0015392E"/>
    <w:rsid w:val="00154A72"/>
    <w:rsid w:val="001552F6"/>
    <w:rsid w:val="0015617B"/>
    <w:rsid w:val="0015617E"/>
    <w:rsid w:val="001563B6"/>
    <w:rsid w:val="00156A8B"/>
    <w:rsid w:val="001602FC"/>
    <w:rsid w:val="00160866"/>
    <w:rsid w:val="00160ED9"/>
    <w:rsid w:val="001612E4"/>
    <w:rsid w:val="00161498"/>
    <w:rsid w:val="00162FC4"/>
    <w:rsid w:val="0016309E"/>
    <w:rsid w:val="00163175"/>
    <w:rsid w:val="0016324E"/>
    <w:rsid w:val="00163322"/>
    <w:rsid w:val="00163CCE"/>
    <w:rsid w:val="001645CD"/>
    <w:rsid w:val="001649A5"/>
    <w:rsid w:val="00164E1E"/>
    <w:rsid w:val="00165894"/>
    <w:rsid w:val="00166036"/>
    <w:rsid w:val="0016727D"/>
    <w:rsid w:val="001674D7"/>
    <w:rsid w:val="00167B66"/>
    <w:rsid w:val="00167C37"/>
    <w:rsid w:val="00167ED3"/>
    <w:rsid w:val="0017020D"/>
    <w:rsid w:val="00170406"/>
    <w:rsid w:val="00170675"/>
    <w:rsid w:val="00171FAD"/>
    <w:rsid w:val="001728EB"/>
    <w:rsid w:val="00172A27"/>
    <w:rsid w:val="00172EAC"/>
    <w:rsid w:val="00173ADD"/>
    <w:rsid w:val="00173D52"/>
    <w:rsid w:val="0017464B"/>
    <w:rsid w:val="001752BB"/>
    <w:rsid w:val="001755C3"/>
    <w:rsid w:val="00175F9B"/>
    <w:rsid w:val="00176E02"/>
    <w:rsid w:val="0017743B"/>
    <w:rsid w:val="00177491"/>
    <w:rsid w:val="00177696"/>
    <w:rsid w:val="00177745"/>
    <w:rsid w:val="00177E2D"/>
    <w:rsid w:val="0018020D"/>
    <w:rsid w:val="001807F6"/>
    <w:rsid w:val="00180B2D"/>
    <w:rsid w:val="00180B73"/>
    <w:rsid w:val="0018124B"/>
    <w:rsid w:val="001812DE"/>
    <w:rsid w:val="00181A74"/>
    <w:rsid w:val="00183B17"/>
    <w:rsid w:val="001847AE"/>
    <w:rsid w:val="00184955"/>
    <w:rsid w:val="00184A83"/>
    <w:rsid w:val="00184ABE"/>
    <w:rsid w:val="001851D4"/>
    <w:rsid w:val="0018522A"/>
    <w:rsid w:val="00185750"/>
    <w:rsid w:val="001857D9"/>
    <w:rsid w:val="0018732E"/>
    <w:rsid w:val="0019095D"/>
    <w:rsid w:val="00191607"/>
    <w:rsid w:val="00192D77"/>
    <w:rsid w:val="0019385F"/>
    <w:rsid w:val="00193D6C"/>
    <w:rsid w:val="0019404F"/>
    <w:rsid w:val="0019405B"/>
    <w:rsid w:val="00194177"/>
    <w:rsid w:val="0019559E"/>
    <w:rsid w:val="001964A3"/>
    <w:rsid w:val="001978BB"/>
    <w:rsid w:val="001A2389"/>
    <w:rsid w:val="001A4469"/>
    <w:rsid w:val="001A5793"/>
    <w:rsid w:val="001A5C02"/>
    <w:rsid w:val="001A600A"/>
    <w:rsid w:val="001A60B9"/>
    <w:rsid w:val="001A6E94"/>
    <w:rsid w:val="001A7566"/>
    <w:rsid w:val="001B00F6"/>
    <w:rsid w:val="001B0262"/>
    <w:rsid w:val="001B049D"/>
    <w:rsid w:val="001B0E7C"/>
    <w:rsid w:val="001B0F4B"/>
    <w:rsid w:val="001B1B84"/>
    <w:rsid w:val="001B299A"/>
    <w:rsid w:val="001B2D65"/>
    <w:rsid w:val="001B3867"/>
    <w:rsid w:val="001B4677"/>
    <w:rsid w:val="001B475B"/>
    <w:rsid w:val="001B4CF2"/>
    <w:rsid w:val="001B4D80"/>
    <w:rsid w:val="001B4F38"/>
    <w:rsid w:val="001B4F94"/>
    <w:rsid w:val="001B5406"/>
    <w:rsid w:val="001B6041"/>
    <w:rsid w:val="001B7C1F"/>
    <w:rsid w:val="001B7EBB"/>
    <w:rsid w:val="001C038F"/>
    <w:rsid w:val="001C0AE7"/>
    <w:rsid w:val="001C1199"/>
    <w:rsid w:val="001C2314"/>
    <w:rsid w:val="001C2C2B"/>
    <w:rsid w:val="001C3C4A"/>
    <w:rsid w:val="001C42FB"/>
    <w:rsid w:val="001C489D"/>
    <w:rsid w:val="001C4B52"/>
    <w:rsid w:val="001C4BBC"/>
    <w:rsid w:val="001C51CA"/>
    <w:rsid w:val="001C5482"/>
    <w:rsid w:val="001C573C"/>
    <w:rsid w:val="001C5CB2"/>
    <w:rsid w:val="001C5F7F"/>
    <w:rsid w:val="001C610E"/>
    <w:rsid w:val="001C6742"/>
    <w:rsid w:val="001C6DBF"/>
    <w:rsid w:val="001C7ABE"/>
    <w:rsid w:val="001C7B9B"/>
    <w:rsid w:val="001C7EAB"/>
    <w:rsid w:val="001D0C4F"/>
    <w:rsid w:val="001D1C3B"/>
    <w:rsid w:val="001D1DB3"/>
    <w:rsid w:val="001D250C"/>
    <w:rsid w:val="001D2D03"/>
    <w:rsid w:val="001D482D"/>
    <w:rsid w:val="001D4A7A"/>
    <w:rsid w:val="001D534B"/>
    <w:rsid w:val="001E0063"/>
    <w:rsid w:val="001E0801"/>
    <w:rsid w:val="001E0AAD"/>
    <w:rsid w:val="001E0E1C"/>
    <w:rsid w:val="001E1900"/>
    <w:rsid w:val="001E2280"/>
    <w:rsid w:val="001E2583"/>
    <w:rsid w:val="001E2E02"/>
    <w:rsid w:val="001E2E80"/>
    <w:rsid w:val="001E338B"/>
    <w:rsid w:val="001E44CD"/>
    <w:rsid w:val="001E52AA"/>
    <w:rsid w:val="001E54DC"/>
    <w:rsid w:val="001E5F58"/>
    <w:rsid w:val="001E60E7"/>
    <w:rsid w:val="001E71F8"/>
    <w:rsid w:val="001E793D"/>
    <w:rsid w:val="001F017F"/>
    <w:rsid w:val="001F0447"/>
    <w:rsid w:val="001F0B6E"/>
    <w:rsid w:val="001F248D"/>
    <w:rsid w:val="001F32F6"/>
    <w:rsid w:val="001F364D"/>
    <w:rsid w:val="001F4657"/>
    <w:rsid w:val="001F4E3C"/>
    <w:rsid w:val="001F5AD8"/>
    <w:rsid w:val="001F612D"/>
    <w:rsid w:val="001F73AA"/>
    <w:rsid w:val="001F76EC"/>
    <w:rsid w:val="001F77B3"/>
    <w:rsid w:val="001F7FB7"/>
    <w:rsid w:val="00200476"/>
    <w:rsid w:val="00200D57"/>
    <w:rsid w:val="00200E92"/>
    <w:rsid w:val="002013DE"/>
    <w:rsid w:val="00201DDC"/>
    <w:rsid w:val="00201ED3"/>
    <w:rsid w:val="00202356"/>
    <w:rsid w:val="00202A8D"/>
    <w:rsid w:val="00202AA4"/>
    <w:rsid w:val="002038C1"/>
    <w:rsid w:val="00203CE2"/>
    <w:rsid w:val="002043F0"/>
    <w:rsid w:val="00204489"/>
    <w:rsid w:val="002064CB"/>
    <w:rsid w:val="00207354"/>
    <w:rsid w:val="0020737E"/>
    <w:rsid w:val="002103CC"/>
    <w:rsid w:val="0021081C"/>
    <w:rsid w:val="00210C5F"/>
    <w:rsid w:val="00210FA1"/>
    <w:rsid w:val="00211472"/>
    <w:rsid w:val="002123DE"/>
    <w:rsid w:val="0021322A"/>
    <w:rsid w:val="00214109"/>
    <w:rsid w:val="00214ADD"/>
    <w:rsid w:val="00214EAC"/>
    <w:rsid w:val="00216A83"/>
    <w:rsid w:val="00216C1E"/>
    <w:rsid w:val="00216E12"/>
    <w:rsid w:val="00216E67"/>
    <w:rsid w:val="002178AF"/>
    <w:rsid w:val="00220BC5"/>
    <w:rsid w:val="00221699"/>
    <w:rsid w:val="002221E7"/>
    <w:rsid w:val="002223FC"/>
    <w:rsid w:val="00222761"/>
    <w:rsid w:val="0022292A"/>
    <w:rsid w:val="00222D3C"/>
    <w:rsid w:val="00223DE3"/>
    <w:rsid w:val="00223F5F"/>
    <w:rsid w:val="002245C8"/>
    <w:rsid w:val="00224AF0"/>
    <w:rsid w:val="00225274"/>
    <w:rsid w:val="00225AD8"/>
    <w:rsid w:val="00225BBC"/>
    <w:rsid w:val="00227AA7"/>
    <w:rsid w:val="00227C9A"/>
    <w:rsid w:val="00230599"/>
    <w:rsid w:val="00231687"/>
    <w:rsid w:val="00233996"/>
    <w:rsid w:val="00233C39"/>
    <w:rsid w:val="002340C3"/>
    <w:rsid w:val="00234AF7"/>
    <w:rsid w:val="00235028"/>
    <w:rsid w:val="002357D8"/>
    <w:rsid w:val="00235EF2"/>
    <w:rsid w:val="002366C5"/>
    <w:rsid w:val="00236FB4"/>
    <w:rsid w:val="00240A21"/>
    <w:rsid w:val="002414E7"/>
    <w:rsid w:val="002419AE"/>
    <w:rsid w:val="00241A0C"/>
    <w:rsid w:val="002422B2"/>
    <w:rsid w:val="002432A6"/>
    <w:rsid w:val="00243784"/>
    <w:rsid w:val="00243A79"/>
    <w:rsid w:val="00243FD4"/>
    <w:rsid w:val="00243FE0"/>
    <w:rsid w:val="002445D4"/>
    <w:rsid w:val="0024494C"/>
    <w:rsid w:val="002454CB"/>
    <w:rsid w:val="00245FC8"/>
    <w:rsid w:val="00246AB6"/>
    <w:rsid w:val="00246E65"/>
    <w:rsid w:val="00246EDA"/>
    <w:rsid w:val="00247811"/>
    <w:rsid w:val="002505BB"/>
    <w:rsid w:val="00250B79"/>
    <w:rsid w:val="002520EA"/>
    <w:rsid w:val="00252448"/>
    <w:rsid w:val="002525B7"/>
    <w:rsid w:val="002525BF"/>
    <w:rsid w:val="002535AB"/>
    <w:rsid w:val="002543C3"/>
    <w:rsid w:val="002558E4"/>
    <w:rsid w:val="00256C4B"/>
    <w:rsid w:val="00257CD9"/>
    <w:rsid w:val="0026054D"/>
    <w:rsid w:val="00260885"/>
    <w:rsid w:val="00260F68"/>
    <w:rsid w:val="00261E3D"/>
    <w:rsid w:val="00262D20"/>
    <w:rsid w:val="00262F24"/>
    <w:rsid w:val="002630FD"/>
    <w:rsid w:val="0026366F"/>
    <w:rsid w:val="00263C07"/>
    <w:rsid w:val="00263E2A"/>
    <w:rsid w:val="002643CC"/>
    <w:rsid w:val="002651B5"/>
    <w:rsid w:val="002659C5"/>
    <w:rsid w:val="00265B17"/>
    <w:rsid w:val="00265D92"/>
    <w:rsid w:val="002669F0"/>
    <w:rsid w:val="0027016A"/>
    <w:rsid w:val="002701BB"/>
    <w:rsid w:val="00270347"/>
    <w:rsid w:val="00270733"/>
    <w:rsid w:val="00270F3D"/>
    <w:rsid w:val="002717D3"/>
    <w:rsid w:val="00271C3A"/>
    <w:rsid w:val="002725E9"/>
    <w:rsid w:val="0027363B"/>
    <w:rsid w:val="002737EC"/>
    <w:rsid w:val="0027382A"/>
    <w:rsid w:val="00273CA6"/>
    <w:rsid w:val="00273EE8"/>
    <w:rsid w:val="00275CA0"/>
    <w:rsid w:val="002765AD"/>
    <w:rsid w:val="002767D4"/>
    <w:rsid w:val="00276B53"/>
    <w:rsid w:val="00276C0E"/>
    <w:rsid w:val="002779D6"/>
    <w:rsid w:val="002802D9"/>
    <w:rsid w:val="00280BB5"/>
    <w:rsid w:val="00280BD8"/>
    <w:rsid w:val="002814B4"/>
    <w:rsid w:val="00281942"/>
    <w:rsid w:val="00281A68"/>
    <w:rsid w:val="00282292"/>
    <w:rsid w:val="002833A8"/>
    <w:rsid w:val="00283F7F"/>
    <w:rsid w:val="00284530"/>
    <w:rsid w:val="00284F5D"/>
    <w:rsid w:val="002850CE"/>
    <w:rsid w:val="00286AD4"/>
    <w:rsid w:val="002871E1"/>
    <w:rsid w:val="0029069E"/>
    <w:rsid w:val="00290967"/>
    <w:rsid w:val="00290F0A"/>
    <w:rsid w:val="00291572"/>
    <w:rsid w:val="00291A11"/>
    <w:rsid w:val="002920B7"/>
    <w:rsid w:val="00292D7F"/>
    <w:rsid w:val="00292FBD"/>
    <w:rsid w:val="00293416"/>
    <w:rsid w:val="002949B3"/>
    <w:rsid w:val="002952FE"/>
    <w:rsid w:val="00297B3B"/>
    <w:rsid w:val="002A08EB"/>
    <w:rsid w:val="002A3106"/>
    <w:rsid w:val="002A4C75"/>
    <w:rsid w:val="002A6988"/>
    <w:rsid w:val="002A6A98"/>
    <w:rsid w:val="002A6E09"/>
    <w:rsid w:val="002A78E5"/>
    <w:rsid w:val="002A7936"/>
    <w:rsid w:val="002A7E3A"/>
    <w:rsid w:val="002B0527"/>
    <w:rsid w:val="002B14B7"/>
    <w:rsid w:val="002B23D8"/>
    <w:rsid w:val="002B2CC9"/>
    <w:rsid w:val="002B403A"/>
    <w:rsid w:val="002B4977"/>
    <w:rsid w:val="002B5355"/>
    <w:rsid w:val="002B538C"/>
    <w:rsid w:val="002B5692"/>
    <w:rsid w:val="002B5BB1"/>
    <w:rsid w:val="002B7978"/>
    <w:rsid w:val="002C066C"/>
    <w:rsid w:val="002C16BC"/>
    <w:rsid w:val="002C1A9A"/>
    <w:rsid w:val="002C2418"/>
    <w:rsid w:val="002C342E"/>
    <w:rsid w:val="002C39FD"/>
    <w:rsid w:val="002C4074"/>
    <w:rsid w:val="002C4F1F"/>
    <w:rsid w:val="002C5472"/>
    <w:rsid w:val="002C6F6A"/>
    <w:rsid w:val="002D1329"/>
    <w:rsid w:val="002D1BAF"/>
    <w:rsid w:val="002D2031"/>
    <w:rsid w:val="002D2B3D"/>
    <w:rsid w:val="002D3455"/>
    <w:rsid w:val="002D366D"/>
    <w:rsid w:val="002D3BA1"/>
    <w:rsid w:val="002D3F08"/>
    <w:rsid w:val="002D4218"/>
    <w:rsid w:val="002D5C2A"/>
    <w:rsid w:val="002D640F"/>
    <w:rsid w:val="002D676E"/>
    <w:rsid w:val="002D6865"/>
    <w:rsid w:val="002D6DF5"/>
    <w:rsid w:val="002D75E2"/>
    <w:rsid w:val="002E0039"/>
    <w:rsid w:val="002E02D3"/>
    <w:rsid w:val="002E10B0"/>
    <w:rsid w:val="002E123F"/>
    <w:rsid w:val="002E1389"/>
    <w:rsid w:val="002E1402"/>
    <w:rsid w:val="002E21DC"/>
    <w:rsid w:val="002E26E6"/>
    <w:rsid w:val="002E37A9"/>
    <w:rsid w:val="002E3D60"/>
    <w:rsid w:val="002E4BF2"/>
    <w:rsid w:val="002E4D39"/>
    <w:rsid w:val="002E4FBE"/>
    <w:rsid w:val="002E5359"/>
    <w:rsid w:val="002E53F2"/>
    <w:rsid w:val="002E5D1C"/>
    <w:rsid w:val="002E7658"/>
    <w:rsid w:val="002F1BB3"/>
    <w:rsid w:val="002F1E5C"/>
    <w:rsid w:val="002F24FA"/>
    <w:rsid w:val="002F284F"/>
    <w:rsid w:val="002F2AF1"/>
    <w:rsid w:val="002F376F"/>
    <w:rsid w:val="002F3A78"/>
    <w:rsid w:val="002F6129"/>
    <w:rsid w:val="002F6B47"/>
    <w:rsid w:val="002F73E8"/>
    <w:rsid w:val="002F74E6"/>
    <w:rsid w:val="002F7FAD"/>
    <w:rsid w:val="00300665"/>
    <w:rsid w:val="0030172C"/>
    <w:rsid w:val="00302B20"/>
    <w:rsid w:val="00302E6D"/>
    <w:rsid w:val="0030394D"/>
    <w:rsid w:val="00304433"/>
    <w:rsid w:val="00304B88"/>
    <w:rsid w:val="00304DD5"/>
    <w:rsid w:val="003052E8"/>
    <w:rsid w:val="00305A2D"/>
    <w:rsid w:val="00307CD8"/>
    <w:rsid w:val="003100D3"/>
    <w:rsid w:val="00310134"/>
    <w:rsid w:val="003101DA"/>
    <w:rsid w:val="00314B7B"/>
    <w:rsid w:val="00315E3F"/>
    <w:rsid w:val="00316037"/>
    <w:rsid w:val="00316060"/>
    <w:rsid w:val="0031606B"/>
    <w:rsid w:val="00317110"/>
    <w:rsid w:val="003171B2"/>
    <w:rsid w:val="0031797B"/>
    <w:rsid w:val="00317CEF"/>
    <w:rsid w:val="00321D28"/>
    <w:rsid w:val="00322723"/>
    <w:rsid w:val="003233CC"/>
    <w:rsid w:val="003234DE"/>
    <w:rsid w:val="00323AAF"/>
    <w:rsid w:val="00324250"/>
    <w:rsid w:val="00324C21"/>
    <w:rsid w:val="00324F8F"/>
    <w:rsid w:val="0032533A"/>
    <w:rsid w:val="00325979"/>
    <w:rsid w:val="00325CB6"/>
    <w:rsid w:val="003269DE"/>
    <w:rsid w:val="0032751B"/>
    <w:rsid w:val="003278D2"/>
    <w:rsid w:val="00330687"/>
    <w:rsid w:val="00331155"/>
    <w:rsid w:val="003320F7"/>
    <w:rsid w:val="003325AD"/>
    <w:rsid w:val="00332941"/>
    <w:rsid w:val="00332967"/>
    <w:rsid w:val="00335B84"/>
    <w:rsid w:val="00335D37"/>
    <w:rsid w:val="00336EE8"/>
    <w:rsid w:val="00337732"/>
    <w:rsid w:val="00337FD0"/>
    <w:rsid w:val="00341552"/>
    <w:rsid w:val="0034218F"/>
    <w:rsid w:val="00342AE9"/>
    <w:rsid w:val="003435B1"/>
    <w:rsid w:val="0034392F"/>
    <w:rsid w:val="00343B02"/>
    <w:rsid w:val="00344873"/>
    <w:rsid w:val="00346B6B"/>
    <w:rsid w:val="00346D96"/>
    <w:rsid w:val="00346EF6"/>
    <w:rsid w:val="00347136"/>
    <w:rsid w:val="00347B1D"/>
    <w:rsid w:val="00350CB3"/>
    <w:rsid w:val="0035119F"/>
    <w:rsid w:val="00351718"/>
    <w:rsid w:val="00351891"/>
    <w:rsid w:val="00351B08"/>
    <w:rsid w:val="00351BC5"/>
    <w:rsid w:val="003524FC"/>
    <w:rsid w:val="003528D7"/>
    <w:rsid w:val="0035310B"/>
    <w:rsid w:val="003532F8"/>
    <w:rsid w:val="00353655"/>
    <w:rsid w:val="00353C35"/>
    <w:rsid w:val="00355CB7"/>
    <w:rsid w:val="00355ED1"/>
    <w:rsid w:val="003560CA"/>
    <w:rsid w:val="0035685D"/>
    <w:rsid w:val="00356AEC"/>
    <w:rsid w:val="0035747E"/>
    <w:rsid w:val="003607DD"/>
    <w:rsid w:val="003614D4"/>
    <w:rsid w:val="00361552"/>
    <w:rsid w:val="00361992"/>
    <w:rsid w:val="003621AD"/>
    <w:rsid w:val="00362528"/>
    <w:rsid w:val="00363F43"/>
    <w:rsid w:val="00364719"/>
    <w:rsid w:val="003648DD"/>
    <w:rsid w:val="00365E68"/>
    <w:rsid w:val="003662BE"/>
    <w:rsid w:val="0036697D"/>
    <w:rsid w:val="003675DB"/>
    <w:rsid w:val="00371C3A"/>
    <w:rsid w:val="003722A4"/>
    <w:rsid w:val="00372620"/>
    <w:rsid w:val="00373BDF"/>
    <w:rsid w:val="00373CDE"/>
    <w:rsid w:val="00374B90"/>
    <w:rsid w:val="00374DB2"/>
    <w:rsid w:val="003752D4"/>
    <w:rsid w:val="00375C93"/>
    <w:rsid w:val="003761B7"/>
    <w:rsid w:val="0037633F"/>
    <w:rsid w:val="003766F3"/>
    <w:rsid w:val="00377119"/>
    <w:rsid w:val="00377299"/>
    <w:rsid w:val="0038092E"/>
    <w:rsid w:val="00380DB1"/>
    <w:rsid w:val="00381DEA"/>
    <w:rsid w:val="003826B4"/>
    <w:rsid w:val="00382715"/>
    <w:rsid w:val="00383066"/>
    <w:rsid w:val="00383CF5"/>
    <w:rsid w:val="00384588"/>
    <w:rsid w:val="00384B08"/>
    <w:rsid w:val="00386D95"/>
    <w:rsid w:val="00390735"/>
    <w:rsid w:val="00390927"/>
    <w:rsid w:val="0039137A"/>
    <w:rsid w:val="003926F9"/>
    <w:rsid w:val="003927D1"/>
    <w:rsid w:val="00392A20"/>
    <w:rsid w:val="0039377E"/>
    <w:rsid w:val="0039496F"/>
    <w:rsid w:val="00395399"/>
    <w:rsid w:val="00396F89"/>
    <w:rsid w:val="003972DB"/>
    <w:rsid w:val="00397C9F"/>
    <w:rsid w:val="00397FAB"/>
    <w:rsid w:val="003A0223"/>
    <w:rsid w:val="003A0743"/>
    <w:rsid w:val="003A0AD1"/>
    <w:rsid w:val="003A1DB8"/>
    <w:rsid w:val="003A33EB"/>
    <w:rsid w:val="003A458C"/>
    <w:rsid w:val="003A475E"/>
    <w:rsid w:val="003A4EE0"/>
    <w:rsid w:val="003A66AD"/>
    <w:rsid w:val="003A7038"/>
    <w:rsid w:val="003A7223"/>
    <w:rsid w:val="003B037C"/>
    <w:rsid w:val="003B0D05"/>
    <w:rsid w:val="003B110D"/>
    <w:rsid w:val="003B1500"/>
    <w:rsid w:val="003B16EB"/>
    <w:rsid w:val="003B16F9"/>
    <w:rsid w:val="003B1C29"/>
    <w:rsid w:val="003B1E82"/>
    <w:rsid w:val="003B21FD"/>
    <w:rsid w:val="003B3604"/>
    <w:rsid w:val="003B3D88"/>
    <w:rsid w:val="003B3FC5"/>
    <w:rsid w:val="003B4853"/>
    <w:rsid w:val="003B5062"/>
    <w:rsid w:val="003B5A02"/>
    <w:rsid w:val="003B5ADB"/>
    <w:rsid w:val="003B67D5"/>
    <w:rsid w:val="003B6A2C"/>
    <w:rsid w:val="003B6DBA"/>
    <w:rsid w:val="003B79EF"/>
    <w:rsid w:val="003C0581"/>
    <w:rsid w:val="003C17CA"/>
    <w:rsid w:val="003C17F6"/>
    <w:rsid w:val="003C261C"/>
    <w:rsid w:val="003C4068"/>
    <w:rsid w:val="003C488C"/>
    <w:rsid w:val="003C678E"/>
    <w:rsid w:val="003C6A30"/>
    <w:rsid w:val="003C6FC2"/>
    <w:rsid w:val="003C70D8"/>
    <w:rsid w:val="003C723A"/>
    <w:rsid w:val="003C76B5"/>
    <w:rsid w:val="003C797C"/>
    <w:rsid w:val="003D088A"/>
    <w:rsid w:val="003D08B0"/>
    <w:rsid w:val="003D0CFB"/>
    <w:rsid w:val="003D0DF4"/>
    <w:rsid w:val="003D172C"/>
    <w:rsid w:val="003D1B5C"/>
    <w:rsid w:val="003D2594"/>
    <w:rsid w:val="003D26F4"/>
    <w:rsid w:val="003D2D9B"/>
    <w:rsid w:val="003D30F1"/>
    <w:rsid w:val="003D3312"/>
    <w:rsid w:val="003D40AC"/>
    <w:rsid w:val="003D41AB"/>
    <w:rsid w:val="003D4226"/>
    <w:rsid w:val="003D55E8"/>
    <w:rsid w:val="003D5634"/>
    <w:rsid w:val="003D5C5B"/>
    <w:rsid w:val="003D5F58"/>
    <w:rsid w:val="003E038E"/>
    <w:rsid w:val="003E04ED"/>
    <w:rsid w:val="003E0700"/>
    <w:rsid w:val="003E0E65"/>
    <w:rsid w:val="003E0F3F"/>
    <w:rsid w:val="003E181B"/>
    <w:rsid w:val="003E1A2F"/>
    <w:rsid w:val="003E1BE5"/>
    <w:rsid w:val="003E3E4E"/>
    <w:rsid w:val="003E5A64"/>
    <w:rsid w:val="003E6594"/>
    <w:rsid w:val="003F0FC5"/>
    <w:rsid w:val="003F0FF2"/>
    <w:rsid w:val="003F26E9"/>
    <w:rsid w:val="003F34A9"/>
    <w:rsid w:val="003F3EF3"/>
    <w:rsid w:val="003F420C"/>
    <w:rsid w:val="003F4DBF"/>
    <w:rsid w:val="003F58CB"/>
    <w:rsid w:val="003F6B06"/>
    <w:rsid w:val="003F770C"/>
    <w:rsid w:val="00400046"/>
    <w:rsid w:val="00400620"/>
    <w:rsid w:val="0040081C"/>
    <w:rsid w:val="00402933"/>
    <w:rsid w:val="0040366C"/>
    <w:rsid w:val="00404684"/>
    <w:rsid w:val="00404FEB"/>
    <w:rsid w:val="004051F5"/>
    <w:rsid w:val="004062C5"/>
    <w:rsid w:val="004072F7"/>
    <w:rsid w:val="0040792B"/>
    <w:rsid w:val="00407F50"/>
    <w:rsid w:val="00410730"/>
    <w:rsid w:val="00410A14"/>
    <w:rsid w:val="0041130B"/>
    <w:rsid w:val="00411959"/>
    <w:rsid w:val="00411B4D"/>
    <w:rsid w:val="00412170"/>
    <w:rsid w:val="00412C3A"/>
    <w:rsid w:val="00413D0F"/>
    <w:rsid w:val="004140C1"/>
    <w:rsid w:val="00415EB1"/>
    <w:rsid w:val="00417477"/>
    <w:rsid w:val="0041762D"/>
    <w:rsid w:val="00417FD0"/>
    <w:rsid w:val="0042057A"/>
    <w:rsid w:val="0042235D"/>
    <w:rsid w:val="004226B0"/>
    <w:rsid w:val="00422BA2"/>
    <w:rsid w:val="00425105"/>
    <w:rsid w:val="00426F5E"/>
    <w:rsid w:val="004279AD"/>
    <w:rsid w:val="00427FEB"/>
    <w:rsid w:val="004304AB"/>
    <w:rsid w:val="00430EF3"/>
    <w:rsid w:val="00431121"/>
    <w:rsid w:val="00431827"/>
    <w:rsid w:val="00431A6C"/>
    <w:rsid w:val="00431CDB"/>
    <w:rsid w:val="00432F55"/>
    <w:rsid w:val="0043328F"/>
    <w:rsid w:val="00433563"/>
    <w:rsid w:val="00433E18"/>
    <w:rsid w:val="0043568B"/>
    <w:rsid w:val="00435E9D"/>
    <w:rsid w:val="0043606C"/>
    <w:rsid w:val="00436606"/>
    <w:rsid w:val="00437390"/>
    <w:rsid w:val="004378AA"/>
    <w:rsid w:val="0043795B"/>
    <w:rsid w:val="00437B7A"/>
    <w:rsid w:val="00437F13"/>
    <w:rsid w:val="0044053F"/>
    <w:rsid w:val="00440AFF"/>
    <w:rsid w:val="00440C56"/>
    <w:rsid w:val="00441FA1"/>
    <w:rsid w:val="004437F9"/>
    <w:rsid w:val="00443AEC"/>
    <w:rsid w:val="00445165"/>
    <w:rsid w:val="004464EC"/>
    <w:rsid w:val="00446564"/>
    <w:rsid w:val="004474CF"/>
    <w:rsid w:val="00447A8D"/>
    <w:rsid w:val="00447B51"/>
    <w:rsid w:val="00447BCB"/>
    <w:rsid w:val="00450278"/>
    <w:rsid w:val="004507C6"/>
    <w:rsid w:val="00450D18"/>
    <w:rsid w:val="004516F8"/>
    <w:rsid w:val="00451A45"/>
    <w:rsid w:val="00452048"/>
    <w:rsid w:val="0045265C"/>
    <w:rsid w:val="00453991"/>
    <w:rsid w:val="00453EF2"/>
    <w:rsid w:val="004543C0"/>
    <w:rsid w:val="00454EEE"/>
    <w:rsid w:val="0045524E"/>
    <w:rsid w:val="00457DE7"/>
    <w:rsid w:val="00462A57"/>
    <w:rsid w:val="00463718"/>
    <w:rsid w:val="00463730"/>
    <w:rsid w:val="00463D63"/>
    <w:rsid w:val="004642ED"/>
    <w:rsid w:val="0046488B"/>
    <w:rsid w:val="00464E90"/>
    <w:rsid w:val="00465F49"/>
    <w:rsid w:val="0046605D"/>
    <w:rsid w:val="00466BB8"/>
    <w:rsid w:val="00466CDB"/>
    <w:rsid w:val="00466DA7"/>
    <w:rsid w:val="00467901"/>
    <w:rsid w:val="004679C6"/>
    <w:rsid w:val="0047118D"/>
    <w:rsid w:val="004717A6"/>
    <w:rsid w:val="00471CF3"/>
    <w:rsid w:val="004724BB"/>
    <w:rsid w:val="00472640"/>
    <w:rsid w:val="00472824"/>
    <w:rsid w:val="0047298B"/>
    <w:rsid w:val="00472BCE"/>
    <w:rsid w:val="00472F2C"/>
    <w:rsid w:val="004731CD"/>
    <w:rsid w:val="00474D97"/>
    <w:rsid w:val="00475215"/>
    <w:rsid w:val="00475F25"/>
    <w:rsid w:val="0047618B"/>
    <w:rsid w:val="00480BC6"/>
    <w:rsid w:val="00481283"/>
    <w:rsid w:val="004812E8"/>
    <w:rsid w:val="004820A7"/>
    <w:rsid w:val="004821EB"/>
    <w:rsid w:val="004826E8"/>
    <w:rsid w:val="00483B1A"/>
    <w:rsid w:val="00483C23"/>
    <w:rsid w:val="0048438A"/>
    <w:rsid w:val="00485ADE"/>
    <w:rsid w:val="00486EF3"/>
    <w:rsid w:val="00487486"/>
    <w:rsid w:val="00487DED"/>
    <w:rsid w:val="00487F51"/>
    <w:rsid w:val="00491304"/>
    <w:rsid w:val="00491331"/>
    <w:rsid w:val="004927ED"/>
    <w:rsid w:val="00492E2A"/>
    <w:rsid w:val="0049320E"/>
    <w:rsid w:val="00493E0C"/>
    <w:rsid w:val="00493E2C"/>
    <w:rsid w:val="00494266"/>
    <w:rsid w:val="0049510B"/>
    <w:rsid w:val="004959AA"/>
    <w:rsid w:val="00496388"/>
    <w:rsid w:val="004A04F8"/>
    <w:rsid w:val="004A1032"/>
    <w:rsid w:val="004A2BBE"/>
    <w:rsid w:val="004A43BB"/>
    <w:rsid w:val="004A4993"/>
    <w:rsid w:val="004A587A"/>
    <w:rsid w:val="004A58DE"/>
    <w:rsid w:val="004A6967"/>
    <w:rsid w:val="004A6A90"/>
    <w:rsid w:val="004A7D89"/>
    <w:rsid w:val="004B090C"/>
    <w:rsid w:val="004B111D"/>
    <w:rsid w:val="004B1789"/>
    <w:rsid w:val="004B1C6D"/>
    <w:rsid w:val="004B3025"/>
    <w:rsid w:val="004B33CD"/>
    <w:rsid w:val="004B3C65"/>
    <w:rsid w:val="004B53F5"/>
    <w:rsid w:val="004B5D7D"/>
    <w:rsid w:val="004B67C8"/>
    <w:rsid w:val="004B708B"/>
    <w:rsid w:val="004B72E9"/>
    <w:rsid w:val="004B75D9"/>
    <w:rsid w:val="004B77D6"/>
    <w:rsid w:val="004B7D96"/>
    <w:rsid w:val="004C19CF"/>
    <w:rsid w:val="004C1E6B"/>
    <w:rsid w:val="004C21E4"/>
    <w:rsid w:val="004C2D9E"/>
    <w:rsid w:val="004C3B19"/>
    <w:rsid w:val="004C40F2"/>
    <w:rsid w:val="004C43EE"/>
    <w:rsid w:val="004C4559"/>
    <w:rsid w:val="004C46AD"/>
    <w:rsid w:val="004C4B4F"/>
    <w:rsid w:val="004C4DEB"/>
    <w:rsid w:val="004C68F6"/>
    <w:rsid w:val="004C6D40"/>
    <w:rsid w:val="004C6E86"/>
    <w:rsid w:val="004C7A98"/>
    <w:rsid w:val="004D1FF7"/>
    <w:rsid w:val="004D2DC9"/>
    <w:rsid w:val="004D32A1"/>
    <w:rsid w:val="004D4244"/>
    <w:rsid w:val="004D4965"/>
    <w:rsid w:val="004D4F6F"/>
    <w:rsid w:val="004D5140"/>
    <w:rsid w:val="004D5DD0"/>
    <w:rsid w:val="004D5E50"/>
    <w:rsid w:val="004D5FBE"/>
    <w:rsid w:val="004D7033"/>
    <w:rsid w:val="004E0142"/>
    <w:rsid w:val="004E035B"/>
    <w:rsid w:val="004E0A90"/>
    <w:rsid w:val="004E0C06"/>
    <w:rsid w:val="004E1A89"/>
    <w:rsid w:val="004E23B0"/>
    <w:rsid w:val="004E2502"/>
    <w:rsid w:val="004E2F44"/>
    <w:rsid w:val="004E3988"/>
    <w:rsid w:val="004E41AE"/>
    <w:rsid w:val="004E5675"/>
    <w:rsid w:val="004E5E29"/>
    <w:rsid w:val="004E6663"/>
    <w:rsid w:val="004E6BE8"/>
    <w:rsid w:val="004E70A5"/>
    <w:rsid w:val="004E74AA"/>
    <w:rsid w:val="004E750D"/>
    <w:rsid w:val="004F037D"/>
    <w:rsid w:val="004F21BD"/>
    <w:rsid w:val="004F2E39"/>
    <w:rsid w:val="004F2E78"/>
    <w:rsid w:val="004F3070"/>
    <w:rsid w:val="004F30AC"/>
    <w:rsid w:val="004F3464"/>
    <w:rsid w:val="004F3A6A"/>
    <w:rsid w:val="004F3BDE"/>
    <w:rsid w:val="004F4682"/>
    <w:rsid w:val="004F4B69"/>
    <w:rsid w:val="004F4D4D"/>
    <w:rsid w:val="004F5196"/>
    <w:rsid w:val="004F66D9"/>
    <w:rsid w:val="004F6CB6"/>
    <w:rsid w:val="004F7A2A"/>
    <w:rsid w:val="004F7BED"/>
    <w:rsid w:val="004F7E93"/>
    <w:rsid w:val="0050030E"/>
    <w:rsid w:val="0050100C"/>
    <w:rsid w:val="00502EB6"/>
    <w:rsid w:val="005033B8"/>
    <w:rsid w:val="00503770"/>
    <w:rsid w:val="005043A5"/>
    <w:rsid w:val="00504D40"/>
    <w:rsid w:val="00505341"/>
    <w:rsid w:val="005054EC"/>
    <w:rsid w:val="00505765"/>
    <w:rsid w:val="00506BBE"/>
    <w:rsid w:val="00506C92"/>
    <w:rsid w:val="00507328"/>
    <w:rsid w:val="00507DC8"/>
    <w:rsid w:val="0051063C"/>
    <w:rsid w:val="00512385"/>
    <w:rsid w:val="005123EB"/>
    <w:rsid w:val="00513A26"/>
    <w:rsid w:val="005169C0"/>
    <w:rsid w:val="005172C7"/>
    <w:rsid w:val="00517E89"/>
    <w:rsid w:val="00520C85"/>
    <w:rsid w:val="00520EA0"/>
    <w:rsid w:val="005216DA"/>
    <w:rsid w:val="00521B72"/>
    <w:rsid w:val="00521F5B"/>
    <w:rsid w:val="00522846"/>
    <w:rsid w:val="00522B49"/>
    <w:rsid w:val="00523CE6"/>
    <w:rsid w:val="00524502"/>
    <w:rsid w:val="0052556A"/>
    <w:rsid w:val="00525938"/>
    <w:rsid w:val="00525FC4"/>
    <w:rsid w:val="005260F9"/>
    <w:rsid w:val="0052620C"/>
    <w:rsid w:val="00526BF8"/>
    <w:rsid w:val="005302A5"/>
    <w:rsid w:val="00530364"/>
    <w:rsid w:val="00531C17"/>
    <w:rsid w:val="00531C85"/>
    <w:rsid w:val="005324C3"/>
    <w:rsid w:val="00532C24"/>
    <w:rsid w:val="00533AF8"/>
    <w:rsid w:val="00533FF2"/>
    <w:rsid w:val="005342BC"/>
    <w:rsid w:val="00534453"/>
    <w:rsid w:val="00535184"/>
    <w:rsid w:val="00535E9A"/>
    <w:rsid w:val="005363E2"/>
    <w:rsid w:val="005364B2"/>
    <w:rsid w:val="005369AA"/>
    <w:rsid w:val="005379C9"/>
    <w:rsid w:val="00537AB8"/>
    <w:rsid w:val="00537D16"/>
    <w:rsid w:val="00540409"/>
    <w:rsid w:val="00540612"/>
    <w:rsid w:val="005409E0"/>
    <w:rsid w:val="0054104E"/>
    <w:rsid w:val="00541137"/>
    <w:rsid w:val="00541506"/>
    <w:rsid w:val="00541722"/>
    <w:rsid w:val="005418DF"/>
    <w:rsid w:val="005419A0"/>
    <w:rsid w:val="0054267E"/>
    <w:rsid w:val="00542FEF"/>
    <w:rsid w:val="0054302C"/>
    <w:rsid w:val="005438EA"/>
    <w:rsid w:val="00543A43"/>
    <w:rsid w:val="00544929"/>
    <w:rsid w:val="00544D61"/>
    <w:rsid w:val="005459E8"/>
    <w:rsid w:val="00547002"/>
    <w:rsid w:val="005475E2"/>
    <w:rsid w:val="00547F25"/>
    <w:rsid w:val="00550F99"/>
    <w:rsid w:val="005510E2"/>
    <w:rsid w:val="00551664"/>
    <w:rsid w:val="0055270D"/>
    <w:rsid w:val="0055299F"/>
    <w:rsid w:val="005536F3"/>
    <w:rsid w:val="00554B85"/>
    <w:rsid w:val="00555191"/>
    <w:rsid w:val="00555712"/>
    <w:rsid w:val="00556A1F"/>
    <w:rsid w:val="00556B13"/>
    <w:rsid w:val="00557139"/>
    <w:rsid w:val="0055758A"/>
    <w:rsid w:val="005575B6"/>
    <w:rsid w:val="00557792"/>
    <w:rsid w:val="00557C19"/>
    <w:rsid w:val="0056018E"/>
    <w:rsid w:val="005605C0"/>
    <w:rsid w:val="0056061A"/>
    <w:rsid w:val="00560711"/>
    <w:rsid w:val="0056081A"/>
    <w:rsid w:val="00560FAD"/>
    <w:rsid w:val="0056159C"/>
    <w:rsid w:val="00562200"/>
    <w:rsid w:val="00562EBF"/>
    <w:rsid w:val="005639B7"/>
    <w:rsid w:val="00563F19"/>
    <w:rsid w:val="0056425C"/>
    <w:rsid w:val="005650ED"/>
    <w:rsid w:val="005652EA"/>
    <w:rsid w:val="005668EF"/>
    <w:rsid w:val="0056694B"/>
    <w:rsid w:val="00567039"/>
    <w:rsid w:val="00570033"/>
    <w:rsid w:val="00570816"/>
    <w:rsid w:val="005708D3"/>
    <w:rsid w:val="00571465"/>
    <w:rsid w:val="00571AB8"/>
    <w:rsid w:val="00572899"/>
    <w:rsid w:val="0057294C"/>
    <w:rsid w:val="00572B7B"/>
    <w:rsid w:val="00572C39"/>
    <w:rsid w:val="00572F45"/>
    <w:rsid w:val="00573649"/>
    <w:rsid w:val="00574BBE"/>
    <w:rsid w:val="0057530A"/>
    <w:rsid w:val="00575B54"/>
    <w:rsid w:val="00575E0C"/>
    <w:rsid w:val="00577115"/>
    <w:rsid w:val="00577768"/>
    <w:rsid w:val="00581806"/>
    <w:rsid w:val="00584095"/>
    <w:rsid w:val="00585022"/>
    <w:rsid w:val="005856B8"/>
    <w:rsid w:val="00585B67"/>
    <w:rsid w:val="00586D57"/>
    <w:rsid w:val="00587619"/>
    <w:rsid w:val="00590011"/>
    <w:rsid w:val="0059046E"/>
    <w:rsid w:val="00590956"/>
    <w:rsid w:val="0059236F"/>
    <w:rsid w:val="00592745"/>
    <w:rsid w:val="00593C17"/>
    <w:rsid w:val="00593E6A"/>
    <w:rsid w:val="005964E1"/>
    <w:rsid w:val="00596A6D"/>
    <w:rsid w:val="00596EE6"/>
    <w:rsid w:val="005976B9"/>
    <w:rsid w:val="005977BF"/>
    <w:rsid w:val="005A0579"/>
    <w:rsid w:val="005A07C7"/>
    <w:rsid w:val="005A0C78"/>
    <w:rsid w:val="005A129F"/>
    <w:rsid w:val="005A15D5"/>
    <w:rsid w:val="005A20A1"/>
    <w:rsid w:val="005A2FD0"/>
    <w:rsid w:val="005A3A13"/>
    <w:rsid w:val="005A3FC5"/>
    <w:rsid w:val="005A4E68"/>
    <w:rsid w:val="005A54A4"/>
    <w:rsid w:val="005A6549"/>
    <w:rsid w:val="005A696C"/>
    <w:rsid w:val="005A7828"/>
    <w:rsid w:val="005B1C2F"/>
    <w:rsid w:val="005B1CF3"/>
    <w:rsid w:val="005B218D"/>
    <w:rsid w:val="005B220E"/>
    <w:rsid w:val="005B2F20"/>
    <w:rsid w:val="005B31AE"/>
    <w:rsid w:val="005B3EA1"/>
    <w:rsid w:val="005B532C"/>
    <w:rsid w:val="005B5D53"/>
    <w:rsid w:val="005B6306"/>
    <w:rsid w:val="005B6BB3"/>
    <w:rsid w:val="005B7734"/>
    <w:rsid w:val="005C0018"/>
    <w:rsid w:val="005C0DEE"/>
    <w:rsid w:val="005C1015"/>
    <w:rsid w:val="005C243B"/>
    <w:rsid w:val="005C273E"/>
    <w:rsid w:val="005C2AC2"/>
    <w:rsid w:val="005C3D5F"/>
    <w:rsid w:val="005C3F39"/>
    <w:rsid w:val="005C460C"/>
    <w:rsid w:val="005C4756"/>
    <w:rsid w:val="005C4D79"/>
    <w:rsid w:val="005C4F31"/>
    <w:rsid w:val="005C5B0E"/>
    <w:rsid w:val="005C62AB"/>
    <w:rsid w:val="005C712E"/>
    <w:rsid w:val="005D0590"/>
    <w:rsid w:val="005D08CF"/>
    <w:rsid w:val="005D1285"/>
    <w:rsid w:val="005D336E"/>
    <w:rsid w:val="005D4100"/>
    <w:rsid w:val="005D49B6"/>
    <w:rsid w:val="005D4A36"/>
    <w:rsid w:val="005D4C38"/>
    <w:rsid w:val="005D5538"/>
    <w:rsid w:val="005D5C67"/>
    <w:rsid w:val="005D6150"/>
    <w:rsid w:val="005D6215"/>
    <w:rsid w:val="005D6D93"/>
    <w:rsid w:val="005D7F9B"/>
    <w:rsid w:val="005E00D5"/>
    <w:rsid w:val="005E0A46"/>
    <w:rsid w:val="005E0DE2"/>
    <w:rsid w:val="005E0F5D"/>
    <w:rsid w:val="005E2CE5"/>
    <w:rsid w:val="005E3064"/>
    <w:rsid w:val="005E3170"/>
    <w:rsid w:val="005E41C5"/>
    <w:rsid w:val="005E4415"/>
    <w:rsid w:val="005E567F"/>
    <w:rsid w:val="005E5F55"/>
    <w:rsid w:val="005E65EA"/>
    <w:rsid w:val="005E66DD"/>
    <w:rsid w:val="005E69D2"/>
    <w:rsid w:val="005E7CF7"/>
    <w:rsid w:val="005F021A"/>
    <w:rsid w:val="005F0298"/>
    <w:rsid w:val="005F0A1E"/>
    <w:rsid w:val="005F0A5D"/>
    <w:rsid w:val="005F1CF1"/>
    <w:rsid w:val="005F1D10"/>
    <w:rsid w:val="005F1FAC"/>
    <w:rsid w:val="005F23BB"/>
    <w:rsid w:val="005F24B9"/>
    <w:rsid w:val="005F2937"/>
    <w:rsid w:val="005F3245"/>
    <w:rsid w:val="005F37FD"/>
    <w:rsid w:val="005F399A"/>
    <w:rsid w:val="005F3EDA"/>
    <w:rsid w:val="005F54A4"/>
    <w:rsid w:val="005F5736"/>
    <w:rsid w:val="005F5EA7"/>
    <w:rsid w:val="005F6CD9"/>
    <w:rsid w:val="005F6D05"/>
    <w:rsid w:val="005F753A"/>
    <w:rsid w:val="005F7676"/>
    <w:rsid w:val="005F7758"/>
    <w:rsid w:val="005F782F"/>
    <w:rsid w:val="005F7AF5"/>
    <w:rsid w:val="006009B7"/>
    <w:rsid w:val="0060120B"/>
    <w:rsid w:val="006012E6"/>
    <w:rsid w:val="00602768"/>
    <w:rsid w:val="006028DE"/>
    <w:rsid w:val="00603EBD"/>
    <w:rsid w:val="0060404B"/>
    <w:rsid w:val="00604512"/>
    <w:rsid w:val="0060495E"/>
    <w:rsid w:val="006055FE"/>
    <w:rsid w:val="00605A16"/>
    <w:rsid w:val="0060679E"/>
    <w:rsid w:val="00606923"/>
    <w:rsid w:val="00606A88"/>
    <w:rsid w:val="00606B00"/>
    <w:rsid w:val="0060705A"/>
    <w:rsid w:val="0060793F"/>
    <w:rsid w:val="00610467"/>
    <w:rsid w:val="00610FB7"/>
    <w:rsid w:val="00611EC9"/>
    <w:rsid w:val="00612291"/>
    <w:rsid w:val="006130F7"/>
    <w:rsid w:val="00613E36"/>
    <w:rsid w:val="00614582"/>
    <w:rsid w:val="006151A9"/>
    <w:rsid w:val="00615455"/>
    <w:rsid w:val="006155CA"/>
    <w:rsid w:val="006201B6"/>
    <w:rsid w:val="006201DC"/>
    <w:rsid w:val="00620EB5"/>
    <w:rsid w:val="00621A25"/>
    <w:rsid w:val="00621C91"/>
    <w:rsid w:val="00622E54"/>
    <w:rsid w:val="00624415"/>
    <w:rsid w:val="00624B80"/>
    <w:rsid w:val="00625227"/>
    <w:rsid w:val="00625A21"/>
    <w:rsid w:val="00626A7D"/>
    <w:rsid w:val="00626BC3"/>
    <w:rsid w:val="0062776E"/>
    <w:rsid w:val="00627962"/>
    <w:rsid w:val="006309C9"/>
    <w:rsid w:val="00630AAA"/>
    <w:rsid w:val="00631AE3"/>
    <w:rsid w:val="00631CCB"/>
    <w:rsid w:val="0063291B"/>
    <w:rsid w:val="00633956"/>
    <w:rsid w:val="00633C18"/>
    <w:rsid w:val="00634445"/>
    <w:rsid w:val="00634894"/>
    <w:rsid w:val="00635804"/>
    <w:rsid w:val="0063600A"/>
    <w:rsid w:val="00636060"/>
    <w:rsid w:val="006408F2"/>
    <w:rsid w:val="00641059"/>
    <w:rsid w:val="006416FB"/>
    <w:rsid w:val="00641FCC"/>
    <w:rsid w:val="00642378"/>
    <w:rsid w:val="006423DC"/>
    <w:rsid w:val="006425B2"/>
    <w:rsid w:val="00643DCC"/>
    <w:rsid w:val="00644148"/>
    <w:rsid w:val="00644EE9"/>
    <w:rsid w:val="00645255"/>
    <w:rsid w:val="0064549E"/>
    <w:rsid w:val="00646505"/>
    <w:rsid w:val="006479C4"/>
    <w:rsid w:val="006514EB"/>
    <w:rsid w:val="0065164B"/>
    <w:rsid w:val="00651AEB"/>
    <w:rsid w:val="00652AE4"/>
    <w:rsid w:val="00652FBA"/>
    <w:rsid w:val="0065308F"/>
    <w:rsid w:val="006538E9"/>
    <w:rsid w:val="00653F1E"/>
    <w:rsid w:val="00653F4D"/>
    <w:rsid w:val="0065516C"/>
    <w:rsid w:val="00655839"/>
    <w:rsid w:val="00655878"/>
    <w:rsid w:val="006558BF"/>
    <w:rsid w:val="00655C17"/>
    <w:rsid w:val="00655D4C"/>
    <w:rsid w:val="0065603A"/>
    <w:rsid w:val="00656F9C"/>
    <w:rsid w:val="00657335"/>
    <w:rsid w:val="00657BCF"/>
    <w:rsid w:val="00657D90"/>
    <w:rsid w:val="00660480"/>
    <w:rsid w:val="006616B9"/>
    <w:rsid w:val="00661CF9"/>
    <w:rsid w:val="00662470"/>
    <w:rsid w:val="006624EA"/>
    <w:rsid w:val="00663426"/>
    <w:rsid w:val="0066407F"/>
    <w:rsid w:val="00664EC4"/>
    <w:rsid w:val="0066508D"/>
    <w:rsid w:val="006653F2"/>
    <w:rsid w:val="00665AF5"/>
    <w:rsid w:val="00665DCA"/>
    <w:rsid w:val="00665FE5"/>
    <w:rsid w:val="006662C5"/>
    <w:rsid w:val="00666509"/>
    <w:rsid w:val="00666CA2"/>
    <w:rsid w:val="00667254"/>
    <w:rsid w:val="006674B3"/>
    <w:rsid w:val="00667AFB"/>
    <w:rsid w:val="00667E41"/>
    <w:rsid w:val="00670299"/>
    <w:rsid w:val="00670E29"/>
    <w:rsid w:val="00670F98"/>
    <w:rsid w:val="00671744"/>
    <w:rsid w:val="00671A87"/>
    <w:rsid w:val="006722FB"/>
    <w:rsid w:val="00673C7F"/>
    <w:rsid w:val="0067490C"/>
    <w:rsid w:val="00674A1E"/>
    <w:rsid w:val="006753D1"/>
    <w:rsid w:val="00675C98"/>
    <w:rsid w:val="00675D5D"/>
    <w:rsid w:val="00676934"/>
    <w:rsid w:val="00677B94"/>
    <w:rsid w:val="00680408"/>
    <w:rsid w:val="00682008"/>
    <w:rsid w:val="00682524"/>
    <w:rsid w:val="006826DF"/>
    <w:rsid w:val="006830BC"/>
    <w:rsid w:val="006831D2"/>
    <w:rsid w:val="00683C29"/>
    <w:rsid w:val="00683D3E"/>
    <w:rsid w:val="00684685"/>
    <w:rsid w:val="006859F4"/>
    <w:rsid w:val="00685A26"/>
    <w:rsid w:val="00685EA4"/>
    <w:rsid w:val="0068689E"/>
    <w:rsid w:val="00687A8B"/>
    <w:rsid w:val="00687F02"/>
    <w:rsid w:val="00687FE1"/>
    <w:rsid w:val="0069064C"/>
    <w:rsid w:val="00690CFB"/>
    <w:rsid w:val="00690EA3"/>
    <w:rsid w:val="006918C6"/>
    <w:rsid w:val="00691F07"/>
    <w:rsid w:val="00693DAC"/>
    <w:rsid w:val="00693E82"/>
    <w:rsid w:val="00694649"/>
    <w:rsid w:val="006968B5"/>
    <w:rsid w:val="00697EEE"/>
    <w:rsid w:val="006A069D"/>
    <w:rsid w:val="006A08EA"/>
    <w:rsid w:val="006A1143"/>
    <w:rsid w:val="006A1259"/>
    <w:rsid w:val="006A1658"/>
    <w:rsid w:val="006A174A"/>
    <w:rsid w:val="006A1AD8"/>
    <w:rsid w:val="006A1BC6"/>
    <w:rsid w:val="006A1C82"/>
    <w:rsid w:val="006A3FFB"/>
    <w:rsid w:val="006A5175"/>
    <w:rsid w:val="006A55C5"/>
    <w:rsid w:val="006A6D66"/>
    <w:rsid w:val="006A7173"/>
    <w:rsid w:val="006A72EB"/>
    <w:rsid w:val="006A79FC"/>
    <w:rsid w:val="006A7A92"/>
    <w:rsid w:val="006B05C3"/>
    <w:rsid w:val="006B0A10"/>
    <w:rsid w:val="006B1521"/>
    <w:rsid w:val="006B15DE"/>
    <w:rsid w:val="006B18CD"/>
    <w:rsid w:val="006B2A5C"/>
    <w:rsid w:val="006B3838"/>
    <w:rsid w:val="006B4118"/>
    <w:rsid w:val="006B4F6D"/>
    <w:rsid w:val="006B5405"/>
    <w:rsid w:val="006B55D0"/>
    <w:rsid w:val="006B72EE"/>
    <w:rsid w:val="006C10D0"/>
    <w:rsid w:val="006C14F1"/>
    <w:rsid w:val="006C29C1"/>
    <w:rsid w:val="006C3418"/>
    <w:rsid w:val="006C416E"/>
    <w:rsid w:val="006C5380"/>
    <w:rsid w:val="006C62DA"/>
    <w:rsid w:val="006C6563"/>
    <w:rsid w:val="006C656F"/>
    <w:rsid w:val="006C6E9F"/>
    <w:rsid w:val="006C741D"/>
    <w:rsid w:val="006C74FB"/>
    <w:rsid w:val="006C768C"/>
    <w:rsid w:val="006D064A"/>
    <w:rsid w:val="006D0C46"/>
    <w:rsid w:val="006D0E0E"/>
    <w:rsid w:val="006D14C0"/>
    <w:rsid w:val="006D1E75"/>
    <w:rsid w:val="006D1EFD"/>
    <w:rsid w:val="006D2858"/>
    <w:rsid w:val="006D2AD8"/>
    <w:rsid w:val="006D37A2"/>
    <w:rsid w:val="006D40D2"/>
    <w:rsid w:val="006D4881"/>
    <w:rsid w:val="006D510F"/>
    <w:rsid w:val="006D5699"/>
    <w:rsid w:val="006E0920"/>
    <w:rsid w:val="006E0D79"/>
    <w:rsid w:val="006E215D"/>
    <w:rsid w:val="006E3081"/>
    <w:rsid w:val="006E34AE"/>
    <w:rsid w:val="006E3AA6"/>
    <w:rsid w:val="006E4555"/>
    <w:rsid w:val="006E541F"/>
    <w:rsid w:val="006E6440"/>
    <w:rsid w:val="006E68E0"/>
    <w:rsid w:val="006E6D86"/>
    <w:rsid w:val="006E706C"/>
    <w:rsid w:val="006E7AAB"/>
    <w:rsid w:val="006E7C95"/>
    <w:rsid w:val="006F0F0A"/>
    <w:rsid w:val="006F162B"/>
    <w:rsid w:val="006F2499"/>
    <w:rsid w:val="006F26B0"/>
    <w:rsid w:val="006F27A0"/>
    <w:rsid w:val="006F28AB"/>
    <w:rsid w:val="006F385A"/>
    <w:rsid w:val="006F3F48"/>
    <w:rsid w:val="006F4447"/>
    <w:rsid w:val="006F48EA"/>
    <w:rsid w:val="006F4F38"/>
    <w:rsid w:val="006F5E47"/>
    <w:rsid w:val="006F7148"/>
    <w:rsid w:val="006F7250"/>
    <w:rsid w:val="006F72EC"/>
    <w:rsid w:val="006F7C57"/>
    <w:rsid w:val="007007DC"/>
    <w:rsid w:val="007015F6"/>
    <w:rsid w:val="00701A25"/>
    <w:rsid w:val="0070217A"/>
    <w:rsid w:val="0070217E"/>
    <w:rsid w:val="007041C6"/>
    <w:rsid w:val="0070472D"/>
    <w:rsid w:val="00705266"/>
    <w:rsid w:val="00705573"/>
    <w:rsid w:val="00707649"/>
    <w:rsid w:val="0071051E"/>
    <w:rsid w:val="00711B87"/>
    <w:rsid w:val="00711CED"/>
    <w:rsid w:val="00713E5F"/>
    <w:rsid w:val="00714558"/>
    <w:rsid w:val="00715FCD"/>
    <w:rsid w:val="00716854"/>
    <w:rsid w:val="00717A1E"/>
    <w:rsid w:val="00717C5D"/>
    <w:rsid w:val="00717F1C"/>
    <w:rsid w:val="00720409"/>
    <w:rsid w:val="00720454"/>
    <w:rsid w:val="007204CF"/>
    <w:rsid w:val="00720543"/>
    <w:rsid w:val="00720789"/>
    <w:rsid w:val="00721181"/>
    <w:rsid w:val="00721D70"/>
    <w:rsid w:val="007225C3"/>
    <w:rsid w:val="007227C2"/>
    <w:rsid w:val="007237F3"/>
    <w:rsid w:val="00725C87"/>
    <w:rsid w:val="00726535"/>
    <w:rsid w:val="007269A5"/>
    <w:rsid w:val="00726C9B"/>
    <w:rsid w:val="00726D47"/>
    <w:rsid w:val="00727402"/>
    <w:rsid w:val="007275A3"/>
    <w:rsid w:val="0072770B"/>
    <w:rsid w:val="0072797C"/>
    <w:rsid w:val="00730524"/>
    <w:rsid w:val="00730AED"/>
    <w:rsid w:val="00732A88"/>
    <w:rsid w:val="00732BC3"/>
    <w:rsid w:val="00732C49"/>
    <w:rsid w:val="00733463"/>
    <w:rsid w:val="007335B6"/>
    <w:rsid w:val="00734669"/>
    <w:rsid w:val="00734CA3"/>
    <w:rsid w:val="00735DBE"/>
    <w:rsid w:val="0073635F"/>
    <w:rsid w:val="007364B3"/>
    <w:rsid w:val="00736506"/>
    <w:rsid w:val="00736A6E"/>
    <w:rsid w:val="00736FB8"/>
    <w:rsid w:val="00737DC2"/>
    <w:rsid w:val="00740EA7"/>
    <w:rsid w:val="00741921"/>
    <w:rsid w:val="00742229"/>
    <w:rsid w:val="00742D56"/>
    <w:rsid w:val="00743B73"/>
    <w:rsid w:val="00744EF5"/>
    <w:rsid w:val="007460D1"/>
    <w:rsid w:val="00746CA4"/>
    <w:rsid w:val="00747088"/>
    <w:rsid w:val="0075119E"/>
    <w:rsid w:val="00753A09"/>
    <w:rsid w:val="007550D3"/>
    <w:rsid w:val="00755391"/>
    <w:rsid w:val="00755F2E"/>
    <w:rsid w:val="00757249"/>
    <w:rsid w:val="00757E52"/>
    <w:rsid w:val="00761136"/>
    <w:rsid w:val="00761A00"/>
    <w:rsid w:val="00761BBA"/>
    <w:rsid w:val="00761C1A"/>
    <w:rsid w:val="0076206A"/>
    <w:rsid w:val="00762921"/>
    <w:rsid w:val="00762941"/>
    <w:rsid w:val="00763C7D"/>
    <w:rsid w:val="00764D56"/>
    <w:rsid w:val="00765CCF"/>
    <w:rsid w:val="0076651C"/>
    <w:rsid w:val="00770B3D"/>
    <w:rsid w:val="00771388"/>
    <w:rsid w:val="00771583"/>
    <w:rsid w:val="00772666"/>
    <w:rsid w:val="00772F4F"/>
    <w:rsid w:val="0077554F"/>
    <w:rsid w:val="007766B7"/>
    <w:rsid w:val="007769C9"/>
    <w:rsid w:val="007773D1"/>
    <w:rsid w:val="007801B4"/>
    <w:rsid w:val="00780F9C"/>
    <w:rsid w:val="0078288B"/>
    <w:rsid w:val="0078299D"/>
    <w:rsid w:val="00782F75"/>
    <w:rsid w:val="0078323E"/>
    <w:rsid w:val="007833AA"/>
    <w:rsid w:val="007839D4"/>
    <w:rsid w:val="00783D0A"/>
    <w:rsid w:val="007853D4"/>
    <w:rsid w:val="0078563B"/>
    <w:rsid w:val="0078577E"/>
    <w:rsid w:val="00786314"/>
    <w:rsid w:val="007871AD"/>
    <w:rsid w:val="007877D8"/>
    <w:rsid w:val="00790214"/>
    <w:rsid w:val="00790506"/>
    <w:rsid w:val="00790563"/>
    <w:rsid w:val="00791AFF"/>
    <w:rsid w:val="00791C66"/>
    <w:rsid w:val="00792043"/>
    <w:rsid w:val="00792089"/>
    <w:rsid w:val="0079270F"/>
    <w:rsid w:val="00792B12"/>
    <w:rsid w:val="0079394F"/>
    <w:rsid w:val="00793E6B"/>
    <w:rsid w:val="00793F2F"/>
    <w:rsid w:val="0079631C"/>
    <w:rsid w:val="0079647D"/>
    <w:rsid w:val="00797D3C"/>
    <w:rsid w:val="007A1ACE"/>
    <w:rsid w:val="007A2042"/>
    <w:rsid w:val="007A2128"/>
    <w:rsid w:val="007A2155"/>
    <w:rsid w:val="007A33C1"/>
    <w:rsid w:val="007A35DF"/>
    <w:rsid w:val="007A39FA"/>
    <w:rsid w:val="007A4962"/>
    <w:rsid w:val="007A4BF3"/>
    <w:rsid w:val="007A52CD"/>
    <w:rsid w:val="007A5787"/>
    <w:rsid w:val="007A5C95"/>
    <w:rsid w:val="007A79EF"/>
    <w:rsid w:val="007B140D"/>
    <w:rsid w:val="007B1853"/>
    <w:rsid w:val="007B27A0"/>
    <w:rsid w:val="007B2B53"/>
    <w:rsid w:val="007B2F23"/>
    <w:rsid w:val="007B380D"/>
    <w:rsid w:val="007B3B40"/>
    <w:rsid w:val="007B3E09"/>
    <w:rsid w:val="007B3F7A"/>
    <w:rsid w:val="007B4FD7"/>
    <w:rsid w:val="007B5715"/>
    <w:rsid w:val="007B6A60"/>
    <w:rsid w:val="007B7646"/>
    <w:rsid w:val="007B7B93"/>
    <w:rsid w:val="007B7EC0"/>
    <w:rsid w:val="007C0B6F"/>
    <w:rsid w:val="007C0BA6"/>
    <w:rsid w:val="007C1102"/>
    <w:rsid w:val="007C18A4"/>
    <w:rsid w:val="007C19D3"/>
    <w:rsid w:val="007C2103"/>
    <w:rsid w:val="007C237D"/>
    <w:rsid w:val="007C2802"/>
    <w:rsid w:val="007C28CC"/>
    <w:rsid w:val="007C2B3E"/>
    <w:rsid w:val="007C4564"/>
    <w:rsid w:val="007C4CEC"/>
    <w:rsid w:val="007C4F61"/>
    <w:rsid w:val="007C52C9"/>
    <w:rsid w:val="007C6229"/>
    <w:rsid w:val="007C6AF6"/>
    <w:rsid w:val="007C79EE"/>
    <w:rsid w:val="007C7EE3"/>
    <w:rsid w:val="007D041D"/>
    <w:rsid w:val="007D1BA9"/>
    <w:rsid w:val="007D25D2"/>
    <w:rsid w:val="007D2B83"/>
    <w:rsid w:val="007D2F05"/>
    <w:rsid w:val="007D361E"/>
    <w:rsid w:val="007D3E5B"/>
    <w:rsid w:val="007D422F"/>
    <w:rsid w:val="007D4448"/>
    <w:rsid w:val="007D525D"/>
    <w:rsid w:val="007D6C80"/>
    <w:rsid w:val="007D711F"/>
    <w:rsid w:val="007D7928"/>
    <w:rsid w:val="007D7962"/>
    <w:rsid w:val="007D7C89"/>
    <w:rsid w:val="007E035C"/>
    <w:rsid w:val="007E0B14"/>
    <w:rsid w:val="007E0B80"/>
    <w:rsid w:val="007E0C4E"/>
    <w:rsid w:val="007E1A26"/>
    <w:rsid w:val="007E2BAC"/>
    <w:rsid w:val="007E3275"/>
    <w:rsid w:val="007E3D4B"/>
    <w:rsid w:val="007E4889"/>
    <w:rsid w:val="007E5329"/>
    <w:rsid w:val="007E53A6"/>
    <w:rsid w:val="007E5761"/>
    <w:rsid w:val="007E5833"/>
    <w:rsid w:val="007E5C07"/>
    <w:rsid w:val="007E630A"/>
    <w:rsid w:val="007E6963"/>
    <w:rsid w:val="007E6B16"/>
    <w:rsid w:val="007E7026"/>
    <w:rsid w:val="007E7830"/>
    <w:rsid w:val="007F0436"/>
    <w:rsid w:val="007F1911"/>
    <w:rsid w:val="007F19E7"/>
    <w:rsid w:val="007F2195"/>
    <w:rsid w:val="007F27D2"/>
    <w:rsid w:val="007F2BEE"/>
    <w:rsid w:val="007F4048"/>
    <w:rsid w:val="007F49A9"/>
    <w:rsid w:val="00800032"/>
    <w:rsid w:val="00800CD6"/>
    <w:rsid w:val="00800E10"/>
    <w:rsid w:val="00801505"/>
    <w:rsid w:val="008017E4"/>
    <w:rsid w:val="008018EB"/>
    <w:rsid w:val="00802B8C"/>
    <w:rsid w:val="00802FCF"/>
    <w:rsid w:val="00803B82"/>
    <w:rsid w:val="00804576"/>
    <w:rsid w:val="00804B94"/>
    <w:rsid w:val="008054EF"/>
    <w:rsid w:val="00805B74"/>
    <w:rsid w:val="00807CEE"/>
    <w:rsid w:val="00810985"/>
    <w:rsid w:val="0081109E"/>
    <w:rsid w:val="008116E5"/>
    <w:rsid w:val="0081207E"/>
    <w:rsid w:val="00812642"/>
    <w:rsid w:val="008126CF"/>
    <w:rsid w:val="0081338E"/>
    <w:rsid w:val="0081353F"/>
    <w:rsid w:val="00813CEC"/>
    <w:rsid w:val="0081512E"/>
    <w:rsid w:val="008151AF"/>
    <w:rsid w:val="00816372"/>
    <w:rsid w:val="0081658B"/>
    <w:rsid w:val="008166CB"/>
    <w:rsid w:val="008216E6"/>
    <w:rsid w:val="00821AE9"/>
    <w:rsid w:val="00821EEE"/>
    <w:rsid w:val="00822570"/>
    <w:rsid w:val="0082263F"/>
    <w:rsid w:val="00823036"/>
    <w:rsid w:val="0082335D"/>
    <w:rsid w:val="008235E6"/>
    <w:rsid w:val="00823627"/>
    <w:rsid w:val="00823C5A"/>
    <w:rsid w:val="00824155"/>
    <w:rsid w:val="0082430F"/>
    <w:rsid w:val="008249FD"/>
    <w:rsid w:val="00825A7B"/>
    <w:rsid w:val="00826459"/>
    <w:rsid w:val="00826B1D"/>
    <w:rsid w:val="0082770D"/>
    <w:rsid w:val="00827A7E"/>
    <w:rsid w:val="00830A6A"/>
    <w:rsid w:val="00831AD1"/>
    <w:rsid w:val="00832AEE"/>
    <w:rsid w:val="00833BE1"/>
    <w:rsid w:val="0083504D"/>
    <w:rsid w:val="008369F5"/>
    <w:rsid w:val="00836F30"/>
    <w:rsid w:val="0083772C"/>
    <w:rsid w:val="00837DAE"/>
    <w:rsid w:val="00840432"/>
    <w:rsid w:val="0084074A"/>
    <w:rsid w:val="00842145"/>
    <w:rsid w:val="0084276C"/>
    <w:rsid w:val="00842E69"/>
    <w:rsid w:val="00843224"/>
    <w:rsid w:val="008434B9"/>
    <w:rsid w:val="00843570"/>
    <w:rsid w:val="0084435A"/>
    <w:rsid w:val="00844982"/>
    <w:rsid w:val="0084610F"/>
    <w:rsid w:val="008467B0"/>
    <w:rsid w:val="00846E53"/>
    <w:rsid w:val="00847FC5"/>
    <w:rsid w:val="00850015"/>
    <w:rsid w:val="008508B3"/>
    <w:rsid w:val="00850ADD"/>
    <w:rsid w:val="008511CF"/>
    <w:rsid w:val="00852055"/>
    <w:rsid w:val="0085248C"/>
    <w:rsid w:val="0085281F"/>
    <w:rsid w:val="00852BEB"/>
    <w:rsid w:val="0085356C"/>
    <w:rsid w:val="008552AF"/>
    <w:rsid w:val="008558AB"/>
    <w:rsid w:val="00855B6C"/>
    <w:rsid w:val="00855D9B"/>
    <w:rsid w:val="0085621B"/>
    <w:rsid w:val="0085678A"/>
    <w:rsid w:val="008573D6"/>
    <w:rsid w:val="00857D9A"/>
    <w:rsid w:val="00857FAE"/>
    <w:rsid w:val="00861317"/>
    <w:rsid w:val="008623A1"/>
    <w:rsid w:val="008633BA"/>
    <w:rsid w:val="008638CF"/>
    <w:rsid w:val="008660C1"/>
    <w:rsid w:val="00866D87"/>
    <w:rsid w:val="008672B6"/>
    <w:rsid w:val="00867F52"/>
    <w:rsid w:val="0087185D"/>
    <w:rsid w:val="008718FF"/>
    <w:rsid w:val="00871F58"/>
    <w:rsid w:val="00872057"/>
    <w:rsid w:val="00872D66"/>
    <w:rsid w:val="0087395A"/>
    <w:rsid w:val="00874B2D"/>
    <w:rsid w:val="00875366"/>
    <w:rsid w:val="00875EB3"/>
    <w:rsid w:val="00876735"/>
    <w:rsid w:val="00877A08"/>
    <w:rsid w:val="00877A1F"/>
    <w:rsid w:val="00877F2C"/>
    <w:rsid w:val="00880727"/>
    <w:rsid w:val="0088092B"/>
    <w:rsid w:val="00882BAC"/>
    <w:rsid w:val="00882D06"/>
    <w:rsid w:val="00882EB0"/>
    <w:rsid w:val="0088360F"/>
    <w:rsid w:val="00883633"/>
    <w:rsid w:val="00883A30"/>
    <w:rsid w:val="00883DB9"/>
    <w:rsid w:val="00884D36"/>
    <w:rsid w:val="008852A6"/>
    <w:rsid w:val="0088531D"/>
    <w:rsid w:val="0088536D"/>
    <w:rsid w:val="008864DE"/>
    <w:rsid w:val="0088678C"/>
    <w:rsid w:val="00887038"/>
    <w:rsid w:val="008874D9"/>
    <w:rsid w:val="00887611"/>
    <w:rsid w:val="00887647"/>
    <w:rsid w:val="0088794A"/>
    <w:rsid w:val="008903FC"/>
    <w:rsid w:val="008909AD"/>
    <w:rsid w:val="00890CFA"/>
    <w:rsid w:val="00890D7B"/>
    <w:rsid w:val="008923FD"/>
    <w:rsid w:val="00893F3A"/>
    <w:rsid w:val="008948EB"/>
    <w:rsid w:val="00895384"/>
    <w:rsid w:val="00895957"/>
    <w:rsid w:val="00896181"/>
    <w:rsid w:val="008A218B"/>
    <w:rsid w:val="008A261D"/>
    <w:rsid w:val="008A26A7"/>
    <w:rsid w:val="008A2847"/>
    <w:rsid w:val="008A3BF1"/>
    <w:rsid w:val="008A3FBF"/>
    <w:rsid w:val="008A42AF"/>
    <w:rsid w:val="008A454F"/>
    <w:rsid w:val="008A4A34"/>
    <w:rsid w:val="008A5504"/>
    <w:rsid w:val="008A6356"/>
    <w:rsid w:val="008A6C88"/>
    <w:rsid w:val="008A7096"/>
    <w:rsid w:val="008A7603"/>
    <w:rsid w:val="008A7869"/>
    <w:rsid w:val="008A79AB"/>
    <w:rsid w:val="008B005C"/>
    <w:rsid w:val="008B03B7"/>
    <w:rsid w:val="008B1493"/>
    <w:rsid w:val="008B1B6D"/>
    <w:rsid w:val="008B36DB"/>
    <w:rsid w:val="008B3A4C"/>
    <w:rsid w:val="008B3B41"/>
    <w:rsid w:val="008B3CDA"/>
    <w:rsid w:val="008B57E5"/>
    <w:rsid w:val="008B59A5"/>
    <w:rsid w:val="008B6D69"/>
    <w:rsid w:val="008B79B2"/>
    <w:rsid w:val="008C14B3"/>
    <w:rsid w:val="008C2AD1"/>
    <w:rsid w:val="008C3B40"/>
    <w:rsid w:val="008C4838"/>
    <w:rsid w:val="008C4E08"/>
    <w:rsid w:val="008C60F6"/>
    <w:rsid w:val="008C62E6"/>
    <w:rsid w:val="008C66B0"/>
    <w:rsid w:val="008C6722"/>
    <w:rsid w:val="008C73F8"/>
    <w:rsid w:val="008C7779"/>
    <w:rsid w:val="008D0151"/>
    <w:rsid w:val="008D19D3"/>
    <w:rsid w:val="008D2460"/>
    <w:rsid w:val="008D2D99"/>
    <w:rsid w:val="008D2FAF"/>
    <w:rsid w:val="008D3B66"/>
    <w:rsid w:val="008D49FF"/>
    <w:rsid w:val="008D7C44"/>
    <w:rsid w:val="008E0EC4"/>
    <w:rsid w:val="008E2AAF"/>
    <w:rsid w:val="008E2F0B"/>
    <w:rsid w:val="008E37D6"/>
    <w:rsid w:val="008E3F17"/>
    <w:rsid w:val="008E43D6"/>
    <w:rsid w:val="008E45B3"/>
    <w:rsid w:val="008E6209"/>
    <w:rsid w:val="008E6FD3"/>
    <w:rsid w:val="008E71FF"/>
    <w:rsid w:val="008E7B7B"/>
    <w:rsid w:val="008E7D8F"/>
    <w:rsid w:val="008F03B3"/>
    <w:rsid w:val="008F0852"/>
    <w:rsid w:val="008F0D35"/>
    <w:rsid w:val="008F15D0"/>
    <w:rsid w:val="008F2123"/>
    <w:rsid w:val="008F3D81"/>
    <w:rsid w:val="008F4162"/>
    <w:rsid w:val="008F438D"/>
    <w:rsid w:val="008F44B4"/>
    <w:rsid w:val="008F510C"/>
    <w:rsid w:val="008F5580"/>
    <w:rsid w:val="008F56DA"/>
    <w:rsid w:val="008F6D18"/>
    <w:rsid w:val="008F7A90"/>
    <w:rsid w:val="00901C40"/>
    <w:rsid w:val="009027A2"/>
    <w:rsid w:val="00902BBF"/>
    <w:rsid w:val="00903702"/>
    <w:rsid w:val="009041BB"/>
    <w:rsid w:val="00905CD8"/>
    <w:rsid w:val="00906229"/>
    <w:rsid w:val="009062CB"/>
    <w:rsid w:val="00907776"/>
    <w:rsid w:val="00907DE2"/>
    <w:rsid w:val="00910454"/>
    <w:rsid w:val="00910F2E"/>
    <w:rsid w:val="00911025"/>
    <w:rsid w:val="009111AC"/>
    <w:rsid w:val="00911261"/>
    <w:rsid w:val="009118C0"/>
    <w:rsid w:val="0091190E"/>
    <w:rsid w:val="00911BCA"/>
    <w:rsid w:val="00913258"/>
    <w:rsid w:val="00913501"/>
    <w:rsid w:val="00913600"/>
    <w:rsid w:val="00913A62"/>
    <w:rsid w:val="00915632"/>
    <w:rsid w:val="00915C81"/>
    <w:rsid w:val="00916A1F"/>
    <w:rsid w:val="00917A21"/>
    <w:rsid w:val="00920D89"/>
    <w:rsid w:val="009211CC"/>
    <w:rsid w:val="009216A4"/>
    <w:rsid w:val="009221B4"/>
    <w:rsid w:val="009221CD"/>
    <w:rsid w:val="00922A03"/>
    <w:rsid w:val="00922C16"/>
    <w:rsid w:val="00922C29"/>
    <w:rsid w:val="00922C5A"/>
    <w:rsid w:val="00923774"/>
    <w:rsid w:val="00923A78"/>
    <w:rsid w:val="00923D81"/>
    <w:rsid w:val="00924B01"/>
    <w:rsid w:val="00927805"/>
    <w:rsid w:val="00927D0B"/>
    <w:rsid w:val="00927DCA"/>
    <w:rsid w:val="00927F67"/>
    <w:rsid w:val="00930ADE"/>
    <w:rsid w:val="00932012"/>
    <w:rsid w:val="009323D3"/>
    <w:rsid w:val="009327CB"/>
    <w:rsid w:val="00932A18"/>
    <w:rsid w:val="00932F5C"/>
    <w:rsid w:val="00934739"/>
    <w:rsid w:val="00934BF3"/>
    <w:rsid w:val="00935222"/>
    <w:rsid w:val="00935FE8"/>
    <w:rsid w:val="009361CD"/>
    <w:rsid w:val="0093678F"/>
    <w:rsid w:val="00937631"/>
    <w:rsid w:val="009401F4"/>
    <w:rsid w:val="00943698"/>
    <w:rsid w:val="0094372A"/>
    <w:rsid w:val="00943B8E"/>
    <w:rsid w:val="009443E9"/>
    <w:rsid w:val="00945D5B"/>
    <w:rsid w:val="0094670B"/>
    <w:rsid w:val="0094671E"/>
    <w:rsid w:val="00947225"/>
    <w:rsid w:val="00947337"/>
    <w:rsid w:val="00950268"/>
    <w:rsid w:val="009504F4"/>
    <w:rsid w:val="00950AF0"/>
    <w:rsid w:val="00950F87"/>
    <w:rsid w:val="0095132E"/>
    <w:rsid w:val="00952522"/>
    <w:rsid w:val="00952A65"/>
    <w:rsid w:val="009534F5"/>
    <w:rsid w:val="00954236"/>
    <w:rsid w:val="009550DD"/>
    <w:rsid w:val="00955F36"/>
    <w:rsid w:val="0095674C"/>
    <w:rsid w:val="0095735C"/>
    <w:rsid w:val="009577CB"/>
    <w:rsid w:val="009579C9"/>
    <w:rsid w:val="0096008E"/>
    <w:rsid w:val="009601FD"/>
    <w:rsid w:val="009607C4"/>
    <w:rsid w:val="009615D4"/>
    <w:rsid w:val="00961F3F"/>
    <w:rsid w:val="009620C2"/>
    <w:rsid w:val="0096260A"/>
    <w:rsid w:val="00962830"/>
    <w:rsid w:val="00962E20"/>
    <w:rsid w:val="00963101"/>
    <w:rsid w:val="009643AE"/>
    <w:rsid w:val="0096464A"/>
    <w:rsid w:val="00965001"/>
    <w:rsid w:val="009659AD"/>
    <w:rsid w:val="00965A9A"/>
    <w:rsid w:val="009669F7"/>
    <w:rsid w:val="00966A2F"/>
    <w:rsid w:val="00966C82"/>
    <w:rsid w:val="00966D98"/>
    <w:rsid w:val="009678C1"/>
    <w:rsid w:val="009703C2"/>
    <w:rsid w:val="0097065C"/>
    <w:rsid w:val="00971DA4"/>
    <w:rsid w:val="0097257E"/>
    <w:rsid w:val="00973381"/>
    <w:rsid w:val="009735DD"/>
    <w:rsid w:val="00973C9E"/>
    <w:rsid w:val="00973DEE"/>
    <w:rsid w:val="00973E93"/>
    <w:rsid w:val="00974BF8"/>
    <w:rsid w:val="009754B2"/>
    <w:rsid w:val="00975880"/>
    <w:rsid w:val="00975CCA"/>
    <w:rsid w:val="00976125"/>
    <w:rsid w:val="00976540"/>
    <w:rsid w:val="009812ED"/>
    <w:rsid w:val="009825C8"/>
    <w:rsid w:val="0098278E"/>
    <w:rsid w:val="009829BA"/>
    <w:rsid w:val="009832C3"/>
    <w:rsid w:val="0098339A"/>
    <w:rsid w:val="00983A38"/>
    <w:rsid w:val="0098482E"/>
    <w:rsid w:val="00984A44"/>
    <w:rsid w:val="00984C50"/>
    <w:rsid w:val="00985388"/>
    <w:rsid w:val="00987C4E"/>
    <w:rsid w:val="009900CD"/>
    <w:rsid w:val="00991173"/>
    <w:rsid w:val="00991C43"/>
    <w:rsid w:val="009920C0"/>
    <w:rsid w:val="009926B3"/>
    <w:rsid w:val="00993E65"/>
    <w:rsid w:val="009948BA"/>
    <w:rsid w:val="00994C7A"/>
    <w:rsid w:val="00996193"/>
    <w:rsid w:val="009A0086"/>
    <w:rsid w:val="009A0BB2"/>
    <w:rsid w:val="009A4AA0"/>
    <w:rsid w:val="009A6095"/>
    <w:rsid w:val="009A6B47"/>
    <w:rsid w:val="009A7995"/>
    <w:rsid w:val="009B0ACA"/>
    <w:rsid w:val="009B0C87"/>
    <w:rsid w:val="009B187A"/>
    <w:rsid w:val="009B1BE6"/>
    <w:rsid w:val="009B21BF"/>
    <w:rsid w:val="009B28DE"/>
    <w:rsid w:val="009B355C"/>
    <w:rsid w:val="009B360E"/>
    <w:rsid w:val="009B3739"/>
    <w:rsid w:val="009B40F2"/>
    <w:rsid w:val="009B6172"/>
    <w:rsid w:val="009B7AE9"/>
    <w:rsid w:val="009C01C8"/>
    <w:rsid w:val="009C0475"/>
    <w:rsid w:val="009C1293"/>
    <w:rsid w:val="009C13B6"/>
    <w:rsid w:val="009C1416"/>
    <w:rsid w:val="009C421B"/>
    <w:rsid w:val="009C4378"/>
    <w:rsid w:val="009C4FEC"/>
    <w:rsid w:val="009C589E"/>
    <w:rsid w:val="009C5E9E"/>
    <w:rsid w:val="009C62FE"/>
    <w:rsid w:val="009C719F"/>
    <w:rsid w:val="009C7230"/>
    <w:rsid w:val="009C7761"/>
    <w:rsid w:val="009C7806"/>
    <w:rsid w:val="009D029B"/>
    <w:rsid w:val="009D0F65"/>
    <w:rsid w:val="009D138D"/>
    <w:rsid w:val="009D1400"/>
    <w:rsid w:val="009D1ABD"/>
    <w:rsid w:val="009D1C71"/>
    <w:rsid w:val="009D305A"/>
    <w:rsid w:val="009D4163"/>
    <w:rsid w:val="009D4397"/>
    <w:rsid w:val="009D45B7"/>
    <w:rsid w:val="009D4B77"/>
    <w:rsid w:val="009D5DA5"/>
    <w:rsid w:val="009D5FF0"/>
    <w:rsid w:val="009D6CBC"/>
    <w:rsid w:val="009D73F4"/>
    <w:rsid w:val="009E16AD"/>
    <w:rsid w:val="009E1ACC"/>
    <w:rsid w:val="009E245E"/>
    <w:rsid w:val="009E2676"/>
    <w:rsid w:val="009E2A7E"/>
    <w:rsid w:val="009E2F6E"/>
    <w:rsid w:val="009E3865"/>
    <w:rsid w:val="009E435E"/>
    <w:rsid w:val="009E4DA1"/>
    <w:rsid w:val="009E4F92"/>
    <w:rsid w:val="009E5055"/>
    <w:rsid w:val="009E5393"/>
    <w:rsid w:val="009E57EC"/>
    <w:rsid w:val="009E5BF9"/>
    <w:rsid w:val="009E675D"/>
    <w:rsid w:val="009E7013"/>
    <w:rsid w:val="009E7577"/>
    <w:rsid w:val="009E7A73"/>
    <w:rsid w:val="009F07C8"/>
    <w:rsid w:val="009F17EA"/>
    <w:rsid w:val="009F29F9"/>
    <w:rsid w:val="009F2EDA"/>
    <w:rsid w:val="009F31C9"/>
    <w:rsid w:val="009F457F"/>
    <w:rsid w:val="009F48A2"/>
    <w:rsid w:val="009F4FA2"/>
    <w:rsid w:val="009F5199"/>
    <w:rsid w:val="009F55A5"/>
    <w:rsid w:val="009F5B63"/>
    <w:rsid w:val="009F5EDF"/>
    <w:rsid w:val="009F5F8A"/>
    <w:rsid w:val="009F69BA"/>
    <w:rsid w:val="009F6D15"/>
    <w:rsid w:val="00A006AF"/>
    <w:rsid w:val="00A00D52"/>
    <w:rsid w:val="00A0104E"/>
    <w:rsid w:val="00A0192E"/>
    <w:rsid w:val="00A019FB"/>
    <w:rsid w:val="00A01D73"/>
    <w:rsid w:val="00A03534"/>
    <w:rsid w:val="00A0361A"/>
    <w:rsid w:val="00A04490"/>
    <w:rsid w:val="00A05AC1"/>
    <w:rsid w:val="00A05C7B"/>
    <w:rsid w:val="00A0710B"/>
    <w:rsid w:val="00A072F0"/>
    <w:rsid w:val="00A07831"/>
    <w:rsid w:val="00A07A8F"/>
    <w:rsid w:val="00A1167D"/>
    <w:rsid w:val="00A116E5"/>
    <w:rsid w:val="00A1225E"/>
    <w:rsid w:val="00A137EA"/>
    <w:rsid w:val="00A138D1"/>
    <w:rsid w:val="00A13D53"/>
    <w:rsid w:val="00A13ED9"/>
    <w:rsid w:val="00A1402F"/>
    <w:rsid w:val="00A15025"/>
    <w:rsid w:val="00A15841"/>
    <w:rsid w:val="00A15FE8"/>
    <w:rsid w:val="00A160C8"/>
    <w:rsid w:val="00A170AD"/>
    <w:rsid w:val="00A1771E"/>
    <w:rsid w:val="00A20241"/>
    <w:rsid w:val="00A206A1"/>
    <w:rsid w:val="00A21744"/>
    <w:rsid w:val="00A223D8"/>
    <w:rsid w:val="00A22EA0"/>
    <w:rsid w:val="00A2315C"/>
    <w:rsid w:val="00A231E5"/>
    <w:rsid w:val="00A24786"/>
    <w:rsid w:val="00A24E0C"/>
    <w:rsid w:val="00A255FB"/>
    <w:rsid w:val="00A26B2F"/>
    <w:rsid w:val="00A26CCC"/>
    <w:rsid w:val="00A270BA"/>
    <w:rsid w:val="00A27686"/>
    <w:rsid w:val="00A3017A"/>
    <w:rsid w:val="00A30E27"/>
    <w:rsid w:val="00A310B3"/>
    <w:rsid w:val="00A31B4B"/>
    <w:rsid w:val="00A31ED2"/>
    <w:rsid w:val="00A322E6"/>
    <w:rsid w:val="00A3286C"/>
    <w:rsid w:val="00A32DB9"/>
    <w:rsid w:val="00A331AA"/>
    <w:rsid w:val="00A34BA0"/>
    <w:rsid w:val="00A34C45"/>
    <w:rsid w:val="00A35F3E"/>
    <w:rsid w:val="00A36426"/>
    <w:rsid w:val="00A370E2"/>
    <w:rsid w:val="00A402D4"/>
    <w:rsid w:val="00A40832"/>
    <w:rsid w:val="00A4212C"/>
    <w:rsid w:val="00A4237A"/>
    <w:rsid w:val="00A42C37"/>
    <w:rsid w:val="00A435EF"/>
    <w:rsid w:val="00A43903"/>
    <w:rsid w:val="00A44736"/>
    <w:rsid w:val="00A447C6"/>
    <w:rsid w:val="00A44CD4"/>
    <w:rsid w:val="00A44FF9"/>
    <w:rsid w:val="00A46103"/>
    <w:rsid w:val="00A467D6"/>
    <w:rsid w:val="00A474A1"/>
    <w:rsid w:val="00A4793A"/>
    <w:rsid w:val="00A5003D"/>
    <w:rsid w:val="00A519B9"/>
    <w:rsid w:val="00A51DB2"/>
    <w:rsid w:val="00A5224E"/>
    <w:rsid w:val="00A527E3"/>
    <w:rsid w:val="00A53753"/>
    <w:rsid w:val="00A54396"/>
    <w:rsid w:val="00A55B87"/>
    <w:rsid w:val="00A560DC"/>
    <w:rsid w:val="00A56461"/>
    <w:rsid w:val="00A5782E"/>
    <w:rsid w:val="00A57B6C"/>
    <w:rsid w:val="00A62F81"/>
    <w:rsid w:val="00A63508"/>
    <w:rsid w:val="00A64EF0"/>
    <w:rsid w:val="00A64F58"/>
    <w:rsid w:val="00A65344"/>
    <w:rsid w:val="00A654A8"/>
    <w:rsid w:val="00A6562A"/>
    <w:rsid w:val="00A65743"/>
    <w:rsid w:val="00A663C9"/>
    <w:rsid w:val="00A70039"/>
    <w:rsid w:val="00A71241"/>
    <w:rsid w:val="00A714AC"/>
    <w:rsid w:val="00A717BF"/>
    <w:rsid w:val="00A71C12"/>
    <w:rsid w:val="00A72454"/>
    <w:rsid w:val="00A732EE"/>
    <w:rsid w:val="00A73969"/>
    <w:rsid w:val="00A740B8"/>
    <w:rsid w:val="00A74A45"/>
    <w:rsid w:val="00A750C4"/>
    <w:rsid w:val="00A76199"/>
    <w:rsid w:val="00A7657F"/>
    <w:rsid w:val="00A76D17"/>
    <w:rsid w:val="00A77287"/>
    <w:rsid w:val="00A77530"/>
    <w:rsid w:val="00A77899"/>
    <w:rsid w:val="00A8110E"/>
    <w:rsid w:val="00A81162"/>
    <w:rsid w:val="00A8168A"/>
    <w:rsid w:val="00A81C62"/>
    <w:rsid w:val="00A829EA"/>
    <w:rsid w:val="00A8379B"/>
    <w:rsid w:val="00A84BF4"/>
    <w:rsid w:val="00A85378"/>
    <w:rsid w:val="00A85479"/>
    <w:rsid w:val="00A85C91"/>
    <w:rsid w:val="00A86822"/>
    <w:rsid w:val="00A873C0"/>
    <w:rsid w:val="00A9001A"/>
    <w:rsid w:val="00A90780"/>
    <w:rsid w:val="00A90B12"/>
    <w:rsid w:val="00A91F72"/>
    <w:rsid w:val="00A92264"/>
    <w:rsid w:val="00A924D7"/>
    <w:rsid w:val="00A924E7"/>
    <w:rsid w:val="00A94906"/>
    <w:rsid w:val="00A94B95"/>
    <w:rsid w:val="00A94CE0"/>
    <w:rsid w:val="00A94E41"/>
    <w:rsid w:val="00A958D9"/>
    <w:rsid w:val="00A95E22"/>
    <w:rsid w:val="00A967F6"/>
    <w:rsid w:val="00A96B98"/>
    <w:rsid w:val="00A96E5B"/>
    <w:rsid w:val="00A9729B"/>
    <w:rsid w:val="00A97E61"/>
    <w:rsid w:val="00AA02C6"/>
    <w:rsid w:val="00AA04AB"/>
    <w:rsid w:val="00AA0A3E"/>
    <w:rsid w:val="00AA0B2B"/>
    <w:rsid w:val="00AA1A95"/>
    <w:rsid w:val="00AA1FD3"/>
    <w:rsid w:val="00AA2A7D"/>
    <w:rsid w:val="00AA2F38"/>
    <w:rsid w:val="00AA3544"/>
    <w:rsid w:val="00AA358D"/>
    <w:rsid w:val="00AA35CA"/>
    <w:rsid w:val="00AA38E9"/>
    <w:rsid w:val="00AA3D85"/>
    <w:rsid w:val="00AA40D0"/>
    <w:rsid w:val="00AA4AEC"/>
    <w:rsid w:val="00AA5095"/>
    <w:rsid w:val="00AA517F"/>
    <w:rsid w:val="00AA5AC3"/>
    <w:rsid w:val="00AA62F2"/>
    <w:rsid w:val="00AA6839"/>
    <w:rsid w:val="00AA6BA6"/>
    <w:rsid w:val="00AA6CA7"/>
    <w:rsid w:val="00AA71A8"/>
    <w:rsid w:val="00AA735B"/>
    <w:rsid w:val="00AA738E"/>
    <w:rsid w:val="00AB03CD"/>
    <w:rsid w:val="00AB08D9"/>
    <w:rsid w:val="00AB1407"/>
    <w:rsid w:val="00AB161D"/>
    <w:rsid w:val="00AB2AD2"/>
    <w:rsid w:val="00AB3C29"/>
    <w:rsid w:val="00AB4743"/>
    <w:rsid w:val="00AB4E54"/>
    <w:rsid w:val="00AB53DF"/>
    <w:rsid w:val="00AB5A83"/>
    <w:rsid w:val="00AB5D3E"/>
    <w:rsid w:val="00AB5DE5"/>
    <w:rsid w:val="00AB6F67"/>
    <w:rsid w:val="00AB700F"/>
    <w:rsid w:val="00AB7DCB"/>
    <w:rsid w:val="00AC08B6"/>
    <w:rsid w:val="00AC1ED6"/>
    <w:rsid w:val="00AC2AB2"/>
    <w:rsid w:val="00AC2C0B"/>
    <w:rsid w:val="00AC3074"/>
    <w:rsid w:val="00AC3405"/>
    <w:rsid w:val="00AC3745"/>
    <w:rsid w:val="00AC3C03"/>
    <w:rsid w:val="00AC4612"/>
    <w:rsid w:val="00AC5297"/>
    <w:rsid w:val="00AC5398"/>
    <w:rsid w:val="00AC53AF"/>
    <w:rsid w:val="00AC569A"/>
    <w:rsid w:val="00AC5DF7"/>
    <w:rsid w:val="00AC604D"/>
    <w:rsid w:val="00AC64F0"/>
    <w:rsid w:val="00AC7120"/>
    <w:rsid w:val="00AC7A46"/>
    <w:rsid w:val="00AC7EFD"/>
    <w:rsid w:val="00AD0079"/>
    <w:rsid w:val="00AD0326"/>
    <w:rsid w:val="00AD115A"/>
    <w:rsid w:val="00AD16EA"/>
    <w:rsid w:val="00AD1FA6"/>
    <w:rsid w:val="00AD23E3"/>
    <w:rsid w:val="00AD2C3A"/>
    <w:rsid w:val="00AD62EF"/>
    <w:rsid w:val="00AD70A8"/>
    <w:rsid w:val="00AD7327"/>
    <w:rsid w:val="00AD771A"/>
    <w:rsid w:val="00AE0328"/>
    <w:rsid w:val="00AE03BC"/>
    <w:rsid w:val="00AE2F18"/>
    <w:rsid w:val="00AE3246"/>
    <w:rsid w:val="00AE3448"/>
    <w:rsid w:val="00AE3B7D"/>
    <w:rsid w:val="00AE470A"/>
    <w:rsid w:val="00AE4BC7"/>
    <w:rsid w:val="00AE4DB5"/>
    <w:rsid w:val="00AE564E"/>
    <w:rsid w:val="00AE580A"/>
    <w:rsid w:val="00AE67AC"/>
    <w:rsid w:val="00AE68D6"/>
    <w:rsid w:val="00AE6DD4"/>
    <w:rsid w:val="00AE72D0"/>
    <w:rsid w:val="00AE7607"/>
    <w:rsid w:val="00AF0737"/>
    <w:rsid w:val="00AF0A6F"/>
    <w:rsid w:val="00AF0AE7"/>
    <w:rsid w:val="00AF1966"/>
    <w:rsid w:val="00AF2DD7"/>
    <w:rsid w:val="00AF2FBC"/>
    <w:rsid w:val="00AF3686"/>
    <w:rsid w:val="00AF405B"/>
    <w:rsid w:val="00AF4AB8"/>
    <w:rsid w:val="00AF7261"/>
    <w:rsid w:val="00AF7C5E"/>
    <w:rsid w:val="00B00D8F"/>
    <w:rsid w:val="00B0147B"/>
    <w:rsid w:val="00B0186B"/>
    <w:rsid w:val="00B02DA1"/>
    <w:rsid w:val="00B02E66"/>
    <w:rsid w:val="00B03E7E"/>
    <w:rsid w:val="00B04687"/>
    <w:rsid w:val="00B05640"/>
    <w:rsid w:val="00B05BFE"/>
    <w:rsid w:val="00B0625F"/>
    <w:rsid w:val="00B06A83"/>
    <w:rsid w:val="00B10CDF"/>
    <w:rsid w:val="00B11156"/>
    <w:rsid w:val="00B11894"/>
    <w:rsid w:val="00B11AFC"/>
    <w:rsid w:val="00B123BC"/>
    <w:rsid w:val="00B1333C"/>
    <w:rsid w:val="00B13469"/>
    <w:rsid w:val="00B140E8"/>
    <w:rsid w:val="00B1470D"/>
    <w:rsid w:val="00B14FD6"/>
    <w:rsid w:val="00B16911"/>
    <w:rsid w:val="00B16FA5"/>
    <w:rsid w:val="00B17103"/>
    <w:rsid w:val="00B176C1"/>
    <w:rsid w:val="00B20803"/>
    <w:rsid w:val="00B20BD7"/>
    <w:rsid w:val="00B218AF"/>
    <w:rsid w:val="00B21EE0"/>
    <w:rsid w:val="00B22477"/>
    <w:rsid w:val="00B23327"/>
    <w:rsid w:val="00B233CA"/>
    <w:rsid w:val="00B23764"/>
    <w:rsid w:val="00B24051"/>
    <w:rsid w:val="00B2555E"/>
    <w:rsid w:val="00B256ED"/>
    <w:rsid w:val="00B25FEF"/>
    <w:rsid w:val="00B2635A"/>
    <w:rsid w:val="00B26A18"/>
    <w:rsid w:val="00B27148"/>
    <w:rsid w:val="00B27326"/>
    <w:rsid w:val="00B27484"/>
    <w:rsid w:val="00B30764"/>
    <w:rsid w:val="00B3079E"/>
    <w:rsid w:val="00B30892"/>
    <w:rsid w:val="00B3092C"/>
    <w:rsid w:val="00B30B67"/>
    <w:rsid w:val="00B318CC"/>
    <w:rsid w:val="00B31E1A"/>
    <w:rsid w:val="00B327F2"/>
    <w:rsid w:val="00B32C7E"/>
    <w:rsid w:val="00B32DAE"/>
    <w:rsid w:val="00B33A51"/>
    <w:rsid w:val="00B33DD3"/>
    <w:rsid w:val="00B33FBF"/>
    <w:rsid w:val="00B343E8"/>
    <w:rsid w:val="00B3451D"/>
    <w:rsid w:val="00B35F6F"/>
    <w:rsid w:val="00B37117"/>
    <w:rsid w:val="00B40122"/>
    <w:rsid w:val="00B40308"/>
    <w:rsid w:val="00B4067D"/>
    <w:rsid w:val="00B419C9"/>
    <w:rsid w:val="00B42DD7"/>
    <w:rsid w:val="00B42E21"/>
    <w:rsid w:val="00B4376A"/>
    <w:rsid w:val="00B448CB"/>
    <w:rsid w:val="00B45F2D"/>
    <w:rsid w:val="00B4634A"/>
    <w:rsid w:val="00B46A6E"/>
    <w:rsid w:val="00B476EF"/>
    <w:rsid w:val="00B47E6E"/>
    <w:rsid w:val="00B47F14"/>
    <w:rsid w:val="00B503E4"/>
    <w:rsid w:val="00B50433"/>
    <w:rsid w:val="00B5044F"/>
    <w:rsid w:val="00B50488"/>
    <w:rsid w:val="00B507DA"/>
    <w:rsid w:val="00B50B06"/>
    <w:rsid w:val="00B50BED"/>
    <w:rsid w:val="00B51292"/>
    <w:rsid w:val="00B518E2"/>
    <w:rsid w:val="00B5302A"/>
    <w:rsid w:val="00B53251"/>
    <w:rsid w:val="00B5360B"/>
    <w:rsid w:val="00B53998"/>
    <w:rsid w:val="00B5457D"/>
    <w:rsid w:val="00B54C2E"/>
    <w:rsid w:val="00B54DFE"/>
    <w:rsid w:val="00B55504"/>
    <w:rsid w:val="00B56684"/>
    <w:rsid w:val="00B605C0"/>
    <w:rsid w:val="00B61373"/>
    <w:rsid w:val="00B61B13"/>
    <w:rsid w:val="00B64410"/>
    <w:rsid w:val="00B64CAF"/>
    <w:rsid w:val="00B64D9A"/>
    <w:rsid w:val="00B64DDF"/>
    <w:rsid w:val="00B64EE7"/>
    <w:rsid w:val="00B65A6C"/>
    <w:rsid w:val="00B65D6E"/>
    <w:rsid w:val="00B66649"/>
    <w:rsid w:val="00B668B0"/>
    <w:rsid w:val="00B67E26"/>
    <w:rsid w:val="00B67F49"/>
    <w:rsid w:val="00B70998"/>
    <w:rsid w:val="00B710E3"/>
    <w:rsid w:val="00B71311"/>
    <w:rsid w:val="00B71679"/>
    <w:rsid w:val="00B718F8"/>
    <w:rsid w:val="00B72582"/>
    <w:rsid w:val="00B726C1"/>
    <w:rsid w:val="00B726C5"/>
    <w:rsid w:val="00B7388E"/>
    <w:rsid w:val="00B7497C"/>
    <w:rsid w:val="00B74AEC"/>
    <w:rsid w:val="00B74FA8"/>
    <w:rsid w:val="00B75558"/>
    <w:rsid w:val="00B75E41"/>
    <w:rsid w:val="00B7604D"/>
    <w:rsid w:val="00B7629B"/>
    <w:rsid w:val="00B76810"/>
    <w:rsid w:val="00B76847"/>
    <w:rsid w:val="00B76B7D"/>
    <w:rsid w:val="00B76F45"/>
    <w:rsid w:val="00B77A03"/>
    <w:rsid w:val="00B77B82"/>
    <w:rsid w:val="00B80736"/>
    <w:rsid w:val="00B810A4"/>
    <w:rsid w:val="00B813F7"/>
    <w:rsid w:val="00B81B55"/>
    <w:rsid w:val="00B82127"/>
    <w:rsid w:val="00B827FE"/>
    <w:rsid w:val="00B844BB"/>
    <w:rsid w:val="00B84C9B"/>
    <w:rsid w:val="00B85151"/>
    <w:rsid w:val="00B85899"/>
    <w:rsid w:val="00B8651F"/>
    <w:rsid w:val="00B919A0"/>
    <w:rsid w:val="00B926E8"/>
    <w:rsid w:val="00B9329F"/>
    <w:rsid w:val="00B944EB"/>
    <w:rsid w:val="00B94607"/>
    <w:rsid w:val="00B94C13"/>
    <w:rsid w:val="00B9601D"/>
    <w:rsid w:val="00B96344"/>
    <w:rsid w:val="00B96B59"/>
    <w:rsid w:val="00B96F03"/>
    <w:rsid w:val="00B977CA"/>
    <w:rsid w:val="00B97842"/>
    <w:rsid w:val="00B978A4"/>
    <w:rsid w:val="00BA1271"/>
    <w:rsid w:val="00BA1488"/>
    <w:rsid w:val="00BA1EDE"/>
    <w:rsid w:val="00BA2353"/>
    <w:rsid w:val="00BA2EDF"/>
    <w:rsid w:val="00BA323E"/>
    <w:rsid w:val="00BA37C3"/>
    <w:rsid w:val="00BA3D7E"/>
    <w:rsid w:val="00BA41FE"/>
    <w:rsid w:val="00BA43C3"/>
    <w:rsid w:val="00BA51FA"/>
    <w:rsid w:val="00BA5207"/>
    <w:rsid w:val="00BA5337"/>
    <w:rsid w:val="00BA5399"/>
    <w:rsid w:val="00BA554D"/>
    <w:rsid w:val="00BA5B27"/>
    <w:rsid w:val="00BA5C06"/>
    <w:rsid w:val="00BA6B9F"/>
    <w:rsid w:val="00BA7230"/>
    <w:rsid w:val="00BA7F7D"/>
    <w:rsid w:val="00BB05DB"/>
    <w:rsid w:val="00BB0C74"/>
    <w:rsid w:val="00BB1A18"/>
    <w:rsid w:val="00BB1CE1"/>
    <w:rsid w:val="00BB1F44"/>
    <w:rsid w:val="00BB21DB"/>
    <w:rsid w:val="00BB228C"/>
    <w:rsid w:val="00BB281A"/>
    <w:rsid w:val="00BB2885"/>
    <w:rsid w:val="00BB3015"/>
    <w:rsid w:val="00BB3A57"/>
    <w:rsid w:val="00BB42BE"/>
    <w:rsid w:val="00BB449C"/>
    <w:rsid w:val="00BB51DC"/>
    <w:rsid w:val="00BB561D"/>
    <w:rsid w:val="00BB5FF3"/>
    <w:rsid w:val="00BB61D8"/>
    <w:rsid w:val="00BB6658"/>
    <w:rsid w:val="00BB6752"/>
    <w:rsid w:val="00BB6A0C"/>
    <w:rsid w:val="00BB6CA8"/>
    <w:rsid w:val="00BB6FD5"/>
    <w:rsid w:val="00BB705E"/>
    <w:rsid w:val="00BB70EF"/>
    <w:rsid w:val="00BB76C4"/>
    <w:rsid w:val="00BC0215"/>
    <w:rsid w:val="00BC03EA"/>
    <w:rsid w:val="00BC04B7"/>
    <w:rsid w:val="00BC080B"/>
    <w:rsid w:val="00BC0DE6"/>
    <w:rsid w:val="00BC3794"/>
    <w:rsid w:val="00BC4514"/>
    <w:rsid w:val="00BC4577"/>
    <w:rsid w:val="00BC5089"/>
    <w:rsid w:val="00BC5500"/>
    <w:rsid w:val="00BC6A01"/>
    <w:rsid w:val="00BC6BFE"/>
    <w:rsid w:val="00BC76FC"/>
    <w:rsid w:val="00BC7A66"/>
    <w:rsid w:val="00BD1032"/>
    <w:rsid w:val="00BD160F"/>
    <w:rsid w:val="00BD1893"/>
    <w:rsid w:val="00BD18E5"/>
    <w:rsid w:val="00BD22CF"/>
    <w:rsid w:val="00BD2DBB"/>
    <w:rsid w:val="00BD3A2D"/>
    <w:rsid w:val="00BD3AAD"/>
    <w:rsid w:val="00BD6504"/>
    <w:rsid w:val="00BD662D"/>
    <w:rsid w:val="00BD709B"/>
    <w:rsid w:val="00BE0982"/>
    <w:rsid w:val="00BE0D2D"/>
    <w:rsid w:val="00BE1267"/>
    <w:rsid w:val="00BE12BD"/>
    <w:rsid w:val="00BE131C"/>
    <w:rsid w:val="00BE28FA"/>
    <w:rsid w:val="00BE29E6"/>
    <w:rsid w:val="00BE3011"/>
    <w:rsid w:val="00BE416D"/>
    <w:rsid w:val="00BE4857"/>
    <w:rsid w:val="00BE5236"/>
    <w:rsid w:val="00BE6423"/>
    <w:rsid w:val="00BE6A7A"/>
    <w:rsid w:val="00BE7997"/>
    <w:rsid w:val="00BE7D3F"/>
    <w:rsid w:val="00BE7E18"/>
    <w:rsid w:val="00BF0DEA"/>
    <w:rsid w:val="00BF1373"/>
    <w:rsid w:val="00BF13C3"/>
    <w:rsid w:val="00BF425C"/>
    <w:rsid w:val="00BF42A4"/>
    <w:rsid w:val="00BF4534"/>
    <w:rsid w:val="00BF45D2"/>
    <w:rsid w:val="00BF4A7A"/>
    <w:rsid w:val="00BF5023"/>
    <w:rsid w:val="00BF515B"/>
    <w:rsid w:val="00BF51E9"/>
    <w:rsid w:val="00BF6105"/>
    <w:rsid w:val="00BF673D"/>
    <w:rsid w:val="00BF6A74"/>
    <w:rsid w:val="00BF76C5"/>
    <w:rsid w:val="00BF786C"/>
    <w:rsid w:val="00BF7D10"/>
    <w:rsid w:val="00C00527"/>
    <w:rsid w:val="00C010B6"/>
    <w:rsid w:val="00C026BB"/>
    <w:rsid w:val="00C02757"/>
    <w:rsid w:val="00C035CB"/>
    <w:rsid w:val="00C03B7C"/>
    <w:rsid w:val="00C03C83"/>
    <w:rsid w:val="00C03F2D"/>
    <w:rsid w:val="00C05420"/>
    <w:rsid w:val="00C059AB"/>
    <w:rsid w:val="00C05C8F"/>
    <w:rsid w:val="00C0638D"/>
    <w:rsid w:val="00C06999"/>
    <w:rsid w:val="00C069F4"/>
    <w:rsid w:val="00C075D5"/>
    <w:rsid w:val="00C07CA9"/>
    <w:rsid w:val="00C104E0"/>
    <w:rsid w:val="00C10E7E"/>
    <w:rsid w:val="00C11A5B"/>
    <w:rsid w:val="00C11A6D"/>
    <w:rsid w:val="00C12208"/>
    <w:rsid w:val="00C12531"/>
    <w:rsid w:val="00C12776"/>
    <w:rsid w:val="00C13301"/>
    <w:rsid w:val="00C13BDA"/>
    <w:rsid w:val="00C14AFF"/>
    <w:rsid w:val="00C14CCA"/>
    <w:rsid w:val="00C14EF2"/>
    <w:rsid w:val="00C1521E"/>
    <w:rsid w:val="00C1620C"/>
    <w:rsid w:val="00C1689A"/>
    <w:rsid w:val="00C17B3E"/>
    <w:rsid w:val="00C2031A"/>
    <w:rsid w:val="00C204E2"/>
    <w:rsid w:val="00C210B3"/>
    <w:rsid w:val="00C21146"/>
    <w:rsid w:val="00C21FAD"/>
    <w:rsid w:val="00C22330"/>
    <w:rsid w:val="00C22ACF"/>
    <w:rsid w:val="00C2358D"/>
    <w:rsid w:val="00C23AD4"/>
    <w:rsid w:val="00C2403E"/>
    <w:rsid w:val="00C24A83"/>
    <w:rsid w:val="00C2506F"/>
    <w:rsid w:val="00C25209"/>
    <w:rsid w:val="00C25B2D"/>
    <w:rsid w:val="00C25BE1"/>
    <w:rsid w:val="00C26101"/>
    <w:rsid w:val="00C26F00"/>
    <w:rsid w:val="00C27653"/>
    <w:rsid w:val="00C300DE"/>
    <w:rsid w:val="00C306AA"/>
    <w:rsid w:val="00C31064"/>
    <w:rsid w:val="00C310FC"/>
    <w:rsid w:val="00C32DFD"/>
    <w:rsid w:val="00C33255"/>
    <w:rsid w:val="00C36B5D"/>
    <w:rsid w:val="00C36DE5"/>
    <w:rsid w:val="00C379A7"/>
    <w:rsid w:val="00C40A21"/>
    <w:rsid w:val="00C40ECF"/>
    <w:rsid w:val="00C4144F"/>
    <w:rsid w:val="00C41998"/>
    <w:rsid w:val="00C420BA"/>
    <w:rsid w:val="00C4233C"/>
    <w:rsid w:val="00C445CD"/>
    <w:rsid w:val="00C44913"/>
    <w:rsid w:val="00C44F24"/>
    <w:rsid w:val="00C44F67"/>
    <w:rsid w:val="00C459DB"/>
    <w:rsid w:val="00C45A83"/>
    <w:rsid w:val="00C45B38"/>
    <w:rsid w:val="00C45C76"/>
    <w:rsid w:val="00C46956"/>
    <w:rsid w:val="00C47650"/>
    <w:rsid w:val="00C47691"/>
    <w:rsid w:val="00C47967"/>
    <w:rsid w:val="00C50B09"/>
    <w:rsid w:val="00C51329"/>
    <w:rsid w:val="00C52118"/>
    <w:rsid w:val="00C531AC"/>
    <w:rsid w:val="00C53D35"/>
    <w:rsid w:val="00C54A32"/>
    <w:rsid w:val="00C54AC4"/>
    <w:rsid w:val="00C55A08"/>
    <w:rsid w:val="00C55BDA"/>
    <w:rsid w:val="00C57B92"/>
    <w:rsid w:val="00C6009C"/>
    <w:rsid w:val="00C60164"/>
    <w:rsid w:val="00C601DE"/>
    <w:rsid w:val="00C6132E"/>
    <w:rsid w:val="00C61EFF"/>
    <w:rsid w:val="00C62CFD"/>
    <w:rsid w:val="00C6365E"/>
    <w:rsid w:val="00C636C1"/>
    <w:rsid w:val="00C64637"/>
    <w:rsid w:val="00C65A65"/>
    <w:rsid w:val="00C7067D"/>
    <w:rsid w:val="00C707C1"/>
    <w:rsid w:val="00C7150E"/>
    <w:rsid w:val="00C71851"/>
    <w:rsid w:val="00C71CC5"/>
    <w:rsid w:val="00C723E7"/>
    <w:rsid w:val="00C729D7"/>
    <w:rsid w:val="00C73BBC"/>
    <w:rsid w:val="00C74AAE"/>
    <w:rsid w:val="00C7595C"/>
    <w:rsid w:val="00C76AE9"/>
    <w:rsid w:val="00C76F5B"/>
    <w:rsid w:val="00C7719F"/>
    <w:rsid w:val="00C77B64"/>
    <w:rsid w:val="00C808ED"/>
    <w:rsid w:val="00C80919"/>
    <w:rsid w:val="00C83341"/>
    <w:rsid w:val="00C841B5"/>
    <w:rsid w:val="00C84436"/>
    <w:rsid w:val="00C84AE3"/>
    <w:rsid w:val="00C84EF0"/>
    <w:rsid w:val="00C8509A"/>
    <w:rsid w:val="00C90197"/>
    <w:rsid w:val="00C919CB"/>
    <w:rsid w:val="00C924F2"/>
    <w:rsid w:val="00C93445"/>
    <w:rsid w:val="00C9364E"/>
    <w:rsid w:val="00C95233"/>
    <w:rsid w:val="00C96390"/>
    <w:rsid w:val="00C96AA4"/>
    <w:rsid w:val="00C96C15"/>
    <w:rsid w:val="00C97030"/>
    <w:rsid w:val="00C975F2"/>
    <w:rsid w:val="00CA00BD"/>
    <w:rsid w:val="00CA0E09"/>
    <w:rsid w:val="00CA439A"/>
    <w:rsid w:val="00CA4B9A"/>
    <w:rsid w:val="00CA4E10"/>
    <w:rsid w:val="00CA50E0"/>
    <w:rsid w:val="00CA71A6"/>
    <w:rsid w:val="00CB1A0C"/>
    <w:rsid w:val="00CB22DB"/>
    <w:rsid w:val="00CB3923"/>
    <w:rsid w:val="00CB486A"/>
    <w:rsid w:val="00CB52D1"/>
    <w:rsid w:val="00CB672D"/>
    <w:rsid w:val="00CB6DB3"/>
    <w:rsid w:val="00CB6FFC"/>
    <w:rsid w:val="00CB706C"/>
    <w:rsid w:val="00CB78A7"/>
    <w:rsid w:val="00CC08B8"/>
    <w:rsid w:val="00CC0AED"/>
    <w:rsid w:val="00CC106D"/>
    <w:rsid w:val="00CC16D5"/>
    <w:rsid w:val="00CC18F1"/>
    <w:rsid w:val="00CC29B0"/>
    <w:rsid w:val="00CC34AA"/>
    <w:rsid w:val="00CC4AF3"/>
    <w:rsid w:val="00CC51A7"/>
    <w:rsid w:val="00CC5911"/>
    <w:rsid w:val="00CC6D9E"/>
    <w:rsid w:val="00CC7055"/>
    <w:rsid w:val="00CC71DB"/>
    <w:rsid w:val="00CC7D20"/>
    <w:rsid w:val="00CC7D91"/>
    <w:rsid w:val="00CD0142"/>
    <w:rsid w:val="00CD03BF"/>
    <w:rsid w:val="00CD04B4"/>
    <w:rsid w:val="00CD1B2C"/>
    <w:rsid w:val="00CD1B88"/>
    <w:rsid w:val="00CD1EB6"/>
    <w:rsid w:val="00CD20E2"/>
    <w:rsid w:val="00CD2A53"/>
    <w:rsid w:val="00CD376C"/>
    <w:rsid w:val="00CD383C"/>
    <w:rsid w:val="00CD4A85"/>
    <w:rsid w:val="00CD5275"/>
    <w:rsid w:val="00CD52E7"/>
    <w:rsid w:val="00CD5D99"/>
    <w:rsid w:val="00CD6464"/>
    <w:rsid w:val="00CD70D9"/>
    <w:rsid w:val="00CD71EC"/>
    <w:rsid w:val="00CD755C"/>
    <w:rsid w:val="00CE064C"/>
    <w:rsid w:val="00CE0ADA"/>
    <w:rsid w:val="00CE0F28"/>
    <w:rsid w:val="00CE1986"/>
    <w:rsid w:val="00CE1BD2"/>
    <w:rsid w:val="00CE21BE"/>
    <w:rsid w:val="00CE24E4"/>
    <w:rsid w:val="00CE28E4"/>
    <w:rsid w:val="00CE37F5"/>
    <w:rsid w:val="00CE3C14"/>
    <w:rsid w:val="00CE4726"/>
    <w:rsid w:val="00CE4A53"/>
    <w:rsid w:val="00CE5671"/>
    <w:rsid w:val="00CE680F"/>
    <w:rsid w:val="00CE71FD"/>
    <w:rsid w:val="00CE75C5"/>
    <w:rsid w:val="00CE7876"/>
    <w:rsid w:val="00CE7BCC"/>
    <w:rsid w:val="00CF301B"/>
    <w:rsid w:val="00CF3FC9"/>
    <w:rsid w:val="00CF46C2"/>
    <w:rsid w:val="00CF5D72"/>
    <w:rsid w:val="00CF65E4"/>
    <w:rsid w:val="00CF71BE"/>
    <w:rsid w:val="00CF7356"/>
    <w:rsid w:val="00CF79FD"/>
    <w:rsid w:val="00CF7FA5"/>
    <w:rsid w:val="00CF7FCC"/>
    <w:rsid w:val="00D002C1"/>
    <w:rsid w:val="00D002DF"/>
    <w:rsid w:val="00D00720"/>
    <w:rsid w:val="00D00D65"/>
    <w:rsid w:val="00D00E6F"/>
    <w:rsid w:val="00D01406"/>
    <w:rsid w:val="00D0173B"/>
    <w:rsid w:val="00D01E5E"/>
    <w:rsid w:val="00D028BF"/>
    <w:rsid w:val="00D02FCE"/>
    <w:rsid w:val="00D0492A"/>
    <w:rsid w:val="00D04EBE"/>
    <w:rsid w:val="00D05304"/>
    <w:rsid w:val="00D05A95"/>
    <w:rsid w:val="00D069A3"/>
    <w:rsid w:val="00D06BB7"/>
    <w:rsid w:val="00D06FA8"/>
    <w:rsid w:val="00D070B4"/>
    <w:rsid w:val="00D07975"/>
    <w:rsid w:val="00D07C02"/>
    <w:rsid w:val="00D10124"/>
    <w:rsid w:val="00D1037F"/>
    <w:rsid w:val="00D14ED4"/>
    <w:rsid w:val="00D157C0"/>
    <w:rsid w:val="00D17857"/>
    <w:rsid w:val="00D2027A"/>
    <w:rsid w:val="00D2028D"/>
    <w:rsid w:val="00D202FD"/>
    <w:rsid w:val="00D22ABD"/>
    <w:rsid w:val="00D23161"/>
    <w:rsid w:val="00D2518C"/>
    <w:rsid w:val="00D26853"/>
    <w:rsid w:val="00D26D8B"/>
    <w:rsid w:val="00D27C91"/>
    <w:rsid w:val="00D30174"/>
    <w:rsid w:val="00D303B5"/>
    <w:rsid w:val="00D31453"/>
    <w:rsid w:val="00D3186C"/>
    <w:rsid w:val="00D31D23"/>
    <w:rsid w:val="00D32516"/>
    <w:rsid w:val="00D3289C"/>
    <w:rsid w:val="00D32B6F"/>
    <w:rsid w:val="00D332EE"/>
    <w:rsid w:val="00D33A33"/>
    <w:rsid w:val="00D3407B"/>
    <w:rsid w:val="00D35033"/>
    <w:rsid w:val="00D35BE2"/>
    <w:rsid w:val="00D35D7A"/>
    <w:rsid w:val="00D35E09"/>
    <w:rsid w:val="00D40087"/>
    <w:rsid w:val="00D40AF3"/>
    <w:rsid w:val="00D40C86"/>
    <w:rsid w:val="00D42028"/>
    <w:rsid w:val="00D42D5E"/>
    <w:rsid w:val="00D43EBB"/>
    <w:rsid w:val="00D440C2"/>
    <w:rsid w:val="00D4443C"/>
    <w:rsid w:val="00D4448A"/>
    <w:rsid w:val="00D4620D"/>
    <w:rsid w:val="00D465A6"/>
    <w:rsid w:val="00D46653"/>
    <w:rsid w:val="00D46859"/>
    <w:rsid w:val="00D46CA2"/>
    <w:rsid w:val="00D47636"/>
    <w:rsid w:val="00D476F1"/>
    <w:rsid w:val="00D47759"/>
    <w:rsid w:val="00D47F09"/>
    <w:rsid w:val="00D501B3"/>
    <w:rsid w:val="00D502B8"/>
    <w:rsid w:val="00D503A0"/>
    <w:rsid w:val="00D5053F"/>
    <w:rsid w:val="00D50590"/>
    <w:rsid w:val="00D5086F"/>
    <w:rsid w:val="00D50F11"/>
    <w:rsid w:val="00D51BA1"/>
    <w:rsid w:val="00D51E1D"/>
    <w:rsid w:val="00D51E80"/>
    <w:rsid w:val="00D51F1D"/>
    <w:rsid w:val="00D521A7"/>
    <w:rsid w:val="00D5396B"/>
    <w:rsid w:val="00D54551"/>
    <w:rsid w:val="00D54BFA"/>
    <w:rsid w:val="00D55CC4"/>
    <w:rsid w:val="00D56F51"/>
    <w:rsid w:val="00D57076"/>
    <w:rsid w:val="00D571A0"/>
    <w:rsid w:val="00D5766A"/>
    <w:rsid w:val="00D579E7"/>
    <w:rsid w:val="00D57BE5"/>
    <w:rsid w:val="00D57DAE"/>
    <w:rsid w:val="00D60F4E"/>
    <w:rsid w:val="00D6144A"/>
    <w:rsid w:val="00D61550"/>
    <w:rsid w:val="00D618DB"/>
    <w:rsid w:val="00D62263"/>
    <w:rsid w:val="00D62405"/>
    <w:rsid w:val="00D63B7D"/>
    <w:rsid w:val="00D641F0"/>
    <w:rsid w:val="00D64804"/>
    <w:rsid w:val="00D64BCB"/>
    <w:rsid w:val="00D64E36"/>
    <w:rsid w:val="00D6515B"/>
    <w:rsid w:val="00D651EB"/>
    <w:rsid w:val="00D65326"/>
    <w:rsid w:val="00D65C39"/>
    <w:rsid w:val="00D65EE9"/>
    <w:rsid w:val="00D664F7"/>
    <w:rsid w:val="00D66AED"/>
    <w:rsid w:val="00D66F2C"/>
    <w:rsid w:val="00D6711C"/>
    <w:rsid w:val="00D6712E"/>
    <w:rsid w:val="00D67863"/>
    <w:rsid w:val="00D67A6C"/>
    <w:rsid w:val="00D708D4"/>
    <w:rsid w:val="00D7095C"/>
    <w:rsid w:val="00D70D70"/>
    <w:rsid w:val="00D71163"/>
    <w:rsid w:val="00D711C3"/>
    <w:rsid w:val="00D71E3C"/>
    <w:rsid w:val="00D71EE7"/>
    <w:rsid w:val="00D742DF"/>
    <w:rsid w:val="00D743B9"/>
    <w:rsid w:val="00D74A83"/>
    <w:rsid w:val="00D74A8F"/>
    <w:rsid w:val="00D7578C"/>
    <w:rsid w:val="00D75D39"/>
    <w:rsid w:val="00D76DF9"/>
    <w:rsid w:val="00D76E76"/>
    <w:rsid w:val="00D8016F"/>
    <w:rsid w:val="00D804FA"/>
    <w:rsid w:val="00D80FA3"/>
    <w:rsid w:val="00D818A1"/>
    <w:rsid w:val="00D81FC1"/>
    <w:rsid w:val="00D82D36"/>
    <w:rsid w:val="00D83E58"/>
    <w:rsid w:val="00D84AC5"/>
    <w:rsid w:val="00D85188"/>
    <w:rsid w:val="00D86C67"/>
    <w:rsid w:val="00D87D83"/>
    <w:rsid w:val="00D90199"/>
    <w:rsid w:val="00D905F2"/>
    <w:rsid w:val="00D90824"/>
    <w:rsid w:val="00D90D12"/>
    <w:rsid w:val="00D923AD"/>
    <w:rsid w:val="00D939F0"/>
    <w:rsid w:val="00D954B8"/>
    <w:rsid w:val="00D955A2"/>
    <w:rsid w:val="00D95B1F"/>
    <w:rsid w:val="00D96113"/>
    <w:rsid w:val="00D97AAF"/>
    <w:rsid w:val="00DA2336"/>
    <w:rsid w:val="00DA2343"/>
    <w:rsid w:val="00DA2449"/>
    <w:rsid w:val="00DA378C"/>
    <w:rsid w:val="00DA42B2"/>
    <w:rsid w:val="00DA4326"/>
    <w:rsid w:val="00DA4598"/>
    <w:rsid w:val="00DA544C"/>
    <w:rsid w:val="00DA5A95"/>
    <w:rsid w:val="00DA6CE3"/>
    <w:rsid w:val="00DA7E84"/>
    <w:rsid w:val="00DB04DC"/>
    <w:rsid w:val="00DB13E2"/>
    <w:rsid w:val="00DB1BC5"/>
    <w:rsid w:val="00DB2B74"/>
    <w:rsid w:val="00DB2F57"/>
    <w:rsid w:val="00DB305F"/>
    <w:rsid w:val="00DB44D7"/>
    <w:rsid w:val="00DB4759"/>
    <w:rsid w:val="00DB484D"/>
    <w:rsid w:val="00DB4FA4"/>
    <w:rsid w:val="00DB65F3"/>
    <w:rsid w:val="00DB6C4A"/>
    <w:rsid w:val="00DB75CB"/>
    <w:rsid w:val="00DB7D08"/>
    <w:rsid w:val="00DC1852"/>
    <w:rsid w:val="00DC2FCB"/>
    <w:rsid w:val="00DC382B"/>
    <w:rsid w:val="00DC3CB5"/>
    <w:rsid w:val="00DC47B5"/>
    <w:rsid w:val="00DC4EAB"/>
    <w:rsid w:val="00DC5E67"/>
    <w:rsid w:val="00DC5EEC"/>
    <w:rsid w:val="00DC6252"/>
    <w:rsid w:val="00DC62D9"/>
    <w:rsid w:val="00DC6739"/>
    <w:rsid w:val="00DC799B"/>
    <w:rsid w:val="00DC7F41"/>
    <w:rsid w:val="00DD152F"/>
    <w:rsid w:val="00DD19DB"/>
    <w:rsid w:val="00DD1C3C"/>
    <w:rsid w:val="00DD2AA3"/>
    <w:rsid w:val="00DD2ED8"/>
    <w:rsid w:val="00DD34C8"/>
    <w:rsid w:val="00DD3536"/>
    <w:rsid w:val="00DD35C8"/>
    <w:rsid w:val="00DD55F4"/>
    <w:rsid w:val="00DD6860"/>
    <w:rsid w:val="00DD6C84"/>
    <w:rsid w:val="00DD6DCD"/>
    <w:rsid w:val="00DD6F9F"/>
    <w:rsid w:val="00DD7A05"/>
    <w:rsid w:val="00DD7C32"/>
    <w:rsid w:val="00DE01CC"/>
    <w:rsid w:val="00DE0204"/>
    <w:rsid w:val="00DE0691"/>
    <w:rsid w:val="00DE07EB"/>
    <w:rsid w:val="00DE1C3B"/>
    <w:rsid w:val="00DE22DA"/>
    <w:rsid w:val="00DE23ED"/>
    <w:rsid w:val="00DE2BFC"/>
    <w:rsid w:val="00DE3971"/>
    <w:rsid w:val="00DE3CCC"/>
    <w:rsid w:val="00DE43D1"/>
    <w:rsid w:val="00DE4C5E"/>
    <w:rsid w:val="00DE4EB5"/>
    <w:rsid w:val="00DE4FCC"/>
    <w:rsid w:val="00DE58F7"/>
    <w:rsid w:val="00DE6D55"/>
    <w:rsid w:val="00DF0D93"/>
    <w:rsid w:val="00DF101A"/>
    <w:rsid w:val="00DF2CF4"/>
    <w:rsid w:val="00DF477A"/>
    <w:rsid w:val="00DF4C40"/>
    <w:rsid w:val="00DF527D"/>
    <w:rsid w:val="00DF5529"/>
    <w:rsid w:val="00DF5644"/>
    <w:rsid w:val="00DF61FB"/>
    <w:rsid w:val="00DF6403"/>
    <w:rsid w:val="00DF6983"/>
    <w:rsid w:val="00DF6E28"/>
    <w:rsid w:val="00DF7485"/>
    <w:rsid w:val="00DF7748"/>
    <w:rsid w:val="00E00841"/>
    <w:rsid w:val="00E024EB"/>
    <w:rsid w:val="00E02D9D"/>
    <w:rsid w:val="00E03680"/>
    <w:rsid w:val="00E039BC"/>
    <w:rsid w:val="00E03AA9"/>
    <w:rsid w:val="00E045AC"/>
    <w:rsid w:val="00E04688"/>
    <w:rsid w:val="00E04DB2"/>
    <w:rsid w:val="00E04EC2"/>
    <w:rsid w:val="00E054E0"/>
    <w:rsid w:val="00E05731"/>
    <w:rsid w:val="00E05FA1"/>
    <w:rsid w:val="00E068E6"/>
    <w:rsid w:val="00E06CA7"/>
    <w:rsid w:val="00E06DD1"/>
    <w:rsid w:val="00E06E87"/>
    <w:rsid w:val="00E072F3"/>
    <w:rsid w:val="00E0733F"/>
    <w:rsid w:val="00E10CEF"/>
    <w:rsid w:val="00E114C6"/>
    <w:rsid w:val="00E12310"/>
    <w:rsid w:val="00E130EA"/>
    <w:rsid w:val="00E139A5"/>
    <w:rsid w:val="00E13F4A"/>
    <w:rsid w:val="00E13FE1"/>
    <w:rsid w:val="00E1455D"/>
    <w:rsid w:val="00E149A0"/>
    <w:rsid w:val="00E15161"/>
    <w:rsid w:val="00E168EF"/>
    <w:rsid w:val="00E20D7C"/>
    <w:rsid w:val="00E22593"/>
    <w:rsid w:val="00E22641"/>
    <w:rsid w:val="00E22975"/>
    <w:rsid w:val="00E24318"/>
    <w:rsid w:val="00E24B92"/>
    <w:rsid w:val="00E24BC8"/>
    <w:rsid w:val="00E268CA"/>
    <w:rsid w:val="00E26CE7"/>
    <w:rsid w:val="00E27620"/>
    <w:rsid w:val="00E27EEC"/>
    <w:rsid w:val="00E3032C"/>
    <w:rsid w:val="00E306F0"/>
    <w:rsid w:val="00E3075C"/>
    <w:rsid w:val="00E30C7B"/>
    <w:rsid w:val="00E31417"/>
    <w:rsid w:val="00E31FB5"/>
    <w:rsid w:val="00E32B2A"/>
    <w:rsid w:val="00E33352"/>
    <w:rsid w:val="00E33926"/>
    <w:rsid w:val="00E33AE1"/>
    <w:rsid w:val="00E34F83"/>
    <w:rsid w:val="00E354A9"/>
    <w:rsid w:val="00E35769"/>
    <w:rsid w:val="00E35DBC"/>
    <w:rsid w:val="00E3674F"/>
    <w:rsid w:val="00E37742"/>
    <w:rsid w:val="00E40726"/>
    <w:rsid w:val="00E40BCE"/>
    <w:rsid w:val="00E40E72"/>
    <w:rsid w:val="00E42CC4"/>
    <w:rsid w:val="00E42D18"/>
    <w:rsid w:val="00E4422F"/>
    <w:rsid w:val="00E447EB"/>
    <w:rsid w:val="00E44827"/>
    <w:rsid w:val="00E4529D"/>
    <w:rsid w:val="00E461DF"/>
    <w:rsid w:val="00E46C5B"/>
    <w:rsid w:val="00E472F4"/>
    <w:rsid w:val="00E5092F"/>
    <w:rsid w:val="00E50EC3"/>
    <w:rsid w:val="00E50F53"/>
    <w:rsid w:val="00E51002"/>
    <w:rsid w:val="00E51B31"/>
    <w:rsid w:val="00E51DBD"/>
    <w:rsid w:val="00E51E43"/>
    <w:rsid w:val="00E5276F"/>
    <w:rsid w:val="00E52AAD"/>
    <w:rsid w:val="00E52DCE"/>
    <w:rsid w:val="00E52F2B"/>
    <w:rsid w:val="00E53A4B"/>
    <w:rsid w:val="00E53AF3"/>
    <w:rsid w:val="00E54D8A"/>
    <w:rsid w:val="00E55228"/>
    <w:rsid w:val="00E56065"/>
    <w:rsid w:val="00E56B06"/>
    <w:rsid w:val="00E578F9"/>
    <w:rsid w:val="00E57C52"/>
    <w:rsid w:val="00E600F3"/>
    <w:rsid w:val="00E60261"/>
    <w:rsid w:val="00E61521"/>
    <w:rsid w:val="00E6218D"/>
    <w:rsid w:val="00E6252B"/>
    <w:rsid w:val="00E631FC"/>
    <w:rsid w:val="00E635E9"/>
    <w:rsid w:val="00E640CB"/>
    <w:rsid w:val="00E6417A"/>
    <w:rsid w:val="00E650F6"/>
    <w:rsid w:val="00E659EC"/>
    <w:rsid w:val="00E65F75"/>
    <w:rsid w:val="00E664C3"/>
    <w:rsid w:val="00E672E9"/>
    <w:rsid w:val="00E67B0A"/>
    <w:rsid w:val="00E706AE"/>
    <w:rsid w:val="00E709FA"/>
    <w:rsid w:val="00E70D49"/>
    <w:rsid w:val="00E7216B"/>
    <w:rsid w:val="00E725A9"/>
    <w:rsid w:val="00E7269F"/>
    <w:rsid w:val="00E7304F"/>
    <w:rsid w:val="00E73685"/>
    <w:rsid w:val="00E73CC4"/>
    <w:rsid w:val="00E74C95"/>
    <w:rsid w:val="00E75407"/>
    <w:rsid w:val="00E75697"/>
    <w:rsid w:val="00E75DF5"/>
    <w:rsid w:val="00E76260"/>
    <w:rsid w:val="00E77E17"/>
    <w:rsid w:val="00E80317"/>
    <w:rsid w:val="00E81575"/>
    <w:rsid w:val="00E820F5"/>
    <w:rsid w:val="00E8219B"/>
    <w:rsid w:val="00E82490"/>
    <w:rsid w:val="00E82F1F"/>
    <w:rsid w:val="00E831D9"/>
    <w:rsid w:val="00E83948"/>
    <w:rsid w:val="00E843C2"/>
    <w:rsid w:val="00E85009"/>
    <w:rsid w:val="00E866DC"/>
    <w:rsid w:val="00E8799C"/>
    <w:rsid w:val="00E879DE"/>
    <w:rsid w:val="00E901CE"/>
    <w:rsid w:val="00E91139"/>
    <w:rsid w:val="00E91213"/>
    <w:rsid w:val="00E919A7"/>
    <w:rsid w:val="00E91DEF"/>
    <w:rsid w:val="00E91E4B"/>
    <w:rsid w:val="00E92AB7"/>
    <w:rsid w:val="00E92CE9"/>
    <w:rsid w:val="00E92FE9"/>
    <w:rsid w:val="00E940A7"/>
    <w:rsid w:val="00E94514"/>
    <w:rsid w:val="00E94EE3"/>
    <w:rsid w:val="00E962F7"/>
    <w:rsid w:val="00E96471"/>
    <w:rsid w:val="00E96771"/>
    <w:rsid w:val="00E96A0D"/>
    <w:rsid w:val="00E97062"/>
    <w:rsid w:val="00E9749C"/>
    <w:rsid w:val="00EA2A84"/>
    <w:rsid w:val="00EA329D"/>
    <w:rsid w:val="00EA32F3"/>
    <w:rsid w:val="00EA3729"/>
    <w:rsid w:val="00EA376C"/>
    <w:rsid w:val="00EA4265"/>
    <w:rsid w:val="00EA43CB"/>
    <w:rsid w:val="00EA4D88"/>
    <w:rsid w:val="00EA6144"/>
    <w:rsid w:val="00EA66FD"/>
    <w:rsid w:val="00EA6746"/>
    <w:rsid w:val="00EA67F1"/>
    <w:rsid w:val="00EA69FF"/>
    <w:rsid w:val="00EA6B1B"/>
    <w:rsid w:val="00EA76A5"/>
    <w:rsid w:val="00EA7DE4"/>
    <w:rsid w:val="00EB082E"/>
    <w:rsid w:val="00EB1EA9"/>
    <w:rsid w:val="00EB25DF"/>
    <w:rsid w:val="00EB266D"/>
    <w:rsid w:val="00EB33A9"/>
    <w:rsid w:val="00EB3C41"/>
    <w:rsid w:val="00EB484D"/>
    <w:rsid w:val="00EB4E39"/>
    <w:rsid w:val="00EB5212"/>
    <w:rsid w:val="00EB5D12"/>
    <w:rsid w:val="00EB5E0D"/>
    <w:rsid w:val="00EB7DBC"/>
    <w:rsid w:val="00EC0521"/>
    <w:rsid w:val="00EC071E"/>
    <w:rsid w:val="00EC1293"/>
    <w:rsid w:val="00EC1DC2"/>
    <w:rsid w:val="00EC1FBB"/>
    <w:rsid w:val="00EC2B95"/>
    <w:rsid w:val="00EC3678"/>
    <w:rsid w:val="00EC3EC3"/>
    <w:rsid w:val="00EC6596"/>
    <w:rsid w:val="00EC6AD3"/>
    <w:rsid w:val="00EC7966"/>
    <w:rsid w:val="00ED03DC"/>
    <w:rsid w:val="00ED041D"/>
    <w:rsid w:val="00ED04E9"/>
    <w:rsid w:val="00ED0773"/>
    <w:rsid w:val="00ED113D"/>
    <w:rsid w:val="00ED330A"/>
    <w:rsid w:val="00ED366F"/>
    <w:rsid w:val="00ED3C04"/>
    <w:rsid w:val="00ED3DB2"/>
    <w:rsid w:val="00ED3E11"/>
    <w:rsid w:val="00ED43F1"/>
    <w:rsid w:val="00ED4FFE"/>
    <w:rsid w:val="00ED5E85"/>
    <w:rsid w:val="00ED64BC"/>
    <w:rsid w:val="00ED7924"/>
    <w:rsid w:val="00EE03D6"/>
    <w:rsid w:val="00EE054C"/>
    <w:rsid w:val="00EE0779"/>
    <w:rsid w:val="00EE0933"/>
    <w:rsid w:val="00EE10E7"/>
    <w:rsid w:val="00EE1FD5"/>
    <w:rsid w:val="00EE228A"/>
    <w:rsid w:val="00EE32F3"/>
    <w:rsid w:val="00EE37FD"/>
    <w:rsid w:val="00EE3F79"/>
    <w:rsid w:val="00EE4085"/>
    <w:rsid w:val="00EE4CE3"/>
    <w:rsid w:val="00EE4D4E"/>
    <w:rsid w:val="00EE5310"/>
    <w:rsid w:val="00EE5328"/>
    <w:rsid w:val="00EE5924"/>
    <w:rsid w:val="00EE6846"/>
    <w:rsid w:val="00EE6A08"/>
    <w:rsid w:val="00EE6F7F"/>
    <w:rsid w:val="00EF0E18"/>
    <w:rsid w:val="00EF1D16"/>
    <w:rsid w:val="00EF1F28"/>
    <w:rsid w:val="00EF2445"/>
    <w:rsid w:val="00EF27F9"/>
    <w:rsid w:val="00EF3009"/>
    <w:rsid w:val="00EF3498"/>
    <w:rsid w:val="00EF39BE"/>
    <w:rsid w:val="00EF4C6D"/>
    <w:rsid w:val="00EF4FB5"/>
    <w:rsid w:val="00EF5153"/>
    <w:rsid w:val="00EF51EC"/>
    <w:rsid w:val="00EF5613"/>
    <w:rsid w:val="00EF5B57"/>
    <w:rsid w:val="00EF665C"/>
    <w:rsid w:val="00EF685A"/>
    <w:rsid w:val="00F005A2"/>
    <w:rsid w:val="00F00648"/>
    <w:rsid w:val="00F00BDA"/>
    <w:rsid w:val="00F0160F"/>
    <w:rsid w:val="00F016A9"/>
    <w:rsid w:val="00F01C97"/>
    <w:rsid w:val="00F01FC7"/>
    <w:rsid w:val="00F026BC"/>
    <w:rsid w:val="00F03543"/>
    <w:rsid w:val="00F03ACF"/>
    <w:rsid w:val="00F055FC"/>
    <w:rsid w:val="00F05B0A"/>
    <w:rsid w:val="00F06E67"/>
    <w:rsid w:val="00F07297"/>
    <w:rsid w:val="00F10742"/>
    <w:rsid w:val="00F10FA1"/>
    <w:rsid w:val="00F11286"/>
    <w:rsid w:val="00F11553"/>
    <w:rsid w:val="00F11832"/>
    <w:rsid w:val="00F11855"/>
    <w:rsid w:val="00F11D60"/>
    <w:rsid w:val="00F12A4C"/>
    <w:rsid w:val="00F1318F"/>
    <w:rsid w:val="00F13683"/>
    <w:rsid w:val="00F1452E"/>
    <w:rsid w:val="00F14B07"/>
    <w:rsid w:val="00F15B77"/>
    <w:rsid w:val="00F15EAE"/>
    <w:rsid w:val="00F162A5"/>
    <w:rsid w:val="00F16AC7"/>
    <w:rsid w:val="00F1710E"/>
    <w:rsid w:val="00F172FC"/>
    <w:rsid w:val="00F17647"/>
    <w:rsid w:val="00F1781C"/>
    <w:rsid w:val="00F20016"/>
    <w:rsid w:val="00F217B4"/>
    <w:rsid w:val="00F21A1E"/>
    <w:rsid w:val="00F21D50"/>
    <w:rsid w:val="00F23D80"/>
    <w:rsid w:val="00F26AC9"/>
    <w:rsid w:val="00F2742A"/>
    <w:rsid w:val="00F302CF"/>
    <w:rsid w:val="00F30722"/>
    <w:rsid w:val="00F30D18"/>
    <w:rsid w:val="00F31411"/>
    <w:rsid w:val="00F3159A"/>
    <w:rsid w:val="00F31B38"/>
    <w:rsid w:val="00F31F18"/>
    <w:rsid w:val="00F325FB"/>
    <w:rsid w:val="00F327A4"/>
    <w:rsid w:val="00F33EFF"/>
    <w:rsid w:val="00F344D2"/>
    <w:rsid w:val="00F368A4"/>
    <w:rsid w:val="00F36F7D"/>
    <w:rsid w:val="00F370FC"/>
    <w:rsid w:val="00F37123"/>
    <w:rsid w:val="00F37C9B"/>
    <w:rsid w:val="00F404C2"/>
    <w:rsid w:val="00F4052E"/>
    <w:rsid w:val="00F40BC7"/>
    <w:rsid w:val="00F4157E"/>
    <w:rsid w:val="00F4198E"/>
    <w:rsid w:val="00F42D9A"/>
    <w:rsid w:val="00F45153"/>
    <w:rsid w:val="00F4769B"/>
    <w:rsid w:val="00F47BBB"/>
    <w:rsid w:val="00F501CC"/>
    <w:rsid w:val="00F50D87"/>
    <w:rsid w:val="00F52084"/>
    <w:rsid w:val="00F520FA"/>
    <w:rsid w:val="00F52A5B"/>
    <w:rsid w:val="00F539CF"/>
    <w:rsid w:val="00F53E06"/>
    <w:rsid w:val="00F545C9"/>
    <w:rsid w:val="00F54946"/>
    <w:rsid w:val="00F55B85"/>
    <w:rsid w:val="00F55DF8"/>
    <w:rsid w:val="00F56019"/>
    <w:rsid w:val="00F565CC"/>
    <w:rsid w:val="00F56CD2"/>
    <w:rsid w:val="00F56EC5"/>
    <w:rsid w:val="00F61409"/>
    <w:rsid w:val="00F6154A"/>
    <w:rsid w:val="00F61CF5"/>
    <w:rsid w:val="00F63161"/>
    <w:rsid w:val="00F63479"/>
    <w:rsid w:val="00F646B7"/>
    <w:rsid w:val="00F649D5"/>
    <w:rsid w:val="00F65089"/>
    <w:rsid w:val="00F652B3"/>
    <w:rsid w:val="00F65A7C"/>
    <w:rsid w:val="00F65FFC"/>
    <w:rsid w:val="00F66DCC"/>
    <w:rsid w:val="00F671AA"/>
    <w:rsid w:val="00F676F7"/>
    <w:rsid w:val="00F701EF"/>
    <w:rsid w:val="00F70E57"/>
    <w:rsid w:val="00F7183E"/>
    <w:rsid w:val="00F71D23"/>
    <w:rsid w:val="00F72B0A"/>
    <w:rsid w:val="00F72C9A"/>
    <w:rsid w:val="00F731BC"/>
    <w:rsid w:val="00F73839"/>
    <w:rsid w:val="00F74934"/>
    <w:rsid w:val="00F74B1E"/>
    <w:rsid w:val="00F74B28"/>
    <w:rsid w:val="00F74EF9"/>
    <w:rsid w:val="00F75183"/>
    <w:rsid w:val="00F75244"/>
    <w:rsid w:val="00F76424"/>
    <w:rsid w:val="00F769E5"/>
    <w:rsid w:val="00F773F0"/>
    <w:rsid w:val="00F77551"/>
    <w:rsid w:val="00F80615"/>
    <w:rsid w:val="00F806E9"/>
    <w:rsid w:val="00F81837"/>
    <w:rsid w:val="00F81CBD"/>
    <w:rsid w:val="00F82500"/>
    <w:rsid w:val="00F83421"/>
    <w:rsid w:val="00F8490A"/>
    <w:rsid w:val="00F84FB8"/>
    <w:rsid w:val="00F8560F"/>
    <w:rsid w:val="00F856A8"/>
    <w:rsid w:val="00F85842"/>
    <w:rsid w:val="00F87252"/>
    <w:rsid w:val="00F9233C"/>
    <w:rsid w:val="00F92D3E"/>
    <w:rsid w:val="00F93319"/>
    <w:rsid w:val="00F93CDD"/>
    <w:rsid w:val="00F9416D"/>
    <w:rsid w:val="00F94900"/>
    <w:rsid w:val="00F96473"/>
    <w:rsid w:val="00F966D5"/>
    <w:rsid w:val="00F975C0"/>
    <w:rsid w:val="00F97E7A"/>
    <w:rsid w:val="00F97F84"/>
    <w:rsid w:val="00FA069C"/>
    <w:rsid w:val="00FA0CD1"/>
    <w:rsid w:val="00FA1A8F"/>
    <w:rsid w:val="00FA1BAE"/>
    <w:rsid w:val="00FA1D94"/>
    <w:rsid w:val="00FA33B3"/>
    <w:rsid w:val="00FA3763"/>
    <w:rsid w:val="00FA3DFD"/>
    <w:rsid w:val="00FA43DE"/>
    <w:rsid w:val="00FA4CE0"/>
    <w:rsid w:val="00FA4CF1"/>
    <w:rsid w:val="00FA4EE6"/>
    <w:rsid w:val="00FA5316"/>
    <w:rsid w:val="00FA55B3"/>
    <w:rsid w:val="00FA5945"/>
    <w:rsid w:val="00FA5C89"/>
    <w:rsid w:val="00FA5EB6"/>
    <w:rsid w:val="00FA73DC"/>
    <w:rsid w:val="00FA7B4E"/>
    <w:rsid w:val="00FB1BA5"/>
    <w:rsid w:val="00FB1E00"/>
    <w:rsid w:val="00FB1E53"/>
    <w:rsid w:val="00FB2595"/>
    <w:rsid w:val="00FB4234"/>
    <w:rsid w:val="00FB4C44"/>
    <w:rsid w:val="00FB504E"/>
    <w:rsid w:val="00FB61A9"/>
    <w:rsid w:val="00FB76CA"/>
    <w:rsid w:val="00FB7DBE"/>
    <w:rsid w:val="00FC0713"/>
    <w:rsid w:val="00FC1276"/>
    <w:rsid w:val="00FC1FA8"/>
    <w:rsid w:val="00FC206B"/>
    <w:rsid w:val="00FC263B"/>
    <w:rsid w:val="00FC33D4"/>
    <w:rsid w:val="00FC3FE2"/>
    <w:rsid w:val="00FC43A1"/>
    <w:rsid w:val="00FC4613"/>
    <w:rsid w:val="00FC4E76"/>
    <w:rsid w:val="00FC503C"/>
    <w:rsid w:val="00FC6094"/>
    <w:rsid w:val="00FC6B9A"/>
    <w:rsid w:val="00FC6E08"/>
    <w:rsid w:val="00FC7939"/>
    <w:rsid w:val="00FC79C6"/>
    <w:rsid w:val="00FC7B50"/>
    <w:rsid w:val="00FC7CAB"/>
    <w:rsid w:val="00FD089E"/>
    <w:rsid w:val="00FD0944"/>
    <w:rsid w:val="00FD0CE4"/>
    <w:rsid w:val="00FD0F43"/>
    <w:rsid w:val="00FD1346"/>
    <w:rsid w:val="00FD1613"/>
    <w:rsid w:val="00FD1D16"/>
    <w:rsid w:val="00FD20F1"/>
    <w:rsid w:val="00FD262C"/>
    <w:rsid w:val="00FD283F"/>
    <w:rsid w:val="00FD2F99"/>
    <w:rsid w:val="00FD36D4"/>
    <w:rsid w:val="00FD38B9"/>
    <w:rsid w:val="00FD45F7"/>
    <w:rsid w:val="00FD544E"/>
    <w:rsid w:val="00FD609B"/>
    <w:rsid w:val="00FD64BF"/>
    <w:rsid w:val="00FD75AA"/>
    <w:rsid w:val="00FD7954"/>
    <w:rsid w:val="00FD797E"/>
    <w:rsid w:val="00FD7D18"/>
    <w:rsid w:val="00FD7F54"/>
    <w:rsid w:val="00FE027E"/>
    <w:rsid w:val="00FE05A5"/>
    <w:rsid w:val="00FE0C0D"/>
    <w:rsid w:val="00FE0FCF"/>
    <w:rsid w:val="00FE1D99"/>
    <w:rsid w:val="00FE1F56"/>
    <w:rsid w:val="00FE28C9"/>
    <w:rsid w:val="00FE3E3D"/>
    <w:rsid w:val="00FE3E5E"/>
    <w:rsid w:val="00FE407A"/>
    <w:rsid w:val="00FE40F9"/>
    <w:rsid w:val="00FE585C"/>
    <w:rsid w:val="00FE586E"/>
    <w:rsid w:val="00FE5A30"/>
    <w:rsid w:val="00FE6C0D"/>
    <w:rsid w:val="00FE6E8B"/>
    <w:rsid w:val="00FE78F8"/>
    <w:rsid w:val="00FE7C54"/>
    <w:rsid w:val="00FF06E8"/>
    <w:rsid w:val="00FF0C39"/>
    <w:rsid w:val="00FF0FB3"/>
    <w:rsid w:val="00FF273F"/>
    <w:rsid w:val="00FF27B8"/>
    <w:rsid w:val="00FF29F1"/>
    <w:rsid w:val="00FF2AC0"/>
    <w:rsid w:val="00FF2DF5"/>
    <w:rsid w:val="00FF4268"/>
    <w:rsid w:val="00FF48CD"/>
    <w:rsid w:val="00FF49FE"/>
    <w:rsid w:val="00FF4B76"/>
    <w:rsid w:val="00FF504F"/>
    <w:rsid w:val="00FF6061"/>
    <w:rsid w:val="00FF60FB"/>
    <w:rsid w:val="00FF620E"/>
    <w:rsid w:val="00FF62A2"/>
    <w:rsid w:val="00FF682D"/>
    <w:rsid w:val="00FF6C35"/>
    <w:rsid w:val="00FF6D91"/>
    <w:rsid w:val="00FF7313"/>
    <w:rsid w:val="01150185"/>
    <w:rsid w:val="01776277"/>
    <w:rsid w:val="01CA5CC8"/>
    <w:rsid w:val="01E92357"/>
    <w:rsid w:val="01E925F2"/>
    <w:rsid w:val="026B1259"/>
    <w:rsid w:val="026F7C8E"/>
    <w:rsid w:val="02DB0C49"/>
    <w:rsid w:val="03250BCA"/>
    <w:rsid w:val="032A7BAE"/>
    <w:rsid w:val="032F04D8"/>
    <w:rsid w:val="034E4F6B"/>
    <w:rsid w:val="0362464D"/>
    <w:rsid w:val="036B31AA"/>
    <w:rsid w:val="0374238F"/>
    <w:rsid w:val="03765438"/>
    <w:rsid w:val="03843986"/>
    <w:rsid w:val="03861BCD"/>
    <w:rsid w:val="03A34A22"/>
    <w:rsid w:val="03E427A1"/>
    <w:rsid w:val="040E7907"/>
    <w:rsid w:val="04185410"/>
    <w:rsid w:val="04223B99"/>
    <w:rsid w:val="04447FB3"/>
    <w:rsid w:val="047D48B1"/>
    <w:rsid w:val="04E71358"/>
    <w:rsid w:val="050460D1"/>
    <w:rsid w:val="053B0104"/>
    <w:rsid w:val="059C28C2"/>
    <w:rsid w:val="05AD1B88"/>
    <w:rsid w:val="05D730D5"/>
    <w:rsid w:val="05D763F5"/>
    <w:rsid w:val="05E67E1E"/>
    <w:rsid w:val="05F27A4D"/>
    <w:rsid w:val="061B4CB6"/>
    <w:rsid w:val="06354407"/>
    <w:rsid w:val="068B7FCC"/>
    <w:rsid w:val="06925998"/>
    <w:rsid w:val="074107DA"/>
    <w:rsid w:val="074455BF"/>
    <w:rsid w:val="078132CC"/>
    <w:rsid w:val="07844961"/>
    <w:rsid w:val="078F5200"/>
    <w:rsid w:val="08145EEF"/>
    <w:rsid w:val="081F4466"/>
    <w:rsid w:val="083E1FC3"/>
    <w:rsid w:val="08444A26"/>
    <w:rsid w:val="085602B5"/>
    <w:rsid w:val="08846E5A"/>
    <w:rsid w:val="08997EFF"/>
    <w:rsid w:val="08D7286F"/>
    <w:rsid w:val="08E2768F"/>
    <w:rsid w:val="08EB30F3"/>
    <w:rsid w:val="09047D11"/>
    <w:rsid w:val="09862E1C"/>
    <w:rsid w:val="09A06673"/>
    <w:rsid w:val="09BB5137"/>
    <w:rsid w:val="09D867FF"/>
    <w:rsid w:val="09DC19EA"/>
    <w:rsid w:val="0A0106F5"/>
    <w:rsid w:val="0A147606"/>
    <w:rsid w:val="0A2148F3"/>
    <w:rsid w:val="0A5C2A41"/>
    <w:rsid w:val="0B0E131B"/>
    <w:rsid w:val="0B114967"/>
    <w:rsid w:val="0B1A7CC0"/>
    <w:rsid w:val="0B2335DB"/>
    <w:rsid w:val="0BCB769A"/>
    <w:rsid w:val="0BCD088E"/>
    <w:rsid w:val="0C040A3E"/>
    <w:rsid w:val="0C0B13B7"/>
    <w:rsid w:val="0C364685"/>
    <w:rsid w:val="0C44103F"/>
    <w:rsid w:val="0C4A2C2F"/>
    <w:rsid w:val="0C7A49DA"/>
    <w:rsid w:val="0C9212F1"/>
    <w:rsid w:val="0CC40292"/>
    <w:rsid w:val="0D093B48"/>
    <w:rsid w:val="0D441024"/>
    <w:rsid w:val="0D7C5EB1"/>
    <w:rsid w:val="0DA3114A"/>
    <w:rsid w:val="0DDE3227"/>
    <w:rsid w:val="0E6A0CBB"/>
    <w:rsid w:val="0E8F2773"/>
    <w:rsid w:val="0EFD148A"/>
    <w:rsid w:val="0EFF0684"/>
    <w:rsid w:val="0F292DE5"/>
    <w:rsid w:val="0F6C1BB3"/>
    <w:rsid w:val="0F822F40"/>
    <w:rsid w:val="0FA32F0A"/>
    <w:rsid w:val="0FB75E77"/>
    <w:rsid w:val="0FFE370C"/>
    <w:rsid w:val="102F7663"/>
    <w:rsid w:val="10401F77"/>
    <w:rsid w:val="10463305"/>
    <w:rsid w:val="104830BE"/>
    <w:rsid w:val="108035A1"/>
    <w:rsid w:val="10C35735"/>
    <w:rsid w:val="10D870EA"/>
    <w:rsid w:val="114C52EE"/>
    <w:rsid w:val="1173688E"/>
    <w:rsid w:val="1196570D"/>
    <w:rsid w:val="121E6360"/>
    <w:rsid w:val="126179CF"/>
    <w:rsid w:val="127805F7"/>
    <w:rsid w:val="127D6363"/>
    <w:rsid w:val="12D26850"/>
    <w:rsid w:val="13833F28"/>
    <w:rsid w:val="138959E3"/>
    <w:rsid w:val="139D323C"/>
    <w:rsid w:val="13A415D0"/>
    <w:rsid w:val="13B912A1"/>
    <w:rsid w:val="13DD126C"/>
    <w:rsid w:val="13E40E6B"/>
    <w:rsid w:val="144F52CA"/>
    <w:rsid w:val="14812B5E"/>
    <w:rsid w:val="14996D33"/>
    <w:rsid w:val="14A423A8"/>
    <w:rsid w:val="14B6463B"/>
    <w:rsid w:val="14C81E83"/>
    <w:rsid w:val="153045E1"/>
    <w:rsid w:val="154716B1"/>
    <w:rsid w:val="15703A79"/>
    <w:rsid w:val="15867F6F"/>
    <w:rsid w:val="15AE3DB3"/>
    <w:rsid w:val="15D53161"/>
    <w:rsid w:val="1614790F"/>
    <w:rsid w:val="163559AE"/>
    <w:rsid w:val="16445FC0"/>
    <w:rsid w:val="16C25D4A"/>
    <w:rsid w:val="16C70D9B"/>
    <w:rsid w:val="16E63054"/>
    <w:rsid w:val="16ED6A7D"/>
    <w:rsid w:val="16FF24D7"/>
    <w:rsid w:val="173B43CD"/>
    <w:rsid w:val="17700BC2"/>
    <w:rsid w:val="179F7E7A"/>
    <w:rsid w:val="17A821AF"/>
    <w:rsid w:val="17CF3BE0"/>
    <w:rsid w:val="17D20A01"/>
    <w:rsid w:val="17DB3501"/>
    <w:rsid w:val="1809581D"/>
    <w:rsid w:val="18DF65DD"/>
    <w:rsid w:val="18E13ADF"/>
    <w:rsid w:val="18FD5B1B"/>
    <w:rsid w:val="199E207C"/>
    <w:rsid w:val="19C04C4E"/>
    <w:rsid w:val="1A956870"/>
    <w:rsid w:val="1AB21997"/>
    <w:rsid w:val="1AF31B1F"/>
    <w:rsid w:val="1B202616"/>
    <w:rsid w:val="1BA67AEA"/>
    <w:rsid w:val="1BB92BDD"/>
    <w:rsid w:val="1BC22D4C"/>
    <w:rsid w:val="1BE113B5"/>
    <w:rsid w:val="1BEC4D61"/>
    <w:rsid w:val="1C07350A"/>
    <w:rsid w:val="1C167AAF"/>
    <w:rsid w:val="1C3E1334"/>
    <w:rsid w:val="1C7134B8"/>
    <w:rsid w:val="1C9A47BD"/>
    <w:rsid w:val="1CDF782F"/>
    <w:rsid w:val="1D0D31E0"/>
    <w:rsid w:val="1D684198"/>
    <w:rsid w:val="1D807E56"/>
    <w:rsid w:val="1D916391"/>
    <w:rsid w:val="1D9E7A7E"/>
    <w:rsid w:val="1DB16262"/>
    <w:rsid w:val="1DDF068E"/>
    <w:rsid w:val="1DF22A04"/>
    <w:rsid w:val="1E0873C0"/>
    <w:rsid w:val="1E804B34"/>
    <w:rsid w:val="1EB51D82"/>
    <w:rsid w:val="1EBF64C4"/>
    <w:rsid w:val="1F073551"/>
    <w:rsid w:val="1F7D7218"/>
    <w:rsid w:val="20000E6B"/>
    <w:rsid w:val="203A32FA"/>
    <w:rsid w:val="20C861FA"/>
    <w:rsid w:val="20D4516F"/>
    <w:rsid w:val="20EC75B1"/>
    <w:rsid w:val="213D239E"/>
    <w:rsid w:val="21576BAB"/>
    <w:rsid w:val="216B2BCB"/>
    <w:rsid w:val="219739C1"/>
    <w:rsid w:val="221E19EC"/>
    <w:rsid w:val="2265761B"/>
    <w:rsid w:val="22993768"/>
    <w:rsid w:val="22F10EAE"/>
    <w:rsid w:val="23401371"/>
    <w:rsid w:val="23473530"/>
    <w:rsid w:val="2369138D"/>
    <w:rsid w:val="236B49F3"/>
    <w:rsid w:val="23910BBE"/>
    <w:rsid w:val="24124693"/>
    <w:rsid w:val="241412F8"/>
    <w:rsid w:val="241E664A"/>
    <w:rsid w:val="2424734A"/>
    <w:rsid w:val="244B692B"/>
    <w:rsid w:val="245F2ADB"/>
    <w:rsid w:val="248A30B2"/>
    <w:rsid w:val="24A87C93"/>
    <w:rsid w:val="24D12D46"/>
    <w:rsid w:val="24FA429F"/>
    <w:rsid w:val="24FC23AF"/>
    <w:rsid w:val="2504136D"/>
    <w:rsid w:val="251D242F"/>
    <w:rsid w:val="25452C4D"/>
    <w:rsid w:val="25A03EFC"/>
    <w:rsid w:val="2643043B"/>
    <w:rsid w:val="264E03C6"/>
    <w:rsid w:val="26A363FE"/>
    <w:rsid w:val="26B32884"/>
    <w:rsid w:val="26B43453"/>
    <w:rsid w:val="26B933AC"/>
    <w:rsid w:val="26BB3CAD"/>
    <w:rsid w:val="26C16DEA"/>
    <w:rsid w:val="27066F24"/>
    <w:rsid w:val="272E43B3"/>
    <w:rsid w:val="27460D48"/>
    <w:rsid w:val="277A2F42"/>
    <w:rsid w:val="281713B7"/>
    <w:rsid w:val="282A4D07"/>
    <w:rsid w:val="28683AC5"/>
    <w:rsid w:val="288A70C5"/>
    <w:rsid w:val="28EA6ACC"/>
    <w:rsid w:val="29086F52"/>
    <w:rsid w:val="291D29FD"/>
    <w:rsid w:val="29F0307C"/>
    <w:rsid w:val="2A0B4F4C"/>
    <w:rsid w:val="2A155469"/>
    <w:rsid w:val="2A7A79DB"/>
    <w:rsid w:val="2AB4113F"/>
    <w:rsid w:val="2ABD43F8"/>
    <w:rsid w:val="2ADB5B0A"/>
    <w:rsid w:val="2B122127"/>
    <w:rsid w:val="2B1B10B7"/>
    <w:rsid w:val="2B485D2C"/>
    <w:rsid w:val="2B680B80"/>
    <w:rsid w:val="2BAC1E16"/>
    <w:rsid w:val="2BEB4D8B"/>
    <w:rsid w:val="2BF76974"/>
    <w:rsid w:val="2C070E3B"/>
    <w:rsid w:val="2C0B332D"/>
    <w:rsid w:val="2C4E2ECE"/>
    <w:rsid w:val="2C723060"/>
    <w:rsid w:val="2CA3660E"/>
    <w:rsid w:val="2D5B4FFC"/>
    <w:rsid w:val="2DC533D8"/>
    <w:rsid w:val="2DFB04F2"/>
    <w:rsid w:val="2E3237B2"/>
    <w:rsid w:val="2E415B63"/>
    <w:rsid w:val="2E52058F"/>
    <w:rsid w:val="2F146FFE"/>
    <w:rsid w:val="2F966B90"/>
    <w:rsid w:val="2FB515E4"/>
    <w:rsid w:val="2FB971F8"/>
    <w:rsid w:val="3008511A"/>
    <w:rsid w:val="30246CCF"/>
    <w:rsid w:val="30274161"/>
    <w:rsid w:val="30516C47"/>
    <w:rsid w:val="30595853"/>
    <w:rsid w:val="308E5F8F"/>
    <w:rsid w:val="309A4933"/>
    <w:rsid w:val="30E115C3"/>
    <w:rsid w:val="312F04FA"/>
    <w:rsid w:val="313A21C1"/>
    <w:rsid w:val="318008AB"/>
    <w:rsid w:val="319A680C"/>
    <w:rsid w:val="32081D71"/>
    <w:rsid w:val="321C397A"/>
    <w:rsid w:val="327D66B3"/>
    <w:rsid w:val="32BC3287"/>
    <w:rsid w:val="32DA195F"/>
    <w:rsid w:val="32F56799"/>
    <w:rsid w:val="32FB2FE1"/>
    <w:rsid w:val="33044C2E"/>
    <w:rsid w:val="33070FD0"/>
    <w:rsid w:val="334D2131"/>
    <w:rsid w:val="33B52E80"/>
    <w:rsid w:val="33C87A09"/>
    <w:rsid w:val="34425A0E"/>
    <w:rsid w:val="344E4B07"/>
    <w:rsid w:val="346577AD"/>
    <w:rsid w:val="34B06907"/>
    <w:rsid w:val="34BC33F8"/>
    <w:rsid w:val="353C245D"/>
    <w:rsid w:val="35654EB1"/>
    <w:rsid w:val="356B6B96"/>
    <w:rsid w:val="35926521"/>
    <w:rsid w:val="35A66CC8"/>
    <w:rsid w:val="35EC0129"/>
    <w:rsid w:val="362103AD"/>
    <w:rsid w:val="363525FC"/>
    <w:rsid w:val="3639699D"/>
    <w:rsid w:val="369B4B29"/>
    <w:rsid w:val="36E0150E"/>
    <w:rsid w:val="37281999"/>
    <w:rsid w:val="37654C20"/>
    <w:rsid w:val="37A33083"/>
    <w:rsid w:val="37A81B3B"/>
    <w:rsid w:val="37CF580A"/>
    <w:rsid w:val="380002EE"/>
    <w:rsid w:val="385F041F"/>
    <w:rsid w:val="396B276A"/>
    <w:rsid w:val="396E2D2F"/>
    <w:rsid w:val="396E4BAF"/>
    <w:rsid w:val="3990325F"/>
    <w:rsid w:val="399369AD"/>
    <w:rsid w:val="399E1130"/>
    <w:rsid w:val="39BB3AC3"/>
    <w:rsid w:val="39EE5D4E"/>
    <w:rsid w:val="3A0416E5"/>
    <w:rsid w:val="3A1B4DE1"/>
    <w:rsid w:val="3A1C2D65"/>
    <w:rsid w:val="3A631157"/>
    <w:rsid w:val="3A8536A0"/>
    <w:rsid w:val="3A922B1F"/>
    <w:rsid w:val="3AAC2DAD"/>
    <w:rsid w:val="3AC2225A"/>
    <w:rsid w:val="3ADA18AE"/>
    <w:rsid w:val="3AEB0C61"/>
    <w:rsid w:val="3B037579"/>
    <w:rsid w:val="3B307B9A"/>
    <w:rsid w:val="3B702E61"/>
    <w:rsid w:val="3BCF04D3"/>
    <w:rsid w:val="3BFA7731"/>
    <w:rsid w:val="3C3F2D79"/>
    <w:rsid w:val="3C503CE4"/>
    <w:rsid w:val="3C685C20"/>
    <w:rsid w:val="3C967C58"/>
    <w:rsid w:val="3CA134EE"/>
    <w:rsid w:val="3CAD3C40"/>
    <w:rsid w:val="3CB824A3"/>
    <w:rsid w:val="3CC87764"/>
    <w:rsid w:val="3D0814B8"/>
    <w:rsid w:val="3D3D623C"/>
    <w:rsid w:val="3D481813"/>
    <w:rsid w:val="3D5E7496"/>
    <w:rsid w:val="3D9848F1"/>
    <w:rsid w:val="3DB52D6B"/>
    <w:rsid w:val="3DC54FBA"/>
    <w:rsid w:val="3E02741C"/>
    <w:rsid w:val="3E3B637D"/>
    <w:rsid w:val="3E6E73FF"/>
    <w:rsid w:val="3E8D7C49"/>
    <w:rsid w:val="3EAE13FC"/>
    <w:rsid w:val="3EB574CC"/>
    <w:rsid w:val="3EC15781"/>
    <w:rsid w:val="3EE32E9D"/>
    <w:rsid w:val="3F1153F6"/>
    <w:rsid w:val="3F6C1C75"/>
    <w:rsid w:val="3F70388D"/>
    <w:rsid w:val="4003489B"/>
    <w:rsid w:val="408908EE"/>
    <w:rsid w:val="409D7389"/>
    <w:rsid w:val="413E57AF"/>
    <w:rsid w:val="418C6D40"/>
    <w:rsid w:val="41F0793F"/>
    <w:rsid w:val="4278083E"/>
    <w:rsid w:val="427E6FDE"/>
    <w:rsid w:val="42C700D1"/>
    <w:rsid w:val="43CC0E50"/>
    <w:rsid w:val="43DD116A"/>
    <w:rsid w:val="43F55A19"/>
    <w:rsid w:val="440E1469"/>
    <w:rsid w:val="44594023"/>
    <w:rsid w:val="448E6105"/>
    <w:rsid w:val="44C10289"/>
    <w:rsid w:val="451B4C5E"/>
    <w:rsid w:val="45244CBC"/>
    <w:rsid w:val="453A628D"/>
    <w:rsid w:val="459E4A6E"/>
    <w:rsid w:val="45A57BAB"/>
    <w:rsid w:val="45E8153D"/>
    <w:rsid w:val="4607069C"/>
    <w:rsid w:val="46496788"/>
    <w:rsid w:val="465810C1"/>
    <w:rsid w:val="47115463"/>
    <w:rsid w:val="47347438"/>
    <w:rsid w:val="47451645"/>
    <w:rsid w:val="47835CCA"/>
    <w:rsid w:val="47B6609F"/>
    <w:rsid w:val="47C2684C"/>
    <w:rsid w:val="47D2285B"/>
    <w:rsid w:val="481B2C35"/>
    <w:rsid w:val="483C62C7"/>
    <w:rsid w:val="4868115E"/>
    <w:rsid w:val="48D04704"/>
    <w:rsid w:val="48E21116"/>
    <w:rsid w:val="48ED3F67"/>
    <w:rsid w:val="49382AE4"/>
    <w:rsid w:val="499C639A"/>
    <w:rsid w:val="49C66341"/>
    <w:rsid w:val="49CF2273"/>
    <w:rsid w:val="4A0F1A96"/>
    <w:rsid w:val="4A58168F"/>
    <w:rsid w:val="4A653DAC"/>
    <w:rsid w:val="4A7F4622"/>
    <w:rsid w:val="4A8D1FE6"/>
    <w:rsid w:val="4ABC3BAC"/>
    <w:rsid w:val="4AC00FE3"/>
    <w:rsid w:val="4AFB4BFA"/>
    <w:rsid w:val="4B28795C"/>
    <w:rsid w:val="4B4B6AFE"/>
    <w:rsid w:val="4B7D0602"/>
    <w:rsid w:val="4B8F45B8"/>
    <w:rsid w:val="4B9A4D32"/>
    <w:rsid w:val="4BC560B7"/>
    <w:rsid w:val="4C6E67D9"/>
    <w:rsid w:val="4C71246E"/>
    <w:rsid w:val="4C713A3A"/>
    <w:rsid w:val="4C83051A"/>
    <w:rsid w:val="4C9F4C4B"/>
    <w:rsid w:val="4CC1104E"/>
    <w:rsid w:val="4CC654F4"/>
    <w:rsid w:val="4CDB5302"/>
    <w:rsid w:val="4CEA2CCA"/>
    <w:rsid w:val="4CF65190"/>
    <w:rsid w:val="4D0478AD"/>
    <w:rsid w:val="4D3306CF"/>
    <w:rsid w:val="4D4660D3"/>
    <w:rsid w:val="4D570D96"/>
    <w:rsid w:val="4D644AB2"/>
    <w:rsid w:val="4D695F10"/>
    <w:rsid w:val="4D757384"/>
    <w:rsid w:val="4E8A3D03"/>
    <w:rsid w:val="4E9702AC"/>
    <w:rsid w:val="4EB64BD7"/>
    <w:rsid w:val="4EE94FAC"/>
    <w:rsid w:val="4F08707B"/>
    <w:rsid w:val="4F455F5A"/>
    <w:rsid w:val="4FDC68BF"/>
    <w:rsid w:val="502456DE"/>
    <w:rsid w:val="503E43A2"/>
    <w:rsid w:val="505C4F82"/>
    <w:rsid w:val="50A309A8"/>
    <w:rsid w:val="50B05655"/>
    <w:rsid w:val="50B56781"/>
    <w:rsid w:val="50BD7329"/>
    <w:rsid w:val="516B6491"/>
    <w:rsid w:val="51C04EB5"/>
    <w:rsid w:val="51C55131"/>
    <w:rsid w:val="51D45B3F"/>
    <w:rsid w:val="525B7E1D"/>
    <w:rsid w:val="529C40E3"/>
    <w:rsid w:val="53191BD8"/>
    <w:rsid w:val="533F6CB7"/>
    <w:rsid w:val="535449BE"/>
    <w:rsid w:val="53B86E23"/>
    <w:rsid w:val="53CE651E"/>
    <w:rsid w:val="542461B5"/>
    <w:rsid w:val="54336CC9"/>
    <w:rsid w:val="54DA2BB5"/>
    <w:rsid w:val="55075F11"/>
    <w:rsid w:val="550859C8"/>
    <w:rsid w:val="55CD4629"/>
    <w:rsid w:val="56730E64"/>
    <w:rsid w:val="56743E25"/>
    <w:rsid w:val="56F13741"/>
    <w:rsid w:val="5751723E"/>
    <w:rsid w:val="57517B92"/>
    <w:rsid w:val="575651A9"/>
    <w:rsid w:val="576573CA"/>
    <w:rsid w:val="577C44E3"/>
    <w:rsid w:val="5784527D"/>
    <w:rsid w:val="582C415B"/>
    <w:rsid w:val="58523BC2"/>
    <w:rsid w:val="589B3CED"/>
    <w:rsid w:val="58BE1257"/>
    <w:rsid w:val="58DD68BA"/>
    <w:rsid w:val="59703715"/>
    <w:rsid w:val="5991071A"/>
    <w:rsid w:val="59A26483"/>
    <w:rsid w:val="59AD4E28"/>
    <w:rsid w:val="59DE1485"/>
    <w:rsid w:val="5A533C21"/>
    <w:rsid w:val="5B2D0650"/>
    <w:rsid w:val="5B3A1DDA"/>
    <w:rsid w:val="5BBB750F"/>
    <w:rsid w:val="5C02145B"/>
    <w:rsid w:val="5C410196"/>
    <w:rsid w:val="5C6A5252"/>
    <w:rsid w:val="5C6E089F"/>
    <w:rsid w:val="5CE84AF5"/>
    <w:rsid w:val="5CEB2C27"/>
    <w:rsid w:val="5D39688F"/>
    <w:rsid w:val="5D5B70A6"/>
    <w:rsid w:val="5D5C4B9B"/>
    <w:rsid w:val="5D5F61B8"/>
    <w:rsid w:val="5D9A383C"/>
    <w:rsid w:val="5DBA4161"/>
    <w:rsid w:val="5E055233"/>
    <w:rsid w:val="5E79352B"/>
    <w:rsid w:val="5E8933A7"/>
    <w:rsid w:val="5ED13A8C"/>
    <w:rsid w:val="5F0B0627"/>
    <w:rsid w:val="5F4567C1"/>
    <w:rsid w:val="5F5A7800"/>
    <w:rsid w:val="5F6A3C54"/>
    <w:rsid w:val="5F900B7D"/>
    <w:rsid w:val="5FE15D86"/>
    <w:rsid w:val="602D281F"/>
    <w:rsid w:val="6037369D"/>
    <w:rsid w:val="60C45117"/>
    <w:rsid w:val="61AB7E9F"/>
    <w:rsid w:val="61E239A6"/>
    <w:rsid w:val="623C143F"/>
    <w:rsid w:val="625C1559"/>
    <w:rsid w:val="62621DD0"/>
    <w:rsid w:val="627364EC"/>
    <w:rsid w:val="62937C62"/>
    <w:rsid w:val="63487723"/>
    <w:rsid w:val="63660521"/>
    <w:rsid w:val="639B0139"/>
    <w:rsid w:val="642041EB"/>
    <w:rsid w:val="64545697"/>
    <w:rsid w:val="64651BA3"/>
    <w:rsid w:val="64AA6B34"/>
    <w:rsid w:val="64B67287"/>
    <w:rsid w:val="64F13441"/>
    <w:rsid w:val="65240694"/>
    <w:rsid w:val="654E019A"/>
    <w:rsid w:val="65AE61B0"/>
    <w:rsid w:val="65B9754B"/>
    <w:rsid w:val="65BE0BCD"/>
    <w:rsid w:val="65D35C16"/>
    <w:rsid w:val="66434412"/>
    <w:rsid w:val="664B7B15"/>
    <w:rsid w:val="667E2026"/>
    <w:rsid w:val="66D87988"/>
    <w:rsid w:val="66EC631E"/>
    <w:rsid w:val="66FC6B0B"/>
    <w:rsid w:val="67242BCD"/>
    <w:rsid w:val="677E0188"/>
    <w:rsid w:val="67804BCE"/>
    <w:rsid w:val="67834660"/>
    <w:rsid w:val="6785392F"/>
    <w:rsid w:val="67DC2F22"/>
    <w:rsid w:val="67E4065F"/>
    <w:rsid w:val="688614DF"/>
    <w:rsid w:val="689510BB"/>
    <w:rsid w:val="68A815DC"/>
    <w:rsid w:val="68B63CF9"/>
    <w:rsid w:val="68CF6B69"/>
    <w:rsid w:val="695B6068"/>
    <w:rsid w:val="69643755"/>
    <w:rsid w:val="696A3312"/>
    <w:rsid w:val="698312B8"/>
    <w:rsid w:val="69AE55EF"/>
    <w:rsid w:val="6A020E79"/>
    <w:rsid w:val="6A062C32"/>
    <w:rsid w:val="6A1D3904"/>
    <w:rsid w:val="6A4F389E"/>
    <w:rsid w:val="6A5C5029"/>
    <w:rsid w:val="6AF55A7F"/>
    <w:rsid w:val="6B137FF4"/>
    <w:rsid w:val="6B2D39A7"/>
    <w:rsid w:val="6B512265"/>
    <w:rsid w:val="6B8753BD"/>
    <w:rsid w:val="6BE24E05"/>
    <w:rsid w:val="6C0240CA"/>
    <w:rsid w:val="6C104FDA"/>
    <w:rsid w:val="6C8B7507"/>
    <w:rsid w:val="6CCF056D"/>
    <w:rsid w:val="6CD24E7A"/>
    <w:rsid w:val="6D1A6367"/>
    <w:rsid w:val="6D316CEC"/>
    <w:rsid w:val="6D372F2F"/>
    <w:rsid w:val="6D3B47CD"/>
    <w:rsid w:val="6D661494"/>
    <w:rsid w:val="6DC36570"/>
    <w:rsid w:val="6DC900B2"/>
    <w:rsid w:val="6E5805C6"/>
    <w:rsid w:val="6E9A3775"/>
    <w:rsid w:val="6EB31AD6"/>
    <w:rsid w:val="6EC72AFA"/>
    <w:rsid w:val="6EF235B1"/>
    <w:rsid w:val="6F0F5F11"/>
    <w:rsid w:val="6F5002D8"/>
    <w:rsid w:val="6F5632B7"/>
    <w:rsid w:val="6FFB307D"/>
    <w:rsid w:val="704C0A9F"/>
    <w:rsid w:val="705A56A8"/>
    <w:rsid w:val="70AB7EBB"/>
    <w:rsid w:val="70BA1EAD"/>
    <w:rsid w:val="7112754A"/>
    <w:rsid w:val="711B76F1"/>
    <w:rsid w:val="71816E6E"/>
    <w:rsid w:val="71E67312"/>
    <w:rsid w:val="721515BC"/>
    <w:rsid w:val="722611A6"/>
    <w:rsid w:val="72571B2B"/>
    <w:rsid w:val="72843587"/>
    <w:rsid w:val="72F336D6"/>
    <w:rsid w:val="733546F2"/>
    <w:rsid w:val="738C2885"/>
    <w:rsid w:val="73CF50BC"/>
    <w:rsid w:val="73E060CE"/>
    <w:rsid w:val="742F5707"/>
    <w:rsid w:val="74781599"/>
    <w:rsid w:val="74C672BF"/>
    <w:rsid w:val="74EE4E1A"/>
    <w:rsid w:val="753B3B98"/>
    <w:rsid w:val="75417DC7"/>
    <w:rsid w:val="75C37A55"/>
    <w:rsid w:val="75C541B3"/>
    <w:rsid w:val="75D73501"/>
    <w:rsid w:val="75DF14B2"/>
    <w:rsid w:val="75FA2D4B"/>
    <w:rsid w:val="75FB0F9D"/>
    <w:rsid w:val="761738FD"/>
    <w:rsid w:val="768E1628"/>
    <w:rsid w:val="769E3C5C"/>
    <w:rsid w:val="76CC46E8"/>
    <w:rsid w:val="774C5829"/>
    <w:rsid w:val="776E5551"/>
    <w:rsid w:val="77D23F80"/>
    <w:rsid w:val="77F04398"/>
    <w:rsid w:val="78A56464"/>
    <w:rsid w:val="7903111A"/>
    <w:rsid w:val="790C7287"/>
    <w:rsid w:val="791320F2"/>
    <w:rsid w:val="79982FA7"/>
    <w:rsid w:val="79D55FA9"/>
    <w:rsid w:val="79DC6241"/>
    <w:rsid w:val="79E720B8"/>
    <w:rsid w:val="79F26B1E"/>
    <w:rsid w:val="7A1F375C"/>
    <w:rsid w:val="7A432F13"/>
    <w:rsid w:val="7A841650"/>
    <w:rsid w:val="7A861051"/>
    <w:rsid w:val="7A9B2D4F"/>
    <w:rsid w:val="7A9B4AFD"/>
    <w:rsid w:val="7AA64AEE"/>
    <w:rsid w:val="7AC758F2"/>
    <w:rsid w:val="7B2031F9"/>
    <w:rsid w:val="7B5D0004"/>
    <w:rsid w:val="7BB32771"/>
    <w:rsid w:val="7BDB20D2"/>
    <w:rsid w:val="7BE61DA8"/>
    <w:rsid w:val="7BF960BE"/>
    <w:rsid w:val="7C467372"/>
    <w:rsid w:val="7C6148D2"/>
    <w:rsid w:val="7C711B3B"/>
    <w:rsid w:val="7C910170"/>
    <w:rsid w:val="7CDD1A8C"/>
    <w:rsid w:val="7CF9645F"/>
    <w:rsid w:val="7D0802E3"/>
    <w:rsid w:val="7DEA2A08"/>
    <w:rsid w:val="7DF60AA5"/>
    <w:rsid w:val="7EBA751C"/>
    <w:rsid w:val="7EF24F07"/>
    <w:rsid w:val="7F6D4B26"/>
    <w:rsid w:val="7F7325A2"/>
    <w:rsid w:val="7FD827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2"/>
    <w:autoRedefine/>
    <w:qFormat/>
    <w:uiPriority w:val="0"/>
    <w:pPr>
      <w:keepNext/>
      <w:keepLines/>
      <w:adjustRightInd w:val="0"/>
      <w:spacing w:before="120" w:line="360" w:lineRule="auto"/>
      <w:textAlignment w:val="baseline"/>
      <w:outlineLvl w:val="0"/>
    </w:pPr>
    <w:rPr>
      <w:rFonts w:eastAsia="黑体"/>
      <w:b/>
      <w:kern w:val="44"/>
      <w:sz w:val="28"/>
      <w:szCs w:val="20"/>
    </w:rPr>
  </w:style>
  <w:style w:type="paragraph" w:styleId="3">
    <w:name w:val="heading 2"/>
    <w:basedOn w:val="1"/>
    <w:next w:val="1"/>
    <w:link w:val="61"/>
    <w:autoRedefine/>
    <w:qFormat/>
    <w:uiPriority w:val="0"/>
    <w:pPr>
      <w:keepNext/>
      <w:adjustRightInd w:val="0"/>
      <w:spacing w:before="120" w:line="360" w:lineRule="auto"/>
      <w:textAlignment w:val="baseline"/>
      <w:outlineLvl w:val="1"/>
    </w:pPr>
    <w:rPr>
      <w:rFonts w:eastAsia="黑体"/>
      <w:b/>
      <w:kern w:val="0"/>
      <w:sz w:val="28"/>
      <w:szCs w:val="20"/>
    </w:rPr>
  </w:style>
  <w:style w:type="paragraph" w:styleId="4">
    <w:name w:val="heading 3"/>
    <w:basedOn w:val="1"/>
    <w:next w:val="1"/>
    <w:link w:val="63"/>
    <w:autoRedefine/>
    <w:qFormat/>
    <w:uiPriority w:val="0"/>
    <w:pPr>
      <w:tabs>
        <w:tab w:val="left" w:pos="900"/>
      </w:tabs>
      <w:adjustRightInd w:val="0"/>
      <w:spacing w:before="120" w:line="360" w:lineRule="auto"/>
      <w:textAlignment w:val="baseline"/>
      <w:outlineLvl w:val="2"/>
    </w:pPr>
    <w:rPr>
      <w:rFonts w:eastAsia="黑体"/>
      <w:b/>
      <w:kern w:val="0"/>
      <w:sz w:val="28"/>
      <w:szCs w:val="20"/>
    </w:rPr>
  </w:style>
  <w:style w:type="paragraph" w:styleId="5">
    <w:name w:val="heading 4"/>
    <w:basedOn w:val="1"/>
    <w:next w:val="1"/>
    <w:link w:val="64"/>
    <w:autoRedefine/>
    <w:qFormat/>
    <w:uiPriority w:val="0"/>
    <w:pPr>
      <w:adjustRightInd w:val="0"/>
      <w:spacing w:before="120" w:line="360" w:lineRule="auto"/>
      <w:textAlignment w:val="baseline"/>
      <w:outlineLvl w:val="3"/>
    </w:pPr>
    <w:rPr>
      <w:rFonts w:ascii="Arial" w:hAnsi="Arial" w:eastAsia="黑体"/>
      <w:kern w:val="0"/>
      <w:sz w:val="28"/>
      <w:szCs w:val="20"/>
    </w:rPr>
  </w:style>
  <w:style w:type="paragraph" w:styleId="6">
    <w:name w:val="heading 5"/>
    <w:basedOn w:val="1"/>
    <w:next w:val="1"/>
    <w:link w:val="65"/>
    <w:autoRedefine/>
    <w:qFormat/>
    <w:uiPriority w:val="0"/>
    <w:pPr>
      <w:keepNext/>
      <w:keepLines/>
      <w:spacing w:before="280" w:after="290" w:line="376" w:lineRule="auto"/>
      <w:outlineLvl w:val="4"/>
    </w:pPr>
    <w:rPr>
      <w:b/>
      <w:bCs/>
      <w:sz w:val="28"/>
      <w:szCs w:val="28"/>
    </w:rPr>
  </w:style>
  <w:style w:type="paragraph" w:styleId="7">
    <w:name w:val="heading 6"/>
    <w:basedOn w:val="1"/>
    <w:next w:val="1"/>
    <w:link w:val="66"/>
    <w:autoRedefine/>
    <w:qFormat/>
    <w:uiPriority w:val="0"/>
    <w:pPr>
      <w:keepNext/>
      <w:keepLines/>
      <w:spacing w:before="240" w:after="64" w:line="319" w:lineRule="auto"/>
      <w:outlineLvl w:val="5"/>
    </w:pPr>
    <w:rPr>
      <w:rFonts w:ascii="Arial" w:hAnsi="Arial" w:eastAsia="黑体"/>
      <w:b/>
      <w:bCs/>
      <w:sz w:val="24"/>
    </w:rPr>
  </w:style>
  <w:style w:type="paragraph" w:styleId="8">
    <w:name w:val="heading 7"/>
    <w:basedOn w:val="1"/>
    <w:next w:val="1"/>
    <w:link w:val="67"/>
    <w:autoRedefine/>
    <w:qFormat/>
    <w:uiPriority w:val="0"/>
    <w:pPr>
      <w:keepNext/>
      <w:keepLines/>
      <w:adjustRightInd w:val="0"/>
      <w:spacing w:before="240" w:after="64" w:line="320" w:lineRule="atLeast"/>
      <w:jc w:val="left"/>
      <w:textAlignment w:val="baseline"/>
      <w:outlineLvl w:val="6"/>
    </w:pPr>
    <w:rPr>
      <w:b/>
      <w:color w:val="000000"/>
      <w:kern w:val="0"/>
      <w:sz w:val="24"/>
      <w:szCs w:val="20"/>
    </w:rPr>
  </w:style>
  <w:style w:type="paragraph" w:styleId="9">
    <w:name w:val="heading 8"/>
    <w:basedOn w:val="1"/>
    <w:next w:val="1"/>
    <w:link w:val="68"/>
    <w:autoRedefine/>
    <w:qFormat/>
    <w:uiPriority w:val="0"/>
    <w:pPr>
      <w:keepNext/>
      <w:keepLines/>
      <w:adjustRightInd w:val="0"/>
      <w:spacing w:before="240" w:after="64" w:line="320" w:lineRule="atLeast"/>
      <w:jc w:val="left"/>
      <w:textAlignment w:val="baseline"/>
      <w:outlineLvl w:val="7"/>
    </w:pPr>
    <w:rPr>
      <w:rFonts w:ascii="Arial" w:hAnsi="Arial" w:eastAsia="黑体"/>
      <w:color w:val="000000"/>
      <w:kern w:val="0"/>
      <w:sz w:val="24"/>
      <w:szCs w:val="20"/>
    </w:rPr>
  </w:style>
  <w:style w:type="paragraph" w:styleId="10">
    <w:name w:val="heading 9"/>
    <w:basedOn w:val="1"/>
    <w:next w:val="1"/>
    <w:link w:val="69"/>
    <w:autoRedefine/>
    <w:qFormat/>
    <w:uiPriority w:val="0"/>
    <w:pPr>
      <w:keepNext/>
      <w:keepLines/>
      <w:adjustRightInd w:val="0"/>
      <w:spacing w:before="240" w:after="64" w:line="320" w:lineRule="atLeast"/>
      <w:jc w:val="left"/>
      <w:textAlignment w:val="baseline"/>
      <w:outlineLvl w:val="8"/>
    </w:pPr>
    <w:rPr>
      <w:rFonts w:ascii="Arial" w:hAnsi="Arial" w:eastAsia="黑体"/>
      <w:color w:val="000000"/>
      <w:kern w:val="0"/>
      <w:sz w:val="24"/>
      <w:szCs w:val="20"/>
    </w:rPr>
  </w:style>
  <w:style w:type="character" w:default="1" w:styleId="54">
    <w:name w:val="Default Paragraph Font"/>
    <w:autoRedefine/>
    <w:semiHidden/>
    <w:unhideWhenUsed/>
    <w:qFormat/>
    <w:uiPriority w:val="1"/>
  </w:style>
  <w:style w:type="table" w:default="1" w:styleId="52">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numPr>
        <w:ilvl w:val="2"/>
        <w:numId w:val="1"/>
      </w:numPr>
    </w:pPr>
  </w:style>
  <w:style w:type="paragraph" w:styleId="12">
    <w:name w:val="toc 7"/>
    <w:basedOn w:val="1"/>
    <w:next w:val="1"/>
    <w:autoRedefine/>
    <w:qFormat/>
    <w:uiPriority w:val="0"/>
    <w:pPr>
      <w:ind w:left="1260"/>
      <w:jc w:val="left"/>
    </w:pPr>
    <w:rPr>
      <w:rFonts w:ascii="Calibri" w:hAnsi="Calibri"/>
      <w:sz w:val="18"/>
      <w:szCs w:val="18"/>
    </w:rPr>
  </w:style>
  <w:style w:type="paragraph" w:styleId="13">
    <w:name w:val="Normal Indent"/>
    <w:basedOn w:val="1"/>
    <w:autoRedefine/>
    <w:qFormat/>
    <w:uiPriority w:val="0"/>
    <w:pPr>
      <w:adjustRightInd w:val="0"/>
      <w:spacing w:line="360" w:lineRule="atLeast"/>
      <w:ind w:firstLine="420"/>
      <w:jc w:val="left"/>
      <w:textAlignment w:val="baseline"/>
    </w:pPr>
    <w:rPr>
      <w:kern w:val="0"/>
      <w:sz w:val="24"/>
      <w:szCs w:val="20"/>
    </w:rPr>
  </w:style>
  <w:style w:type="paragraph" w:styleId="14">
    <w:name w:val="caption"/>
    <w:basedOn w:val="1"/>
    <w:next w:val="1"/>
    <w:autoRedefine/>
    <w:qFormat/>
    <w:uiPriority w:val="0"/>
    <w:rPr>
      <w:rFonts w:ascii="Arial" w:hAnsi="Arial" w:eastAsia="黑体" w:cs="Arial"/>
      <w:sz w:val="20"/>
      <w:szCs w:val="20"/>
    </w:rPr>
  </w:style>
  <w:style w:type="paragraph" w:styleId="15">
    <w:name w:val="Document Map"/>
    <w:basedOn w:val="1"/>
    <w:link w:val="70"/>
    <w:autoRedefine/>
    <w:qFormat/>
    <w:uiPriority w:val="99"/>
    <w:pPr>
      <w:shd w:val="clear" w:color="auto" w:fill="000080"/>
    </w:pPr>
  </w:style>
  <w:style w:type="paragraph" w:styleId="16">
    <w:name w:val="annotation text"/>
    <w:basedOn w:val="1"/>
    <w:link w:val="71"/>
    <w:autoRedefine/>
    <w:qFormat/>
    <w:uiPriority w:val="0"/>
    <w:pPr>
      <w:jc w:val="left"/>
    </w:pPr>
  </w:style>
  <w:style w:type="paragraph" w:styleId="17">
    <w:name w:val="Body Text 3"/>
    <w:basedOn w:val="1"/>
    <w:link w:val="72"/>
    <w:autoRedefine/>
    <w:qFormat/>
    <w:uiPriority w:val="0"/>
    <w:rPr>
      <w:sz w:val="24"/>
    </w:rPr>
  </w:style>
  <w:style w:type="paragraph" w:styleId="18">
    <w:name w:val="Body Text"/>
    <w:basedOn w:val="1"/>
    <w:next w:val="19"/>
    <w:link w:val="73"/>
    <w:autoRedefine/>
    <w:qFormat/>
    <w:uiPriority w:val="0"/>
    <w:rPr>
      <w:rFonts w:ascii="金山简黑体" w:hAnsi="金山简黑体" w:eastAsia="金山简黑体"/>
      <w:b/>
      <w:spacing w:val="-8"/>
      <w:sz w:val="44"/>
      <w:szCs w:val="20"/>
    </w:rPr>
  </w:style>
  <w:style w:type="paragraph" w:styleId="19">
    <w:name w:val="Plain Text"/>
    <w:basedOn w:val="1"/>
    <w:link w:val="74"/>
    <w:autoRedefine/>
    <w:qFormat/>
    <w:uiPriority w:val="0"/>
    <w:rPr>
      <w:rFonts w:ascii="宋体"/>
      <w:szCs w:val="20"/>
    </w:rPr>
  </w:style>
  <w:style w:type="paragraph" w:styleId="20">
    <w:name w:val="Body Text Indent"/>
    <w:basedOn w:val="1"/>
    <w:link w:val="75"/>
    <w:autoRedefine/>
    <w:qFormat/>
    <w:uiPriority w:val="0"/>
    <w:pPr>
      <w:spacing w:line="200" w:lineRule="exact"/>
      <w:ind w:firstLine="301"/>
    </w:pPr>
    <w:rPr>
      <w:rFonts w:ascii="宋体"/>
      <w:spacing w:val="-4"/>
      <w:sz w:val="18"/>
      <w:szCs w:val="20"/>
    </w:rPr>
  </w:style>
  <w:style w:type="paragraph" w:styleId="21">
    <w:name w:val="List 2"/>
    <w:basedOn w:val="1"/>
    <w:autoRedefine/>
    <w:qFormat/>
    <w:uiPriority w:val="0"/>
    <w:pPr>
      <w:ind w:left="100" w:leftChars="200" w:hanging="200" w:hangingChars="200"/>
    </w:pPr>
  </w:style>
  <w:style w:type="paragraph" w:styleId="22">
    <w:name w:val="List Continue"/>
    <w:basedOn w:val="1"/>
    <w:autoRedefine/>
    <w:qFormat/>
    <w:uiPriority w:val="0"/>
    <w:pPr>
      <w:numPr>
        <w:ilvl w:val="0"/>
        <w:numId w:val="2"/>
      </w:numPr>
      <w:tabs>
        <w:tab w:val="clear" w:pos="780"/>
      </w:tabs>
      <w:spacing w:after="120"/>
      <w:ind w:left="420" w:firstLine="0"/>
    </w:pPr>
  </w:style>
  <w:style w:type="paragraph" w:styleId="23">
    <w:name w:val="Block Text"/>
    <w:basedOn w:val="1"/>
    <w:autoRedefine/>
    <w:qFormat/>
    <w:uiPriority w:val="0"/>
    <w:pPr>
      <w:spacing w:line="400" w:lineRule="exact"/>
      <w:ind w:left="425" w:right="1"/>
    </w:pPr>
    <w:rPr>
      <w:rFonts w:ascii="Arial" w:hAnsi="Arial"/>
      <w:sz w:val="24"/>
      <w:szCs w:val="20"/>
    </w:rPr>
  </w:style>
  <w:style w:type="paragraph" w:styleId="24">
    <w:name w:val="List Bullet 2"/>
    <w:basedOn w:val="1"/>
    <w:autoRedefine/>
    <w:qFormat/>
    <w:uiPriority w:val="0"/>
    <w:pPr>
      <w:numPr>
        <w:ilvl w:val="0"/>
        <w:numId w:val="3"/>
      </w:numPr>
    </w:pPr>
  </w:style>
  <w:style w:type="paragraph" w:styleId="25">
    <w:name w:val="toc 5"/>
    <w:basedOn w:val="1"/>
    <w:next w:val="1"/>
    <w:autoRedefine/>
    <w:qFormat/>
    <w:uiPriority w:val="0"/>
    <w:pPr>
      <w:ind w:left="840"/>
      <w:jc w:val="left"/>
    </w:pPr>
    <w:rPr>
      <w:rFonts w:ascii="Calibri" w:hAnsi="Calibri"/>
      <w:sz w:val="18"/>
      <w:szCs w:val="18"/>
    </w:rPr>
  </w:style>
  <w:style w:type="paragraph" w:styleId="26">
    <w:name w:val="toc 3"/>
    <w:basedOn w:val="1"/>
    <w:next w:val="1"/>
    <w:autoRedefine/>
    <w:qFormat/>
    <w:uiPriority w:val="0"/>
    <w:pPr>
      <w:ind w:left="420"/>
      <w:jc w:val="left"/>
    </w:pPr>
    <w:rPr>
      <w:rFonts w:ascii="Calibri" w:hAnsi="Calibri"/>
      <w:i/>
      <w:iCs/>
      <w:sz w:val="20"/>
      <w:szCs w:val="20"/>
    </w:rPr>
  </w:style>
  <w:style w:type="paragraph" w:styleId="27">
    <w:name w:val="toc 8"/>
    <w:basedOn w:val="1"/>
    <w:next w:val="1"/>
    <w:autoRedefine/>
    <w:qFormat/>
    <w:uiPriority w:val="0"/>
    <w:pPr>
      <w:ind w:left="1470"/>
      <w:jc w:val="left"/>
    </w:pPr>
    <w:rPr>
      <w:rFonts w:ascii="Calibri" w:hAnsi="Calibri"/>
      <w:sz w:val="18"/>
      <w:szCs w:val="18"/>
    </w:rPr>
  </w:style>
  <w:style w:type="paragraph" w:styleId="28">
    <w:name w:val="Date"/>
    <w:basedOn w:val="1"/>
    <w:next w:val="1"/>
    <w:link w:val="76"/>
    <w:autoRedefine/>
    <w:qFormat/>
    <w:uiPriority w:val="0"/>
    <w:pPr>
      <w:ind w:left="2500" w:leftChars="2500"/>
    </w:pPr>
    <w:rPr>
      <w:sz w:val="24"/>
      <w:szCs w:val="20"/>
    </w:rPr>
  </w:style>
  <w:style w:type="paragraph" w:styleId="29">
    <w:name w:val="Body Text Indent 2"/>
    <w:basedOn w:val="1"/>
    <w:link w:val="77"/>
    <w:autoRedefine/>
    <w:qFormat/>
    <w:uiPriority w:val="0"/>
    <w:pPr>
      <w:spacing w:after="120" w:line="480" w:lineRule="auto"/>
      <w:ind w:left="200" w:leftChars="200"/>
    </w:pPr>
  </w:style>
  <w:style w:type="paragraph" w:styleId="30">
    <w:name w:val="Balloon Text"/>
    <w:basedOn w:val="1"/>
    <w:link w:val="78"/>
    <w:autoRedefine/>
    <w:qFormat/>
    <w:uiPriority w:val="99"/>
    <w:rPr>
      <w:sz w:val="18"/>
      <w:szCs w:val="18"/>
    </w:rPr>
  </w:style>
  <w:style w:type="paragraph" w:styleId="31">
    <w:name w:val="footer"/>
    <w:basedOn w:val="1"/>
    <w:link w:val="79"/>
    <w:autoRedefine/>
    <w:qFormat/>
    <w:uiPriority w:val="99"/>
    <w:pPr>
      <w:tabs>
        <w:tab w:val="center" w:pos="4153"/>
        <w:tab w:val="right" w:pos="8306"/>
      </w:tabs>
      <w:snapToGrid w:val="0"/>
      <w:jc w:val="left"/>
    </w:pPr>
    <w:rPr>
      <w:rFonts w:ascii="宋体"/>
      <w:sz w:val="18"/>
      <w:szCs w:val="20"/>
    </w:rPr>
  </w:style>
  <w:style w:type="paragraph" w:styleId="32">
    <w:name w:val="header"/>
    <w:basedOn w:val="1"/>
    <w:link w:val="80"/>
    <w:autoRedefine/>
    <w:qFormat/>
    <w:uiPriority w:val="99"/>
    <w:pPr>
      <w:pBdr>
        <w:bottom w:val="single" w:color="auto" w:sz="6" w:space="1"/>
      </w:pBdr>
      <w:tabs>
        <w:tab w:val="center" w:pos="4153"/>
        <w:tab w:val="right" w:pos="8306"/>
      </w:tabs>
      <w:snapToGrid w:val="0"/>
      <w:jc w:val="center"/>
    </w:pPr>
    <w:rPr>
      <w:sz w:val="18"/>
      <w:szCs w:val="18"/>
    </w:rPr>
  </w:style>
  <w:style w:type="paragraph" w:styleId="33">
    <w:name w:val="toc 1"/>
    <w:basedOn w:val="1"/>
    <w:next w:val="1"/>
    <w:autoRedefine/>
    <w:qFormat/>
    <w:uiPriority w:val="39"/>
    <w:pPr>
      <w:spacing w:before="120" w:after="120"/>
      <w:jc w:val="left"/>
    </w:pPr>
    <w:rPr>
      <w:rFonts w:ascii="Calibri" w:hAnsi="Calibri"/>
      <w:b/>
      <w:bCs/>
      <w:caps/>
      <w:sz w:val="20"/>
      <w:szCs w:val="20"/>
    </w:rPr>
  </w:style>
  <w:style w:type="paragraph" w:styleId="34">
    <w:name w:val="toc 4"/>
    <w:basedOn w:val="1"/>
    <w:next w:val="1"/>
    <w:autoRedefine/>
    <w:qFormat/>
    <w:uiPriority w:val="0"/>
    <w:pPr>
      <w:ind w:left="630"/>
      <w:jc w:val="left"/>
    </w:pPr>
    <w:rPr>
      <w:rFonts w:ascii="Calibri" w:hAnsi="Calibri"/>
      <w:sz w:val="18"/>
      <w:szCs w:val="18"/>
    </w:rPr>
  </w:style>
  <w:style w:type="paragraph" w:styleId="35">
    <w:name w:val="Subtitle"/>
    <w:basedOn w:val="1"/>
    <w:next w:val="1"/>
    <w:link w:val="81"/>
    <w:autoRedefine/>
    <w:qFormat/>
    <w:uiPriority w:val="0"/>
    <w:pPr>
      <w:spacing w:before="240" w:after="60" w:line="312" w:lineRule="auto"/>
      <w:jc w:val="center"/>
      <w:outlineLvl w:val="1"/>
    </w:pPr>
    <w:rPr>
      <w:rFonts w:ascii="Cambria" w:hAnsi="Cambria"/>
      <w:b/>
      <w:bCs/>
      <w:kern w:val="28"/>
      <w:sz w:val="32"/>
      <w:szCs w:val="32"/>
    </w:rPr>
  </w:style>
  <w:style w:type="paragraph" w:styleId="36">
    <w:name w:val="List"/>
    <w:basedOn w:val="1"/>
    <w:autoRedefine/>
    <w:qFormat/>
    <w:uiPriority w:val="0"/>
    <w:pPr>
      <w:adjustRightInd w:val="0"/>
      <w:spacing w:line="312" w:lineRule="atLeast"/>
      <w:ind w:left="420" w:hanging="420"/>
      <w:textAlignment w:val="baseline"/>
    </w:pPr>
    <w:rPr>
      <w:kern w:val="0"/>
      <w:szCs w:val="20"/>
    </w:rPr>
  </w:style>
  <w:style w:type="paragraph" w:styleId="37">
    <w:name w:val="toc 6"/>
    <w:basedOn w:val="1"/>
    <w:next w:val="1"/>
    <w:autoRedefine/>
    <w:qFormat/>
    <w:uiPriority w:val="0"/>
    <w:pPr>
      <w:ind w:left="1050"/>
      <w:jc w:val="left"/>
    </w:pPr>
    <w:rPr>
      <w:rFonts w:ascii="Calibri" w:hAnsi="Calibri"/>
      <w:sz w:val="18"/>
      <w:szCs w:val="18"/>
    </w:rPr>
  </w:style>
  <w:style w:type="paragraph" w:styleId="38">
    <w:name w:val="List 5"/>
    <w:basedOn w:val="1"/>
    <w:autoRedefine/>
    <w:qFormat/>
    <w:uiPriority w:val="0"/>
    <w:pPr>
      <w:ind w:left="100" w:leftChars="800" w:hanging="200" w:hangingChars="200"/>
    </w:pPr>
  </w:style>
  <w:style w:type="paragraph" w:styleId="39">
    <w:name w:val="Body Text Indent 3"/>
    <w:basedOn w:val="1"/>
    <w:link w:val="82"/>
    <w:autoRedefine/>
    <w:qFormat/>
    <w:uiPriority w:val="0"/>
    <w:pPr>
      <w:spacing w:line="400" w:lineRule="exact"/>
      <w:ind w:left="360"/>
    </w:pPr>
    <w:rPr>
      <w:sz w:val="24"/>
    </w:rPr>
  </w:style>
  <w:style w:type="paragraph" w:styleId="40">
    <w:name w:val="toc 2"/>
    <w:basedOn w:val="1"/>
    <w:next w:val="1"/>
    <w:autoRedefine/>
    <w:qFormat/>
    <w:uiPriority w:val="39"/>
    <w:pPr>
      <w:ind w:left="210"/>
      <w:jc w:val="left"/>
    </w:pPr>
    <w:rPr>
      <w:rFonts w:ascii="Calibri" w:hAnsi="Calibri"/>
      <w:smallCaps/>
      <w:sz w:val="20"/>
      <w:szCs w:val="20"/>
    </w:rPr>
  </w:style>
  <w:style w:type="paragraph" w:styleId="41">
    <w:name w:val="toc 9"/>
    <w:basedOn w:val="1"/>
    <w:next w:val="1"/>
    <w:autoRedefine/>
    <w:qFormat/>
    <w:uiPriority w:val="0"/>
    <w:pPr>
      <w:ind w:left="1680"/>
      <w:jc w:val="left"/>
    </w:pPr>
    <w:rPr>
      <w:rFonts w:ascii="Calibri" w:hAnsi="Calibri"/>
      <w:sz w:val="18"/>
      <w:szCs w:val="18"/>
    </w:rPr>
  </w:style>
  <w:style w:type="paragraph" w:styleId="42">
    <w:name w:val="Body Text 2"/>
    <w:basedOn w:val="1"/>
    <w:link w:val="83"/>
    <w:autoRedefine/>
    <w:qFormat/>
    <w:uiPriority w:val="0"/>
    <w:rPr>
      <w:rFonts w:ascii="宋体"/>
      <w:sz w:val="13"/>
      <w:szCs w:val="20"/>
    </w:rPr>
  </w:style>
  <w:style w:type="paragraph" w:styleId="43">
    <w:name w:val="List 4"/>
    <w:basedOn w:val="1"/>
    <w:autoRedefine/>
    <w:qFormat/>
    <w:uiPriority w:val="0"/>
    <w:pPr>
      <w:numPr>
        <w:ilvl w:val="2"/>
        <w:numId w:val="4"/>
      </w:numPr>
      <w:tabs>
        <w:tab w:val="clear" w:pos="709"/>
      </w:tabs>
      <w:ind w:left="100" w:leftChars="600" w:hanging="200" w:hangingChars="200"/>
    </w:pPr>
  </w:style>
  <w:style w:type="paragraph" w:styleId="44">
    <w:name w:val="List Continue 2"/>
    <w:basedOn w:val="1"/>
    <w:autoRedefine/>
    <w:qFormat/>
    <w:uiPriority w:val="0"/>
    <w:pPr>
      <w:spacing w:after="120"/>
      <w:ind w:left="840" w:leftChars="400"/>
    </w:pPr>
  </w:style>
  <w:style w:type="paragraph" w:styleId="45">
    <w:name w:val="HTML Preformatted"/>
    <w:basedOn w:val="1"/>
    <w:autoRedefine/>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46">
    <w:name w:val="Normal (Web)"/>
    <w:basedOn w:val="1"/>
    <w:autoRedefine/>
    <w:qFormat/>
    <w:uiPriority w:val="99"/>
    <w:pPr>
      <w:widowControl/>
      <w:spacing w:before="100" w:beforeAutospacing="1" w:after="100" w:afterAutospacing="1"/>
      <w:jc w:val="left"/>
    </w:pPr>
    <w:rPr>
      <w:rFonts w:ascii="宋体"/>
      <w:color w:val="000000"/>
      <w:kern w:val="0"/>
      <w:sz w:val="18"/>
      <w:szCs w:val="18"/>
    </w:rPr>
  </w:style>
  <w:style w:type="paragraph" w:styleId="47">
    <w:name w:val="List Continue 3"/>
    <w:basedOn w:val="1"/>
    <w:autoRedefine/>
    <w:qFormat/>
    <w:uiPriority w:val="0"/>
    <w:pPr>
      <w:spacing w:after="120"/>
      <w:ind w:left="1260" w:leftChars="600"/>
    </w:pPr>
  </w:style>
  <w:style w:type="paragraph" w:styleId="48">
    <w:name w:val="Title"/>
    <w:basedOn w:val="1"/>
    <w:next w:val="1"/>
    <w:link w:val="84"/>
    <w:autoRedefine/>
    <w:qFormat/>
    <w:uiPriority w:val="0"/>
    <w:pPr>
      <w:spacing w:before="240" w:after="60"/>
      <w:jc w:val="center"/>
      <w:outlineLvl w:val="0"/>
    </w:pPr>
    <w:rPr>
      <w:rFonts w:ascii="Cambria" w:hAnsi="Cambria"/>
      <w:b/>
      <w:bCs/>
      <w:sz w:val="32"/>
      <w:szCs w:val="32"/>
    </w:rPr>
  </w:style>
  <w:style w:type="paragraph" w:styleId="49">
    <w:name w:val="annotation subject"/>
    <w:basedOn w:val="16"/>
    <w:next w:val="16"/>
    <w:link w:val="85"/>
    <w:autoRedefine/>
    <w:qFormat/>
    <w:uiPriority w:val="0"/>
    <w:rPr>
      <w:b/>
    </w:rPr>
  </w:style>
  <w:style w:type="paragraph" w:styleId="50">
    <w:name w:val="Body Text First Indent"/>
    <w:basedOn w:val="1"/>
    <w:link w:val="86"/>
    <w:autoRedefine/>
    <w:qFormat/>
    <w:uiPriority w:val="0"/>
    <w:pPr>
      <w:spacing w:line="500" w:lineRule="atLeast"/>
      <w:ind w:firstLine="567"/>
    </w:pPr>
    <w:rPr>
      <w:rFonts w:ascii="宋体" w:hAnsi="金山简黑体" w:eastAsia="金山简黑体"/>
      <w:b/>
      <w:spacing w:val="-8"/>
      <w:sz w:val="28"/>
      <w:szCs w:val="20"/>
    </w:rPr>
  </w:style>
  <w:style w:type="paragraph" w:styleId="51">
    <w:name w:val="Body Text First Indent 2"/>
    <w:basedOn w:val="20"/>
    <w:autoRedefine/>
    <w:qFormat/>
    <w:uiPriority w:val="99"/>
    <w:pPr>
      <w:adjustRightInd w:val="0"/>
      <w:spacing w:line="312" w:lineRule="atLeast"/>
      <w:ind w:left="1296"/>
      <w:textAlignment w:val="baseline"/>
    </w:pPr>
    <w:rPr>
      <w:rFonts w:eastAsia="仿宋_GB2312"/>
      <w:kern w:val="21"/>
      <w:sz w:val="32"/>
    </w:rPr>
  </w:style>
  <w:style w:type="table" w:styleId="53">
    <w:name w:val="Table Grid"/>
    <w:basedOn w:val="5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5">
    <w:name w:val="Strong"/>
    <w:autoRedefine/>
    <w:qFormat/>
    <w:uiPriority w:val="0"/>
    <w:rPr>
      <w:b/>
      <w:bCs/>
    </w:rPr>
  </w:style>
  <w:style w:type="character" w:styleId="56">
    <w:name w:val="page number"/>
    <w:basedOn w:val="54"/>
    <w:autoRedefine/>
    <w:qFormat/>
    <w:uiPriority w:val="0"/>
  </w:style>
  <w:style w:type="character" w:styleId="57">
    <w:name w:val="FollowedHyperlink"/>
    <w:autoRedefine/>
    <w:qFormat/>
    <w:uiPriority w:val="0"/>
    <w:rPr>
      <w:color w:val="800080"/>
      <w:u w:val="single"/>
    </w:rPr>
  </w:style>
  <w:style w:type="character" w:styleId="58">
    <w:name w:val="Emphasis"/>
    <w:basedOn w:val="54"/>
    <w:autoRedefine/>
    <w:qFormat/>
    <w:uiPriority w:val="0"/>
    <w:rPr>
      <w:i/>
    </w:rPr>
  </w:style>
  <w:style w:type="character" w:styleId="59">
    <w:name w:val="Hyperlink"/>
    <w:autoRedefine/>
    <w:qFormat/>
    <w:uiPriority w:val="99"/>
    <w:rPr>
      <w:color w:val="0000FF"/>
      <w:u w:val="single"/>
    </w:rPr>
  </w:style>
  <w:style w:type="character" w:styleId="60">
    <w:name w:val="annotation reference"/>
    <w:autoRedefine/>
    <w:semiHidden/>
    <w:qFormat/>
    <w:uiPriority w:val="0"/>
    <w:rPr>
      <w:sz w:val="21"/>
      <w:szCs w:val="21"/>
    </w:rPr>
  </w:style>
  <w:style w:type="character" w:customStyle="1" w:styleId="61">
    <w:name w:val="标题 2 Char"/>
    <w:link w:val="3"/>
    <w:autoRedefine/>
    <w:qFormat/>
    <w:uiPriority w:val="0"/>
    <w:rPr>
      <w:rFonts w:eastAsia="黑体"/>
      <w:b/>
      <w:sz w:val="28"/>
    </w:rPr>
  </w:style>
  <w:style w:type="character" w:customStyle="1" w:styleId="62">
    <w:name w:val="标题 1 Char"/>
    <w:link w:val="2"/>
    <w:autoRedefine/>
    <w:qFormat/>
    <w:uiPriority w:val="0"/>
    <w:rPr>
      <w:rFonts w:eastAsia="黑体"/>
      <w:b/>
      <w:kern w:val="44"/>
      <w:sz w:val="28"/>
    </w:rPr>
  </w:style>
  <w:style w:type="character" w:customStyle="1" w:styleId="63">
    <w:name w:val="标题 3 Char"/>
    <w:link w:val="4"/>
    <w:autoRedefine/>
    <w:qFormat/>
    <w:uiPriority w:val="0"/>
    <w:rPr>
      <w:rFonts w:eastAsia="黑体"/>
      <w:b/>
      <w:sz w:val="28"/>
    </w:rPr>
  </w:style>
  <w:style w:type="character" w:customStyle="1" w:styleId="64">
    <w:name w:val="标题 4 Char"/>
    <w:link w:val="5"/>
    <w:autoRedefine/>
    <w:qFormat/>
    <w:uiPriority w:val="0"/>
    <w:rPr>
      <w:rFonts w:ascii="Arial" w:hAnsi="Arial" w:eastAsia="黑体"/>
      <w:sz w:val="28"/>
    </w:rPr>
  </w:style>
  <w:style w:type="character" w:customStyle="1" w:styleId="65">
    <w:name w:val="标题 5 Char"/>
    <w:link w:val="6"/>
    <w:autoRedefine/>
    <w:qFormat/>
    <w:uiPriority w:val="0"/>
    <w:rPr>
      <w:b/>
      <w:bCs/>
      <w:kern w:val="2"/>
      <w:sz w:val="28"/>
      <w:szCs w:val="28"/>
    </w:rPr>
  </w:style>
  <w:style w:type="character" w:customStyle="1" w:styleId="66">
    <w:name w:val="标题 6 Char"/>
    <w:link w:val="7"/>
    <w:autoRedefine/>
    <w:qFormat/>
    <w:uiPriority w:val="0"/>
    <w:rPr>
      <w:rFonts w:ascii="Arial" w:hAnsi="Arial" w:eastAsia="黑体"/>
      <w:b/>
      <w:bCs/>
      <w:kern w:val="2"/>
      <w:sz w:val="24"/>
      <w:szCs w:val="24"/>
    </w:rPr>
  </w:style>
  <w:style w:type="character" w:customStyle="1" w:styleId="67">
    <w:name w:val="标题 7 Char"/>
    <w:link w:val="8"/>
    <w:autoRedefine/>
    <w:qFormat/>
    <w:uiPriority w:val="0"/>
    <w:rPr>
      <w:b/>
      <w:color w:val="000000"/>
      <w:sz w:val="24"/>
    </w:rPr>
  </w:style>
  <w:style w:type="character" w:customStyle="1" w:styleId="68">
    <w:name w:val="标题 8 Char"/>
    <w:link w:val="9"/>
    <w:autoRedefine/>
    <w:qFormat/>
    <w:uiPriority w:val="0"/>
    <w:rPr>
      <w:rFonts w:ascii="Arial" w:hAnsi="Arial" w:eastAsia="黑体"/>
      <w:color w:val="000000"/>
      <w:sz w:val="24"/>
    </w:rPr>
  </w:style>
  <w:style w:type="character" w:customStyle="1" w:styleId="69">
    <w:name w:val="标题 9 Char"/>
    <w:link w:val="10"/>
    <w:autoRedefine/>
    <w:qFormat/>
    <w:uiPriority w:val="0"/>
    <w:rPr>
      <w:rFonts w:ascii="Arial" w:hAnsi="Arial" w:eastAsia="黑体"/>
      <w:color w:val="000000"/>
      <w:sz w:val="24"/>
    </w:rPr>
  </w:style>
  <w:style w:type="character" w:customStyle="1" w:styleId="70">
    <w:name w:val="文档结构图 Char"/>
    <w:link w:val="15"/>
    <w:autoRedefine/>
    <w:qFormat/>
    <w:uiPriority w:val="99"/>
    <w:rPr>
      <w:kern w:val="2"/>
      <w:sz w:val="21"/>
      <w:szCs w:val="24"/>
      <w:shd w:val="clear" w:color="auto" w:fill="000080"/>
    </w:rPr>
  </w:style>
  <w:style w:type="character" w:customStyle="1" w:styleId="71">
    <w:name w:val="批注文字 Char"/>
    <w:link w:val="16"/>
    <w:autoRedefine/>
    <w:qFormat/>
    <w:uiPriority w:val="0"/>
    <w:rPr>
      <w:kern w:val="2"/>
      <w:sz w:val="21"/>
      <w:szCs w:val="24"/>
    </w:rPr>
  </w:style>
  <w:style w:type="character" w:customStyle="1" w:styleId="72">
    <w:name w:val="正文文本 3 Char"/>
    <w:link w:val="17"/>
    <w:autoRedefine/>
    <w:qFormat/>
    <w:uiPriority w:val="0"/>
    <w:rPr>
      <w:kern w:val="2"/>
      <w:sz w:val="24"/>
      <w:szCs w:val="24"/>
    </w:rPr>
  </w:style>
  <w:style w:type="character" w:customStyle="1" w:styleId="73">
    <w:name w:val="正文文本 Char"/>
    <w:link w:val="18"/>
    <w:autoRedefine/>
    <w:qFormat/>
    <w:uiPriority w:val="0"/>
    <w:rPr>
      <w:rFonts w:ascii="金山简黑体" w:hAnsi="金山简黑体" w:eastAsia="金山简黑体"/>
      <w:b/>
      <w:spacing w:val="-8"/>
      <w:kern w:val="2"/>
      <w:sz w:val="44"/>
    </w:rPr>
  </w:style>
  <w:style w:type="character" w:customStyle="1" w:styleId="74">
    <w:name w:val="纯文本 Char"/>
    <w:link w:val="19"/>
    <w:autoRedefine/>
    <w:qFormat/>
    <w:uiPriority w:val="0"/>
    <w:rPr>
      <w:rFonts w:ascii="宋体" w:eastAsia="宋体"/>
      <w:kern w:val="2"/>
      <w:sz w:val="21"/>
      <w:lang w:val="en-US" w:eastAsia="zh-CN" w:bidi="ar-SA"/>
    </w:rPr>
  </w:style>
  <w:style w:type="character" w:customStyle="1" w:styleId="75">
    <w:name w:val="正文文本缩进 Char"/>
    <w:link w:val="20"/>
    <w:autoRedefine/>
    <w:qFormat/>
    <w:uiPriority w:val="0"/>
    <w:rPr>
      <w:rFonts w:ascii="宋体"/>
      <w:spacing w:val="-4"/>
      <w:kern w:val="2"/>
      <w:sz w:val="18"/>
    </w:rPr>
  </w:style>
  <w:style w:type="character" w:customStyle="1" w:styleId="76">
    <w:name w:val="日期 Char"/>
    <w:link w:val="28"/>
    <w:autoRedefine/>
    <w:qFormat/>
    <w:uiPriority w:val="0"/>
    <w:rPr>
      <w:kern w:val="2"/>
      <w:sz w:val="24"/>
    </w:rPr>
  </w:style>
  <w:style w:type="character" w:customStyle="1" w:styleId="77">
    <w:name w:val="正文文本缩进 2 Char"/>
    <w:link w:val="29"/>
    <w:autoRedefine/>
    <w:qFormat/>
    <w:uiPriority w:val="0"/>
    <w:rPr>
      <w:kern w:val="2"/>
      <w:sz w:val="21"/>
      <w:szCs w:val="24"/>
    </w:rPr>
  </w:style>
  <w:style w:type="character" w:customStyle="1" w:styleId="78">
    <w:name w:val="批注框文本 Char"/>
    <w:link w:val="30"/>
    <w:autoRedefine/>
    <w:qFormat/>
    <w:uiPriority w:val="99"/>
    <w:rPr>
      <w:kern w:val="2"/>
      <w:sz w:val="18"/>
      <w:szCs w:val="18"/>
    </w:rPr>
  </w:style>
  <w:style w:type="character" w:customStyle="1" w:styleId="79">
    <w:name w:val="页脚 Char"/>
    <w:link w:val="31"/>
    <w:autoRedefine/>
    <w:qFormat/>
    <w:uiPriority w:val="99"/>
    <w:rPr>
      <w:rFonts w:ascii="宋体"/>
      <w:kern w:val="2"/>
      <w:sz w:val="18"/>
    </w:rPr>
  </w:style>
  <w:style w:type="character" w:customStyle="1" w:styleId="80">
    <w:name w:val="页眉 Char"/>
    <w:link w:val="32"/>
    <w:autoRedefine/>
    <w:qFormat/>
    <w:uiPriority w:val="99"/>
    <w:rPr>
      <w:kern w:val="2"/>
      <w:sz w:val="18"/>
      <w:szCs w:val="18"/>
    </w:rPr>
  </w:style>
  <w:style w:type="character" w:customStyle="1" w:styleId="81">
    <w:name w:val="副标题 Char"/>
    <w:link w:val="35"/>
    <w:autoRedefine/>
    <w:qFormat/>
    <w:uiPriority w:val="0"/>
    <w:rPr>
      <w:rFonts w:ascii="Cambria" w:hAnsi="Cambria" w:cs="Times New Roman"/>
      <w:b/>
      <w:bCs/>
      <w:kern w:val="28"/>
      <w:sz w:val="32"/>
      <w:szCs w:val="32"/>
    </w:rPr>
  </w:style>
  <w:style w:type="character" w:customStyle="1" w:styleId="82">
    <w:name w:val="正文文本缩进 3 Char"/>
    <w:link w:val="39"/>
    <w:autoRedefine/>
    <w:qFormat/>
    <w:uiPriority w:val="0"/>
    <w:rPr>
      <w:kern w:val="2"/>
      <w:sz w:val="24"/>
      <w:szCs w:val="24"/>
    </w:rPr>
  </w:style>
  <w:style w:type="character" w:customStyle="1" w:styleId="83">
    <w:name w:val="正文文本 2 Char"/>
    <w:link w:val="42"/>
    <w:autoRedefine/>
    <w:qFormat/>
    <w:uiPriority w:val="0"/>
    <w:rPr>
      <w:rFonts w:ascii="宋体"/>
      <w:kern w:val="2"/>
      <w:sz w:val="13"/>
    </w:rPr>
  </w:style>
  <w:style w:type="character" w:customStyle="1" w:styleId="84">
    <w:name w:val="标题 Char"/>
    <w:link w:val="48"/>
    <w:autoRedefine/>
    <w:qFormat/>
    <w:uiPriority w:val="0"/>
    <w:rPr>
      <w:rFonts w:ascii="Cambria" w:hAnsi="Cambria" w:cs="Times New Roman"/>
      <w:b/>
      <w:bCs/>
      <w:kern w:val="2"/>
      <w:sz w:val="32"/>
      <w:szCs w:val="32"/>
    </w:rPr>
  </w:style>
  <w:style w:type="character" w:customStyle="1" w:styleId="85">
    <w:name w:val="批注主题 Char"/>
    <w:link w:val="49"/>
    <w:autoRedefine/>
    <w:qFormat/>
    <w:uiPriority w:val="0"/>
    <w:rPr>
      <w:b/>
      <w:kern w:val="2"/>
      <w:sz w:val="21"/>
      <w:szCs w:val="24"/>
    </w:rPr>
  </w:style>
  <w:style w:type="character" w:customStyle="1" w:styleId="86">
    <w:name w:val="正文首行缩进 Char"/>
    <w:link w:val="50"/>
    <w:autoRedefine/>
    <w:qFormat/>
    <w:uiPriority w:val="0"/>
    <w:rPr>
      <w:rFonts w:ascii="宋体" w:hAnsi="金山简黑体" w:eastAsia="金山简黑体"/>
      <w:b/>
      <w:spacing w:val="-8"/>
      <w:kern w:val="2"/>
      <w:sz w:val="28"/>
    </w:rPr>
  </w:style>
  <w:style w:type="paragraph" w:customStyle="1" w:styleId="87">
    <w:name w:val="List Paragraph1"/>
    <w:basedOn w:val="1"/>
    <w:autoRedefine/>
    <w:qFormat/>
    <w:uiPriority w:val="99"/>
    <w:pPr>
      <w:ind w:firstLine="420" w:firstLineChars="200"/>
    </w:pPr>
  </w:style>
  <w:style w:type="paragraph" w:customStyle="1" w:styleId="88">
    <w:name w:val="Default"/>
    <w:autoRedefine/>
    <w:qFormat/>
    <w:uiPriority w:val="0"/>
    <w:pPr>
      <w:widowControl w:val="0"/>
      <w:autoSpaceDE w:val="0"/>
      <w:autoSpaceDN w:val="0"/>
      <w:adjustRightInd w:val="0"/>
    </w:pPr>
    <w:rPr>
      <w:rFonts w:ascii="华文中宋" w:hAnsi="Times New Roman" w:eastAsia="华文中宋" w:cs="华文中宋"/>
      <w:color w:val="000000"/>
      <w:sz w:val="24"/>
      <w:szCs w:val="24"/>
      <w:lang w:val="en-US" w:eastAsia="zh-CN" w:bidi="ar-SA"/>
    </w:rPr>
  </w:style>
  <w:style w:type="character" w:customStyle="1" w:styleId="89">
    <w:name w:val="样式13 Char"/>
    <w:link w:val="90"/>
    <w:autoRedefine/>
    <w:qFormat/>
    <w:uiPriority w:val="0"/>
  </w:style>
  <w:style w:type="paragraph" w:customStyle="1" w:styleId="90">
    <w:name w:val="样式13"/>
    <w:basedOn w:val="31"/>
    <w:link w:val="89"/>
    <w:autoRedefine/>
    <w:qFormat/>
    <w:uiPriority w:val="0"/>
    <w:pPr>
      <w:pBdr>
        <w:top w:val="thinThickSmallGap" w:color="7030A0" w:sz="18" w:space="1"/>
      </w:pBdr>
      <w:ind w:right="360"/>
    </w:pPr>
  </w:style>
  <w:style w:type="character" w:customStyle="1" w:styleId="91">
    <w:name w:val="纯文本 Char1"/>
    <w:autoRedefine/>
    <w:semiHidden/>
    <w:qFormat/>
    <w:uiPriority w:val="99"/>
    <w:rPr>
      <w:rFonts w:ascii="宋体" w:hAnsi="Courier New" w:cs="Courier New"/>
      <w:kern w:val="2"/>
      <w:sz w:val="21"/>
      <w:szCs w:val="21"/>
    </w:rPr>
  </w:style>
  <w:style w:type="character" w:customStyle="1" w:styleId="92">
    <w:name w:val="样式8 Char"/>
    <w:link w:val="93"/>
    <w:autoRedefine/>
    <w:qFormat/>
    <w:uiPriority w:val="0"/>
  </w:style>
  <w:style w:type="paragraph" w:customStyle="1" w:styleId="93">
    <w:name w:val="样式8"/>
    <w:basedOn w:val="31"/>
    <w:link w:val="92"/>
    <w:autoRedefine/>
    <w:qFormat/>
    <w:uiPriority w:val="0"/>
    <w:pPr>
      <w:pBdr>
        <w:top w:val="thinThickSmallGap" w:color="7030A0" w:sz="18" w:space="1"/>
      </w:pBdr>
      <w:ind w:right="360"/>
      <w:jc w:val="both"/>
    </w:pPr>
  </w:style>
  <w:style w:type="character" w:customStyle="1" w:styleId="94">
    <w:name w:val="Char Char"/>
    <w:autoRedefine/>
    <w:qFormat/>
    <w:uiPriority w:val="0"/>
    <w:rPr>
      <w:rFonts w:ascii="宋体" w:hAnsi="Courier New"/>
      <w:kern w:val="2"/>
      <w:sz w:val="21"/>
    </w:rPr>
  </w:style>
  <w:style w:type="character" w:customStyle="1" w:styleId="95">
    <w:name w:val="标题 3 Char1"/>
    <w:autoRedefine/>
    <w:qFormat/>
    <w:uiPriority w:val="0"/>
    <w:rPr>
      <w:rFonts w:eastAsia="宋体"/>
      <w:b/>
      <w:bCs/>
      <w:kern w:val="2"/>
      <w:sz w:val="32"/>
      <w:szCs w:val="32"/>
      <w:lang w:val="en-US" w:eastAsia="zh-CN" w:bidi="ar-SA"/>
    </w:rPr>
  </w:style>
  <w:style w:type="character" w:customStyle="1" w:styleId="96">
    <w:name w:val="样式19 Char"/>
    <w:link w:val="97"/>
    <w:autoRedefine/>
    <w:qFormat/>
    <w:uiPriority w:val="0"/>
  </w:style>
  <w:style w:type="paragraph" w:customStyle="1" w:styleId="97">
    <w:name w:val="样式19"/>
    <w:basedOn w:val="90"/>
    <w:link w:val="96"/>
    <w:autoRedefine/>
    <w:qFormat/>
    <w:uiPriority w:val="0"/>
    <w:pPr>
      <w:pBdr>
        <w:top w:val="thinThickSmallGap" w:color="0000FF" w:sz="18" w:space="1"/>
      </w:pBdr>
      <w:jc w:val="right"/>
    </w:pPr>
  </w:style>
  <w:style w:type="character" w:customStyle="1" w:styleId="98">
    <w:name w:val="样式11 Char"/>
    <w:link w:val="99"/>
    <w:autoRedefine/>
    <w:qFormat/>
    <w:uiPriority w:val="0"/>
    <w:rPr>
      <w:rFonts w:ascii="宋体" w:eastAsia="宋体"/>
      <w:color w:val="000000"/>
      <w:kern w:val="2"/>
      <w:sz w:val="21"/>
      <w:lang w:val="en-US" w:eastAsia="zh-CN" w:bidi="ar-SA"/>
    </w:rPr>
  </w:style>
  <w:style w:type="paragraph" w:customStyle="1" w:styleId="99">
    <w:name w:val="样式11"/>
    <w:basedOn w:val="19"/>
    <w:link w:val="98"/>
    <w:autoRedefine/>
    <w:qFormat/>
    <w:uiPriority w:val="0"/>
    <w:pPr>
      <w:pBdr>
        <w:bottom w:val="single" w:color="0033CC" w:sz="18" w:space="1"/>
      </w:pBdr>
      <w:jc w:val="center"/>
    </w:pPr>
    <w:rPr>
      <w:color w:val="000000"/>
    </w:rPr>
  </w:style>
  <w:style w:type="character" w:customStyle="1" w:styleId="100">
    <w:name w:val="样式5 Char"/>
    <w:link w:val="101"/>
    <w:autoRedefine/>
    <w:qFormat/>
    <w:uiPriority w:val="0"/>
    <w:rPr>
      <w:rFonts w:ascii="宋体" w:eastAsia="宋体"/>
      <w:color w:val="000000"/>
      <w:kern w:val="2"/>
      <w:sz w:val="21"/>
      <w:lang w:val="en-US" w:eastAsia="zh-CN" w:bidi="ar-SA"/>
    </w:rPr>
  </w:style>
  <w:style w:type="paragraph" w:customStyle="1" w:styleId="101">
    <w:name w:val="样式5"/>
    <w:basedOn w:val="19"/>
    <w:link w:val="100"/>
    <w:autoRedefine/>
    <w:qFormat/>
    <w:uiPriority w:val="0"/>
    <w:pPr>
      <w:pBdr>
        <w:bottom w:val="single" w:color="0033CC" w:sz="18" w:space="1"/>
      </w:pBdr>
      <w:jc w:val="center"/>
    </w:pPr>
    <w:rPr>
      <w:color w:val="000000"/>
    </w:rPr>
  </w:style>
  <w:style w:type="character" w:customStyle="1" w:styleId="102">
    <w:name w:val="样式9 Char"/>
    <w:link w:val="103"/>
    <w:autoRedefine/>
    <w:qFormat/>
    <w:uiPriority w:val="0"/>
    <w:rPr>
      <w:color w:val="000000"/>
      <w:kern w:val="2"/>
      <w:sz w:val="21"/>
      <w:szCs w:val="21"/>
    </w:rPr>
  </w:style>
  <w:style w:type="paragraph" w:customStyle="1" w:styleId="103">
    <w:name w:val="样式9"/>
    <w:basedOn w:val="1"/>
    <w:link w:val="102"/>
    <w:autoRedefine/>
    <w:qFormat/>
    <w:uiPriority w:val="0"/>
    <w:pPr>
      <w:spacing w:beforeLines="50" w:line="360" w:lineRule="auto"/>
      <w:ind w:left="420" w:leftChars="200"/>
    </w:pPr>
    <w:rPr>
      <w:color w:val="000000"/>
      <w:szCs w:val="21"/>
    </w:rPr>
  </w:style>
  <w:style w:type="character" w:customStyle="1" w:styleId="104">
    <w:name w:val="样式 宋体 小四号"/>
    <w:autoRedefine/>
    <w:qFormat/>
    <w:uiPriority w:val="0"/>
    <w:rPr>
      <w:rFonts w:ascii="宋体" w:hAnsi="宋体" w:eastAsia="宋体"/>
      <w:spacing w:val="0"/>
      <w:sz w:val="24"/>
      <w:szCs w:val="24"/>
    </w:rPr>
  </w:style>
  <w:style w:type="character" w:customStyle="1" w:styleId="105">
    <w:name w:val="样式3 Char"/>
    <w:link w:val="106"/>
    <w:autoRedefine/>
    <w:qFormat/>
    <w:uiPriority w:val="0"/>
  </w:style>
  <w:style w:type="paragraph" w:customStyle="1" w:styleId="106">
    <w:name w:val="样式3"/>
    <w:basedOn w:val="31"/>
    <w:link w:val="105"/>
    <w:autoRedefine/>
    <w:qFormat/>
    <w:uiPriority w:val="0"/>
    <w:pPr>
      <w:pBdr>
        <w:top w:val="thinThickSmallGap" w:color="7030A0" w:sz="18" w:space="1"/>
      </w:pBdr>
      <w:ind w:right="360"/>
      <w:jc w:val="right"/>
    </w:pPr>
  </w:style>
  <w:style w:type="character" w:customStyle="1" w:styleId="107">
    <w:name w:val="样式 标题 3二级节名3h33rd levelHead 3 + 加粗 Char"/>
    <w:autoRedefine/>
    <w:qFormat/>
    <w:uiPriority w:val="0"/>
    <w:rPr>
      <w:rFonts w:ascii="宋体" w:eastAsia="黑体"/>
      <w:b/>
      <w:kern w:val="2"/>
      <w:sz w:val="21"/>
      <w:lang w:val="en-US" w:eastAsia="zh-CN" w:bidi="ar-SA"/>
    </w:rPr>
  </w:style>
  <w:style w:type="character" w:customStyle="1" w:styleId="108">
    <w:name w:val="样式18 Char"/>
    <w:link w:val="109"/>
    <w:autoRedefine/>
    <w:qFormat/>
    <w:uiPriority w:val="0"/>
    <w:rPr>
      <w:lang w:val="en-US" w:eastAsia="zh-CN" w:bidi="ar-SA"/>
    </w:rPr>
  </w:style>
  <w:style w:type="paragraph" w:customStyle="1" w:styleId="109">
    <w:name w:val="样式18"/>
    <w:basedOn w:val="99"/>
    <w:link w:val="108"/>
    <w:autoRedefine/>
    <w:qFormat/>
    <w:uiPriority w:val="0"/>
    <w:pPr>
      <w:pBdr>
        <w:bottom w:val="none" w:color="auto" w:sz="0" w:space="0"/>
      </w:pBdr>
      <w:wordWrap w:val="0"/>
      <w:jc w:val="right"/>
    </w:pPr>
  </w:style>
  <w:style w:type="character" w:customStyle="1" w:styleId="110">
    <w:name w:val="表格文字 Char"/>
    <w:link w:val="111"/>
    <w:autoRedefine/>
    <w:qFormat/>
    <w:uiPriority w:val="0"/>
    <w:rPr>
      <w:rFonts w:eastAsia="楷体_GB2312"/>
      <w:sz w:val="24"/>
      <w:lang w:val="en-US" w:eastAsia="zh-CN" w:bidi="ar-SA"/>
    </w:rPr>
  </w:style>
  <w:style w:type="paragraph" w:customStyle="1" w:styleId="111">
    <w:name w:val="表格文字"/>
    <w:next w:val="18"/>
    <w:link w:val="110"/>
    <w:autoRedefine/>
    <w:qFormat/>
    <w:uiPriority w:val="0"/>
    <w:pPr>
      <w:jc w:val="center"/>
    </w:pPr>
    <w:rPr>
      <w:rFonts w:ascii="Times New Roman" w:hAnsi="Times New Roman" w:eastAsia="楷体_GB2312" w:cs="Times New Roman"/>
      <w:sz w:val="24"/>
      <w:lang w:val="en-US" w:eastAsia="zh-CN" w:bidi="ar-SA"/>
    </w:rPr>
  </w:style>
  <w:style w:type="character" w:customStyle="1" w:styleId="112">
    <w:name w:val="样式6 Char"/>
    <w:link w:val="113"/>
    <w:autoRedefine/>
    <w:qFormat/>
    <w:uiPriority w:val="0"/>
    <w:rPr>
      <w:rFonts w:ascii="宋体" w:eastAsia="宋体"/>
      <w:color w:val="000000"/>
      <w:kern w:val="2"/>
      <w:sz w:val="21"/>
      <w:lang w:val="en-US" w:eastAsia="zh-CN" w:bidi="ar-SA"/>
    </w:rPr>
  </w:style>
  <w:style w:type="paragraph" w:customStyle="1" w:styleId="113">
    <w:name w:val="样式6"/>
    <w:basedOn w:val="19"/>
    <w:link w:val="112"/>
    <w:autoRedefine/>
    <w:qFormat/>
    <w:uiPriority w:val="0"/>
    <w:pPr>
      <w:pBdr>
        <w:bottom w:val="single" w:color="0033CC" w:sz="18" w:space="1"/>
      </w:pBdr>
      <w:jc w:val="center"/>
    </w:pPr>
    <w:rPr>
      <w:color w:val="000000"/>
    </w:rPr>
  </w:style>
  <w:style w:type="character" w:customStyle="1" w:styleId="114">
    <w:name w:val="样式10 Char"/>
    <w:link w:val="115"/>
    <w:autoRedefine/>
    <w:qFormat/>
    <w:uiPriority w:val="0"/>
    <w:rPr>
      <w:rFonts w:ascii="宋体" w:eastAsia="宋体"/>
      <w:color w:val="000000"/>
      <w:kern w:val="2"/>
      <w:sz w:val="21"/>
      <w:lang w:val="en-US" w:eastAsia="zh-CN" w:bidi="ar-SA"/>
    </w:rPr>
  </w:style>
  <w:style w:type="paragraph" w:customStyle="1" w:styleId="115">
    <w:name w:val="样式10"/>
    <w:basedOn w:val="19"/>
    <w:link w:val="114"/>
    <w:autoRedefine/>
    <w:qFormat/>
    <w:uiPriority w:val="0"/>
    <w:pPr>
      <w:pBdr>
        <w:bottom w:val="single" w:color="0033CC" w:sz="18" w:space="1"/>
      </w:pBdr>
      <w:jc w:val="center"/>
    </w:pPr>
    <w:rPr>
      <w:color w:val="000000"/>
    </w:rPr>
  </w:style>
  <w:style w:type="character" w:customStyle="1" w:styleId="116">
    <w:name w:val="样式23 Char"/>
    <w:link w:val="117"/>
    <w:autoRedefine/>
    <w:qFormat/>
    <w:uiPriority w:val="0"/>
  </w:style>
  <w:style w:type="paragraph" w:customStyle="1" w:styleId="117">
    <w:name w:val="样式23"/>
    <w:basedOn w:val="32"/>
    <w:link w:val="116"/>
    <w:autoRedefine/>
    <w:qFormat/>
    <w:uiPriority w:val="0"/>
    <w:pPr>
      <w:pBdr>
        <w:bottom w:val="none" w:color="auto" w:sz="0" w:space="0"/>
      </w:pBdr>
    </w:pPr>
  </w:style>
  <w:style w:type="character" w:customStyle="1" w:styleId="118">
    <w:name w:val="样式16 Char"/>
    <w:link w:val="119"/>
    <w:autoRedefine/>
    <w:qFormat/>
    <w:uiPriority w:val="0"/>
  </w:style>
  <w:style w:type="paragraph" w:customStyle="1" w:styleId="119">
    <w:name w:val="样式16"/>
    <w:basedOn w:val="31"/>
    <w:link w:val="118"/>
    <w:autoRedefine/>
    <w:qFormat/>
    <w:uiPriority w:val="0"/>
    <w:pPr>
      <w:pBdr>
        <w:top w:val="thinThickSmallGap" w:color="0000FF" w:sz="18" w:space="1"/>
      </w:pBdr>
      <w:ind w:right="360"/>
      <w:jc w:val="right"/>
    </w:pPr>
  </w:style>
  <w:style w:type="character" w:customStyle="1" w:styleId="120">
    <w:name w:val="样式22 Char"/>
    <w:link w:val="121"/>
    <w:autoRedefine/>
    <w:qFormat/>
    <w:uiPriority w:val="0"/>
  </w:style>
  <w:style w:type="paragraph" w:customStyle="1" w:styleId="121">
    <w:name w:val="样式22"/>
    <w:basedOn w:val="122"/>
    <w:link w:val="120"/>
    <w:autoRedefine/>
    <w:qFormat/>
    <w:uiPriority w:val="0"/>
    <w:pPr>
      <w:pBdr>
        <w:top w:val="thinThickSmallGap" w:color="0000FF" w:sz="18" w:space="1"/>
      </w:pBdr>
      <w:tabs>
        <w:tab w:val="center" w:pos="4153"/>
        <w:tab w:val="right" w:pos="8306"/>
      </w:tabs>
    </w:pPr>
  </w:style>
  <w:style w:type="paragraph" w:customStyle="1" w:styleId="122">
    <w:name w:val="样式4"/>
    <w:basedOn w:val="31"/>
    <w:link w:val="123"/>
    <w:autoRedefine/>
    <w:qFormat/>
    <w:uiPriority w:val="0"/>
    <w:pPr>
      <w:pBdr>
        <w:top w:val="thinThickSmallGap" w:color="7030A0" w:sz="18" w:space="1"/>
      </w:pBdr>
      <w:ind w:right="360"/>
      <w:jc w:val="right"/>
    </w:pPr>
  </w:style>
  <w:style w:type="character" w:customStyle="1" w:styleId="123">
    <w:name w:val="样式4 Char"/>
    <w:link w:val="122"/>
    <w:autoRedefine/>
    <w:qFormat/>
    <w:uiPriority w:val="0"/>
  </w:style>
  <w:style w:type="character" w:customStyle="1" w:styleId="124">
    <w:name w:val="p121"/>
    <w:autoRedefine/>
    <w:qFormat/>
    <w:uiPriority w:val="0"/>
    <w:rPr>
      <w:rFonts w:hint="default"/>
      <w:sz w:val="24"/>
      <w:u w:val="none"/>
    </w:rPr>
  </w:style>
  <w:style w:type="character" w:customStyle="1" w:styleId="125">
    <w:name w:val="grame"/>
    <w:autoRedefine/>
    <w:qFormat/>
    <w:uiPriority w:val="0"/>
  </w:style>
  <w:style w:type="character" w:customStyle="1" w:styleId="126">
    <w:name w:val="black1"/>
    <w:autoRedefine/>
    <w:qFormat/>
    <w:uiPriority w:val="0"/>
    <w:rPr>
      <w:rFonts w:hint="default" w:ascii="ˎ̥" w:hAnsi="ˎ̥"/>
      <w:color w:val="333333"/>
      <w:sz w:val="15"/>
      <w:szCs w:val="15"/>
      <w:u w:val="none"/>
    </w:rPr>
  </w:style>
  <w:style w:type="character" w:customStyle="1" w:styleId="127">
    <w:name w:val="样式15 Char"/>
    <w:link w:val="128"/>
    <w:autoRedefine/>
    <w:qFormat/>
    <w:uiPriority w:val="0"/>
  </w:style>
  <w:style w:type="paragraph" w:customStyle="1" w:styleId="128">
    <w:name w:val="样式15"/>
    <w:basedOn w:val="106"/>
    <w:link w:val="127"/>
    <w:autoRedefine/>
    <w:qFormat/>
    <w:uiPriority w:val="0"/>
    <w:pPr>
      <w:pBdr>
        <w:top w:val="thinThickSmallGap" w:color="0000FF" w:sz="18" w:space="1"/>
      </w:pBdr>
    </w:pPr>
  </w:style>
  <w:style w:type="character" w:customStyle="1" w:styleId="129">
    <w:name w:val="样式7 Char"/>
    <w:link w:val="130"/>
    <w:autoRedefine/>
    <w:qFormat/>
    <w:uiPriority w:val="0"/>
    <w:rPr>
      <w:rFonts w:ascii="宋体" w:eastAsia="宋体"/>
      <w:color w:val="000000"/>
      <w:kern w:val="2"/>
      <w:sz w:val="21"/>
      <w:lang w:val="en-US" w:eastAsia="zh-CN" w:bidi="ar-SA"/>
    </w:rPr>
  </w:style>
  <w:style w:type="paragraph" w:customStyle="1" w:styleId="130">
    <w:name w:val="样式7"/>
    <w:basedOn w:val="19"/>
    <w:link w:val="129"/>
    <w:autoRedefine/>
    <w:qFormat/>
    <w:uiPriority w:val="0"/>
    <w:pPr>
      <w:pBdr>
        <w:bottom w:val="single" w:color="0033CC" w:sz="18" w:space="1"/>
      </w:pBdr>
      <w:jc w:val="center"/>
    </w:pPr>
    <w:rPr>
      <w:color w:val="000000"/>
    </w:rPr>
  </w:style>
  <w:style w:type="character" w:customStyle="1" w:styleId="131">
    <w:name w:val="样式12 Char"/>
    <w:link w:val="132"/>
    <w:autoRedefine/>
    <w:qFormat/>
    <w:uiPriority w:val="0"/>
    <w:rPr>
      <w:rFonts w:ascii="宋体" w:eastAsia="宋体"/>
      <w:color w:val="000000"/>
      <w:kern w:val="2"/>
      <w:sz w:val="21"/>
      <w:lang w:val="en-US" w:eastAsia="zh-CN" w:bidi="ar-SA"/>
    </w:rPr>
  </w:style>
  <w:style w:type="paragraph" w:customStyle="1" w:styleId="132">
    <w:name w:val="样式12"/>
    <w:basedOn w:val="19"/>
    <w:link w:val="131"/>
    <w:autoRedefine/>
    <w:qFormat/>
    <w:uiPriority w:val="0"/>
    <w:pPr>
      <w:pBdr>
        <w:bottom w:val="single" w:color="0033CC" w:sz="18" w:space="1"/>
      </w:pBdr>
      <w:jc w:val="center"/>
    </w:pPr>
    <w:rPr>
      <w:color w:val="000000"/>
    </w:rPr>
  </w:style>
  <w:style w:type="character" w:customStyle="1" w:styleId="133">
    <w:name w:val="style2"/>
    <w:autoRedefine/>
    <w:qFormat/>
    <w:uiPriority w:val="0"/>
  </w:style>
  <w:style w:type="character" w:customStyle="1" w:styleId="134">
    <w:name w:val="样式21 Char"/>
    <w:link w:val="135"/>
    <w:autoRedefine/>
    <w:qFormat/>
    <w:uiPriority w:val="0"/>
  </w:style>
  <w:style w:type="paragraph" w:customStyle="1" w:styleId="135">
    <w:name w:val="样式21"/>
    <w:basedOn w:val="31"/>
    <w:link w:val="134"/>
    <w:autoRedefine/>
    <w:qFormat/>
    <w:uiPriority w:val="0"/>
    <w:pPr>
      <w:pBdr>
        <w:top w:val="thinThickSmallGap" w:color="0000FF" w:sz="18" w:space="1"/>
      </w:pBdr>
      <w:ind w:right="360"/>
      <w:jc w:val="right"/>
    </w:pPr>
  </w:style>
  <w:style w:type="character" w:customStyle="1" w:styleId="136">
    <w:name w:val="样式14 Char"/>
    <w:link w:val="137"/>
    <w:autoRedefine/>
    <w:qFormat/>
    <w:uiPriority w:val="0"/>
    <w:rPr>
      <w:rFonts w:ascii="宋体" w:eastAsia="宋体"/>
      <w:color w:val="000000"/>
      <w:kern w:val="2"/>
      <w:sz w:val="21"/>
      <w:lang w:val="en-US" w:eastAsia="zh-CN" w:bidi="ar-SA"/>
    </w:rPr>
  </w:style>
  <w:style w:type="paragraph" w:customStyle="1" w:styleId="137">
    <w:name w:val="样式14"/>
    <w:basedOn w:val="19"/>
    <w:link w:val="136"/>
    <w:autoRedefine/>
    <w:qFormat/>
    <w:uiPriority w:val="0"/>
    <w:pPr>
      <w:pBdr>
        <w:bottom w:val="single" w:color="0033CC" w:sz="18" w:space="1"/>
      </w:pBdr>
      <w:jc w:val="center"/>
    </w:pPr>
    <w:rPr>
      <w:color w:val="000000"/>
    </w:rPr>
  </w:style>
  <w:style w:type="character" w:customStyle="1" w:styleId="138">
    <w:name w:val="标题 1 Char1"/>
    <w:autoRedefine/>
    <w:qFormat/>
    <w:uiPriority w:val="0"/>
    <w:rPr>
      <w:rFonts w:eastAsia="宋体"/>
      <w:b/>
      <w:bCs/>
      <w:kern w:val="44"/>
      <w:sz w:val="44"/>
      <w:szCs w:val="44"/>
      <w:lang w:val="en-US" w:eastAsia="zh-CN" w:bidi="ar-SA"/>
    </w:rPr>
  </w:style>
  <w:style w:type="character" w:customStyle="1" w:styleId="139">
    <w:name w:val="样式20 Char"/>
    <w:link w:val="140"/>
    <w:autoRedefine/>
    <w:qFormat/>
    <w:uiPriority w:val="0"/>
  </w:style>
  <w:style w:type="paragraph" w:customStyle="1" w:styleId="140">
    <w:name w:val="样式20"/>
    <w:basedOn w:val="93"/>
    <w:link w:val="139"/>
    <w:autoRedefine/>
    <w:qFormat/>
    <w:uiPriority w:val="0"/>
    <w:pPr>
      <w:pBdr>
        <w:top w:val="thinThickSmallGap" w:color="0000FF" w:sz="18" w:space="1"/>
      </w:pBdr>
      <w:jc w:val="right"/>
    </w:pPr>
  </w:style>
  <w:style w:type="character" w:customStyle="1" w:styleId="141">
    <w:name w:val="样式17 Char"/>
    <w:link w:val="142"/>
    <w:autoRedefine/>
    <w:qFormat/>
    <w:uiPriority w:val="0"/>
  </w:style>
  <w:style w:type="paragraph" w:customStyle="1" w:styleId="142">
    <w:name w:val="样式17"/>
    <w:basedOn w:val="32"/>
    <w:link w:val="141"/>
    <w:autoRedefine/>
    <w:qFormat/>
    <w:uiPriority w:val="0"/>
    <w:pPr>
      <w:pBdr>
        <w:bottom w:val="none" w:color="auto" w:sz="0" w:space="0"/>
      </w:pBdr>
    </w:pPr>
  </w:style>
  <w:style w:type="paragraph" w:customStyle="1" w:styleId="143">
    <w:name w:val="Char Char Char Char Char Char Char Char Char"/>
    <w:basedOn w:val="1"/>
    <w:autoRedefine/>
    <w:qFormat/>
    <w:uiPriority w:val="0"/>
    <w:rPr>
      <w:rFonts w:ascii="Tahoma" w:hAnsi="Tahoma"/>
      <w:sz w:val="24"/>
      <w:szCs w:val="20"/>
    </w:rPr>
  </w:style>
  <w:style w:type="paragraph" w:customStyle="1" w:styleId="144">
    <w:name w:val="Table Text"/>
    <w:basedOn w:val="1"/>
    <w:autoRedefine/>
    <w:qFormat/>
    <w:uiPriority w:val="0"/>
    <w:pPr>
      <w:widowControl/>
      <w:spacing w:before="120"/>
    </w:pPr>
    <w:rPr>
      <w:kern w:val="0"/>
      <w:sz w:val="24"/>
      <w:szCs w:val="20"/>
    </w:rPr>
  </w:style>
  <w:style w:type="paragraph" w:customStyle="1" w:styleId="145">
    <w:name w:val="样式 标题 3二级节名3h33rd levelHead 3 + 加粗2"/>
    <w:basedOn w:val="4"/>
    <w:autoRedefine/>
    <w:qFormat/>
    <w:uiPriority w:val="0"/>
    <w:pPr>
      <w:keepNext/>
      <w:keepLines/>
      <w:tabs>
        <w:tab w:val="clear" w:pos="900"/>
      </w:tabs>
      <w:adjustRightInd/>
      <w:spacing w:before="0" w:line="500" w:lineRule="atLeast"/>
      <w:ind w:left="1260" w:hanging="420"/>
      <w:textAlignment w:val="auto"/>
    </w:pPr>
    <w:rPr>
      <w:rFonts w:ascii="宋体" w:eastAsia="宋体"/>
      <w:bCs/>
      <w:kern w:val="2"/>
      <w:sz w:val="21"/>
    </w:rPr>
  </w:style>
  <w:style w:type="paragraph" w:customStyle="1" w:styleId="146">
    <w:name w:val="font6"/>
    <w:basedOn w:val="1"/>
    <w:autoRedefine/>
    <w:qFormat/>
    <w:uiPriority w:val="0"/>
    <w:pPr>
      <w:widowControl/>
      <w:spacing w:before="100" w:beforeAutospacing="1" w:after="100" w:afterAutospacing="1"/>
      <w:jc w:val="left"/>
    </w:pPr>
    <w:rPr>
      <w:rFonts w:ascii="FuturaA Bk BT" w:hAnsi="FuturaA Bk BT"/>
      <w:kern w:val="0"/>
      <w:sz w:val="22"/>
      <w:szCs w:val="22"/>
      <w:lang w:eastAsia="en-US"/>
    </w:rPr>
  </w:style>
  <w:style w:type="paragraph" w:customStyle="1" w:styleId="147">
    <w:name w:val="表题"/>
    <w:basedOn w:val="13"/>
    <w:autoRedefine/>
    <w:qFormat/>
    <w:uiPriority w:val="0"/>
    <w:pPr>
      <w:adjustRightInd/>
      <w:spacing w:line="100" w:lineRule="atLeast"/>
      <w:ind w:firstLine="0"/>
      <w:jc w:val="center"/>
      <w:textAlignment w:val="auto"/>
    </w:pPr>
    <w:rPr>
      <w:kern w:val="2"/>
    </w:rPr>
  </w:style>
  <w:style w:type="paragraph" w:customStyle="1" w:styleId="148">
    <w:name w:val="Char"/>
    <w:basedOn w:val="1"/>
    <w:autoRedefine/>
    <w:qFormat/>
    <w:uiPriority w:val="0"/>
    <w:pPr>
      <w:ind w:firstLine="200" w:firstLineChars="200"/>
    </w:pPr>
    <w:rPr>
      <w:sz w:val="24"/>
    </w:rPr>
  </w:style>
  <w:style w:type="paragraph" w:customStyle="1" w:styleId="149">
    <w:name w:val="编号"/>
    <w:basedOn w:val="1"/>
    <w:next w:val="1"/>
    <w:autoRedefine/>
    <w:qFormat/>
    <w:uiPriority w:val="0"/>
    <w:pPr>
      <w:tabs>
        <w:tab w:val="left" w:pos="480"/>
      </w:tabs>
      <w:spacing w:line="360" w:lineRule="auto"/>
      <w:ind w:left="200" w:hanging="200" w:hangingChars="200"/>
    </w:pPr>
    <w:rPr>
      <w:rFonts w:ascii="宋体"/>
      <w:sz w:val="24"/>
    </w:rPr>
  </w:style>
  <w:style w:type="paragraph" w:customStyle="1" w:styleId="150">
    <w:name w:val="样式 正文首行缩进正文首行缩进 Char Char正文首行缩进 Char1 + 段前: 0.5 行 段后: 0.5 行"/>
    <w:autoRedefine/>
    <w:qFormat/>
    <w:uiPriority w:val="0"/>
    <w:pPr>
      <w:adjustRightInd w:val="0"/>
      <w:snapToGrid w:val="0"/>
      <w:spacing w:beforeLines="50" w:afterLines="50" w:line="360" w:lineRule="auto"/>
      <w:ind w:firstLine="567"/>
    </w:pPr>
    <w:rPr>
      <w:rFonts w:ascii="Calibri" w:hAnsi="Calibri" w:eastAsia="宋体" w:cs="宋体"/>
      <w:kern w:val="2"/>
      <w:sz w:val="24"/>
      <w:lang w:val="en-US" w:eastAsia="zh-CN" w:bidi="ar-SA"/>
    </w:rPr>
  </w:style>
  <w:style w:type="paragraph" w:customStyle="1" w:styleId="151">
    <w:name w:val="Char Char Char Char"/>
    <w:basedOn w:val="1"/>
    <w:autoRedefine/>
    <w:qFormat/>
    <w:uiPriority w:val="0"/>
    <w:rPr>
      <w:rFonts w:ascii="Tahoma" w:hAnsi="Tahoma"/>
      <w:sz w:val="24"/>
      <w:szCs w:val="20"/>
    </w:rPr>
  </w:style>
  <w:style w:type="paragraph" w:customStyle="1" w:styleId="152">
    <w:name w:val="默认段落字体 Para Char Char Char Char"/>
    <w:basedOn w:val="1"/>
    <w:autoRedefine/>
    <w:qFormat/>
    <w:uiPriority w:val="0"/>
    <w:pPr>
      <w:snapToGrid w:val="0"/>
    </w:pPr>
    <w:rPr>
      <w:rFonts w:ascii="Arial" w:hAnsi="Arial"/>
      <w:szCs w:val="21"/>
    </w:rPr>
  </w:style>
  <w:style w:type="paragraph" w:customStyle="1" w:styleId="153">
    <w:name w:val="p12"/>
    <w:basedOn w:val="1"/>
    <w:autoRedefine/>
    <w:qFormat/>
    <w:uiPriority w:val="0"/>
    <w:pPr>
      <w:widowControl/>
      <w:spacing w:before="100" w:beforeAutospacing="1" w:after="100" w:afterAutospacing="1"/>
      <w:jc w:val="left"/>
    </w:pPr>
    <w:rPr>
      <w:color w:val="000000"/>
      <w:kern w:val="0"/>
      <w:sz w:val="24"/>
      <w:szCs w:val="20"/>
    </w:rPr>
  </w:style>
  <w:style w:type="paragraph" w:customStyle="1" w:styleId="154">
    <w:name w:val="xl32"/>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textAlignment w:val="top"/>
    </w:pPr>
    <w:rPr>
      <w:rFonts w:ascii="FuturaA Bk BT" w:hAnsi="FuturaA Bk BT"/>
      <w:kern w:val="0"/>
      <w:sz w:val="22"/>
      <w:szCs w:val="22"/>
      <w:lang w:eastAsia="en-US"/>
    </w:rPr>
  </w:style>
  <w:style w:type="paragraph" w:customStyle="1" w:styleId="155">
    <w:name w:val="xl46"/>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b/>
      <w:bCs/>
      <w:kern w:val="0"/>
      <w:sz w:val="24"/>
    </w:rPr>
  </w:style>
  <w:style w:type="paragraph" w:customStyle="1" w:styleId="156">
    <w:name w:val="font0"/>
    <w:basedOn w:val="1"/>
    <w:autoRedefine/>
    <w:qFormat/>
    <w:uiPriority w:val="0"/>
    <w:pPr>
      <w:widowControl/>
      <w:spacing w:before="100" w:beforeAutospacing="1" w:after="100" w:afterAutospacing="1"/>
      <w:jc w:val="left"/>
    </w:pPr>
    <w:rPr>
      <w:rFonts w:ascii="Arial" w:hAnsi="Arial" w:eastAsia="Arial Unicode MS" w:cs="Arial"/>
      <w:kern w:val="0"/>
      <w:sz w:val="20"/>
      <w:szCs w:val="20"/>
      <w:lang w:eastAsia="en-US"/>
    </w:rPr>
  </w:style>
  <w:style w:type="paragraph" w:customStyle="1" w:styleId="157">
    <w:name w:val="第四行"/>
    <w:basedOn w:val="1"/>
    <w:autoRedefine/>
    <w:qFormat/>
    <w:uiPriority w:val="0"/>
    <w:pPr>
      <w:tabs>
        <w:tab w:val="left" w:pos="1200"/>
      </w:tabs>
      <w:spacing w:line="360" w:lineRule="auto"/>
      <w:jc w:val="center"/>
    </w:pPr>
    <w:rPr>
      <w:rFonts w:ascii="宋体"/>
      <w:b/>
      <w:bCs/>
      <w:spacing w:val="40"/>
      <w:sz w:val="28"/>
      <w:szCs w:val="28"/>
    </w:rPr>
  </w:style>
  <w:style w:type="paragraph" w:customStyle="1" w:styleId="158">
    <w:name w:val="Char Char Char Char Char Char Char Char Char Char Char Char Char1"/>
    <w:basedOn w:val="1"/>
    <w:autoRedefine/>
    <w:qFormat/>
    <w:uiPriority w:val="0"/>
    <w:rPr>
      <w:szCs w:val="21"/>
    </w:rPr>
  </w:style>
  <w:style w:type="paragraph" w:customStyle="1" w:styleId="159">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hint="eastAsia" w:ascii="宋体" w:hAnsi="宋体"/>
      <w:kern w:val="0"/>
      <w:sz w:val="22"/>
      <w:szCs w:val="22"/>
      <w:lang w:eastAsia="en-US"/>
    </w:rPr>
  </w:style>
  <w:style w:type="paragraph" w:customStyle="1" w:styleId="160">
    <w:name w:val="g3"/>
    <w:basedOn w:val="1"/>
    <w:autoRedefine/>
    <w:qFormat/>
    <w:uiPriority w:val="0"/>
    <w:pPr>
      <w:widowControl/>
      <w:spacing w:before="100" w:beforeAutospacing="1" w:after="100" w:afterAutospacing="1" w:line="675" w:lineRule="atLeast"/>
      <w:jc w:val="left"/>
    </w:pPr>
    <w:rPr>
      <w:rFonts w:ascii="华文中宋" w:hAnsi="华文中宋" w:eastAsia="华文中宋"/>
      <w:kern w:val="0"/>
      <w:sz w:val="42"/>
      <w:szCs w:val="42"/>
    </w:rPr>
  </w:style>
  <w:style w:type="paragraph" w:customStyle="1" w:styleId="161">
    <w:name w:val="样式1"/>
    <w:basedOn w:val="3"/>
    <w:autoRedefine/>
    <w:qFormat/>
    <w:uiPriority w:val="0"/>
  </w:style>
  <w:style w:type="paragraph" w:customStyle="1" w:styleId="162">
    <w:name w:val="Char Char Char"/>
    <w:basedOn w:val="1"/>
    <w:autoRedefine/>
    <w:qFormat/>
    <w:uiPriority w:val="0"/>
    <w:pPr>
      <w:spacing w:line="360" w:lineRule="auto"/>
    </w:pPr>
    <w:rPr>
      <w:rFonts w:ascii="Tahoma" w:hAnsi="Tahoma"/>
      <w:sz w:val="24"/>
      <w:szCs w:val="20"/>
    </w:rPr>
  </w:style>
  <w:style w:type="paragraph" w:customStyle="1" w:styleId="163">
    <w:name w:val="Style2"/>
    <w:basedOn w:val="1"/>
    <w:autoRedefine/>
    <w:qFormat/>
    <w:uiPriority w:val="0"/>
    <w:pPr>
      <w:tabs>
        <w:tab w:val="left" w:pos="1418"/>
      </w:tabs>
      <w:ind w:left="1418"/>
    </w:pPr>
    <w:rPr>
      <w:rFonts w:ascii="Arial" w:hAnsi="Arial"/>
      <w:kern w:val="0"/>
      <w:sz w:val="22"/>
      <w:szCs w:val="20"/>
      <w:lang w:val="fr-FR"/>
    </w:rPr>
  </w:style>
  <w:style w:type="paragraph" w:customStyle="1" w:styleId="164">
    <w:name w:val="xl3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65">
    <w:name w:val="样式 正文1 + 首行缩进:  2 字符"/>
    <w:basedOn w:val="1"/>
    <w:autoRedefine/>
    <w:qFormat/>
    <w:uiPriority w:val="0"/>
    <w:pPr>
      <w:autoSpaceDE w:val="0"/>
      <w:autoSpaceDN w:val="0"/>
      <w:adjustRightInd w:val="0"/>
    </w:pPr>
    <w:rPr>
      <w:rFonts w:eastAsia="仿宋_GB2312"/>
      <w:color w:val="FF0000"/>
      <w:sz w:val="24"/>
      <w:szCs w:val="20"/>
    </w:rPr>
  </w:style>
  <w:style w:type="paragraph" w:customStyle="1" w:styleId="166">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hint="eastAsia" w:ascii="宋体" w:hAnsi="宋体"/>
      <w:kern w:val="0"/>
      <w:sz w:val="22"/>
      <w:szCs w:val="22"/>
      <w:lang w:eastAsia="en-US"/>
    </w:rPr>
  </w:style>
  <w:style w:type="paragraph" w:customStyle="1" w:styleId="167">
    <w:name w:val="Char2"/>
    <w:basedOn w:val="1"/>
    <w:autoRedefine/>
    <w:qFormat/>
    <w:uiPriority w:val="0"/>
    <w:rPr>
      <w:szCs w:val="20"/>
    </w:rPr>
  </w:style>
  <w:style w:type="paragraph" w:customStyle="1" w:styleId="168">
    <w:name w:val="xl25"/>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szCs w:val="20"/>
    </w:rPr>
  </w:style>
  <w:style w:type="paragraph" w:customStyle="1" w:styleId="169">
    <w:name w:val="xiaoqiao word"/>
    <w:autoRedefine/>
    <w:qFormat/>
    <w:uiPriority w:val="0"/>
    <w:pPr>
      <w:widowControl w:val="0"/>
      <w:autoSpaceDE w:val="0"/>
      <w:autoSpaceDN w:val="0"/>
      <w:adjustRightInd w:val="0"/>
      <w:spacing w:line="372" w:lineRule="atLeast"/>
      <w:jc w:val="both"/>
    </w:pPr>
    <w:rPr>
      <w:rFonts w:ascii="复合字体1" w:hAnsi="Times New Roman" w:eastAsia="复合字体1" w:cs="Times New Roman"/>
      <w:color w:val="000000"/>
      <w:lang w:val="en-US" w:eastAsia="zh-CN" w:bidi="ar-SA"/>
    </w:rPr>
  </w:style>
  <w:style w:type="paragraph" w:customStyle="1" w:styleId="170">
    <w:name w:val="Char Char Char Char Char"/>
    <w:basedOn w:val="1"/>
    <w:autoRedefine/>
    <w:qFormat/>
    <w:uiPriority w:val="0"/>
  </w:style>
  <w:style w:type="paragraph" w:customStyle="1" w:styleId="171">
    <w:name w:val="表2"/>
    <w:basedOn w:val="1"/>
    <w:autoRedefine/>
    <w:qFormat/>
    <w:uiPriority w:val="0"/>
    <w:pPr>
      <w:widowControl/>
      <w:autoSpaceDE w:val="0"/>
      <w:autoSpaceDN w:val="0"/>
      <w:adjustRightInd w:val="0"/>
      <w:snapToGrid w:val="0"/>
      <w:spacing w:beforeLines="30" w:afterLines="30"/>
      <w:ind w:firstLine="432"/>
      <w:jc w:val="center"/>
      <w:textAlignment w:val="bottom"/>
    </w:pPr>
    <w:rPr>
      <w:rFonts w:ascii="Arial" w:hAnsi="Arial" w:cs="Arial"/>
      <w:sz w:val="22"/>
    </w:rPr>
  </w:style>
  <w:style w:type="paragraph" w:customStyle="1" w:styleId="172">
    <w:name w:val="Char Char Char Char Char Char Char Char Char Char Char Char Char"/>
    <w:basedOn w:val="1"/>
    <w:autoRedefine/>
    <w:qFormat/>
    <w:uiPriority w:val="0"/>
    <w:rPr>
      <w:szCs w:val="21"/>
    </w:rPr>
  </w:style>
  <w:style w:type="paragraph" w:customStyle="1" w:styleId="173">
    <w:name w:val="章标题"/>
    <w:next w:val="1"/>
    <w:autoRedefine/>
    <w:qFormat/>
    <w:uiPriority w:val="0"/>
    <w:pPr>
      <w:spacing w:beforeLines="50" w:afterLines="50"/>
      <w:ind w:left="840" w:hanging="420"/>
      <w:jc w:val="both"/>
      <w:outlineLvl w:val="1"/>
    </w:pPr>
    <w:rPr>
      <w:rFonts w:ascii="黑体" w:hAnsi="Times New Roman" w:eastAsia="黑体" w:cs="Times New Roman"/>
      <w:sz w:val="21"/>
      <w:lang w:val="en-US" w:eastAsia="zh-CN" w:bidi="ar-SA"/>
    </w:rPr>
  </w:style>
  <w:style w:type="paragraph" w:customStyle="1" w:styleId="174">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FuturaA Bk BT" w:hAnsi="FuturaA Bk BT"/>
      <w:kern w:val="0"/>
      <w:sz w:val="22"/>
      <w:szCs w:val="22"/>
      <w:lang w:eastAsia="en-US"/>
    </w:rPr>
  </w:style>
  <w:style w:type="paragraph" w:customStyle="1" w:styleId="175">
    <w:name w:val="Absatz2AL"/>
    <w:basedOn w:val="18"/>
    <w:next w:val="1"/>
    <w:autoRedefine/>
    <w:qFormat/>
    <w:uiPriority w:val="0"/>
    <w:pPr>
      <w:widowControl/>
      <w:overflowPunct w:val="0"/>
      <w:autoSpaceDE w:val="0"/>
      <w:autoSpaceDN w:val="0"/>
      <w:adjustRightInd w:val="0"/>
      <w:textAlignment w:val="baseline"/>
    </w:pPr>
    <w:rPr>
      <w:rFonts w:ascii="Times New Roman" w:hAnsi="Times New Roman" w:eastAsia="楷体_GB2312"/>
      <w:b w:val="0"/>
      <w:spacing w:val="0"/>
      <w:kern w:val="0"/>
      <w:sz w:val="24"/>
      <w:lang w:val="de-DE" w:eastAsia="de-DE"/>
    </w:rPr>
  </w:style>
  <w:style w:type="paragraph" w:customStyle="1" w:styleId="176">
    <w:name w:val="xl28"/>
    <w:basedOn w:val="1"/>
    <w:autoRedefine/>
    <w:qFormat/>
    <w:uiPriority w:val="0"/>
    <w:pPr>
      <w:widowControl/>
      <w:pBdr>
        <w:bottom w:val="single" w:color="auto" w:sz="4" w:space="0"/>
        <w:right w:val="single" w:color="auto" w:sz="4" w:space="0"/>
      </w:pBdr>
      <w:spacing w:before="100" w:beforeAutospacing="1" w:after="100" w:afterAutospacing="1"/>
      <w:jc w:val="center"/>
      <w:textAlignment w:val="top"/>
    </w:pPr>
    <w:rPr>
      <w:rFonts w:hint="eastAsia" w:ascii="宋体" w:hAnsi="宋体"/>
      <w:kern w:val="0"/>
      <w:sz w:val="22"/>
      <w:szCs w:val="22"/>
      <w:lang w:eastAsia="en-US"/>
    </w:rPr>
  </w:style>
  <w:style w:type="paragraph" w:customStyle="1" w:styleId="177">
    <w:name w:val="WangHui"/>
    <w:basedOn w:val="1"/>
    <w:autoRedefine/>
    <w:qFormat/>
    <w:uiPriority w:val="0"/>
    <w:rPr>
      <w:rFonts w:ascii="仿宋_GB2312" w:eastAsia="仿宋_GB2312"/>
      <w:sz w:val="28"/>
      <w:szCs w:val="20"/>
    </w:rPr>
  </w:style>
  <w:style w:type="paragraph" w:customStyle="1" w:styleId="178">
    <w:name w:val="font5"/>
    <w:basedOn w:val="1"/>
    <w:autoRedefine/>
    <w:qFormat/>
    <w:uiPriority w:val="0"/>
    <w:pPr>
      <w:widowControl/>
      <w:spacing w:before="100" w:beforeAutospacing="1" w:after="100" w:afterAutospacing="1"/>
      <w:jc w:val="left"/>
    </w:pPr>
    <w:rPr>
      <w:rFonts w:hint="eastAsia" w:ascii="宋体" w:hAnsi="宋体"/>
      <w:kern w:val="0"/>
      <w:sz w:val="22"/>
      <w:szCs w:val="22"/>
      <w:lang w:eastAsia="en-US"/>
    </w:rPr>
  </w:style>
  <w:style w:type="paragraph" w:customStyle="1" w:styleId="179">
    <w:name w:val="xl44"/>
    <w:basedOn w:val="1"/>
    <w:autoRedefine/>
    <w:qFormat/>
    <w:uiPriority w:val="0"/>
    <w:pPr>
      <w:widowControl/>
      <w:pBdr>
        <w:top w:val="single" w:color="auto" w:sz="4" w:space="0"/>
        <w:bottom w:val="single" w:color="auto" w:sz="4" w:space="0"/>
        <w:right w:val="single" w:color="auto" w:sz="4" w:space="0"/>
      </w:pBdr>
      <w:shd w:val="clear" w:color="auto" w:fill="C0C0C0"/>
      <w:spacing w:before="100" w:beforeAutospacing="1" w:after="100" w:afterAutospacing="1"/>
      <w:jc w:val="left"/>
      <w:textAlignment w:val="top"/>
    </w:pPr>
    <w:rPr>
      <w:rFonts w:hint="eastAsia" w:ascii="宋体" w:hAnsi="宋体"/>
      <w:kern w:val="0"/>
      <w:sz w:val="22"/>
      <w:szCs w:val="22"/>
      <w:lang w:eastAsia="en-US"/>
    </w:rPr>
  </w:style>
  <w:style w:type="paragraph" w:customStyle="1" w:styleId="180">
    <w:name w:val="横表格"/>
    <w:basedOn w:val="1"/>
    <w:autoRedefine/>
    <w:qFormat/>
    <w:uiPriority w:val="0"/>
    <w:pPr>
      <w:tabs>
        <w:tab w:val="left" w:pos="1200"/>
      </w:tabs>
      <w:spacing w:line="360" w:lineRule="exact"/>
      <w:ind w:right="-86"/>
      <w:jc w:val="center"/>
    </w:pPr>
    <w:rPr>
      <w:rFonts w:ascii="宋体"/>
      <w:sz w:val="24"/>
    </w:rPr>
  </w:style>
  <w:style w:type="paragraph" w:customStyle="1" w:styleId="181">
    <w:name w:val="样式 标题 3二级节名3h33rd levelHead 3 + 加粗1"/>
    <w:basedOn w:val="4"/>
    <w:autoRedefine/>
    <w:qFormat/>
    <w:uiPriority w:val="0"/>
    <w:pPr>
      <w:keepNext/>
      <w:keepLines/>
      <w:tabs>
        <w:tab w:val="clear" w:pos="900"/>
      </w:tabs>
      <w:adjustRightInd/>
      <w:spacing w:before="0" w:line="500" w:lineRule="atLeast"/>
      <w:ind w:left="1260" w:hanging="420"/>
      <w:textAlignment w:val="auto"/>
    </w:pPr>
    <w:rPr>
      <w:rFonts w:ascii="宋体" w:eastAsia="宋体"/>
      <w:bCs/>
      <w:kern w:val="2"/>
      <w:sz w:val="21"/>
    </w:rPr>
  </w:style>
  <w:style w:type="paragraph" w:customStyle="1" w:styleId="182">
    <w:name w:val="注"/>
    <w:basedOn w:val="1"/>
    <w:autoRedefine/>
    <w:qFormat/>
    <w:uiPriority w:val="0"/>
    <w:pPr>
      <w:spacing w:line="360" w:lineRule="auto"/>
      <w:ind w:left="200" w:hanging="200" w:hangingChars="200"/>
    </w:pPr>
    <w:rPr>
      <w:rFonts w:ascii="宋体"/>
      <w:b/>
    </w:rPr>
  </w:style>
  <w:style w:type="paragraph" w:customStyle="1" w:styleId="183">
    <w:name w:val="注1"/>
    <w:basedOn w:val="1"/>
    <w:autoRedefine/>
    <w:qFormat/>
    <w:uiPriority w:val="0"/>
    <w:pPr>
      <w:spacing w:line="360" w:lineRule="auto"/>
      <w:ind w:left="400" w:leftChars="200" w:hanging="200" w:hangingChars="200"/>
    </w:pPr>
    <w:rPr>
      <w:rFonts w:ascii="宋体"/>
      <w:b/>
    </w:rPr>
  </w:style>
  <w:style w:type="paragraph" w:customStyle="1" w:styleId="184">
    <w:name w:val="正文3"/>
    <w:basedOn w:val="1"/>
    <w:autoRedefine/>
    <w:qFormat/>
    <w:uiPriority w:val="0"/>
    <w:pPr>
      <w:spacing w:line="360" w:lineRule="auto"/>
      <w:ind w:firstLine="200" w:firstLineChars="200"/>
    </w:pPr>
    <w:rPr>
      <w:rFonts w:ascii="宋体" w:hAnsi="宋体"/>
      <w:sz w:val="24"/>
    </w:rPr>
  </w:style>
  <w:style w:type="paragraph" w:customStyle="1" w:styleId="185">
    <w:name w:val="表中文字"/>
    <w:basedOn w:val="1"/>
    <w:autoRedefine/>
    <w:qFormat/>
    <w:uiPriority w:val="0"/>
    <w:pPr>
      <w:adjustRightInd w:val="0"/>
      <w:spacing w:line="312" w:lineRule="atLeast"/>
      <w:jc w:val="center"/>
      <w:textAlignment w:val="baseline"/>
    </w:pPr>
    <w:rPr>
      <w:kern w:val="0"/>
      <w:szCs w:val="20"/>
    </w:rPr>
  </w:style>
  <w:style w:type="paragraph" w:customStyle="1" w:styleId="186">
    <w:name w:val="Char11"/>
    <w:basedOn w:val="1"/>
    <w:autoRedefine/>
    <w:qFormat/>
    <w:uiPriority w:val="0"/>
    <w:rPr>
      <w:rFonts w:ascii="Tahoma" w:hAnsi="Tahoma"/>
      <w:sz w:val="24"/>
      <w:szCs w:val="20"/>
    </w:rPr>
  </w:style>
  <w:style w:type="paragraph" w:customStyle="1" w:styleId="187">
    <w:name w:val="纯文本1"/>
    <w:basedOn w:val="1"/>
    <w:autoRedefine/>
    <w:qFormat/>
    <w:uiPriority w:val="0"/>
    <w:pPr>
      <w:adjustRightInd w:val="0"/>
      <w:jc w:val="left"/>
      <w:textAlignment w:val="baseline"/>
    </w:pPr>
    <w:rPr>
      <w:rFonts w:ascii="宋体" w:hAnsi="Courier New"/>
      <w:sz w:val="24"/>
      <w:szCs w:val="20"/>
    </w:rPr>
  </w:style>
  <w:style w:type="paragraph" w:customStyle="1" w:styleId="188">
    <w:name w:val="抬头"/>
    <w:basedOn w:val="1"/>
    <w:autoRedefine/>
    <w:qFormat/>
    <w:uiPriority w:val="0"/>
    <w:pPr>
      <w:spacing w:beforeLines="50" w:line="360" w:lineRule="auto"/>
    </w:pPr>
    <w:rPr>
      <w:rFonts w:ascii="宋体"/>
      <w:sz w:val="24"/>
    </w:rPr>
  </w:style>
  <w:style w:type="paragraph" w:customStyle="1" w:styleId="189">
    <w:name w:val="xl45"/>
    <w:basedOn w:val="1"/>
    <w:autoRedefine/>
    <w:qFormat/>
    <w:uiPriority w:val="0"/>
    <w:pPr>
      <w:widowControl/>
      <w:pBdr>
        <w:left w:val="single" w:color="auto" w:sz="4" w:space="0"/>
        <w:right w:val="single" w:color="auto" w:sz="4" w:space="0"/>
      </w:pBdr>
      <w:shd w:val="clear" w:color="auto" w:fill="FFFF00"/>
      <w:spacing w:before="100" w:beforeAutospacing="1" w:after="100" w:afterAutospacing="1"/>
      <w:jc w:val="center"/>
      <w:textAlignment w:val="center"/>
    </w:pPr>
    <w:rPr>
      <w:rFonts w:eastAsia="Arial Unicode MS"/>
      <w:color w:val="000000"/>
      <w:kern w:val="0"/>
      <w:sz w:val="16"/>
      <w:szCs w:val="16"/>
      <w:lang w:eastAsia="en-US"/>
    </w:rPr>
  </w:style>
  <w:style w:type="paragraph" w:customStyle="1" w:styleId="190">
    <w:name w:val="正文4"/>
    <w:basedOn w:val="1"/>
    <w:autoRedefine/>
    <w:qFormat/>
    <w:uiPriority w:val="0"/>
    <w:pPr>
      <w:spacing w:line="360" w:lineRule="auto"/>
      <w:ind w:left="400" w:leftChars="400"/>
    </w:pPr>
    <w:rPr>
      <w:rFonts w:ascii="宋体"/>
      <w:sz w:val="24"/>
    </w:rPr>
  </w:style>
  <w:style w:type="paragraph" w:customStyle="1" w:styleId="191">
    <w:name w:val="Знак Знак Знак"/>
    <w:basedOn w:val="18"/>
    <w:next w:val="18"/>
    <w:autoRedefine/>
    <w:qFormat/>
    <w:uiPriority w:val="0"/>
    <w:pPr>
      <w:widowControl/>
      <w:spacing w:before="60" w:after="160"/>
      <w:ind w:left="794"/>
    </w:pPr>
    <w:rPr>
      <w:rFonts w:ascii="Arial" w:hAnsi="Arial" w:eastAsia="宋体"/>
      <w:b w:val="0"/>
      <w:color w:val="000000"/>
      <w:spacing w:val="0"/>
      <w:kern w:val="0"/>
      <w:sz w:val="22"/>
      <w:lang w:val="en-GB"/>
    </w:rPr>
  </w:style>
  <w:style w:type="paragraph" w:customStyle="1" w:styleId="192">
    <w:name w:val="正文文本缩进 21"/>
    <w:basedOn w:val="1"/>
    <w:autoRedefine/>
    <w:qFormat/>
    <w:uiPriority w:val="0"/>
    <w:pPr>
      <w:tabs>
        <w:tab w:val="left" w:pos="540"/>
      </w:tabs>
      <w:adjustRightInd w:val="0"/>
      <w:ind w:firstLine="540"/>
      <w:textAlignment w:val="baseline"/>
    </w:pPr>
    <w:rPr>
      <w:sz w:val="28"/>
      <w:szCs w:val="20"/>
    </w:rPr>
  </w:style>
  <w:style w:type="paragraph" w:customStyle="1" w:styleId="193">
    <w:name w:val="xl40"/>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top"/>
    </w:pPr>
    <w:rPr>
      <w:rFonts w:hint="eastAsia" w:ascii="宋体" w:hAnsi="宋体"/>
      <w:kern w:val="0"/>
      <w:sz w:val="22"/>
      <w:szCs w:val="22"/>
      <w:lang w:eastAsia="en-US"/>
    </w:rPr>
  </w:style>
  <w:style w:type="paragraph" w:customStyle="1" w:styleId="194">
    <w:name w:val="默认段落字体 Para Char Char Char Char Char Char Char"/>
    <w:basedOn w:val="1"/>
    <w:autoRedefine/>
    <w:qFormat/>
    <w:uiPriority w:val="0"/>
    <w:pPr>
      <w:adjustRightInd w:val="0"/>
      <w:spacing w:line="360" w:lineRule="auto"/>
    </w:pPr>
    <w:rPr>
      <w:rFonts w:ascii="Tahoma" w:hAnsi="Tahoma"/>
      <w:kern w:val="0"/>
      <w:sz w:val="24"/>
      <w:szCs w:val="20"/>
    </w:rPr>
  </w:style>
  <w:style w:type="paragraph" w:customStyle="1" w:styleId="195">
    <w:name w:val="日期1"/>
    <w:basedOn w:val="1"/>
    <w:next w:val="1"/>
    <w:autoRedefine/>
    <w:qFormat/>
    <w:uiPriority w:val="0"/>
    <w:pPr>
      <w:adjustRightInd w:val="0"/>
      <w:spacing w:line="312" w:lineRule="atLeast"/>
      <w:textAlignment w:val="baseline"/>
    </w:pPr>
    <w:rPr>
      <w:rFonts w:ascii="仿宋_GB2312" w:eastAsia="仿宋_GB2312"/>
      <w:kern w:val="0"/>
      <w:szCs w:val="20"/>
    </w:rPr>
  </w:style>
  <w:style w:type="paragraph" w:customStyle="1" w:styleId="196">
    <w:name w:val="para"/>
    <w:basedOn w:val="1"/>
    <w:autoRedefine/>
    <w:qFormat/>
    <w:uiPriority w:val="0"/>
    <w:pPr>
      <w:widowControl/>
      <w:adjustRightInd w:val="0"/>
      <w:spacing w:before="160" w:line="360" w:lineRule="auto"/>
      <w:ind w:firstLine="425"/>
      <w:textAlignment w:val="baseline"/>
    </w:pPr>
    <w:rPr>
      <w:kern w:val="0"/>
      <w:sz w:val="24"/>
      <w:szCs w:val="20"/>
      <w:lang w:eastAsia="en-US"/>
    </w:rPr>
  </w:style>
  <w:style w:type="paragraph" w:customStyle="1" w:styleId="197">
    <w:name w:val="Zchn Zchn Char Char Zchn Zchn"/>
    <w:basedOn w:val="1"/>
    <w:autoRedefine/>
    <w:qFormat/>
    <w:uiPriority w:val="0"/>
    <w:rPr>
      <w:rFonts w:ascii="Tahoma" w:hAnsi="Tahoma" w:eastAsia="楷体_GB2312"/>
      <w:spacing w:val="10"/>
      <w:sz w:val="24"/>
      <w:szCs w:val="20"/>
    </w:rPr>
  </w:style>
  <w:style w:type="paragraph" w:customStyle="1" w:styleId="198">
    <w:name w:val="样式 标题 2 + 黑体 段前: 10.25 磅 段后: 10.25 磅 行距: 单倍行距"/>
    <w:basedOn w:val="3"/>
    <w:autoRedefine/>
    <w:qFormat/>
    <w:uiPriority w:val="0"/>
    <w:pPr>
      <w:keepLines/>
      <w:spacing w:beforeLines="50" w:afterLines="50" w:line="240" w:lineRule="auto"/>
      <w:jc w:val="left"/>
    </w:pPr>
    <w:rPr>
      <w:rFonts w:ascii="黑体" w:hAnsi="黑体"/>
      <w:b w:val="0"/>
      <w:sz w:val="21"/>
    </w:rPr>
  </w:style>
  <w:style w:type="paragraph" w:customStyle="1" w:styleId="199">
    <w:name w:val="para1"/>
    <w:basedOn w:val="1"/>
    <w:autoRedefine/>
    <w:qFormat/>
    <w:uiPriority w:val="0"/>
    <w:pPr>
      <w:widowControl/>
      <w:spacing w:after="100"/>
      <w:ind w:left="510"/>
    </w:pPr>
    <w:rPr>
      <w:rFonts w:ascii="FuturaA Bk BT" w:hAnsi="FuturaA Bk BT"/>
      <w:kern w:val="0"/>
      <w:sz w:val="20"/>
      <w:szCs w:val="20"/>
      <w:lang w:val="fr-FR" w:eastAsia="en-US"/>
    </w:rPr>
  </w:style>
  <w:style w:type="paragraph" w:customStyle="1" w:styleId="200">
    <w:name w:val="z正文"/>
    <w:basedOn w:val="1"/>
    <w:autoRedefine/>
    <w:qFormat/>
    <w:uiPriority w:val="0"/>
    <w:pPr>
      <w:adjustRightInd w:val="0"/>
      <w:spacing w:line="360" w:lineRule="auto"/>
      <w:textAlignment w:val="baseline"/>
    </w:pPr>
    <w:rPr>
      <w:kern w:val="0"/>
      <w:sz w:val="24"/>
      <w:szCs w:val="20"/>
    </w:rPr>
  </w:style>
  <w:style w:type="paragraph" w:customStyle="1" w:styleId="201">
    <w:name w:val="正文1"/>
    <w:basedOn w:val="1"/>
    <w:next w:val="1"/>
    <w:autoRedefine/>
    <w:qFormat/>
    <w:uiPriority w:val="0"/>
    <w:pPr>
      <w:spacing w:line="360" w:lineRule="auto"/>
      <w:ind w:firstLine="200" w:firstLineChars="200"/>
    </w:pPr>
    <w:rPr>
      <w:rFonts w:ascii="宋体"/>
      <w:sz w:val="24"/>
    </w:rPr>
  </w:style>
  <w:style w:type="paragraph" w:customStyle="1" w:styleId="202">
    <w:name w:val="xl3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hint="eastAsia" w:ascii="宋体" w:hAnsi="宋体"/>
      <w:kern w:val="0"/>
      <w:sz w:val="22"/>
      <w:szCs w:val="22"/>
      <w:lang w:eastAsia="en-US"/>
    </w:rPr>
  </w:style>
  <w:style w:type="paragraph" w:customStyle="1" w:styleId="203">
    <w:name w:val="(1)"/>
    <w:basedOn w:val="1"/>
    <w:autoRedefine/>
    <w:qFormat/>
    <w:uiPriority w:val="0"/>
    <w:pPr>
      <w:tabs>
        <w:tab w:val="left" w:pos="573"/>
      </w:tabs>
      <w:adjustRightInd w:val="0"/>
      <w:snapToGrid w:val="0"/>
      <w:spacing w:before="80" w:after="100" w:line="240" w:lineRule="atLeast"/>
      <w:textAlignment w:val="baseline"/>
    </w:pPr>
    <w:rPr>
      <w:rFonts w:ascii="Arial" w:hAnsi="Arial"/>
      <w:kern w:val="44"/>
      <w:sz w:val="24"/>
    </w:rPr>
  </w:style>
  <w:style w:type="paragraph" w:customStyle="1" w:styleId="204">
    <w:name w:val="1.1.1"/>
    <w:basedOn w:val="1"/>
    <w:autoRedefine/>
    <w:qFormat/>
    <w:uiPriority w:val="0"/>
    <w:pPr>
      <w:snapToGrid w:val="0"/>
      <w:spacing w:line="360" w:lineRule="auto"/>
      <w:ind w:firstLine="480" w:firstLineChars="200"/>
      <w:outlineLvl w:val="2"/>
    </w:pPr>
    <w:rPr>
      <w:rFonts w:ascii="宋体" w:hAnsi="宋体"/>
      <w:bCs/>
      <w:sz w:val="24"/>
      <w:szCs w:val="20"/>
    </w:rPr>
  </w:style>
  <w:style w:type="paragraph" w:customStyle="1" w:styleId="205">
    <w:name w:val="样式 标题 4 + (符号) 宋体 悬挂缩进: 0.01 字符 行距: 多倍行距 1.25 字行"/>
    <w:basedOn w:val="5"/>
    <w:autoRedefine/>
    <w:qFormat/>
    <w:uiPriority w:val="0"/>
    <w:pPr>
      <w:tabs>
        <w:tab w:val="left" w:pos="640"/>
        <w:tab w:val="left" w:pos="907"/>
      </w:tabs>
      <w:spacing w:before="0" w:line="300" w:lineRule="auto"/>
      <w:ind w:left="1680" w:right="-237" w:rightChars="-113" w:hanging="420"/>
      <w:jc w:val="left"/>
    </w:pPr>
    <w:rPr>
      <w:rFonts w:ascii="宋体" w:hAnsi="宋体" w:eastAsia="宋体"/>
      <w:color w:val="000000"/>
      <w:sz w:val="24"/>
    </w:rPr>
  </w:style>
  <w:style w:type="paragraph" w:customStyle="1" w:styleId="206">
    <w:name w:val="默认段落字体 Para Char"/>
    <w:basedOn w:val="1"/>
    <w:autoRedefine/>
    <w:qFormat/>
    <w:uiPriority w:val="0"/>
    <w:pPr>
      <w:spacing w:line="360" w:lineRule="auto"/>
      <w:ind w:firstLine="200" w:firstLineChars="200"/>
    </w:pPr>
    <w:rPr>
      <w:rFonts w:ascii="宋体" w:hAnsi="宋体" w:cs="宋体"/>
      <w:sz w:val="24"/>
    </w:rPr>
  </w:style>
  <w:style w:type="paragraph" w:customStyle="1" w:styleId="207">
    <w:name w:val="Char Char Char Char Char Char Char Char Char1"/>
    <w:basedOn w:val="1"/>
    <w:autoRedefine/>
    <w:qFormat/>
    <w:uiPriority w:val="0"/>
    <w:rPr>
      <w:rFonts w:ascii="Tahoma" w:hAnsi="Tahoma"/>
      <w:sz w:val="24"/>
      <w:szCs w:val="20"/>
    </w:rPr>
  </w:style>
  <w:style w:type="paragraph" w:customStyle="1" w:styleId="208">
    <w:name w:val="Char Char Char Char Char Char Char Char Char Char Char Char Char Char Char Char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09">
    <w:name w:val="Spec-Tabs"/>
    <w:basedOn w:val="1"/>
    <w:autoRedefine/>
    <w:qFormat/>
    <w:uiPriority w:val="0"/>
    <w:pPr>
      <w:widowControl/>
      <w:tabs>
        <w:tab w:val="left" w:pos="4536"/>
      </w:tabs>
      <w:spacing w:before="120" w:after="120"/>
      <w:ind w:left="1134"/>
      <w:jc w:val="left"/>
    </w:pPr>
    <w:rPr>
      <w:rFonts w:ascii="Arial" w:hAnsi="Arial"/>
      <w:kern w:val="0"/>
      <w:sz w:val="24"/>
      <w:szCs w:val="20"/>
      <w:lang w:eastAsia="de-DE"/>
    </w:rPr>
  </w:style>
  <w:style w:type="paragraph" w:customStyle="1" w:styleId="210">
    <w:name w:val="xl42"/>
    <w:basedOn w:val="1"/>
    <w:autoRedefine/>
    <w:qFormat/>
    <w:uiPriority w:val="0"/>
    <w:pPr>
      <w:widowControl/>
      <w:pBdr>
        <w:top w:val="single" w:color="auto" w:sz="4" w:space="0"/>
        <w:left w:val="single" w:color="auto" w:sz="4" w:space="0"/>
        <w:bottom w:val="single" w:color="auto" w:sz="4" w:space="0"/>
      </w:pBdr>
      <w:shd w:val="clear" w:color="auto" w:fill="C0C0C0"/>
      <w:spacing w:before="100" w:beforeAutospacing="1" w:after="100" w:afterAutospacing="1"/>
      <w:jc w:val="left"/>
      <w:textAlignment w:val="top"/>
    </w:pPr>
    <w:rPr>
      <w:rFonts w:hint="eastAsia" w:ascii="宋体" w:hAnsi="宋体"/>
      <w:kern w:val="0"/>
      <w:sz w:val="22"/>
      <w:szCs w:val="22"/>
      <w:lang w:eastAsia="en-US"/>
    </w:rPr>
  </w:style>
  <w:style w:type="paragraph" w:customStyle="1" w:styleId="211">
    <w:name w:val="默认段落字体 Para Char Char Char Char Char"/>
    <w:basedOn w:val="1"/>
    <w:autoRedefine/>
    <w:qFormat/>
    <w:uiPriority w:val="0"/>
    <w:rPr>
      <w:rFonts w:ascii="宋体" w:hAnsi="宋体"/>
      <w:b/>
      <w:color w:val="000000"/>
      <w:sz w:val="24"/>
    </w:rPr>
  </w:style>
  <w:style w:type="paragraph" w:customStyle="1" w:styleId="212">
    <w:name w:val="xl31"/>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top"/>
    </w:pPr>
    <w:rPr>
      <w:rFonts w:hint="eastAsia" w:ascii="宋体" w:hAnsi="宋体"/>
      <w:kern w:val="0"/>
      <w:sz w:val="22"/>
      <w:szCs w:val="22"/>
      <w:lang w:eastAsia="en-US"/>
    </w:rPr>
  </w:style>
  <w:style w:type="paragraph" w:customStyle="1" w:styleId="213">
    <w:name w:val="xl30"/>
    <w:basedOn w:val="1"/>
    <w:autoRedefine/>
    <w:qFormat/>
    <w:uiPriority w:val="0"/>
    <w:pPr>
      <w:widowControl/>
      <w:spacing w:before="100" w:beforeAutospacing="1" w:after="100" w:afterAutospacing="1"/>
      <w:jc w:val="center"/>
      <w:textAlignment w:val="center"/>
    </w:pPr>
    <w:rPr>
      <w:rFonts w:ascii="Arial Unicode MS" w:hAnsi="Arial Unicode MS" w:eastAsia="Arial Unicode MS" w:cs="Arial Unicode MS"/>
      <w:b/>
      <w:bCs/>
      <w:kern w:val="0"/>
      <w:sz w:val="32"/>
      <w:szCs w:val="32"/>
    </w:rPr>
  </w:style>
  <w:style w:type="paragraph" w:customStyle="1" w:styleId="214">
    <w:name w:val="列出段落1"/>
    <w:basedOn w:val="1"/>
    <w:autoRedefine/>
    <w:qFormat/>
    <w:uiPriority w:val="0"/>
    <w:pPr>
      <w:spacing w:line="360" w:lineRule="auto"/>
      <w:ind w:firstLine="420" w:firstLineChars="200"/>
    </w:pPr>
    <w:rPr>
      <w:rFonts w:ascii="Calibri" w:hAnsi="Calibri"/>
      <w:sz w:val="24"/>
      <w:szCs w:val="22"/>
    </w:rPr>
  </w:style>
  <w:style w:type="paragraph" w:customStyle="1" w:styleId="215">
    <w:name w:val="附件"/>
    <w:basedOn w:val="1"/>
    <w:autoRedefine/>
    <w:qFormat/>
    <w:uiPriority w:val="0"/>
    <w:pPr>
      <w:numPr>
        <w:ilvl w:val="0"/>
        <w:numId w:val="5"/>
      </w:numPr>
      <w:spacing w:beforeLines="50" w:line="360" w:lineRule="auto"/>
    </w:pPr>
    <w:rPr>
      <w:rFonts w:ascii="宋体"/>
      <w:b/>
      <w:sz w:val="28"/>
    </w:rPr>
  </w:style>
  <w:style w:type="paragraph" w:customStyle="1" w:styleId="216">
    <w:name w:val="Composition"/>
    <w:basedOn w:val="1"/>
    <w:autoRedefine/>
    <w:qFormat/>
    <w:uiPriority w:val="0"/>
    <w:pPr>
      <w:tabs>
        <w:tab w:val="left" w:pos="1620"/>
        <w:tab w:val="left" w:pos="1860"/>
        <w:tab w:val="left" w:pos="5660"/>
      </w:tabs>
      <w:autoSpaceDE w:val="0"/>
      <w:autoSpaceDN w:val="0"/>
      <w:adjustRightInd w:val="0"/>
      <w:spacing w:line="360" w:lineRule="atLeast"/>
      <w:ind w:left="1080" w:right="-25" w:hanging="860"/>
    </w:pPr>
    <w:rPr>
      <w:rFonts w:ascii="MS Mincho" w:eastAsia="MS Mincho"/>
      <w:kern w:val="0"/>
      <w:sz w:val="24"/>
      <w:szCs w:val="20"/>
    </w:rPr>
  </w:style>
  <w:style w:type="paragraph" w:customStyle="1" w:styleId="217">
    <w:name w:val="样式 标题 2一级节名节标题节标题 1.1标题 2 Char Char Char Char Char + 左侧:  0 ..."/>
    <w:basedOn w:val="3"/>
    <w:autoRedefine/>
    <w:qFormat/>
    <w:uiPriority w:val="0"/>
    <w:pPr>
      <w:keepNext w:val="0"/>
      <w:tabs>
        <w:tab w:val="left" w:pos="425"/>
      </w:tabs>
      <w:adjustRightInd/>
      <w:spacing w:before="0" w:line="500" w:lineRule="atLeast"/>
      <w:ind w:left="425" w:hanging="425"/>
      <w:textAlignment w:val="auto"/>
    </w:pPr>
    <w:rPr>
      <w:rFonts w:ascii="宋体" w:hAnsi="宋体" w:eastAsia="宋体"/>
      <w:bCs/>
      <w:kern w:val="2"/>
      <w:sz w:val="24"/>
    </w:rPr>
  </w:style>
  <w:style w:type="paragraph" w:customStyle="1" w:styleId="218">
    <w:name w:val="Char1"/>
    <w:basedOn w:val="1"/>
    <w:autoRedefine/>
    <w:qFormat/>
    <w:uiPriority w:val="0"/>
  </w:style>
  <w:style w:type="paragraph" w:customStyle="1" w:styleId="219">
    <w:name w:val="Char Char Char Char Char Char Char Char Char Char"/>
    <w:basedOn w:val="1"/>
    <w:autoRedefine/>
    <w:qFormat/>
    <w:uiPriority w:val="0"/>
    <w:rPr>
      <w:rFonts w:ascii="Tahoma" w:hAnsi="Tahoma"/>
      <w:sz w:val="24"/>
      <w:szCs w:val="20"/>
    </w:rPr>
  </w:style>
  <w:style w:type="paragraph" w:customStyle="1" w:styleId="220">
    <w:name w:val="样式2"/>
    <w:basedOn w:val="3"/>
    <w:autoRedefine/>
    <w:qFormat/>
    <w:uiPriority w:val="0"/>
    <w:pPr>
      <w:spacing w:line="440" w:lineRule="exact"/>
      <w:jc w:val="center"/>
    </w:pPr>
    <w:rPr>
      <w:rFonts w:ascii="宋体" w:hAnsi="宋体"/>
      <w:b w:val="0"/>
      <w:sz w:val="32"/>
    </w:rPr>
  </w:style>
  <w:style w:type="paragraph" w:customStyle="1" w:styleId="221">
    <w:name w:val="Default Text"/>
    <w:autoRedefine/>
    <w:qFormat/>
    <w:uiPriority w:val="0"/>
    <w:pPr>
      <w:widowControl w:val="0"/>
      <w:autoSpaceDE w:val="0"/>
      <w:autoSpaceDN w:val="0"/>
      <w:adjustRightInd w:val="0"/>
    </w:pPr>
    <w:rPr>
      <w:rFonts w:ascii="Times New Roman" w:hAnsi="Times New Roman" w:eastAsia="宋体" w:cs="Times New Roman"/>
      <w:color w:val="000000"/>
      <w:sz w:val="24"/>
      <w:lang w:val="en-US" w:eastAsia="zh-CN" w:bidi="ar-SA"/>
    </w:rPr>
  </w:style>
  <w:style w:type="paragraph" w:customStyle="1" w:styleId="222">
    <w:name w:val="xl39"/>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top"/>
    </w:pPr>
    <w:rPr>
      <w:rFonts w:hint="eastAsia" w:ascii="宋体" w:hAnsi="宋体"/>
      <w:kern w:val="0"/>
      <w:sz w:val="22"/>
      <w:szCs w:val="22"/>
      <w:lang w:eastAsia="en-US"/>
    </w:rPr>
  </w:style>
  <w:style w:type="paragraph" w:customStyle="1" w:styleId="223">
    <w:name w:val="表格"/>
    <w:basedOn w:val="1"/>
    <w:autoRedefine/>
    <w:qFormat/>
    <w:uiPriority w:val="0"/>
    <w:pPr>
      <w:tabs>
        <w:tab w:val="left" w:pos="1200"/>
      </w:tabs>
      <w:spacing w:line="500" w:lineRule="exact"/>
      <w:jc w:val="center"/>
    </w:pPr>
    <w:rPr>
      <w:rFonts w:ascii="宋体"/>
      <w:sz w:val="24"/>
      <w:szCs w:val="18"/>
    </w:rPr>
  </w:style>
  <w:style w:type="paragraph" w:customStyle="1" w:styleId="224">
    <w:name w:val="xl26"/>
    <w:basedOn w:val="1"/>
    <w:autoRedefine/>
    <w:qFormat/>
    <w:uiPriority w:val="0"/>
    <w:pPr>
      <w:widowControl/>
      <w:pBdr>
        <w:bottom w:val="single" w:color="auto" w:sz="4" w:space="0"/>
        <w:right w:val="single" w:color="auto" w:sz="4" w:space="0"/>
      </w:pBdr>
      <w:spacing w:before="100" w:beforeAutospacing="1" w:after="100" w:afterAutospacing="1"/>
      <w:textAlignment w:val="top"/>
    </w:pPr>
    <w:rPr>
      <w:rFonts w:ascii="FuturaA Bk BT" w:hAnsi="FuturaA Bk BT"/>
      <w:kern w:val="0"/>
      <w:sz w:val="22"/>
      <w:szCs w:val="22"/>
      <w:lang w:eastAsia="en-US"/>
    </w:rPr>
  </w:style>
  <w:style w:type="paragraph" w:customStyle="1" w:styleId="225">
    <w:name w:val="Table Paragraph"/>
    <w:basedOn w:val="1"/>
    <w:autoRedefine/>
    <w:qFormat/>
    <w:uiPriority w:val="1"/>
    <w:pPr>
      <w:autoSpaceDE w:val="0"/>
      <w:autoSpaceDN w:val="0"/>
      <w:jc w:val="left"/>
    </w:pPr>
    <w:rPr>
      <w:rFonts w:ascii="宋体" w:hAnsi="宋体" w:cs="宋体"/>
      <w:kern w:val="0"/>
      <w:sz w:val="22"/>
      <w:szCs w:val="22"/>
      <w:lang w:eastAsia="en-US"/>
    </w:rPr>
  </w:style>
  <w:style w:type="paragraph" w:customStyle="1" w:styleId="226">
    <w:name w:val="xl27"/>
    <w:basedOn w:val="1"/>
    <w:autoRedefine/>
    <w:qFormat/>
    <w:uiPriority w:val="0"/>
    <w:pPr>
      <w:widowControl/>
      <w:pBdr>
        <w:bottom w:val="single" w:color="auto" w:sz="4" w:space="0"/>
        <w:right w:val="single" w:color="auto" w:sz="4" w:space="0"/>
      </w:pBdr>
      <w:spacing w:before="100" w:beforeAutospacing="1" w:after="100" w:afterAutospacing="1"/>
      <w:textAlignment w:val="top"/>
    </w:pPr>
    <w:rPr>
      <w:rFonts w:hint="eastAsia" w:ascii="宋体" w:hAnsi="宋体"/>
      <w:kern w:val="0"/>
      <w:sz w:val="22"/>
      <w:szCs w:val="22"/>
      <w:lang w:eastAsia="en-US"/>
    </w:rPr>
  </w:style>
  <w:style w:type="paragraph" w:customStyle="1" w:styleId="227">
    <w:name w:val="样式 标题 2一级节名节标题节标题 1.1标题 2 Char Char Char Char Char + 左侧:  0 ...1"/>
    <w:basedOn w:val="3"/>
    <w:autoRedefine/>
    <w:qFormat/>
    <w:uiPriority w:val="0"/>
    <w:pPr>
      <w:keepNext w:val="0"/>
      <w:numPr>
        <w:ilvl w:val="0"/>
        <w:numId w:val="6"/>
      </w:numPr>
      <w:adjustRightInd/>
      <w:spacing w:before="0" w:line="500" w:lineRule="atLeast"/>
      <w:ind w:left="0" w:firstLine="0"/>
      <w:textAlignment w:val="auto"/>
    </w:pPr>
    <w:rPr>
      <w:rFonts w:ascii="宋体" w:hAnsi="宋体" w:eastAsia="宋体"/>
      <w:bCs/>
      <w:kern w:val="2"/>
      <w:sz w:val="24"/>
    </w:rPr>
  </w:style>
  <w:style w:type="paragraph" w:customStyle="1" w:styleId="228">
    <w:name w:val="正文2"/>
    <w:autoRedefine/>
    <w:qFormat/>
    <w:uiPriority w:val="0"/>
    <w:pPr>
      <w:numPr>
        <w:ilvl w:val="0"/>
        <w:numId w:val="7"/>
      </w:numPr>
      <w:tabs>
        <w:tab w:val="right" w:pos="1474"/>
      </w:tabs>
      <w:spacing w:line="360" w:lineRule="auto"/>
    </w:pPr>
    <w:rPr>
      <w:rFonts w:ascii="Times New Roman" w:hAnsi="Times New Roman" w:eastAsia="宋体" w:cs="Times New Roman"/>
      <w:sz w:val="24"/>
      <w:lang w:val="en-US" w:eastAsia="zh-CN" w:bidi="ar-SA"/>
    </w:rPr>
  </w:style>
  <w:style w:type="paragraph" w:customStyle="1" w:styleId="229">
    <w:name w:val="xl41"/>
    <w:basedOn w:val="1"/>
    <w:autoRedefine/>
    <w:qFormat/>
    <w:uiPriority w:val="0"/>
    <w:pPr>
      <w:widowControl/>
      <w:pBdr>
        <w:bottom w:val="single" w:color="auto" w:sz="4" w:space="0"/>
      </w:pBdr>
      <w:spacing w:before="100" w:beforeAutospacing="1" w:after="100" w:afterAutospacing="1"/>
      <w:jc w:val="center"/>
    </w:pPr>
    <w:rPr>
      <w:rFonts w:ascii="Arial" w:hAnsi="Arial" w:cs="Arial"/>
      <w:kern w:val="0"/>
      <w:sz w:val="48"/>
      <w:szCs w:val="48"/>
      <w:lang w:eastAsia="en-US"/>
    </w:rPr>
  </w:style>
  <w:style w:type="paragraph" w:customStyle="1" w:styleId="230">
    <w:name w:val="样式 标题 3二级节名3h33rd levelHead 3 + 加粗"/>
    <w:basedOn w:val="4"/>
    <w:autoRedefine/>
    <w:qFormat/>
    <w:uiPriority w:val="0"/>
    <w:pPr>
      <w:keepNext/>
      <w:keepLines/>
      <w:numPr>
        <w:ilvl w:val="0"/>
        <w:numId w:val="8"/>
      </w:numPr>
      <w:tabs>
        <w:tab w:val="clear" w:pos="425"/>
        <w:tab w:val="clear" w:pos="900"/>
      </w:tabs>
      <w:adjustRightInd/>
      <w:spacing w:before="0" w:line="500" w:lineRule="atLeast"/>
      <w:ind w:left="0" w:firstLine="0"/>
      <w:textAlignment w:val="auto"/>
    </w:pPr>
    <w:rPr>
      <w:rFonts w:ascii="宋体" w:eastAsia="宋体"/>
      <w:bCs/>
      <w:kern w:val="2"/>
      <w:sz w:val="21"/>
    </w:rPr>
  </w:style>
  <w:style w:type="paragraph" w:customStyle="1" w:styleId="231">
    <w:name w:val="Char12"/>
    <w:basedOn w:val="1"/>
    <w:autoRedefine/>
    <w:qFormat/>
    <w:uiPriority w:val="0"/>
    <w:rPr>
      <w:sz w:val="24"/>
    </w:rPr>
  </w:style>
  <w:style w:type="paragraph" w:customStyle="1" w:styleId="232">
    <w:name w:val="xl38"/>
    <w:basedOn w:val="1"/>
    <w:autoRedefine/>
    <w:qFormat/>
    <w:uiPriority w:val="0"/>
    <w:pPr>
      <w:widowControl/>
      <w:pBdr>
        <w:left w:val="single" w:color="auto" w:sz="4" w:space="0"/>
        <w:right w:val="single" w:color="auto" w:sz="4" w:space="0"/>
      </w:pBdr>
      <w:spacing w:before="100" w:beforeAutospacing="1" w:after="100" w:afterAutospacing="1"/>
      <w:jc w:val="center"/>
      <w:textAlignment w:val="top"/>
    </w:pPr>
    <w:rPr>
      <w:rFonts w:hint="eastAsia" w:ascii="宋体" w:hAnsi="宋体"/>
      <w:kern w:val="0"/>
      <w:sz w:val="22"/>
      <w:szCs w:val="22"/>
      <w:lang w:eastAsia="en-US"/>
    </w:rPr>
  </w:style>
  <w:style w:type="paragraph" w:customStyle="1" w:styleId="233">
    <w:name w:val="样式 标题 1 + 加粗"/>
    <w:basedOn w:val="2"/>
    <w:autoRedefine/>
    <w:qFormat/>
    <w:uiPriority w:val="0"/>
    <w:pPr>
      <w:keepNext w:val="0"/>
      <w:keepLines w:val="0"/>
      <w:adjustRightInd/>
      <w:spacing w:before="0"/>
      <w:jc w:val="center"/>
      <w:textAlignment w:val="auto"/>
    </w:pPr>
    <w:rPr>
      <w:rFonts w:ascii="仿宋_GB2312" w:hAnsi="宋体" w:eastAsia="仿宋_GB2312"/>
      <w:bCs/>
      <w:kern w:val="32"/>
      <w:sz w:val="36"/>
      <w:szCs w:val="30"/>
    </w:rPr>
  </w:style>
  <w:style w:type="paragraph" w:customStyle="1" w:styleId="234">
    <w:name w:val="xl43"/>
    <w:basedOn w:val="1"/>
    <w:autoRedefine/>
    <w:qFormat/>
    <w:uiPriority w:val="0"/>
    <w:pPr>
      <w:widowControl/>
      <w:pBdr>
        <w:top w:val="single" w:color="auto" w:sz="4" w:space="0"/>
        <w:bottom w:val="single" w:color="auto" w:sz="4" w:space="0"/>
      </w:pBdr>
      <w:shd w:val="clear" w:color="auto" w:fill="C0C0C0"/>
      <w:spacing w:before="100" w:beforeAutospacing="1" w:after="100" w:afterAutospacing="1"/>
      <w:jc w:val="left"/>
      <w:textAlignment w:val="top"/>
    </w:pPr>
    <w:rPr>
      <w:rFonts w:hint="eastAsia" w:ascii="宋体" w:hAnsi="宋体"/>
      <w:kern w:val="0"/>
      <w:sz w:val="22"/>
      <w:szCs w:val="22"/>
      <w:lang w:eastAsia="en-US"/>
    </w:rPr>
  </w:style>
  <w:style w:type="paragraph" w:customStyle="1" w:styleId="235">
    <w:name w:val="表格侧编号"/>
    <w:next w:val="1"/>
    <w:autoRedefine/>
    <w:qFormat/>
    <w:uiPriority w:val="0"/>
    <w:pPr>
      <w:widowControl w:val="0"/>
      <w:spacing w:line="360" w:lineRule="auto"/>
      <w:jc w:val="center"/>
    </w:pPr>
    <w:rPr>
      <w:rFonts w:ascii="宋体" w:hAnsi="宋体" w:eastAsia="宋体" w:cs="Times New Roman"/>
      <w:kern w:val="2"/>
      <w:sz w:val="22"/>
      <w:lang w:val="en-US" w:eastAsia="zh-CN" w:bidi="ar-SA"/>
    </w:rPr>
  </w:style>
  <w:style w:type="paragraph" w:customStyle="1" w:styleId="236">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lang w:eastAsia="en-US"/>
    </w:rPr>
  </w:style>
  <w:style w:type="paragraph" w:customStyle="1" w:styleId="237">
    <w:name w:val="Char Char Char1"/>
    <w:basedOn w:val="1"/>
    <w:autoRedefine/>
    <w:qFormat/>
    <w:uiPriority w:val="0"/>
    <w:pPr>
      <w:ind w:firstLine="200" w:firstLineChars="200"/>
    </w:pPr>
    <w:rPr>
      <w:sz w:val="24"/>
    </w:rPr>
  </w:style>
  <w:style w:type="paragraph" w:customStyle="1" w:styleId="238">
    <w:name w:val="xl24"/>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top"/>
    </w:pPr>
    <w:rPr>
      <w:rFonts w:hint="eastAsia" w:ascii="宋体" w:hAnsi="宋体"/>
      <w:b/>
      <w:bCs/>
      <w:kern w:val="0"/>
      <w:sz w:val="28"/>
      <w:szCs w:val="28"/>
      <w:lang w:eastAsia="en-US"/>
    </w:rPr>
  </w:style>
  <w:style w:type="paragraph" w:customStyle="1" w:styleId="239">
    <w:name w:val="Char3"/>
    <w:basedOn w:val="1"/>
    <w:autoRedefine/>
    <w:qFormat/>
    <w:uiPriority w:val="0"/>
    <w:rPr>
      <w:rFonts w:ascii="Tahoma" w:hAnsi="Tahoma"/>
      <w:sz w:val="24"/>
      <w:szCs w:val="20"/>
    </w:rPr>
  </w:style>
  <w:style w:type="paragraph" w:styleId="240">
    <w:name w:val="List Paragraph"/>
    <w:basedOn w:val="1"/>
    <w:autoRedefine/>
    <w:qFormat/>
    <w:uiPriority w:val="34"/>
    <w:pPr>
      <w:ind w:firstLine="420" w:firstLineChars="200"/>
    </w:pPr>
  </w:style>
  <w:style w:type="table" w:customStyle="1" w:styleId="241">
    <w:name w:val="Table Normal"/>
    <w:autoRedefine/>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styleId="242">
    <w:name w:val="No Spacing"/>
    <w:autoRedefine/>
    <w:qFormat/>
    <w:uiPriority w:val="0"/>
    <w:pPr>
      <w:widowControl w:val="0"/>
      <w:spacing w:line="288" w:lineRule="auto"/>
      <w:contextualSpacing/>
      <w:jc w:val="both"/>
    </w:pPr>
    <w:rPr>
      <w:rFonts w:ascii="Calibri" w:hAnsi="Calibri" w:eastAsia="宋体" w:cs="Times New Roman"/>
      <w:kern w:val="2"/>
      <w:sz w:val="21"/>
      <w:szCs w:val="22"/>
      <w:lang w:val="en-US" w:eastAsia="zh-CN" w:bidi="ar-SA"/>
    </w:rPr>
  </w:style>
  <w:style w:type="paragraph" w:customStyle="1" w:styleId="243">
    <w:name w:val="正文_8"/>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4">
    <w:name w:val="目录 1_0"/>
    <w:basedOn w:val="243"/>
    <w:next w:val="243"/>
    <w:autoRedefine/>
    <w:qFormat/>
    <w:uiPriority w:val="39"/>
    <w:pPr>
      <w:spacing w:line="440" w:lineRule="exact"/>
      <w:jc w:val="center"/>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1"/>
    <customShpInfo spid="_x0000_s2052"/>
    <customShpInfo spid="_x0000_s2049"/>
    <customShpInfo spid="_x0000_s2050"/>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73</Pages>
  <Words>19935</Words>
  <Characters>20598</Characters>
  <Lines>162</Lines>
  <Paragraphs>45</Paragraphs>
  <TotalTime>0</TotalTime>
  <ScaleCrop>false</ScaleCrop>
  <LinksUpToDate>false</LinksUpToDate>
  <CharactersWithSpaces>20957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2022-04-22T00:32:00Z</dcterms:created>
  <dc:creator>雷海生</dc:creator>
  <cp:lastModifiedBy>yyq.</cp:lastModifiedBy>
  <cp:lastPrinted>2025-01-17T05:36:00Z</cp:lastPrinted>
  <dcterms:modified xsi:type="dcterms:W3CDTF">2025-01-17T14:46:38Z</dcterms:modified>
  <dc:title>设备采购招标文件</dc:title>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D137E69AA26349C6A9690990384252C2_13</vt:lpwstr>
  </property>
  <property fmtid="{D5CDD505-2E9C-101B-9397-08002B2CF9AE}" pid="4" name="KSOTemplateDocerSaveRecord">
    <vt:lpwstr>eyJoZGlkIjoiN2I3MTcyMDVlNmQ0NWM5ZjY0ZTAyNDMxMzBjMDEzMjUiLCJ1c2VySWQiOiI1NDQ5ODI3MTIifQ==</vt:lpwstr>
  </property>
</Properties>
</file>