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46FCD">
      <w:pPr>
        <w:pStyle w:val="4"/>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江苏兴普物贸有限公司</w:t>
      </w:r>
    </w:p>
    <w:p w14:paraId="23DEDB43">
      <w:pPr>
        <w:pStyle w:val="4"/>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招标文件</w:t>
      </w:r>
    </w:p>
    <w:p w14:paraId="5FDCEB3E">
      <w:pPr>
        <w:spacing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rPr>
        <w:t>自主</w:t>
      </w:r>
      <w:r>
        <w:rPr>
          <w:rFonts w:hint="eastAsia" w:ascii="方正仿宋简体" w:hAnsi="方正仿宋简体" w:eastAsia="方正仿宋简体" w:cs="方正仿宋简体"/>
          <w:bCs/>
          <w:color w:val="FF0000"/>
          <w:sz w:val="32"/>
          <w:szCs w:val="32"/>
          <w:lang w:val="zh-CN"/>
        </w:rPr>
        <w:t>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欢迎具有相关资质的厂商前来投标</w:t>
      </w:r>
      <w:r>
        <w:rPr>
          <w:rFonts w:hint="eastAsia" w:ascii="方正仿宋简体" w:hAnsi="方正仿宋简体" w:eastAsia="方正仿宋简体" w:cs="方正仿宋简体"/>
          <w:sz w:val="32"/>
          <w:szCs w:val="32"/>
          <w:highlight w:val="none"/>
          <w:lang w:eastAsia="zh-CN"/>
        </w:rPr>
        <w:t>。</w:t>
      </w:r>
    </w:p>
    <w:p w14:paraId="1B727DE0">
      <w:pPr>
        <w:wordWrap w:val="0"/>
        <w:spacing w:line="360" w:lineRule="auto"/>
        <w:ind w:firstLine="640" w:firstLineChars="200"/>
        <w:jc w:val="left"/>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一、报价须知</w:t>
      </w:r>
    </w:p>
    <w:p w14:paraId="6B9C5D27">
      <w:pPr>
        <w:spacing w:line="600" w:lineRule="exact"/>
        <w:ind w:firstLine="640" w:firstLineChars="200"/>
        <w:jc w:val="both"/>
        <w:rPr>
          <w:rFonts w:hint="eastAsia" w:ascii="方正仿宋简体" w:hAnsi="方正仿宋简体" w:eastAsia="方正仿宋简体" w:cs="方正仿宋简体"/>
          <w:bCs/>
          <w:sz w:val="32"/>
          <w:szCs w:val="32"/>
          <w:u w:val="single"/>
          <w:lang w:val="zh-CN" w:eastAsia="zh-CN"/>
        </w:rPr>
      </w:pPr>
      <w:r>
        <w:rPr>
          <w:rFonts w:hint="eastAsia" w:ascii="方正仿宋简体" w:hAnsi="方正仿宋简体" w:eastAsia="方正仿宋简体" w:cs="方正仿宋简体"/>
          <w:color w:val="000000"/>
          <w:sz w:val="32"/>
          <w:szCs w:val="32"/>
          <w:lang w:val="en-US" w:eastAsia="zh-CN" w:bidi="ar-SA"/>
        </w:rPr>
        <w:t>（一）</w:t>
      </w:r>
      <w:r>
        <w:rPr>
          <w:rFonts w:hint="eastAsia" w:ascii="方正仿宋简体" w:hAnsi="方正仿宋简体" w:eastAsia="方正仿宋简体" w:cs="方正仿宋简体"/>
          <w:bCs/>
          <w:sz w:val="32"/>
          <w:szCs w:val="32"/>
          <w:lang w:val="zh-CN"/>
        </w:rPr>
        <w:t>招标项目：</w:t>
      </w:r>
      <w:r>
        <w:rPr>
          <w:rFonts w:hint="eastAsia" w:ascii="方正仿宋简体" w:hAnsi="方正仿宋简体" w:eastAsia="方正仿宋简体" w:cs="方正仿宋简体"/>
          <w:bCs/>
          <w:sz w:val="32"/>
          <w:szCs w:val="32"/>
          <w:u w:val="single"/>
          <w:lang w:val="en-US" w:eastAsia="zh-CN"/>
        </w:rPr>
        <w:t xml:space="preserve">兴普驳船拖轮服务招标文件  </w:t>
      </w:r>
      <w:r>
        <w:rPr>
          <w:rFonts w:hint="eastAsia" w:ascii="方正仿宋简体" w:hAnsi="方正仿宋简体" w:eastAsia="方正仿宋简体" w:cs="方正仿宋简体"/>
          <w:bCs/>
          <w:sz w:val="32"/>
          <w:szCs w:val="32"/>
          <w:u w:val="none"/>
          <w:lang w:val="zh-CN" w:eastAsia="zh-CN"/>
        </w:rPr>
        <w:t>；</w:t>
      </w:r>
    </w:p>
    <w:p w14:paraId="5E6797A5">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服务内容</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2"/>
          <w:sz w:val="32"/>
          <w:szCs w:val="32"/>
          <w:u w:val="single"/>
          <w:lang w:val="en-US" w:eastAsia="zh-CN" w:bidi="ar-SA"/>
        </w:rPr>
        <w:t>镇江区域内各散货装卸港口-海纳川散货码头拖运服务，年总运量预计约30万吨</w:t>
      </w:r>
      <w:r>
        <w:rPr>
          <w:rFonts w:hint="eastAsia" w:ascii="方正仿宋简体" w:hAnsi="方正仿宋简体" w:eastAsia="方正仿宋简体" w:cs="方正仿宋简体"/>
          <w:sz w:val="32"/>
          <w:szCs w:val="32"/>
          <w:u w:val="single"/>
        </w:rPr>
        <w:t>；</w:t>
      </w:r>
    </w:p>
    <w:p w14:paraId="098ECD94">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2024年12月20日上午10:20</w:t>
      </w:r>
      <w:r>
        <w:rPr>
          <w:rFonts w:hint="eastAsia" w:ascii="方正仿宋简体" w:hAnsi="方正仿宋简体" w:eastAsia="方正仿宋简体" w:cs="方正仿宋简体"/>
          <w:sz w:val="32"/>
          <w:szCs w:val="32"/>
        </w:rPr>
        <w:t>；</w:t>
      </w:r>
    </w:p>
    <w:p w14:paraId="0AAB7CA8">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四</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2024年12月20日上午10:20</w:t>
      </w:r>
      <w:r>
        <w:rPr>
          <w:rFonts w:hint="eastAsia" w:ascii="方正仿宋简体" w:hAnsi="方正仿宋简体" w:eastAsia="方正仿宋简体" w:cs="方正仿宋简体"/>
          <w:sz w:val="32"/>
          <w:szCs w:val="32"/>
        </w:rPr>
        <w:t>；</w:t>
      </w:r>
    </w:p>
    <w:p w14:paraId="7C4E9C0A">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五</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0E968057">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六</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w:t>
      </w:r>
      <w:r>
        <w:rPr>
          <w:rFonts w:hint="eastAsia" w:ascii="方正仿宋简体" w:hAnsi="方正仿宋简体" w:eastAsia="方正仿宋简体" w:cs="方正仿宋简体"/>
          <w:bCs/>
          <w:sz w:val="32"/>
          <w:szCs w:val="32"/>
          <w:lang w:val="en-US" w:eastAsia="zh-CN"/>
        </w:rPr>
        <w:t>sopo</w:t>
      </w:r>
      <w:r>
        <w:rPr>
          <w:rFonts w:hint="eastAsia" w:ascii="方正仿宋简体" w:hAnsi="方正仿宋简体" w:eastAsia="方正仿宋简体" w:cs="方正仿宋简体"/>
          <w:bCs/>
          <w:sz w:val="32"/>
          <w:szCs w:val="32"/>
        </w:rPr>
        <w:t>.com</w:t>
      </w:r>
      <w:r>
        <w:rPr>
          <w:rFonts w:hint="eastAsia" w:ascii="方正仿宋简体" w:hAnsi="方正仿宋简体" w:eastAsia="方正仿宋简体" w:cs="方正仿宋简体"/>
          <w:bCs/>
          <w:sz w:val="32"/>
          <w:szCs w:val="32"/>
          <w:lang w:val="en-US" w:eastAsia="zh-CN"/>
        </w:rPr>
        <w:t>.cn</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查询。</w:t>
      </w:r>
    </w:p>
    <w:p w14:paraId="70F4EEDB">
      <w:pPr>
        <w:wordWrap w:val="0"/>
        <w:ind w:firstLine="640" w:firstLineChars="200"/>
        <w:jc w:val="left"/>
        <w:rPr>
          <w:rFonts w:hint="eastAsia" w:ascii="方正仿宋简体" w:hAnsi="方正仿宋简体" w:eastAsia="方正仿宋简体" w:cs="方正仿宋简体"/>
          <w:color w:val="000000"/>
          <w:sz w:val="32"/>
          <w:szCs w:val="32"/>
          <w:lang w:val="en-US" w:eastAsia="zh-CN" w:bidi="ar-SA"/>
        </w:rPr>
      </w:pPr>
      <w:r>
        <w:rPr>
          <w:rFonts w:hint="eastAsia" w:ascii="方正仿宋简体" w:hAnsi="方正仿宋简体" w:eastAsia="方正仿宋简体" w:cs="方正仿宋简体"/>
          <w:sz w:val="32"/>
          <w:szCs w:val="32"/>
        </w:rPr>
        <w:t>二、招标内容</w:t>
      </w:r>
    </w:p>
    <w:p w14:paraId="3C9890EF">
      <w:pPr>
        <w:spacing w:line="600" w:lineRule="exact"/>
        <w:ind w:firstLine="640" w:firstLineChars="200"/>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color w:val="000000"/>
          <w:sz w:val="32"/>
          <w:szCs w:val="32"/>
          <w:lang w:val="en-US" w:eastAsia="zh-CN" w:bidi="ar-SA"/>
        </w:rPr>
        <w:t>（一）</w:t>
      </w:r>
      <w:r>
        <w:rPr>
          <w:rFonts w:hint="eastAsia" w:ascii="方正仿宋简体" w:hAnsi="方正仿宋简体" w:eastAsia="方正仿宋简体" w:cs="方正仿宋简体"/>
          <w:bCs/>
          <w:sz w:val="32"/>
          <w:szCs w:val="32"/>
          <w:lang w:val="en-US" w:eastAsia="zh-CN"/>
        </w:rPr>
        <w:t>服务时间</w:t>
      </w:r>
      <w:r>
        <w:rPr>
          <w:rFonts w:hint="eastAsia" w:ascii="方正仿宋简体" w:hAnsi="方正仿宋简体" w:eastAsia="方正仿宋简体" w:cs="方正仿宋简体"/>
          <w:bCs/>
          <w:sz w:val="32"/>
          <w:szCs w:val="32"/>
          <w:lang w:val="zh-CN"/>
        </w:rPr>
        <w:t>：</w:t>
      </w:r>
      <w:r>
        <w:rPr>
          <w:rFonts w:hint="eastAsia" w:ascii="方正仿宋简体" w:hAnsi="方正仿宋简体" w:eastAsia="方正仿宋简体" w:cs="方正仿宋简体"/>
          <w:bCs/>
          <w:sz w:val="32"/>
          <w:szCs w:val="32"/>
          <w:u w:val="none"/>
          <w:lang w:val="en-US" w:eastAsia="zh-CN"/>
        </w:rPr>
        <w:t>2025年1月1日至2027年12月31日，时间为3年。</w:t>
      </w:r>
      <w:bookmarkStart w:id="1" w:name="_GoBack"/>
      <w:bookmarkEnd w:id="1"/>
    </w:p>
    <w:p w14:paraId="4D7A7313">
      <w:pPr>
        <w:spacing w:line="60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000000"/>
          <w:sz w:val="32"/>
          <w:szCs w:val="32"/>
          <w:lang w:val="en-US" w:eastAsia="zh-CN" w:bidi="ar-SA"/>
        </w:rPr>
        <w:t>（二）</w:t>
      </w:r>
      <w:r>
        <w:rPr>
          <w:rFonts w:hint="eastAsia" w:ascii="方正仿宋简体" w:hAnsi="方正仿宋简体" w:eastAsia="方正仿宋简体" w:cs="方正仿宋简体"/>
          <w:bCs/>
          <w:sz w:val="32"/>
          <w:szCs w:val="32"/>
          <w:lang w:val="en-US" w:eastAsia="zh-CN"/>
        </w:rPr>
        <w:t>服务对象：</w:t>
      </w:r>
    </w:p>
    <w:tbl>
      <w:tblPr>
        <w:tblStyle w:val="13"/>
        <w:tblpPr w:leftFromText="180" w:rightFromText="180" w:vertAnchor="text" w:horzAnchor="page" w:tblpX="2056" w:tblpY="264"/>
        <w:tblOverlap w:val="never"/>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71"/>
        <w:gridCol w:w="4040"/>
        <w:gridCol w:w="2135"/>
      </w:tblGrid>
      <w:tr w14:paraId="4B40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1771" w:type="dxa"/>
            <w:vAlign w:val="center"/>
          </w:tcPr>
          <w:p w14:paraId="7198D14A">
            <w:pPr>
              <w:widowControl/>
              <w:jc w:val="center"/>
              <w:textAlignment w:val="center"/>
              <w:rPr>
                <w:rFonts w:hint="eastAsia"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kern w:val="0"/>
                <w:sz w:val="28"/>
                <w:szCs w:val="28"/>
              </w:rPr>
              <w:t>船名</w:t>
            </w:r>
          </w:p>
        </w:tc>
        <w:tc>
          <w:tcPr>
            <w:tcW w:w="4040" w:type="dxa"/>
            <w:vAlign w:val="center"/>
          </w:tcPr>
          <w:p w14:paraId="7E66077F">
            <w:pPr>
              <w:widowControl/>
              <w:jc w:val="center"/>
              <w:textAlignment w:val="center"/>
              <w:rPr>
                <w:rFonts w:hint="eastAsia"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eastAsia="zh-CN"/>
              </w:rPr>
              <w:t>服务</w:t>
            </w:r>
            <w:r>
              <w:rPr>
                <w:rFonts w:hint="eastAsia" w:ascii="方正仿宋简体" w:hAnsi="方正仿宋简体" w:eastAsia="方正仿宋简体" w:cs="方正仿宋简体"/>
                <w:b/>
                <w:color w:val="000000"/>
                <w:sz w:val="28"/>
                <w:szCs w:val="28"/>
              </w:rPr>
              <w:t>期间</w:t>
            </w:r>
          </w:p>
        </w:tc>
        <w:tc>
          <w:tcPr>
            <w:tcW w:w="2135" w:type="dxa"/>
            <w:vAlign w:val="center"/>
          </w:tcPr>
          <w:p w14:paraId="689D90B3">
            <w:pPr>
              <w:widowControl/>
              <w:jc w:val="center"/>
              <w:textAlignment w:val="center"/>
              <w:rPr>
                <w:rFonts w:hint="eastAsia"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rPr>
              <w:t>载重吨</w:t>
            </w:r>
          </w:p>
        </w:tc>
      </w:tr>
      <w:tr w14:paraId="7EE3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71" w:type="dxa"/>
            <w:vAlign w:val="center"/>
          </w:tcPr>
          <w:p w14:paraId="431233A0">
            <w:pPr>
              <w:widowControl/>
              <w:jc w:val="center"/>
              <w:textAlignment w:val="center"/>
              <w:rPr>
                <w:rFonts w:hint="default" w:ascii="方正仿宋简体" w:hAnsi="方正仿宋简体" w:eastAsia="方正仿宋简体" w:cs="方正仿宋简体"/>
                <w:bCs/>
                <w:color w:val="000000"/>
                <w:sz w:val="24"/>
                <w:szCs w:val="24"/>
                <w:lang w:val="en-US" w:eastAsia="zh-CN"/>
              </w:rPr>
            </w:pPr>
            <w:r>
              <w:rPr>
                <w:rFonts w:hint="eastAsia" w:ascii="方正仿宋简体" w:hAnsi="方正仿宋简体" w:eastAsia="方正仿宋简体" w:cs="方正仿宋简体"/>
                <w:bCs/>
                <w:color w:val="000000"/>
                <w:kern w:val="0"/>
                <w:sz w:val="24"/>
                <w:szCs w:val="24"/>
              </w:rPr>
              <w:t>兴普</w:t>
            </w:r>
            <w:r>
              <w:rPr>
                <w:rFonts w:hint="eastAsia" w:ascii="方正仿宋简体" w:hAnsi="方正仿宋简体" w:eastAsia="方正仿宋简体" w:cs="方正仿宋简体"/>
                <w:bCs/>
                <w:color w:val="000000"/>
                <w:kern w:val="0"/>
                <w:sz w:val="24"/>
                <w:szCs w:val="24"/>
                <w:lang w:eastAsia="zh-CN"/>
              </w:rPr>
              <w:t>驳</w:t>
            </w:r>
            <w:r>
              <w:rPr>
                <w:rFonts w:hint="eastAsia" w:ascii="方正仿宋简体" w:hAnsi="方正仿宋简体" w:eastAsia="方正仿宋简体" w:cs="方正仿宋简体"/>
                <w:bCs/>
                <w:color w:val="000000"/>
                <w:kern w:val="0"/>
                <w:sz w:val="24"/>
                <w:szCs w:val="24"/>
                <w:lang w:val="en-US" w:eastAsia="zh-CN"/>
              </w:rPr>
              <w:t>3001</w:t>
            </w:r>
          </w:p>
        </w:tc>
        <w:tc>
          <w:tcPr>
            <w:tcW w:w="4040" w:type="dxa"/>
            <w:vAlign w:val="center"/>
          </w:tcPr>
          <w:p w14:paraId="04197596">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rPr>
              <w:t>2025</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1日</w:t>
            </w:r>
            <w:r>
              <w:rPr>
                <w:rFonts w:hint="eastAsia" w:ascii="方正仿宋简体" w:hAnsi="方正仿宋简体" w:eastAsia="方正仿宋简体" w:cs="方正仿宋简体"/>
                <w:color w:val="000000"/>
                <w:kern w:val="0"/>
                <w:sz w:val="24"/>
                <w:szCs w:val="24"/>
              </w:rPr>
              <w:t>-</w:t>
            </w:r>
            <w:r>
              <w:rPr>
                <w:rFonts w:hint="eastAsia" w:ascii="方正仿宋简体" w:hAnsi="方正仿宋简体" w:eastAsia="方正仿宋简体" w:cs="方正仿宋简体"/>
                <w:color w:val="000000"/>
                <w:kern w:val="0"/>
                <w:sz w:val="24"/>
                <w:szCs w:val="24"/>
                <w:lang w:val="en-US" w:eastAsia="zh-CN"/>
              </w:rPr>
              <w:t>2027</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12</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31</w:t>
            </w:r>
            <w:r>
              <w:rPr>
                <w:rFonts w:hint="eastAsia" w:ascii="方正仿宋简体" w:hAnsi="方正仿宋简体" w:eastAsia="方正仿宋简体" w:cs="方正仿宋简体"/>
                <w:color w:val="000000"/>
                <w:kern w:val="0"/>
                <w:sz w:val="24"/>
                <w:szCs w:val="24"/>
              </w:rPr>
              <w:t>日</w:t>
            </w:r>
          </w:p>
        </w:tc>
        <w:tc>
          <w:tcPr>
            <w:tcW w:w="2135" w:type="dxa"/>
            <w:vAlign w:val="center"/>
          </w:tcPr>
          <w:p w14:paraId="59E96949">
            <w:pPr>
              <w:widowControl/>
              <w:jc w:val="center"/>
              <w:textAlignment w:val="bottom"/>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2200-2400</w:t>
            </w:r>
          </w:p>
        </w:tc>
      </w:tr>
      <w:tr w14:paraId="649C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71" w:type="dxa"/>
            <w:vAlign w:val="center"/>
          </w:tcPr>
          <w:p w14:paraId="7FD4DB9E">
            <w:pPr>
              <w:widowControl/>
              <w:jc w:val="center"/>
              <w:textAlignment w:val="center"/>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kern w:val="0"/>
                <w:sz w:val="24"/>
                <w:szCs w:val="24"/>
              </w:rPr>
              <w:t>兴普</w:t>
            </w:r>
            <w:r>
              <w:rPr>
                <w:rFonts w:hint="eastAsia" w:ascii="方正仿宋简体" w:hAnsi="方正仿宋简体" w:eastAsia="方正仿宋简体" w:cs="方正仿宋简体"/>
                <w:bCs/>
                <w:color w:val="000000"/>
                <w:kern w:val="0"/>
                <w:sz w:val="24"/>
                <w:szCs w:val="24"/>
                <w:lang w:eastAsia="zh-CN"/>
              </w:rPr>
              <w:t>驳</w:t>
            </w:r>
            <w:r>
              <w:rPr>
                <w:rFonts w:hint="eastAsia" w:ascii="方正仿宋简体" w:hAnsi="方正仿宋简体" w:eastAsia="方正仿宋简体" w:cs="方正仿宋简体"/>
                <w:bCs/>
                <w:color w:val="000000"/>
                <w:kern w:val="0"/>
                <w:sz w:val="24"/>
                <w:szCs w:val="24"/>
                <w:lang w:val="en-US" w:eastAsia="zh-CN"/>
              </w:rPr>
              <w:t>3002</w:t>
            </w:r>
          </w:p>
        </w:tc>
        <w:tc>
          <w:tcPr>
            <w:tcW w:w="4040" w:type="dxa"/>
            <w:vAlign w:val="center"/>
          </w:tcPr>
          <w:p w14:paraId="508C4D4F">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rPr>
              <w:t>2025</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1日</w:t>
            </w:r>
            <w:r>
              <w:rPr>
                <w:rFonts w:hint="eastAsia" w:ascii="方正仿宋简体" w:hAnsi="方正仿宋简体" w:eastAsia="方正仿宋简体" w:cs="方正仿宋简体"/>
                <w:color w:val="000000"/>
                <w:kern w:val="0"/>
                <w:sz w:val="24"/>
                <w:szCs w:val="24"/>
              </w:rPr>
              <w:t>-</w:t>
            </w:r>
            <w:r>
              <w:rPr>
                <w:rFonts w:hint="eastAsia" w:ascii="方正仿宋简体" w:hAnsi="方正仿宋简体" w:eastAsia="方正仿宋简体" w:cs="方正仿宋简体"/>
                <w:color w:val="000000"/>
                <w:kern w:val="0"/>
                <w:sz w:val="24"/>
                <w:szCs w:val="24"/>
                <w:lang w:val="en-US" w:eastAsia="zh-CN"/>
              </w:rPr>
              <w:t>2027</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12</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31</w:t>
            </w:r>
            <w:r>
              <w:rPr>
                <w:rFonts w:hint="eastAsia" w:ascii="方正仿宋简体" w:hAnsi="方正仿宋简体" w:eastAsia="方正仿宋简体" w:cs="方正仿宋简体"/>
                <w:color w:val="000000"/>
                <w:kern w:val="0"/>
                <w:sz w:val="24"/>
                <w:szCs w:val="24"/>
              </w:rPr>
              <w:t>日</w:t>
            </w:r>
          </w:p>
        </w:tc>
        <w:tc>
          <w:tcPr>
            <w:tcW w:w="2135" w:type="dxa"/>
            <w:vAlign w:val="center"/>
          </w:tcPr>
          <w:p w14:paraId="453605E6">
            <w:pPr>
              <w:widowControl/>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2200-2400</w:t>
            </w:r>
          </w:p>
        </w:tc>
      </w:tr>
      <w:tr w14:paraId="4B43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71" w:type="dxa"/>
            <w:vAlign w:val="center"/>
          </w:tcPr>
          <w:p w14:paraId="1375A5D7">
            <w:pPr>
              <w:widowControl/>
              <w:jc w:val="center"/>
              <w:textAlignment w:val="center"/>
              <w:rPr>
                <w:rFonts w:hint="eastAsia" w:ascii="方正仿宋简体" w:hAnsi="方正仿宋简体" w:eastAsia="方正仿宋简体" w:cs="方正仿宋简体"/>
                <w:bCs/>
                <w:color w:val="000000"/>
                <w:kern w:val="0"/>
                <w:sz w:val="24"/>
                <w:szCs w:val="24"/>
              </w:rPr>
            </w:pPr>
            <w:r>
              <w:rPr>
                <w:rFonts w:hint="eastAsia" w:ascii="方正仿宋简体" w:hAnsi="方正仿宋简体" w:eastAsia="方正仿宋简体" w:cs="方正仿宋简体"/>
                <w:bCs/>
                <w:color w:val="000000"/>
                <w:kern w:val="0"/>
                <w:sz w:val="24"/>
                <w:szCs w:val="24"/>
              </w:rPr>
              <w:t>兴普</w:t>
            </w:r>
            <w:r>
              <w:rPr>
                <w:rFonts w:hint="eastAsia" w:ascii="方正仿宋简体" w:hAnsi="方正仿宋简体" w:eastAsia="方正仿宋简体" w:cs="方正仿宋简体"/>
                <w:bCs/>
                <w:color w:val="000000"/>
                <w:kern w:val="0"/>
                <w:sz w:val="24"/>
                <w:szCs w:val="24"/>
                <w:lang w:eastAsia="zh-CN"/>
              </w:rPr>
              <w:t>驳</w:t>
            </w:r>
            <w:r>
              <w:rPr>
                <w:rFonts w:hint="eastAsia" w:ascii="方正仿宋简体" w:hAnsi="方正仿宋简体" w:eastAsia="方正仿宋简体" w:cs="方正仿宋简体"/>
                <w:bCs/>
                <w:color w:val="000000"/>
                <w:kern w:val="0"/>
                <w:sz w:val="24"/>
                <w:szCs w:val="24"/>
                <w:lang w:val="en-US" w:eastAsia="zh-CN"/>
              </w:rPr>
              <w:t>3003</w:t>
            </w:r>
          </w:p>
        </w:tc>
        <w:tc>
          <w:tcPr>
            <w:tcW w:w="4040" w:type="dxa"/>
            <w:vAlign w:val="center"/>
          </w:tcPr>
          <w:p w14:paraId="54C8F6B9">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rPr>
              <w:t>2025</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1日</w:t>
            </w:r>
            <w:r>
              <w:rPr>
                <w:rFonts w:hint="eastAsia" w:ascii="方正仿宋简体" w:hAnsi="方正仿宋简体" w:eastAsia="方正仿宋简体" w:cs="方正仿宋简体"/>
                <w:color w:val="000000"/>
                <w:kern w:val="0"/>
                <w:sz w:val="24"/>
                <w:szCs w:val="24"/>
              </w:rPr>
              <w:t>-</w:t>
            </w:r>
            <w:r>
              <w:rPr>
                <w:rFonts w:hint="eastAsia" w:ascii="方正仿宋简体" w:hAnsi="方正仿宋简体" w:eastAsia="方正仿宋简体" w:cs="方正仿宋简体"/>
                <w:color w:val="000000"/>
                <w:kern w:val="0"/>
                <w:sz w:val="24"/>
                <w:szCs w:val="24"/>
                <w:lang w:val="en-US" w:eastAsia="zh-CN"/>
              </w:rPr>
              <w:t>2027</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12</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31</w:t>
            </w:r>
            <w:r>
              <w:rPr>
                <w:rFonts w:hint="eastAsia" w:ascii="方正仿宋简体" w:hAnsi="方正仿宋简体" w:eastAsia="方正仿宋简体" w:cs="方正仿宋简体"/>
                <w:color w:val="000000"/>
                <w:kern w:val="0"/>
                <w:sz w:val="24"/>
                <w:szCs w:val="24"/>
              </w:rPr>
              <w:t>日</w:t>
            </w:r>
          </w:p>
        </w:tc>
        <w:tc>
          <w:tcPr>
            <w:tcW w:w="2135" w:type="dxa"/>
            <w:vAlign w:val="center"/>
          </w:tcPr>
          <w:p w14:paraId="22BB8964">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sz w:val="24"/>
                <w:szCs w:val="24"/>
                <w:lang w:val="en-US" w:eastAsia="zh-CN"/>
              </w:rPr>
              <w:t>2200-2400</w:t>
            </w:r>
          </w:p>
        </w:tc>
      </w:tr>
      <w:tr w14:paraId="0EBA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71" w:type="dxa"/>
            <w:vAlign w:val="center"/>
          </w:tcPr>
          <w:p w14:paraId="54012FCD">
            <w:pPr>
              <w:widowControl/>
              <w:jc w:val="center"/>
              <w:textAlignment w:val="center"/>
              <w:rPr>
                <w:rFonts w:hint="eastAsia" w:ascii="方正仿宋简体" w:hAnsi="方正仿宋简体" w:eastAsia="方正仿宋简体" w:cs="方正仿宋简体"/>
                <w:bCs/>
                <w:color w:val="000000"/>
                <w:kern w:val="0"/>
                <w:sz w:val="24"/>
                <w:szCs w:val="24"/>
              </w:rPr>
            </w:pPr>
            <w:r>
              <w:rPr>
                <w:rFonts w:hint="eastAsia" w:ascii="方正仿宋简体" w:hAnsi="方正仿宋简体" w:eastAsia="方正仿宋简体" w:cs="方正仿宋简体"/>
                <w:bCs/>
                <w:color w:val="000000"/>
                <w:kern w:val="0"/>
                <w:sz w:val="24"/>
                <w:szCs w:val="24"/>
              </w:rPr>
              <w:t>兴普</w:t>
            </w:r>
            <w:r>
              <w:rPr>
                <w:rFonts w:hint="eastAsia" w:ascii="方正仿宋简体" w:hAnsi="方正仿宋简体" w:eastAsia="方正仿宋简体" w:cs="方正仿宋简体"/>
                <w:bCs/>
                <w:color w:val="000000"/>
                <w:kern w:val="0"/>
                <w:sz w:val="24"/>
                <w:szCs w:val="24"/>
                <w:lang w:eastAsia="zh-CN"/>
              </w:rPr>
              <w:t>驳</w:t>
            </w:r>
            <w:r>
              <w:rPr>
                <w:rFonts w:hint="eastAsia" w:ascii="方正仿宋简体" w:hAnsi="方正仿宋简体" w:eastAsia="方正仿宋简体" w:cs="方正仿宋简体"/>
                <w:bCs/>
                <w:color w:val="000000"/>
                <w:kern w:val="0"/>
                <w:sz w:val="24"/>
                <w:szCs w:val="24"/>
                <w:lang w:val="en-US" w:eastAsia="zh-CN"/>
              </w:rPr>
              <w:t>3004</w:t>
            </w:r>
          </w:p>
        </w:tc>
        <w:tc>
          <w:tcPr>
            <w:tcW w:w="4040" w:type="dxa"/>
            <w:vAlign w:val="center"/>
          </w:tcPr>
          <w:p w14:paraId="0809FE37">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rPr>
              <w:t>2025</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1日</w:t>
            </w:r>
            <w:r>
              <w:rPr>
                <w:rFonts w:hint="eastAsia" w:ascii="方正仿宋简体" w:hAnsi="方正仿宋简体" w:eastAsia="方正仿宋简体" w:cs="方正仿宋简体"/>
                <w:color w:val="000000"/>
                <w:kern w:val="0"/>
                <w:sz w:val="24"/>
                <w:szCs w:val="24"/>
              </w:rPr>
              <w:t>-</w:t>
            </w:r>
            <w:r>
              <w:rPr>
                <w:rFonts w:hint="eastAsia" w:ascii="方正仿宋简体" w:hAnsi="方正仿宋简体" w:eastAsia="方正仿宋简体" w:cs="方正仿宋简体"/>
                <w:color w:val="000000"/>
                <w:kern w:val="0"/>
                <w:sz w:val="24"/>
                <w:szCs w:val="24"/>
                <w:lang w:val="en-US" w:eastAsia="zh-CN"/>
              </w:rPr>
              <w:t>2027</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12</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31</w:t>
            </w:r>
            <w:r>
              <w:rPr>
                <w:rFonts w:hint="eastAsia" w:ascii="方正仿宋简体" w:hAnsi="方正仿宋简体" w:eastAsia="方正仿宋简体" w:cs="方正仿宋简体"/>
                <w:color w:val="000000"/>
                <w:kern w:val="0"/>
                <w:sz w:val="24"/>
                <w:szCs w:val="24"/>
              </w:rPr>
              <w:t>日</w:t>
            </w:r>
          </w:p>
        </w:tc>
        <w:tc>
          <w:tcPr>
            <w:tcW w:w="2135" w:type="dxa"/>
            <w:vAlign w:val="center"/>
          </w:tcPr>
          <w:p w14:paraId="3484D8B8">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sz w:val="24"/>
                <w:szCs w:val="24"/>
                <w:lang w:val="en-US" w:eastAsia="zh-CN"/>
              </w:rPr>
              <w:t>2200-2400</w:t>
            </w:r>
          </w:p>
        </w:tc>
      </w:tr>
      <w:tr w14:paraId="4E55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71" w:type="dxa"/>
            <w:vAlign w:val="center"/>
          </w:tcPr>
          <w:p w14:paraId="55F7E354">
            <w:pPr>
              <w:widowControl/>
              <w:jc w:val="center"/>
              <w:textAlignment w:val="center"/>
              <w:rPr>
                <w:rFonts w:hint="eastAsia" w:ascii="方正仿宋简体" w:hAnsi="方正仿宋简体" w:eastAsia="方正仿宋简体" w:cs="方正仿宋简体"/>
                <w:bCs/>
                <w:color w:val="000000"/>
                <w:kern w:val="0"/>
                <w:sz w:val="24"/>
                <w:szCs w:val="24"/>
              </w:rPr>
            </w:pPr>
            <w:r>
              <w:rPr>
                <w:rFonts w:hint="eastAsia" w:ascii="方正仿宋简体" w:hAnsi="方正仿宋简体" w:eastAsia="方正仿宋简体" w:cs="方正仿宋简体"/>
                <w:bCs/>
                <w:color w:val="000000"/>
                <w:kern w:val="0"/>
                <w:sz w:val="24"/>
                <w:szCs w:val="24"/>
              </w:rPr>
              <w:t>兴普</w:t>
            </w:r>
            <w:r>
              <w:rPr>
                <w:rFonts w:hint="eastAsia" w:ascii="方正仿宋简体" w:hAnsi="方正仿宋简体" w:eastAsia="方正仿宋简体" w:cs="方正仿宋简体"/>
                <w:bCs/>
                <w:color w:val="000000"/>
                <w:kern w:val="0"/>
                <w:sz w:val="24"/>
                <w:szCs w:val="24"/>
                <w:lang w:eastAsia="zh-CN"/>
              </w:rPr>
              <w:t>驳</w:t>
            </w:r>
            <w:r>
              <w:rPr>
                <w:rFonts w:hint="eastAsia" w:ascii="方正仿宋简体" w:hAnsi="方正仿宋简体" w:eastAsia="方正仿宋简体" w:cs="方正仿宋简体"/>
                <w:bCs/>
                <w:color w:val="000000"/>
                <w:kern w:val="0"/>
                <w:sz w:val="24"/>
                <w:szCs w:val="24"/>
                <w:lang w:val="en-US" w:eastAsia="zh-CN"/>
              </w:rPr>
              <w:t>3005</w:t>
            </w:r>
          </w:p>
        </w:tc>
        <w:tc>
          <w:tcPr>
            <w:tcW w:w="4040" w:type="dxa"/>
            <w:vAlign w:val="center"/>
          </w:tcPr>
          <w:p w14:paraId="3B75729F">
            <w:pPr>
              <w:widowControl/>
              <w:jc w:val="center"/>
              <w:textAlignment w:val="bottom"/>
              <w:rPr>
                <w:rFonts w:hint="eastAsia" w:ascii="方正仿宋简体" w:hAnsi="方正仿宋简体" w:eastAsia="方正仿宋简体" w:cs="方正仿宋简体"/>
                <w:color w:val="000000"/>
                <w:kern w:val="0"/>
                <w:sz w:val="24"/>
                <w:szCs w:val="24"/>
                <w:lang w:val="en-US" w:eastAsia="zh-CN"/>
              </w:rPr>
            </w:pPr>
            <w:r>
              <w:rPr>
                <w:rFonts w:hint="eastAsia" w:ascii="方正仿宋简体" w:hAnsi="方正仿宋简体" w:eastAsia="方正仿宋简体" w:cs="方正仿宋简体"/>
                <w:color w:val="000000"/>
                <w:kern w:val="0"/>
                <w:sz w:val="24"/>
                <w:szCs w:val="24"/>
                <w:lang w:val="en-US" w:eastAsia="zh-CN"/>
              </w:rPr>
              <w:t>2025</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1日</w:t>
            </w:r>
            <w:r>
              <w:rPr>
                <w:rFonts w:hint="eastAsia" w:ascii="方正仿宋简体" w:hAnsi="方正仿宋简体" w:eastAsia="方正仿宋简体" w:cs="方正仿宋简体"/>
                <w:color w:val="000000"/>
                <w:kern w:val="0"/>
                <w:sz w:val="24"/>
                <w:szCs w:val="24"/>
              </w:rPr>
              <w:t>-</w:t>
            </w:r>
            <w:r>
              <w:rPr>
                <w:rFonts w:hint="eastAsia" w:ascii="方正仿宋简体" w:hAnsi="方正仿宋简体" w:eastAsia="方正仿宋简体" w:cs="方正仿宋简体"/>
                <w:color w:val="000000"/>
                <w:kern w:val="0"/>
                <w:sz w:val="24"/>
                <w:szCs w:val="24"/>
                <w:lang w:val="en-US" w:eastAsia="zh-CN"/>
              </w:rPr>
              <w:t>2027</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12</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31</w:t>
            </w:r>
            <w:r>
              <w:rPr>
                <w:rFonts w:hint="eastAsia" w:ascii="方正仿宋简体" w:hAnsi="方正仿宋简体" w:eastAsia="方正仿宋简体" w:cs="方正仿宋简体"/>
                <w:color w:val="000000"/>
                <w:kern w:val="0"/>
                <w:sz w:val="24"/>
                <w:szCs w:val="24"/>
              </w:rPr>
              <w:t>日</w:t>
            </w:r>
          </w:p>
        </w:tc>
        <w:tc>
          <w:tcPr>
            <w:tcW w:w="2135" w:type="dxa"/>
            <w:vAlign w:val="center"/>
          </w:tcPr>
          <w:p w14:paraId="61B13C7C">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sz w:val="24"/>
                <w:szCs w:val="24"/>
                <w:lang w:val="en-US" w:eastAsia="zh-CN"/>
              </w:rPr>
              <w:t>2200-2400</w:t>
            </w:r>
          </w:p>
        </w:tc>
      </w:tr>
      <w:tr w14:paraId="0C7F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71" w:type="dxa"/>
            <w:vAlign w:val="center"/>
          </w:tcPr>
          <w:p w14:paraId="11230021">
            <w:pPr>
              <w:widowControl/>
              <w:jc w:val="center"/>
              <w:textAlignment w:val="center"/>
              <w:rPr>
                <w:rFonts w:hint="default" w:ascii="方正仿宋简体" w:hAnsi="方正仿宋简体" w:eastAsia="方正仿宋简体" w:cs="方正仿宋简体"/>
                <w:bCs/>
                <w:color w:val="000000"/>
                <w:kern w:val="0"/>
                <w:sz w:val="24"/>
                <w:szCs w:val="24"/>
                <w:lang w:val="en-US"/>
              </w:rPr>
            </w:pPr>
            <w:r>
              <w:rPr>
                <w:rFonts w:hint="eastAsia" w:ascii="方正仿宋简体" w:hAnsi="方正仿宋简体" w:eastAsia="方正仿宋简体" w:cs="方正仿宋简体"/>
                <w:bCs/>
                <w:color w:val="000000"/>
                <w:kern w:val="0"/>
                <w:sz w:val="24"/>
                <w:szCs w:val="24"/>
              </w:rPr>
              <w:t>兴普</w:t>
            </w:r>
            <w:r>
              <w:rPr>
                <w:rFonts w:hint="eastAsia" w:ascii="方正仿宋简体" w:hAnsi="方正仿宋简体" w:eastAsia="方正仿宋简体" w:cs="方正仿宋简体"/>
                <w:bCs/>
                <w:color w:val="000000"/>
                <w:kern w:val="0"/>
                <w:sz w:val="24"/>
                <w:szCs w:val="24"/>
                <w:lang w:eastAsia="zh-CN"/>
              </w:rPr>
              <w:t>驳</w:t>
            </w:r>
            <w:r>
              <w:rPr>
                <w:rFonts w:hint="eastAsia" w:ascii="方正仿宋简体" w:hAnsi="方正仿宋简体" w:eastAsia="方正仿宋简体" w:cs="方正仿宋简体"/>
                <w:bCs/>
                <w:color w:val="000000"/>
                <w:kern w:val="0"/>
                <w:sz w:val="24"/>
                <w:szCs w:val="24"/>
                <w:lang w:val="en-US" w:eastAsia="zh-CN"/>
              </w:rPr>
              <w:t>3006</w:t>
            </w:r>
          </w:p>
        </w:tc>
        <w:tc>
          <w:tcPr>
            <w:tcW w:w="4040" w:type="dxa"/>
            <w:vAlign w:val="center"/>
          </w:tcPr>
          <w:p w14:paraId="27DDB79E">
            <w:pPr>
              <w:widowControl/>
              <w:jc w:val="center"/>
              <w:textAlignment w:val="bottom"/>
              <w:rPr>
                <w:rFonts w:hint="eastAsia" w:ascii="方正仿宋简体" w:hAnsi="方正仿宋简体" w:eastAsia="方正仿宋简体" w:cs="方正仿宋简体"/>
                <w:color w:val="000000"/>
                <w:kern w:val="0"/>
                <w:sz w:val="24"/>
                <w:szCs w:val="24"/>
                <w:lang w:val="en-US" w:eastAsia="zh-CN"/>
              </w:rPr>
            </w:pPr>
            <w:r>
              <w:rPr>
                <w:rFonts w:hint="eastAsia" w:ascii="方正仿宋简体" w:hAnsi="方正仿宋简体" w:eastAsia="方正仿宋简体" w:cs="方正仿宋简体"/>
                <w:color w:val="000000"/>
                <w:kern w:val="0"/>
                <w:sz w:val="24"/>
                <w:szCs w:val="24"/>
                <w:lang w:val="en-US" w:eastAsia="zh-CN"/>
              </w:rPr>
              <w:t>2025</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1日</w:t>
            </w:r>
            <w:r>
              <w:rPr>
                <w:rFonts w:hint="eastAsia" w:ascii="方正仿宋简体" w:hAnsi="方正仿宋简体" w:eastAsia="方正仿宋简体" w:cs="方正仿宋简体"/>
                <w:color w:val="000000"/>
                <w:kern w:val="0"/>
                <w:sz w:val="24"/>
                <w:szCs w:val="24"/>
              </w:rPr>
              <w:t>-</w:t>
            </w:r>
            <w:r>
              <w:rPr>
                <w:rFonts w:hint="eastAsia" w:ascii="方正仿宋简体" w:hAnsi="方正仿宋简体" w:eastAsia="方正仿宋简体" w:cs="方正仿宋简体"/>
                <w:color w:val="000000"/>
                <w:kern w:val="0"/>
                <w:sz w:val="24"/>
                <w:szCs w:val="24"/>
                <w:lang w:val="en-US" w:eastAsia="zh-CN"/>
              </w:rPr>
              <w:t>2027</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12</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31</w:t>
            </w:r>
            <w:r>
              <w:rPr>
                <w:rFonts w:hint="eastAsia" w:ascii="方正仿宋简体" w:hAnsi="方正仿宋简体" w:eastAsia="方正仿宋简体" w:cs="方正仿宋简体"/>
                <w:color w:val="000000"/>
                <w:kern w:val="0"/>
                <w:sz w:val="24"/>
                <w:szCs w:val="24"/>
              </w:rPr>
              <w:t>日</w:t>
            </w:r>
          </w:p>
        </w:tc>
        <w:tc>
          <w:tcPr>
            <w:tcW w:w="2135" w:type="dxa"/>
            <w:vAlign w:val="center"/>
          </w:tcPr>
          <w:p w14:paraId="3D839798">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sz w:val="24"/>
                <w:szCs w:val="24"/>
                <w:lang w:val="en-US" w:eastAsia="zh-CN"/>
              </w:rPr>
              <w:t>2200-2400</w:t>
            </w:r>
          </w:p>
        </w:tc>
      </w:tr>
    </w:tbl>
    <w:p w14:paraId="3FBA585B">
      <w:pPr>
        <w:widowControl/>
        <w:jc w:val="center"/>
        <w:textAlignment w:val="bottom"/>
        <w:rPr>
          <w:rFonts w:hint="eastAsia" w:ascii="方正仿宋简体" w:hAnsi="方正仿宋简体" w:eastAsia="方正仿宋简体" w:cs="方正仿宋简体"/>
          <w:color w:val="000000"/>
          <w:kern w:val="0"/>
          <w:sz w:val="32"/>
          <w:szCs w:val="32"/>
          <w:highlight w:val="none"/>
          <w:u w:val="none"/>
          <w:lang w:val="en-US" w:eastAsia="zh-CN"/>
        </w:rPr>
      </w:pPr>
      <w:r>
        <w:rPr>
          <w:rFonts w:hint="eastAsia" w:ascii="方正仿宋简体" w:hAnsi="方正仿宋简体" w:eastAsia="方正仿宋简体" w:cs="方正仿宋简体"/>
          <w:color w:val="000000"/>
          <w:kern w:val="0"/>
          <w:sz w:val="32"/>
          <w:szCs w:val="32"/>
          <w:lang w:val="en-US" w:eastAsia="zh-CN"/>
        </w:rPr>
        <w:t>注：</w:t>
      </w:r>
      <w:r>
        <w:rPr>
          <w:rFonts w:hint="eastAsia" w:ascii="方正仿宋简体" w:hAnsi="方正仿宋简体" w:eastAsia="方正仿宋简体" w:cs="方正仿宋简体"/>
          <w:color w:val="000000"/>
          <w:kern w:val="0"/>
          <w:sz w:val="32"/>
          <w:szCs w:val="32"/>
          <w:highlight w:val="none"/>
          <w:lang w:val="en-US" w:eastAsia="zh-CN"/>
        </w:rPr>
        <w:t>服务的主要装卸地点为</w:t>
      </w:r>
      <w:r>
        <w:rPr>
          <w:rFonts w:hint="eastAsia" w:ascii="方正仿宋简体" w:hAnsi="方正仿宋简体" w:eastAsia="方正仿宋简体" w:cs="方正仿宋简体"/>
          <w:kern w:val="2"/>
          <w:sz w:val="32"/>
          <w:szCs w:val="32"/>
          <w:u w:val="none"/>
          <w:lang w:val="en-US" w:eastAsia="zh-CN" w:bidi="ar-SA"/>
        </w:rPr>
        <w:t>镇江区域内各散货装卸码头。</w:t>
      </w:r>
    </w:p>
    <w:p w14:paraId="4D279116">
      <w:pPr>
        <w:numPr>
          <w:ilvl w:val="0"/>
          <w:numId w:val="1"/>
        </w:numPr>
        <w:spacing w:line="600" w:lineRule="exact"/>
        <w:ind w:firstLine="640" w:firstLineChars="200"/>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服务内容：</w:t>
      </w:r>
    </w:p>
    <w:p w14:paraId="63D11B1F">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镇江区域内对兴普驳船进行装卸货的拖轮服务，年总运量预计约30万吨</w:t>
      </w:r>
      <w:r>
        <w:rPr>
          <w:rFonts w:hint="eastAsia" w:ascii="方正仿宋简体" w:hAnsi="方正仿宋简体" w:eastAsia="方正仿宋简体" w:cs="方正仿宋简体"/>
          <w:sz w:val="32"/>
          <w:szCs w:val="32"/>
          <w:u w:val="none"/>
          <w:lang w:eastAsia="zh-CN"/>
        </w:rPr>
        <w:t>。</w:t>
      </w:r>
    </w:p>
    <w:p w14:paraId="7CBB3EAC">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highlight w:val="none"/>
          <w:lang w:val="zh-CN" w:eastAsia="zh-CN"/>
        </w:rPr>
      </w:pPr>
      <w:r>
        <w:rPr>
          <w:rFonts w:hint="eastAsia" w:ascii="方正仿宋简体" w:hAnsi="方正仿宋简体" w:eastAsia="方正仿宋简体" w:cs="方正仿宋简体"/>
          <w:sz w:val="32"/>
          <w:szCs w:val="32"/>
          <w:highlight w:val="none"/>
        </w:rPr>
        <w:t>三、投标人资质与要求</w:t>
      </w:r>
    </w:p>
    <w:p w14:paraId="155B86A4">
      <w:pPr>
        <w:spacing w:line="600" w:lineRule="exact"/>
        <w:ind w:firstLine="640" w:firstLineChars="200"/>
        <w:rPr>
          <w:rFonts w:hint="eastAsia" w:ascii="方正仿宋简体" w:hAnsi="方正仿宋简体" w:eastAsia="方正仿宋简体" w:cs="方正仿宋简体"/>
          <w:bCs/>
          <w:sz w:val="32"/>
          <w:szCs w:val="32"/>
          <w:highlight w:val="none"/>
          <w:lang w:val="zh-CN"/>
        </w:rPr>
      </w:pPr>
      <w:r>
        <w:rPr>
          <w:rFonts w:hint="eastAsia" w:ascii="方正仿宋简体" w:hAnsi="方正仿宋简体" w:eastAsia="方正仿宋简体" w:cs="方正仿宋简体"/>
          <w:color w:val="000000"/>
          <w:sz w:val="32"/>
          <w:szCs w:val="32"/>
          <w:highlight w:val="none"/>
          <w:lang w:val="en-US" w:eastAsia="zh-CN" w:bidi="ar-SA"/>
        </w:rPr>
        <w:t>（一）</w:t>
      </w:r>
      <w:r>
        <w:rPr>
          <w:rFonts w:hint="eastAsia" w:ascii="方正仿宋简体" w:hAnsi="方正仿宋简体" w:eastAsia="方正仿宋简体" w:cs="方正仿宋简体"/>
          <w:sz w:val="32"/>
          <w:szCs w:val="32"/>
          <w:highlight w:val="none"/>
        </w:rPr>
        <w:t>投标时需提供</w:t>
      </w:r>
      <w:r>
        <w:rPr>
          <w:rFonts w:hint="eastAsia" w:ascii="方正仿宋简体" w:hAnsi="方正仿宋简体" w:eastAsia="方正仿宋简体" w:cs="方正仿宋简体"/>
          <w:sz w:val="32"/>
          <w:szCs w:val="32"/>
          <w:highlight w:val="none"/>
          <w:lang w:eastAsia="zh-CN"/>
        </w:rPr>
        <w:t>：</w:t>
      </w:r>
    </w:p>
    <w:p w14:paraId="4F466D87">
      <w:pPr>
        <w:spacing w:line="600" w:lineRule="exact"/>
        <w:ind w:firstLine="640" w:firstLineChars="200"/>
        <w:rPr>
          <w:rFonts w:hint="eastAsia" w:ascii="方正仿宋简体" w:hAnsi="方正仿宋简体" w:eastAsia="方正仿宋简体" w:cs="方正仿宋简体"/>
          <w:bCs/>
          <w:color w:val="000000"/>
          <w:sz w:val="32"/>
          <w:szCs w:val="32"/>
          <w:highlight w:val="none"/>
          <w:lang w:val="en-US" w:eastAsia="zh-CN"/>
        </w:rPr>
      </w:pPr>
      <w:r>
        <w:rPr>
          <w:rFonts w:hint="eastAsia" w:ascii="方正仿宋简体" w:hAnsi="方正仿宋简体" w:eastAsia="方正仿宋简体" w:cs="方正仿宋简体"/>
          <w:bCs/>
          <w:color w:val="000000"/>
          <w:sz w:val="32"/>
          <w:szCs w:val="32"/>
          <w:highlight w:val="none"/>
          <w:lang w:val="en-US" w:eastAsia="zh-CN"/>
        </w:rPr>
        <w:t>1.企业简介，《营业执照》、《税务登记证》、《组织机构代码证》（或三证合一）</w:t>
      </w:r>
      <w:r>
        <w:rPr>
          <w:rFonts w:hint="eastAsia" w:ascii="方正仿宋简体" w:hAnsi="方正仿宋简体" w:eastAsia="方正仿宋简体" w:cs="方正仿宋简体"/>
          <w:bCs/>
          <w:color w:val="000000"/>
          <w:sz w:val="32"/>
          <w:szCs w:val="32"/>
          <w:highlight w:val="none"/>
          <w:lang w:val="zh-CN" w:eastAsia="zh-CN"/>
        </w:rPr>
        <w:t>，投标公司的安全管理制度。</w:t>
      </w:r>
    </w:p>
    <w:p w14:paraId="6242C3F8">
      <w:pPr>
        <w:spacing w:line="600" w:lineRule="exact"/>
        <w:ind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lang w:val="en-US" w:eastAsia="zh-CN"/>
        </w:rPr>
        <w:t>2.</w:t>
      </w:r>
      <w:r>
        <w:rPr>
          <w:rFonts w:hint="eastAsia" w:ascii="方正仿宋简体" w:hAnsi="方正仿宋简体" w:eastAsia="方正仿宋简体" w:cs="方正仿宋简体"/>
          <w:bCs/>
          <w:color w:val="FF0000"/>
          <w:sz w:val="32"/>
          <w:szCs w:val="32"/>
          <w:highlight w:val="none"/>
          <w:lang w:val="en-US" w:eastAsia="zh-CN"/>
        </w:rPr>
        <w:t>提供拖轮证书(要求实际控制拖轮的总功率超660kw，另提供证明实际控制的相关证明文件，如挂靠公司的委托函等）</w:t>
      </w:r>
      <w:r>
        <w:rPr>
          <w:rFonts w:hint="eastAsia" w:ascii="方正仿宋简体" w:hAnsi="方正仿宋简体" w:eastAsia="方正仿宋简体" w:cs="方正仿宋简体"/>
          <w:bCs/>
          <w:sz w:val="32"/>
          <w:szCs w:val="32"/>
          <w:highlight w:val="none"/>
          <w:lang w:val="en-US" w:eastAsia="zh-CN"/>
        </w:rPr>
        <w:t>、</w:t>
      </w:r>
      <w:r>
        <w:rPr>
          <w:rFonts w:hint="eastAsia" w:ascii="方正仿宋简体" w:hAnsi="方正仿宋简体" w:eastAsia="方正仿宋简体" w:cs="方正仿宋简体"/>
          <w:bCs/>
          <w:color w:val="FF0000"/>
          <w:sz w:val="32"/>
          <w:szCs w:val="32"/>
          <w:highlight w:val="none"/>
          <w:lang w:val="en-US" w:eastAsia="zh-CN"/>
        </w:rPr>
        <w:t>2022年至今镇江区域拖轮服务的合同（合同总价不低于70万元，总吨位不低于30万吨,合同不限份数）。</w:t>
      </w:r>
    </w:p>
    <w:p w14:paraId="25267C61">
      <w:pPr>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color w:val="000000"/>
          <w:sz w:val="32"/>
          <w:szCs w:val="32"/>
          <w:lang w:val="en-US" w:eastAsia="zh-CN" w:bidi="ar-SA"/>
        </w:rPr>
        <w:t>（二）</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w:t>
      </w:r>
      <w:r>
        <w:rPr>
          <w:rFonts w:hint="eastAsia" w:ascii="方正仿宋简体" w:hAnsi="方正仿宋简体" w:eastAsia="方正仿宋简体" w:cs="方正仿宋简体"/>
          <w:bCs/>
          <w:sz w:val="32"/>
          <w:szCs w:val="32"/>
          <w:lang w:eastAsia="zh-CN"/>
        </w:rPr>
        <w:t>沟通</w:t>
      </w:r>
      <w:r>
        <w:rPr>
          <w:rFonts w:hint="eastAsia" w:ascii="方正仿宋简体" w:hAnsi="方正仿宋简体" w:eastAsia="方正仿宋简体" w:cs="方正仿宋简体"/>
          <w:bCs/>
          <w:sz w:val="32"/>
          <w:szCs w:val="32"/>
        </w:rPr>
        <w:t>服务能力，要求电话联系后</w:t>
      </w:r>
      <w:r>
        <w:rPr>
          <w:rFonts w:hint="eastAsia" w:ascii="方正仿宋简体" w:hAnsi="方正仿宋简体" w:eastAsia="方正仿宋简体" w:cs="方正仿宋简体"/>
          <w:bCs/>
          <w:sz w:val="32"/>
          <w:szCs w:val="32"/>
          <w:highlight w:val="none"/>
          <w:u w:val="single"/>
          <w:lang w:val="en-US" w:eastAsia="zh-CN"/>
        </w:rPr>
        <w:t>24小时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w:t>
      </w:r>
      <w:r>
        <w:rPr>
          <w:rFonts w:hint="eastAsia" w:ascii="方正仿宋简体" w:hAnsi="方正仿宋简体" w:eastAsia="方正仿宋简体" w:cs="方正仿宋简体"/>
          <w:sz w:val="32"/>
          <w:szCs w:val="32"/>
          <w:lang w:eastAsia="zh-CN"/>
        </w:rPr>
        <w:t>前往船舶装卸货地处理相关问题</w:t>
      </w:r>
      <w:r>
        <w:rPr>
          <w:rFonts w:hint="eastAsia" w:ascii="方正仿宋简体" w:hAnsi="方正仿宋简体" w:eastAsia="方正仿宋简体" w:cs="方正仿宋简体"/>
          <w:bCs/>
          <w:sz w:val="32"/>
          <w:szCs w:val="32"/>
          <w:highlight w:val="none"/>
          <w:lang w:eastAsia="zh-CN"/>
        </w:rPr>
        <w:t>。</w:t>
      </w:r>
    </w:p>
    <w:p w14:paraId="35FB2CFC">
      <w:pPr>
        <w:pStyle w:val="7"/>
        <w:spacing w:after="0" w:line="600" w:lineRule="exact"/>
        <w:ind w:firstLine="640" w:firstLineChars="200"/>
        <w:rPr>
          <w:rFonts w:hint="eastAsia" w:ascii="方正仿宋简体" w:hAnsi="方正仿宋简体" w:eastAsia="方正仿宋简体" w:cs="方正仿宋简体"/>
          <w:bCs/>
          <w:color w:val="FF0000"/>
          <w:sz w:val="32"/>
          <w:szCs w:val="32"/>
          <w:highlight w:val="none"/>
          <w:lang w:eastAsia="zh-CN"/>
        </w:rPr>
      </w:pPr>
      <w:r>
        <w:rPr>
          <w:rFonts w:hint="eastAsia" w:ascii="方正仿宋简体" w:hAnsi="方正仿宋简体" w:eastAsia="方正仿宋简体" w:cs="方正仿宋简体"/>
          <w:color w:val="FF0000"/>
          <w:sz w:val="32"/>
          <w:szCs w:val="32"/>
          <w:lang w:val="en-US" w:eastAsia="zh-CN" w:bidi="ar-SA"/>
        </w:rPr>
        <w:t>（三）</w:t>
      </w:r>
      <w:r>
        <w:rPr>
          <w:rFonts w:hint="eastAsia" w:ascii="方正仿宋简体" w:hAnsi="方正仿宋简体" w:eastAsia="方正仿宋简体" w:cs="方正仿宋简体"/>
          <w:bCs/>
          <w:color w:val="FF0000"/>
          <w:sz w:val="32"/>
          <w:szCs w:val="32"/>
          <w:highlight w:val="none"/>
        </w:rPr>
        <w:t>不接受被列入失信被执行人、重大违法案件当事人投标</w:t>
      </w:r>
      <w:r>
        <w:rPr>
          <w:rFonts w:hint="eastAsia" w:ascii="方正仿宋简体" w:hAnsi="方正仿宋简体" w:eastAsia="方正仿宋简体" w:cs="方正仿宋简体"/>
          <w:bCs/>
          <w:color w:val="FF0000"/>
          <w:sz w:val="32"/>
          <w:szCs w:val="32"/>
          <w:highlight w:val="none"/>
          <w:lang w:eastAsia="zh-CN"/>
        </w:rPr>
        <w:t>。</w:t>
      </w:r>
    </w:p>
    <w:p w14:paraId="02B263B2">
      <w:pPr>
        <w:pStyle w:val="8"/>
        <w:ind w:firstLine="640" w:firstLineChars="200"/>
        <w:rPr>
          <w:rFonts w:hint="eastAsia" w:ascii="方正仿宋简体" w:hAnsi="方正仿宋简体" w:eastAsia="方正仿宋简体" w:cs="方正仿宋简体"/>
          <w:bCs/>
          <w:color w:val="000000"/>
          <w:kern w:val="0"/>
          <w:sz w:val="32"/>
          <w:szCs w:val="32"/>
          <w:lang w:val="en-US" w:eastAsia="zh-CN" w:bidi="ar-SA"/>
        </w:rPr>
      </w:pPr>
      <w:r>
        <w:rPr>
          <w:rFonts w:hint="eastAsia" w:ascii="方正仿宋简体" w:hAnsi="方正仿宋简体" w:eastAsia="方正仿宋简体" w:cs="方正仿宋简体"/>
          <w:color w:val="auto"/>
          <w:kern w:val="0"/>
          <w:sz w:val="32"/>
          <w:szCs w:val="32"/>
          <w:lang w:val="en-US" w:eastAsia="zh-CN" w:bidi="ar-SA"/>
        </w:rPr>
        <w:t>（四）</w:t>
      </w:r>
      <w:r>
        <w:rPr>
          <w:rFonts w:hint="eastAsia" w:ascii="方正仿宋简体" w:hAnsi="方正仿宋简体" w:eastAsia="方正仿宋简体" w:cs="方正仿宋简体"/>
          <w:bCs/>
          <w:color w:val="000000"/>
          <w:kern w:val="0"/>
          <w:sz w:val="32"/>
          <w:szCs w:val="32"/>
          <w:lang w:val="en-US" w:eastAsia="zh-CN" w:bidi="ar-SA"/>
        </w:rPr>
        <w:t>其他要求</w:t>
      </w:r>
    </w:p>
    <w:p w14:paraId="726DC90D">
      <w:pPr>
        <w:pStyle w:val="8"/>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color w:val="000000"/>
          <w:kern w:val="0"/>
          <w:sz w:val="32"/>
          <w:szCs w:val="32"/>
          <w:lang w:val="en-US" w:eastAsia="zh-CN" w:bidi="ar-SA"/>
        </w:rPr>
        <w:t>1.</w:t>
      </w:r>
      <w:r>
        <w:rPr>
          <w:rFonts w:hint="eastAsia" w:ascii="方正仿宋简体" w:hAnsi="方正仿宋简体" w:eastAsia="方正仿宋简体" w:cs="方正仿宋简体"/>
          <w:sz w:val="32"/>
          <w:szCs w:val="32"/>
        </w:rPr>
        <w:t>投标</w:t>
      </w:r>
      <w:r>
        <w:rPr>
          <w:rFonts w:hint="eastAsia" w:ascii="方正仿宋简体" w:hAnsi="方正仿宋简体" w:eastAsia="方正仿宋简体" w:cs="方正仿宋简体"/>
          <w:sz w:val="32"/>
          <w:szCs w:val="32"/>
          <w:lang w:val="en-US" w:eastAsia="zh-CN"/>
        </w:rPr>
        <w:t>人</w:t>
      </w:r>
      <w:r>
        <w:rPr>
          <w:rFonts w:hint="eastAsia" w:ascii="方正仿宋简体" w:hAnsi="方正仿宋简体" w:eastAsia="方正仿宋简体" w:cs="方正仿宋简体"/>
          <w:sz w:val="32"/>
          <w:szCs w:val="32"/>
        </w:rPr>
        <w:t>具有本次招标公司提出</w:t>
      </w:r>
      <w:r>
        <w:rPr>
          <w:rFonts w:hint="eastAsia" w:ascii="方正仿宋简体" w:hAnsi="方正仿宋简体" w:eastAsia="方正仿宋简体" w:cs="方正仿宋简体"/>
          <w:sz w:val="32"/>
          <w:szCs w:val="32"/>
          <w:lang w:eastAsia="zh-CN"/>
        </w:rPr>
        <w:t>所有证件、合同等并加盖公章。</w:t>
      </w:r>
    </w:p>
    <w:p w14:paraId="23BF8F00">
      <w:pPr>
        <w:pStyle w:val="8"/>
        <w:ind w:firstLine="640" w:firstLineChars="200"/>
        <w:rPr>
          <w:rFonts w:hint="eastAsia" w:ascii="方正仿宋简体" w:hAnsi="方正仿宋简体" w:eastAsia="方正仿宋简体" w:cs="方正仿宋简体"/>
          <w:bCs/>
          <w:color w:val="000000"/>
          <w:kern w:val="1"/>
          <w:sz w:val="32"/>
          <w:szCs w:val="32"/>
          <w:lang w:val="en-US" w:eastAsia="zh-CN" w:bidi="ar-SA"/>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bCs/>
          <w:color w:val="000000"/>
          <w:kern w:val="1"/>
          <w:sz w:val="32"/>
          <w:szCs w:val="32"/>
          <w:lang w:val="en-US" w:eastAsia="zh-CN" w:bidi="ar-SA"/>
        </w:rPr>
        <w:t>投标人需长期经营拖轮服务，对行业情况，镇江区域港口情况，海事管理条款有足够的认知及解决问题的能力。</w:t>
      </w:r>
    </w:p>
    <w:p w14:paraId="11B19688">
      <w:pPr>
        <w:pStyle w:val="8"/>
        <w:ind w:firstLine="640" w:firstLineChars="200"/>
        <w:rPr>
          <w:rFonts w:hint="eastAsia" w:ascii="方正仿宋简体" w:hAnsi="方正仿宋简体" w:eastAsia="方正仿宋简体" w:cs="方正仿宋简体"/>
          <w:bCs/>
          <w:color w:val="000000"/>
          <w:kern w:val="1"/>
          <w:sz w:val="32"/>
          <w:szCs w:val="32"/>
          <w:lang w:val="en-US" w:eastAsia="zh-CN" w:bidi="ar-SA"/>
        </w:rPr>
      </w:pPr>
      <w:r>
        <w:rPr>
          <w:rFonts w:hint="eastAsia" w:ascii="方正仿宋简体" w:hAnsi="方正仿宋简体" w:eastAsia="方正仿宋简体" w:cs="方正仿宋简体"/>
          <w:bCs/>
          <w:color w:val="000000"/>
          <w:kern w:val="1"/>
          <w:sz w:val="32"/>
          <w:szCs w:val="32"/>
          <w:lang w:val="en-US" w:eastAsia="zh-CN" w:bidi="ar-SA"/>
        </w:rPr>
        <w:t>3.</w:t>
      </w:r>
      <w:r>
        <w:rPr>
          <w:rFonts w:hint="eastAsia" w:ascii="方正仿宋简体" w:hAnsi="方正仿宋简体" w:eastAsia="方正仿宋简体" w:cs="方正仿宋简体"/>
          <w:bCs/>
          <w:color w:val="FF0000"/>
          <w:kern w:val="1"/>
          <w:sz w:val="32"/>
          <w:szCs w:val="32"/>
          <w:lang w:val="en-US" w:eastAsia="zh-CN" w:bidi="ar-SA"/>
        </w:rPr>
        <w:t>因拖轮托运原因造成的安全事故由中标方全权负责并赔偿我司损失。</w:t>
      </w:r>
    </w:p>
    <w:p w14:paraId="7DFDB553">
      <w:pPr>
        <w:pStyle w:val="8"/>
        <w:ind w:firstLine="640" w:firstLineChars="200"/>
        <w:rPr>
          <w:rFonts w:hint="eastAsia" w:ascii="方正仿宋简体" w:hAnsi="方正仿宋简体" w:eastAsia="方正仿宋简体" w:cs="方正仿宋简体"/>
          <w:bCs/>
          <w:color w:val="000000"/>
          <w:kern w:val="1"/>
          <w:sz w:val="32"/>
          <w:szCs w:val="32"/>
          <w:lang w:val="en-US" w:eastAsia="zh-CN" w:bidi="ar-SA"/>
        </w:rPr>
      </w:pPr>
      <w:r>
        <w:rPr>
          <w:rFonts w:hint="eastAsia" w:ascii="方正仿宋简体" w:hAnsi="方正仿宋简体" w:eastAsia="方正仿宋简体" w:cs="方正仿宋简体"/>
          <w:bCs/>
          <w:color w:val="000000"/>
          <w:kern w:val="1"/>
          <w:sz w:val="32"/>
          <w:szCs w:val="32"/>
          <w:lang w:val="en-US" w:eastAsia="zh-CN" w:bidi="ar-SA"/>
        </w:rPr>
        <w:t>4.淘汰机制：因拖轮公司自身原因造成无人驳船长期停靠码头无法作业的（超过30个工作日），我司有权终止合同。</w:t>
      </w:r>
    </w:p>
    <w:p w14:paraId="360F306C">
      <w:pPr>
        <w:pStyle w:val="8"/>
        <w:ind w:firstLine="640" w:firstLineChars="200"/>
        <w:rPr>
          <w:rFonts w:hint="eastAsia" w:ascii="方正仿宋简体" w:hAnsi="方正仿宋简体" w:eastAsia="方正仿宋简体" w:cs="方正仿宋简体"/>
          <w:bCs/>
          <w:color w:val="000000"/>
          <w:kern w:val="1"/>
          <w:sz w:val="32"/>
          <w:szCs w:val="32"/>
          <w:lang w:val="en-US" w:eastAsia="zh-CN" w:bidi="ar-SA"/>
        </w:rPr>
      </w:pPr>
      <w:r>
        <w:rPr>
          <w:rFonts w:hint="eastAsia" w:ascii="方正仿宋简体" w:hAnsi="方正仿宋简体" w:eastAsia="方正仿宋简体" w:cs="方正仿宋简体"/>
          <w:bCs/>
          <w:color w:val="000000"/>
          <w:kern w:val="1"/>
          <w:sz w:val="32"/>
          <w:szCs w:val="32"/>
          <w:lang w:val="en-US" w:eastAsia="zh-CN" w:bidi="ar-SA"/>
        </w:rPr>
        <w:t>5.确定投标的单位需在开标前3</w:t>
      </w:r>
      <w:r>
        <w:rPr>
          <w:rFonts w:hint="eastAsia" w:ascii="方正仿宋简体" w:hAnsi="方正仿宋简体" w:eastAsia="方正仿宋简体" w:cs="方正仿宋简体"/>
          <w:bCs/>
          <w:color w:val="000000"/>
          <w:kern w:val="1"/>
          <w:sz w:val="32"/>
          <w:szCs w:val="32"/>
          <w:highlight w:val="none"/>
          <w:lang w:val="en-US" w:eastAsia="zh-CN" w:bidi="ar-SA"/>
        </w:rPr>
        <w:t>个工作日</w:t>
      </w:r>
      <w:r>
        <w:rPr>
          <w:rFonts w:hint="eastAsia" w:ascii="方正仿宋简体" w:hAnsi="方正仿宋简体" w:eastAsia="方正仿宋简体" w:cs="方正仿宋简体"/>
          <w:bCs/>
          <w:color w:val="000000"/>
          <w:kern w:val="1"/>
          <w:sz w:val="32"/>
          <w:szCs w:val="32"/>
          <w:lang w:val="en-US" w:eastAsia="zh-CN" w:bidi="ar-SA"/>
        </w:rPr>
        <w:t>抵达兴普做实地考察，了解运输路线及业务情况，了解船舶状态。如未按要求提前现场考察，对于未提前现场考察的运输单位兴普有权做废标处理</w:t>
      </w:r>
      <w:r>
        <w:rPr>
          <w:rFonts w:hint="eastAsia" w:ascii="方正仿宋简体" w:hAnsi="方正仿宋简体" w:eastAsia="方正仿宋简体" w:cs="方正仿宋简体"/>
          <w:bCs/>
          <w:color w:val="FF0000"/>
          <w:kern w:val="1"/>
          <w:sz w:val="32"/>
          <w:szCs w:val="32"/>
          <w:lang w:val="en-US" w:eastAsia="zh-CN" w:bidi="ar-SA"/>
        </w:rPr>
        <w:t>（需提供附件3：踏勘证明书）</w:t>
      </w:r>
      <w:r>
        <w:rPr>
          <w:rFonts w:hint="eastAsia" w:ascii="方正仿宋简体" w:hAnsi="方正仿宋简体" w:eastAsia="方正仿宋简体" w:cs="方正仿宋简体"/>
          <w:bCs/>
          <w:color w:val="000000"/>
          <w:kern w:val="1"/>
          <w:sz w:val="32"/>
          <w:szCs w:val="32"/>
          <w:lang w:val="en-US" w:eastAsia="zh-CN" w:bidi="ar-SA"/>
        </w:rPr>
        <w:t>。</w:t>
      </w:r>
    </w:p>
    <w:p w14:paraId="3F6F06E5">
      <w:pPr>
        <w:pStyle w:val="8"/>
        <w:ind w:firstLine="640" w:firstLineChars="200"/>
        <w:rPr>
          <w:rFonts w:hint="eastAsia" w:ascii="方正仿宋简体" w:hAnsi="方正仿宋简体" w:eastAsia="方正仿宋简体" w:cs="方正仿宋简体"/>
          <w:bCs/>
          <w:color w:val="000000"/>
          <w:kern w:val="1"/>
          <w:sz w:val="32"/>
          <w:szCs w:val="32"/>
          <w:lang w:val="en-US" w:eastAsia="zh-CN" w:bidi="ar-SA"/>
        </w:rPr>
      </w:pPr>
      <w:r>
        <w:rPr>
          <w:rFonts w:hint="eastAsia" w:ascii="方正仿宋简体" w:hAnsi="方正仿宋简体" w:eastAsia="方正仿宋简体" w:cs="方正仿宋简体"/>
          <w:bCs/>
          <w:color w:val="000000"/>
          <w:kern w:val="1"/>
          <w:sz w:val="32"/>
          <w:szCs w:val="32"/>
          <w:lang w:val="en-US" w:eastAsia="zh-CN" w:bidi="ar-SA"/>
        </w:rPr>
        <w:t>6.因拖轮单位原因造成货主停产的，产生的一切费用由中标的服务单位承担。</w:t>
      </w:r>
    </w:p>
    <w:p w14:paraId="75A435C4">
      <w:pPr>
        <w:pStyle w:val="8"/>
        <w:ind w:firstLine="640" w:firstLineChars="200"/>
        <w:rPr>
          <w:rFonts w:hint="default" w:ascii="方正仿宋简体" w:hAnsi="方正仿宋简体" w:eastAsia="方正仿宋简体" w:cs="方正仿宋简体"/>
          <w:bCs/>
          <w:color w:val="FF0000"/>
          <w:kern w:val="1"/>
          <w:sz w:val="32"/>
          <w:szCs w:val="32"/>
          <w:lang w:val="en-US" w:eastAsia="zh-CN" w:bidi="ar-SA"/>
        </w:rPr>
      </w:pPr>
      <w:r>
        <w:rPr>
          <w:rFonts w:hint="eastAsia" w:ascii="方正仿宋简体" w:hAnsi="方正仿宋简体" w:eastAsia="方正仿宋简体" w:cs="方正仿宋简体"/>
          <w:bCs/>
          <w:color w:val="FF0000"/>
          <w:kern w:val="1"/>
          <w:sz w:val="32"/>
          <w:szCs w:val="32"/>
          <w:lang w:val="en-US" w:eastAsia="zh-CN" w:bidi="ar-SA"/>
        </w:rPr>
        <w:t>7.因公司保供需要，拖轮需24小时驻点服务。</w:t>
      </w:r>
    </w:p>
    <w:p w14:paraId="3A59F3E7">
      <w:pPr>
        <w:pStyle w:val="8"/>
        <w:spacing w:line="60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rPr>
        <w:t>四、投标</w:t>
      </w:r>
    </w:p>
    <w:p w14:paraId="7CACD92A">
      <w:pPr>
        <w:spacing w:line="60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000000"/>
          <w:sz w:val="32"/>
          <w:szCs w:val="32"/>
          <w:lang w:val="en-US" w:eastAsia="zh-CN" w:bidi="ar-SA"/>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highlight w:val="none"/>
          <w:lang w:eastAsia="zh-CN"/>
        </w:rPr>
        <w:t>。</w:t>
      </w:r>
    </w:p>
    <w:p w14:paraId="67A7297B">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仿宋简体" w:hAnsi="方正仿宋简体" w:eastAsia="方正仿宋简体" w:cs="方正仿宋简体"/>
          <w:color w:val="000000"/>
          <w:sz w:val="32"/>
          <w:szCs w:val="32"/>
          <w:lang w:val="en-US" w:eastAsia="zh-CN" w:bidi="ar-SA"/>
        </w:rPr>
        <w:t>（二）</w:t>
      </w:r>
      <w:r>
        <w:rPr>
          <w:rFonts w:hint="eastAsia" w:ascii="方正仿宋简体" w:hAnsi="方正仿宋简体" w:eastAsia="方正仿宋简体" w:cs="方正仿宋简体"/>
          <w:bCs/>
          <w:sz w:val="32"/>
          <w:szCs w:val="32"/>
          <w:lang w:val="zh-CN"/>
        </w:rPr>
        <w:t>付款</w:t>
      </w:r>
      <w:r>
        <w:rPr>
          <w:rFonts w:hint="eastAsia" w:ascii="方正仿宋简体" w:hAnsi="方正仿宋简体" w:eastAsia="方正仿宋简体" w:cs="方正仿宋简体"/>
          <w:bCs/>
          <w:sz w:val="32"/>
          <w:szCs w:val="32"/>
          <w:lang w:val="en-US" w:eastAsia="zh-CN"/>
        </w:rPr>
        <w:t>方式</w:t>
      </w:r>
      <w:r>
        <w:rPr>
          <w:rFonts w:hint="eastAsia" w:ascii="方正仿宋简体" w:hAnsi="方正仿宋简体" w:eastAsia="方正仿宋简体" w:cs="方正仿宋简体"/>
          <w:bCs/>
          <w:sz w:val="32"/>
          <w:szCs w:val="32"/>
          <w:lang w:val="zh-CN"/>
        </w:rPr>
        <w:t>：</w:t>
      </w:r>
      <w:r>
        <w:rPr>
          <w:rFonts w:hint="eastAsia" w:ascii="方正仿宋简体" w:hAnsi="方正仿宋简体" w:eastAsia="方正仿宋简体" w:cs="方正仿宋简体"/>
          <w:sz w:val="32"/>
          <w:szCs w:val="32"/>
        </w:rPr>
        <w:t>本项目付款方式为采用</w:t>
      </w:r>
      <w:r>
        <w:rPr>
          <w:rFonts w:hint="eastAsia" w:ascii="方正仿宋简体" w:hAnsi="方正仿宋简体" w:eastAsia="方正仿宋简体" w:cs="方正仿宋简体"/>
          <w:sz w:val="32"/>
          <w:szCs w:val="32"/>
          <w:lang w:val="en-US" w:eastAsia="zh-CN"/>
        </w:rPr>
        <w:t>月结承兑的方式</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招标方自收到</w:t>
      </w:r>
      <w:r>
        <w:rPr>
          <w:rFonts w:hint="eastAsia" w:ascii="方正仿宋简体" w:hAnsi="方正仿宋简体" w:eastAsia="方正仿宋简体" w:cs="方正仿宋简体"/>
          <w:sz w:val="32"/>
          <w:szCs w:val="32"/>
          <w:lang w:val="en-US" w:eastAsia="zh-CN"/>
        </w:rPr>
        <w:t>中标方开出</w:t>
      </w:r>
      <w:r>
        <w:rPr>
          <w:rFonts w:hint="eastAsia" w:ascii="方正仿宋简体" w:hAnsi="方正仿宋简体" w:eastAsia="方正仿宋简体" w:cs="方正仿宋简体"/>
          <w:sz w:val="32"/>
          <w:szCs w:val="32"/>
        </w:rPr>
        <w:t>的增值税专用发票后</w:t>
      </w:r>
      <w:r>
        <w:rPr>
          <w:rFonts w:hint="eastAsia" w:ascii="方正仿宋简体" w:hAnsi="方正仿宋简体" w:eastAsia="方正仿宋简体" w:cs="方正仿宋简体"/>
          <w:sz w:val="32"/>
          <w:szCs w:val="32"/>
          <w:lang w:val="en-US" w:eastAsia="zh-CN"/>
        </w:rPr>
        <w:t>30日内</w:t>
      </w:r>
      <w:r>
        <w:rPr>
          <w:rFonts w:hint="eastAsia" w:ascii="方正仿宋简体" w:hAnsi="方正仿宋简体" w:eastAsia="方正仿宋简体" w:cs="方正仿宋简体"/>
          <w:sz w:val="32"/>
          <w:szCs w:val="32"/>
        </w:rPr>
        <w:t>以</w:t>
      </w:r>
      <w:r>
        <w:rPr>
          <w:rFonts w:hint="eastAsia" w:ascii="方正仿宋简体" w:hAnsi="方正仿宋简体" w:eastAsia="方正仿宋简体" w:cs="方正仿宋简体"/>
          <w:sz w:val="32"/>
          <w:szCs w:val="32"/>
          <w:lang w:val="en-US" w:eastAsia="zh-CN"/>
        </w:rPr>
        <w:t>银行承兑</w:t>
      </w:r>
      <w:r>
        <w:rPr>
          <w:rFonts w:hint="eastAsia" w:ascii="方正仿宋简体" w:hAnsi="方正仿宋简体" w:eastAsia="方正仿宋简体" w:cs="方正仿宋简体"/>
          <w:sz w:val="32"/>
          <w:szCs w:val="32"/>
        </w:rPr>
        <w:t>方式付款。</w:t>
      </w:r>
    </w:p>
    <w:p w14:paraId="7E139B75">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（三）本项目投标通过线下方式进行：</w:t>
      </w:r>
    </w:p>
    <w:p w14:paraId="0F76C988">
      <w:pPr>
        <w:wordWrap w:val="0"/>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bCs/>
          <w:kern w:val="1"/>
          <w:sz w:val="32"/>
          <w:szCs w:val="32"/>
          <w:highlight w:val="none"/>
        </w:rPr>
        <w:t>采用线下投标应</w:t>
      </w:r>
      <w:r>
        <w:rPr>
          <w:rFonts w:hint="eastAsia" w:ascii="方正仿宋简体" w:hAnsi="方正仿宋简体" w:eastAsia="方正仿宋简体" w:cs="方正仿宋简体"/>
          <w:bCs/>
          <w:sz w:val="32"/>
          <w:szCs w:val="32"/>
          <w:highlight w:val="none"/>
        </w:rPr>
        <w:t>将报价书及相关资料以标袋形式送达，标袋必须密封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之前送达，逾期将作为废标处理。</w:t>
      </w:r>
    </w:p>
    <w:p w14:paraId="38B7B2D0">
      <w:pPr>
        <w:pStyle w:val="7"/>
        <w:spacing w:after="0" w:line="600" w:lineRule="exact"/>
        <w:ind w:firstLine="640" w:firstLineChars="200"/>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kern w:val="1"/>
          <w:sz w:val="32"/>
          <w:szCs w:val="32"/>
          <w:highlight w:val="none"/>
        </w:rPr>
        <w:t>（四）具体报价格式见报价函，</w:t>
      </w:r>
      <w:r>
        <w:rPr>
          <w:rFonts w:hint="eastAsia" w:ascii="方正仿宋简体" w:hAnsi="方正仿宋简体" w:eastAsia="方正仿宋简体" w:cs="方正仿宋简体"/>
          <w:kern w:val="1"/>
          <w:sz w:val="32"/>
          <w:szCs w:val="32"/>
          <w:highlight w:val="none"/>
          <w:lang w:val="en-US" w:eastAsia="zh-CN"/>
        </w:rPr>
        <w:t>投标</w:t>
      </w:r>
      <w:r>
        <w:rPr>
          <w:rFonts w:hint="eastAsia" w:ascii="方正仿宋简体" w:hAnsi="方正仿宋简体" w:eastAsia="方正仿宋简体" w:cs="方正仿宋简体"/>
          <w:kern w:val="1"/>
          <w:sz w:val="32"/>
          <w:szCs w:val="32"/>
          <w:highlight w:val="none"/>
        </w:rPr>
        <w:t>文件需提供</w:t>
      </w:r>
      <w:r>
        <w:rPr>
          <w:rFonts w:hint="eastAsia" w:ascii="方正仿宋简体" w:hAnsi="方正仿宋简体" w:eastAsia="方正仿宋简体" w:cs="方正仿宋简体"/>
          <w:color w:val="FF0000"/>
          <w:kern w:val="1"/>
          <w:sz w:val="32"/>
          <w:szCs w:val="32"/>
          <w:highlight w:val="none"/>
          <w:u w:val="single"/>
          <w:lang w:val="en-US" w:eastAsia="zh-CN"/>
        </w:rPr>
        <w:t>2</w:t>
      </w:r>
      <w:r>
        <w:rPr>
          <w:rFonts w:hint="eastAsia" w:ascii="方正仿宋简体" w:hAnsi="方正仿宋简体" w:eastAsia="方正仿宋简体" w:cs="方正仿宋简体"/>
          <w:kern w:val="1"/>
          <w:sz w:val="32"/>
          <w:szCs w:val="32"/>
          <w:highlight w:val="none"/>
        </w:rPr>
        <w:t>份</w:t>
      </w:r>
      <w:r>
        <w:rPr>
          <w:rFonts w:hint="eastAsia" w:ascii="方正仿宋简体" w:hAnsi="方正仿宋简体" w:eastAsia="方正仿宋简体" w:cs="方正仿宋简体"/>
          <w:kern w:val="1"/>
          <w:sz w:val="32"/>
          <w:szCs w:val="32"/>
          <w:highlight w:val="none"/>
          <w:lang w:eastAsia="zh-CN"/>
        </w:rPr>
        <w:t>。</w:t>
      </w:r>
    </w:p>
    <w:p w14:paraId="164768C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（五）采用线下投标的，投标文件请密封邮寄：</w:t>
      </w:r>
    </w:p>
    <w:p w14:paraId="25C5B74B">
      <w:pPr>
        <w:pStyle w:val="1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公司：镇江海纳川物流产业发展有限责任公司</w:t>
      </w:r>
      <w:r>
        <w:rPr>
          <w:rFonts w:hint="eastAsia" w:ascii="方正仿宋简体" w:hAnsi="方正仿宋简体" w:eastAsia="方正仿宋简体" w:cs="方正仿宋简体"/>
          <w:bCs/>
          <w:kern w:val="1"/>
          <w:sz w:val="32"/>
          <w:szCs w:val="32"/>
          <w:highlight w:val="none"/>
          <w:lang w:val="en-US" w:eastAsia="zh-CN"/>
        </w:rPr>
        <w:t>审计风控</w:t>
      </w:r>
      <w:r>
        <w:rPr>
          <w:rFonts w:hint="eastAsia" w:ascii="方正仿宋简体" w:hAnsi="方正仿宋简体" w:eastAsia="方正仿宋简体" w:cs="方正仿宋简体"/>
          <w:bCs/>
          <w:kern w:val="1"/>
          <w:sz w:val="32"/>
          <w:szCs w:val="32"/>
          <w:highlight w:val="none"/>
        </w:rPr>
        <w:t>部</w:t>
      </w:r>
    </w:p>
    <w:p w14:paraId="4D44B984">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地址：江苏省镇江市京口区求索路66号</w:t>
      </w:r>
    </w:p>
    <w:p w14:paraId="711CFE51">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4320CD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CAF7B2C">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rPr>
        <w:t>联系电话：</w:t>
      </w:r>
      <w:r>
        <w:rPr>
          <w:rFonts w:hint="eastAsia" w:ascii="方正仿宋简体" w:hAnsi="方正仿宋简体" w:eastAsia="方正仿宋简体" w:cs="方正仿宋简体"/>
          <w:bCs/>
          <w:kern w:val="1"/>
          <w:sz w:val="32"/>
          <w:szCs w:val="32"/>
          <w:highlight w:val="none"/>
        </w:rPr>
        <w:t>0511-88995538/13952943464</w:t>
      </w:r>
    </w:p>
    <w:p w14:paraId="22B57341">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（六）凡对招标文件条款有疑义的，请在开标前按以下方式联系：</w:t>
      </w:r>
    </w:p>
    <w:p w14:paraId="08077C62">
      <w:pPr>
        <w:pStyle w:val="1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506E0C44">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A9335C1">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val="en-US" w:eastAsia="zh-CN"/>
        </w:rPr>
      </w:pPr>
      <w:r>
        <w:rPr>
          <w:rFonts w:hint="eastAsia" w:ascii="方正仿宋简体" w:hAnsi="方正仿宋简体" w:eastAsia="方正仿宋简体" w:cs="方正仿宋简体"/>
          <w:bCs/>
          <w:kern w:val="1"/>
          <w:sz w:val="32"/>
          <w:szCs w:val="32"/>
          <w:highlight w:val="none"/>
        </w:rPr>
        <w:t>招标业务联系电话：</w:t>
      </w:r>
      <w:r>
        <w:rPr>
          <w:rFonts w:hint="eastAsia" w:ascii="方正仿宋简体" w:hAnsi="方正仿宋简体" w:eastAsia="方正仿宋简体" w:cs="方正仿宋简体"/>
          <w:sz w:val="32"/>
          <w:szCs w:val="32"/>
          <w:lang w:val="en-US" w:eastAsia="zh-CN"/>
        </w:rPr>
        <w:t>18796008300 陈宏</w:t>
      </w:r>
    </w:p>
    <w:p w14:paraId="1FF7818C">
      <w:pPr>
        <w:pStyle w:val="2"/>
        <w:ind w:left="0" w:leftChars="0"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kern w:val="1"/>
          <w:sz w:val="32"/>
          <w:szCs w:val="32"/>
          <w:highlight w:val="none"/>
          <w:lang w:val="en-US" w:eastAsia="zh-CN"/>
        </w:rPr>
        <w:t>招标技术</w:t>
      </w:r>
      <w:r>
        <w:rPr>
          <w:rFonts w:hint="eastAsia" w:ascii="方正仿宋简体" w:hAnsi="方正仿宋简体" w:eastAsia="方正仿宋简体" w:cs="方正仿宋简体"/>
          <w:bCs/>
          <w:kern w:val="1"/>
          <w:sz w:val="32"/>
          <w:szCs w:val="32"/>
          <w:highlight w:val="none"/>
        </w:rPr>
        <w:t>联系电话：</w:t>
      </w:r>
      <w:r>
        <w:rPr>
          <w:rFonts w:hint="eastAsia" w:ascii="方正仿宋简体" w:hAnsi="方正仿宋简体" w:eastAsia="方正仿宋简体" w:cs="方正仿宋简体"/>
          <w:sz w:val="32"/>
          <w:szCs w:val="32"/>
          <w:lang w:val="en-US" w:eastAsia="zh-CN"/>
        </w:rPr>
        <w:t>18851282858 陆云</w:t>
      </w:r>
    </w:p>
    <w:p w14:paraId="5FB7BD79">
      <w:pPr>
        <w:pStyle w:val="8"/>
        <w:numPr>
          <w:ilvl w:val="0"/>
          <w:numId w:val="0"/>
        </w:numPr>
        <w:spacing w:line="600" w:lineRule="exact"/>
        <w:ind w:firstLine="640" w:firstLineChars="200"/>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color w:val="000000"/>
          <w:kern w:val="2"/>
          <w:sz w:val="32"/>
          <w:szCs w:val="32"/>
          <w:lang w:val="en-US" w:eastAsia="zh-CN" w:bidi="ar-SA"/>
        </w:rPr>
        <w:t>五、</w:t>
      </w:r>
      <w:r>
        <w:rPr>
          <w:rFonts w:hint="eastAsia" w:ascii="方正仿宋简体" w:hAnsi="方正仿宋简体" w:eastAsia="方正仿宋简体" w:cs="方正仿宋简体"/>
          <w:kern w:val="2"/>
          <w:sz w:val="32"/>
          <w:szCs w:val="32"/>
        </w:rPr>
        <w:t>开标、评标及废标：</w:t>
      </w:r>
    </w:p>
    <w:p w14:paraId="42BC559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（一）开标</w:t>
      </w:r>
    </w:p>
    <w:p w14:paraId="3A71E2F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3FC0068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7FD2A8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2.评标小组不得泄露各投标人的报价。</w:t>
      </w:r>
    </w:p>
    <w:p w14:paraId="16F384B3">
      <w:pPr>
        <w:spacing w:line="360" w:lineRule="auto"/>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（二）评标</w:t>
      </w:r>
    </w:p>
    <w:p w14:paraId="309ACA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在能够满足招标人技术要求及供货期要求的投标人中选择</w:t>
      </w:r>
      <w:r>
        <w:rPr>
          <w:rFonts w:hint="eastAsia" w:ascii="方正仿宋简体" w:hAnsi="方正仿宋简体" w:eastAsia="方正仿宋简体" w:cs="方正仿宋简体"/>
          <w:bCs/>
          <w:color w:val="FF0000"/>
          <w:kern w:val="1"/>
          <w:sz w:val="32"/>
          <w:szCs w:val="32"/>
          <w:highlight w:val="none"/>
          <w:lang w:val="en-US" w:eastAsia="zh-CN"/>
        </w:rPr>
        <w:t>价格最低</w:t>
      </w:r>
      <w:r>
        <w:rPr>
          <w:rFonts w:hint="eastAsia" w:ascii="方正仿宋简体" w:hAnsi="方正仿宋简体" w:eastAsia="方正仿宋简体" w:cs="方正仿宋简体"/>
          <w:bCs/>
          <w:kern w:val="1"/>
          <w:sz w:val="32"/>
          <w:szCs w:val="32"/>
        </w:rPr>
        <w:t>的一家投标人作为中标候选人。</w:t>
      </w:r>
    </w:p>
    <w:p w14:paraId="60B70DB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（三）废标</w:t>
      </w:r>
    </w:p>
    <w:p w14:paraId="4A01FB36">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C82D93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0D1DF91F">
      <w:pPr>
        <w:pStyle w:val="2"/>
        <w:ind w:left="0" w:leftChars="0" w:firstLine="640" w:firstLineChars="0"/>
        <w:rPr>
          <w:rFonts w:hint="eastAsia" w:ascii="方正仿宋简体" w:hAnsi="方正仿宋简体" w:eastAsia="方正仿宋简体" w:cs="方正仿宋简体"/>
          <w:bCs/>
          <w:color w:val="FF0000"/>
          <w:kern w:val="1"/>
          <w:sz w:val="32"/>
          <w:szCs w:val="32"/>
          <w:lang w:val="en-US" w:eastAsia="zh-CN"/>
        </w:rPr>
      </w:pPr>
      <w:r>
        <w:rPr>
          <w:rFonts w:hint="eastAsia" w:ascii="方正仿宋简体" w:hAnsi="方正仿宋简体" w:eastAsia="方正仿宋简体" w:cs="方正仿宋简体"/>
          <w:bCs/>
          <w:color w:val="FF0000"/>
          <w:kern w:val="1"/>
          <w:sz w:val="32"/>
          <w:szCs w:val="32"/>
          <w:lang w:val="en-US" w:eastAsia="zh-CN"/>
        </w:rPr>
        <w:t>3.投标公司未按要求前往勘探的，招标方有权做废标处理。</w:t>
      </w:r>
    </w:p>
    <w:p w14:paraId="2D41743B">
      <w:pPr>
        <w:spacing w:line="600" w:lineRule="exact"/>
        <w:ind w:firstLine="640" w:firstLineChars="200"/>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六、其他注意事项</w:t>
      </w:r>
    </w:p>
    <w:p w14:paraId="1C46D4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（一）违约责任：</w:t>
      </w:r>
    </w:p>
    <w:p w14:paraId="762003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w:t>
      </w:r>
    </w:p>
    <w:p w14:paraId="295090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（二）中标人应严格按照标书约定与招标方签定供需合同，并按合同约定做好服务工作。对中标人所有违背标书及合同约定的行为，招标人均可持续保留与中标方中止合作的一切权利。</w:t>
      </w:r>
    </w:p>
    <w:p w14:paraId="06F5F2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（三）如因投标人不能正常履约，对招标人生产经营活动造成影响的，招标人将依法追究投标方法律责任。</w:t>
      </w:r>
    </w:p>
    <w:p w14:paraId="1D86D7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（四）投标人在中标后无正当理由不与招标人签订合同的，将承担违约责任，列入招标人供应商负面清单。</w:t>
      </w:r>
    </w:p>
    <w:p w14:paraId="488C6AF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（五）投标人应详细阅读本招标书，参与报价投标即视为对本招标书所列之条款均表示接受。</w:t>
      </w:r>
    </w:p>
    <w:p w14:paraId="3B33D0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（六）招标人对违反约定的投标人或中标人将按《镇江海纳川物流产业发展有限责任公司招标采购管理规定》中供应商管理对投标人进行管理考核（详见附件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E711D9A">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（七）外协作业人员需先进行安全教育培训。</w:t>
      </w:r>
    </w:p>
    <w:p w14:paraId="2F95744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（八）本次招标为企业自主公开招标，属生产经营性商务行为，解释权归镇江海纳川物流产业发展有限责任公司所有。</w:t>
      </w:r>
    </w:p>
    <w:p w14:paraId="1BEBACB9">
      <w:pPr>
        <w:keepNext w:val="0"/>
        <w:keepLines w:val="0"/>
        <w:pageBreakBefore w:val="0"/>
        <w:widowControl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bCs/>
          <w:color w:val="auto"/>
          <w:kern w:val="1"/>
          <w:sz w:val="32"/>
          <w:szCs w:val="32"/>
          <w:highlight w:val="none"/>
          <w:lang w:val="en-US" w:eastAsia="zh-CN"/>
        </w:rPr>
        <w:br w:type="page"/>
      </w:r>
    </w:p>
    <w:p w14:paraId="37A03769">
      <w:pPr>
        <w:pStyle w:val="12"/>
        <w:adjustRightInd w:val="0"/>
        <w:snapToGrid w:val="0"/>
        <w:spacing w:before="0" w:after="0" w:line="600" w:lineRule="exact"/>
        <w:jc w:val="left"/>
        <w:rPr>
          <w:rFonts w:hint="eastAsia" w:ascii="方正仿宋简体" w:hAnsi="方正仿宋简体" w:eastAsia="方正仿宋简体" w:cs="方正仿宋简体"/>
          <w:b w:val="0"/>
          <w:sz w:val="32"/>
          <w:szCs w:val="32"/>
          <w:highlight w:val="none"/>
          <w:lang w:eastAsia="zh-CN"/>
        </w:rPr>
      </w:pPr>
      <w:r>
        <w:rPr>
          <w:rFonts w:hint="eastAsia" w:ascii="方正仿宋简体" w:hAnsi="方正仿宋简体" w:eastAsia="方正仿宋简体" w:cs="方正仿宋简体"/>
          <w:kern w:val="1"/>
          <w:sz w:val="32"/>
          <w:szCs w:val="32"/>
        </w:rPr>
        <w:t>附件</w:t>
      </w: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highlight w:val="none"/>
          <w:lang w:val="en-US" w:eastAsia="zh-CN"/>
        </w:rPr>
        <w:t>：</w:t>
      </w:r>
    </w:p>
    <w:p w14:paraId="6559F58C">
      <w:pPr>
        <w:rPr>
          <w:rFonts w:hint="eastAsia"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b/>
          <w:kern w:val="1"/>
          <w:sz w:val="32"/>
          <w:szCs w:val="32"/>
        </w:rPr>
        <w:t xml:space="preserve">                    </w:t>
      </w:r>
    </w:p>
    <w:p w14:paraId="559637FF">
      <w:pPr>
        <w:rPr>
          <w:rFonts w:hint="eastAsia" w:ascii="方正仿宋简体" w:hAnsi="方正仿宋简体" w:eastAsia="方正仿宋简体" w:cs="方正仿宋简体"/>
          <w:b/>
          <w:kern w:val="1"/>
          <w:sz w:val="32"/>
          <w:szCs w:val="32"/>
        </w:rPr>
      </w:pPr>
    </w:p>
    <w:p w14:paraId="308021D8">
      <w:pPr>
        <w:pStyle w:val="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函</w:t>
      </w:r>
    </w:p>
    <w:p w14:paraId="0AAD677C">
      <w:pPr>
        <w:rPr>
          <w:rFonts w:hint="eastAsia" w:ascii="方正仿宋简体" w:hAnsi="方正仿宋简体" w:eastAsia="方正仿宋简体" w:cs="方正仿宋简体"/>
          <w:sz w:val="32"/>
          <w:szCs w:val="32"/>
        </w:rPr>
      </w:pPr>
    </w:p>
    <w:p w14:paraId="06A40076">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color w:val="auto"/>
          <w:kern w:val="1"/>
          <w:sz w:val="32"/>
          <w:szCs w:val="32"/>
          <w:lang w:val="en-US" w:eastAsia="zh-CN"/>
        </w:rPr>
        <w:t>江苏兴普物贸有限公司</w:t>
      </w:r>
      <w:r>
        <w:rPr>
          <w:rFonts w:hint="eastAsia" w:ascii="方正仿宋简体" w:hAnsi="方正仿宋简体" w:eastAsia="方正仿宋简体" w:cs="方正仿宋简体"/>
          <w:kern w:val="1"/>
          <w:sz w:val="32"/>
          <w:szCs w:val="32"/>
        </w:rPr>
        <w:t>：</w:t>
      </w:r>
    </w:p>
    <w:p w14:paraId="51F3520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7EC5A691">
      <w:pPr>
        <w:numPr>
          <w:ilvl w:val="0"/>
          <w:numId w:val="2"/>
        </w:num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报价格式</w:t>
      </w:r>
    </w:p>
    <w:tbl>
      <w:tblPr>
        <w:tblStyle w:val="13"/>
        <w:tblW w:w="9721" w:type="dxa"/>
        <w:jc w:val="center"/>
        <w:shd w:val="clear" w:color="auto" w:fill="auto"/>
        <w:tblLayout w:type="autofit"/>
        <w:tblCellMar>
          <w:top w:w="0" w:type="dxa"/>
          <w:left w:w="0" w:type="dxa"/>
          <w:bottom w:w="0" w:type="dxa"/>
          <w:right w:w="0" w:type="dxa"/>
        </w:tblCellMar>
      </w:tblPr>
      <w:tblGrid>
        <w:gridCol w:w="1080"/>
        <w:gridCol w:w="3164"/>
        <w:gridCol w:w="1532"/>
        <w:gridCol w:w="1394"/>
        <w:gridCol w:w="1366"/>
        <w:gridCol w:w="1185"/>
      </w:tblGrid>
      <w:tr w14:paraId="58872DF3">
        <w:tblPrEx>
          <w:shd w:val="clear" w:color="auto" w:fill="auto"/>
          <w:tblCellMar>
            <w:top w:w="0" w:type="dxa"/>
            <w:left w:w="0" w:type="dxa"/>
            <w:bottom w:w="0" w:type="dxa"/>
            <w:right w:w="0" w:type="dxa"/>
          </w:tblCellMar>
        </w:tblPrEx>
        <w:trPr>
          <w:trHeight w:val="600" w:hRule="atLeast"/>
          <w:jc w:val="center"/>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612F1B">
            <w:pPr>
              <w:keepNext w:val="0"/>
              <w:keepLines w:val="0"/>
              <w:widowControl/>
              <w:suppressLineNumbers w:val="0"/>
              <w:jc w:val="center"/>
              <w:textAlignment w:val="center"/>
              <w:rPr>
                <w:rFonts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费用名称</w:t>
            </w:r>
          </w:p>
        </w:tc>
        <w:tc>
          <w:tcPr>
            <w:tcW w:w="3164"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F191D5B">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航线</w:t>
            </w:r>
          </w:p>
        </w:tc>
        <w:tc>
          <w:tcPr>
            <w:tcW w:w="2926"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0FB9DB9">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拖轮费报价（元/吨）</w:t>
            </w:r>
          </w:p>
        </w:tc>
        <w:tc>
          <w:tcPr>
            <w:tcW w:w="1366" w:type="dxa"/>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14:paraId="54FDA704">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32"/>
                <w:szCs w:val="32"/>
                <w:u w:val="none"/>
                <w:lang w:val="en-US" w:eastAsia="zh-CN" w:bidi="ar"/>
              </w:rPr>
            </w:pPr>
            <w:r>
              <w:rPr>
                <w:rFonts w:hint="eastAsia" w:ascii="方正仿宋简体" w:hAnsi="方正仿宋简体" w:eastAsia="方正仿宋简体" w:cs="方正仿宋简体"/>
                <w:i w:val="0"/>
                <w:color w:val="000000"/>
                <w:kern w:val="0"/>
                <w:sz w:val="32"/>
                <w:szCs w:val="32"/>
                <w:u w:val="none"/>
                <w:lang w:val="en-US" w:eastAsia="zh-CN" w:bidi="ar"/>
              </w:rPr>
              <w:t>税率</w:t>
            </w:r>
          </w:p>
        </w:tc>
        <w:tc>
          <w:tcPr>
            <w:tcW w:w="1185"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8120D57">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费用名称</w:t>
            </w:r>
          </w:p>
        </w:tc>
      </w:tr>
      <w:tr w14:paraId="44A843C0">
        <w:tblPrEx>
          <w:tblCellMar>
            <w:top w:w="0" w:type="dxa"/>
            <w:left w:w="0" w:type="dxa"/>
            <w:bottom w:w="0" w:type="dxa"/>
            <w:right w:w="0" w:type="dxa"/>
          </w:tblCellMar>
        </w:tblPrEx>
        <w:trPr>
          <w:trHeight w:val="600"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240F79">
            <w:pPr>
              <w:jc w:val="center"/>
              <w:rPr>
                <w:rFonts w:hint="eastAsia" w:ascii="方正仿宋简体" w:hAnsi="方正仿宋简体" w:eastAsia="方正仿宋简体" w:cs="方正仿宋简体"/>
                <w:i w:val="0"/>
                <w:color w:val="000000"/>
                <w:sz w:val="32"/>
                <w:szCs w:val="32"/>
                <w:u w:val="none"/>
              </w:rPr>
            </w:pPr>
          </w:p>
        </w:tc>
        <w:tc>
          <w:tcPr>
            <w:tcW w:w="3164"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0723315">
            <w:pPr>
              <w:jc w:val="center"/>
              <w:rPr>
                <w:rFonts w:hint="eastAsia" w:ascii="方正仿宋简体" w:hAnsi="方正仿宋简体" w:eastAsia="方正仿宋简体" w:cs="方正仿宋简体"/>
                <w:i w:val="0"/>
                <w:color w:val="000000"/>
                <w:sz w:val="32"/>
                <w:szCs w:val="32"/>
                <w:u w:val="none"/>
              </w:rPr>
            </w:pPr>
          </w:p>
        </w:tc>
        <w:tc>
          <w:tcPr>
            <w:tcW w:w="153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91EB6A">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含税价</w:t>
            </w:r>
          </w:p>
        </w:tc>
        <w:tc>
          <w:tcPr>
            <w:tcW w:w="13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FA60EC">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不含税价</w:t>
            </w:r>
          </w:p>
        </w:tc>
        <w:tc>
          <w:tcPr>
            <w:tcW w:w="1366"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66891B39">
            <w:pPr>
              <w:jc w:val="center"/>
              <w:rPr>
                <w:rFonts w:hint="eastAsia" w:ascii="方正仿宋简体" w:hAnsi="方正仿宋简体" w:eastAsia="方正仿宋简体" w:cs="方正仿宋简体"/>
                <w:i w:val="0"/>
                <w:color w:val="000000"/>
                <w:sz w:val="32"/>
                <w:szCs w:val="32"/>
                <w:u w:val="none"/>
              </w:rPr>
            </w:pPr>
          </w:p>
        </w:tc>
        <w:tc>
          <w:tcPr>
            <w:tcW w:w="1185"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E630119">
            <w:pPr>
              <w:jc w:val="center"/>
              <w:rPr>
                <w:rFonts w:hint="eastAsia" w:ascii="方正仿宋简体" w:hAnsi="方正仿宋简体" w:eastAsia="方正仿宋简体" w:cs="方正仿宋简体"/>
                <w:i w:val="0"/>
                <w:color w:val="000000"/>
                <w:sz w:val="32"/>
                <w:szCs w:val="32"/>
                <w:u w:val="none"/>
              </w:rPr>
            </w:pPr>
          </w:p>
        </w:tc>
      </w:tr>
      <w:tr w14:paraId="16E8C01C">
        <w:tblPrEx>
          <w:tblCellMar>
            <w:top w:w="0" w:type="dxa"/>
            <w:left w:w="0" w:type="dxa"/>
            <w:bottom w:w="0" w:type="dxa"/>
            <w:right w:w="0" w:type="dxa"/>
          </w:tblCellMar>
        </w:tblPrEx>
        <w:trPr>
          <w:trHeight w:val="500"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9E15C5">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拖轮费</w:t>
            </w:r>
          </w:p>
        </w:tc>
        <w:tc>
          <w:tcPr>
            <w:tcW w:w="3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7B6D41">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镇江区域各码头-海纳川码头</w:t>
            </w:r>
          </w:p>
        </w:tc>
        <w:tc>
          <w:tcPr>
            <w:tcW w:w="153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77E5AE">
            <w:pPr>
              <w:jc w:val="center"/>
              <w:rPr>
                <w:rFonts w:hint="eastAsia" w:ascii="方正仿宋简体" w:hAnsi="方正仿宋简体" w:eastAsia="方正仿宋简体" w:cs="方正仿宋简体"/>
                <w:i w:val="0"/>
                <w:color w:val="000000"/>
                <w:sz w:val="32"/>
                <w:szCs w:val="32"/>
                <w:u w:val="none"/>
              </w:rPr>
            </w:pPr>
          </w:p>
        </w:tc>
        <w:tc>
          <w:tcPr>
            <w:tcW w:w="13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F84856">
            <w:pPr>
              <w:jc w:val="center"/>
              <w:rPr>
                <w:rFonts w:hint="eastAsia" w:ascii="方正仿宋简体" w:hAnsi="方正仿宋简体" w:eastAsia="方正仿宋简体" w:cs="方正仿宋简体"/>
                <w:i w:val="0"/>
                <w:color w:val="000000"/>
                <w:sz w:val="32"/>
                <w:szCs w:val="32"/>
                <w:u w:val="none"/>
              </w:rPr>
            </w:pPr>
          </w:p>
        </w:tc>
        <w:tc>
          <w:tcPr>
            <w:tcW w:w="13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412CA42">
            <w:pPr>
              <w:keepNext w:val="0"/>
              <w:keepLines w:val="0"/>
              <w:widowControl/>
              <w:suppressLineNumbers w:val="0"/>
              <w:jc w:val="center"/>
              <w:textAlignment w:val="center"/>
              <w:rPr>
                <w:rFonts w:hint="default" w:ascii="方正仿宋简体" w:hAnsi="方正仿宋简体" w:eastAsia="方正仿宋简体" w:cs="方正仿宋简体"/>
                <w:i w:val="0"/>
                <w:color w:val="000000"/>
                <w:kern w:val="0"/>
                <w:sz w:val="32"/>
                <w:szCs w:val="32"/>
                <w:u w:val="none"/>
                <w:lang w:val="en-US" w:eastAsia="zh-CN" w:bidi="ar"/>
              </w:rPr>
            </w:pPr>
            <w:r>
              <w:rPr>
                <w:rFonts w:hint="eastAsia" w:ascii="方正仿宋简体" w:hAnsi="方正仿宋简体" w:eastAsia="方正仿宋简体" w:cs="方正仿宋简体"/>
                <w:i w:val="0"/>
                <w:color w:val="000000"/>
                <w:kern w:val="0"/>
                <w:sz w:val="32"/>
                <w:szCs w:val="32"/>
                <w:u w:val="none"/>
                <w:lang w:val="en-US" w:eastAsia="zh-CN" w:bidi="ar"/>
              </w:rPr>
              <w:t>%</w:t>
            </w:r>
          </w:p>
        </w:tc>
        <w:tc>
          <w:tcPr>
            <w:tcW w:w="11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E26E85">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拖轮费</w:t>
            </w:r>
          </w:p>
        </w:tc>
      </w:tr>
      <w:tr w14:paraId="315267DD">
        <w:tblPrEx>
          <w:tblCellMar>
            <w:top w:w="0" w:type="dxa"/>
            <w:left w:w="0" w:type="dxa"/>
            <w:bottom w:w="0" w:type="dxa"/>
            <w:right w:w="0" w:type="dxa"/>
          </w:tblCellMar>
        </w:tblPrEx>
        <w:trPr>
          <w:trHeight w:val="1160" w:hRule="atLeast"/>
          <w:jc w:val="center"/>
        </w:trPr>
        <w:tc>
          <w:tcPr>
            <w:tcW w:w="9721"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FE73C9">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注：拖轮费按每吨</w:t>
            </w:r>
            <w:r>
              <w:rPr>
                <w:rFonts w:hint="eastAsia" w:ascii="方正仿宋简体" w:hAnsi="方正仿宋简体" w:eastAsia="方正仿宋简体" w:cs="方正仿宋简体"/>
                <w:i w:val="0"/>
                <w:color w:val="000000"/>
                <w:kern w:val="0"/>
                <w:sz w:val="32"/>
                <w:szCs w:val="32"/>
                <w:u w:val="single"/>
                <w:lang w:val="en-US" w:eastAsia="zh-CN" w:bidi="ar"/>
              </w:rPr>
              <w:t xml:space="preserve">    </w:t>
            </w:r>
            <w:r>
              <w:rPr>
                <w:rFonts w:hint="eastAsia" w:ascii="方正仿宋简体" w:hAnsi="方正仿宋简体" w:eastAsia="方正仿宋简体" w:cs="方正仿宋简体"/>
                <w:i w:val="0"/>
                <w:color w:val="000000"/>
                <w:kern w:val="0"/>
                <w:sz w:val="32"/>
                <w:szCs w:val="32"/>
                <w:u w:val="none"/>
                <w:lang w:val="en-US" w:eastAsia="zh-CN" w:bidi="ar"/>
              </w:rPr>
              <w:t>元报价，六条无人驳船吨位已在上表标明，请投标方测算清晰后进行报价。</w:t>
            </w:r>
          </w:p>
        </w:tc>
      </w:tr>
    </w:tbl>
    <w:p w14:paraId="41840BEA">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eastAsia="zh-CN"/>
        </w:rPr>
      </w:pPr>
      <w:r>
        <w:rPr>
          <w:rFonts w:hint="eastAsia" w:ascii="方正仿宋简体" w:hAnsi="方正仿宋简体" w:eastAsia="方正仿宋简体" w:cs="方正仿宋简体"/>
          <w:kern w:val="1"/>
          <w:sz w:val="32"/>
          <w:szCs w:val="32"/>
          <w:highlight w:val="none"/>
          <w:lang w:val="en-US" w:eastAsia="zh-CN"/>
        </w:rPr>
        <w:t>二、</w:t>
      </w:r>
      <w:r>
        <w:rPr>
          <w:rFonts w:hint="eastAsia" w:ascii="方正仿宋简体" w:hAnsi="方正仿宋简体" w:eastAsia="方正仿宋简体" w:cs="方正仿宋简体"/>
          <w:kern w:val="1"/>
          <w:sz w:val="32"/>
          <w:szCs w:val="32"/>
          <w:highlight w:val="none"/>
        </w:rPr>
        <w:t>我方承诺遵守招标文件中的全部规定</w:t>
      </w:r>
      <w:r>
        <w:rPr>
          <w:rFonts w:hint="eastAsia" w:ascii="方正仿宋简体" w:hAnsi="方正仿宋简体" w:eastAsia="方正仿宋简体" w:cs="方正仿宋简体"/>
          <w:kern w:val="1"/>
          <w:sz w:val="32"/>
          <w:szCs w:val="32"/>
          <w:highlight w:val="none"/>
          <w:lang w:eastAsia="zh-CN"/>
        </w:rPr>
        <w:t>。</w:t>
      </w:r>
    </w:p>
    <w:p w14:paraId="3DF7F678">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bCs/>
          <w:kern w:val="1"/>
          <w:sz w:val="32"/>
          <w:szCs w:val="32"/>
          <w:highlight w:val="none"/>
          <w:lang w:val="en-US" w:eastAsia="zh-CN"/>
        </w:rPr>
        <w:t>三、</w:t>
      </w:r>
      <w:r>
        <w:rPr>
          <w:rFonts w:hint="eastAsia" w:ascii="方正仿宋简体" w:hAnsi="方正仿宋简体" w:eastAsia="方正仿宋简体" w:cs="方正仿宋简体"/>
          <w:bCs/>
          <w:kern w:val="1"/>
          <w:sz w:val="32"/>
          <w:szCs w:val="32"/>
          <w:highlight w:val="none"/>
        </w:rPr>
        <w:t>我方承诺中标后双方签订合同,并承担合同规定的责任义务</w:t>
      </w:r>
      <w:r>
        <w:rPr>
          <w:rFonts w:hint="eastAsia" w:ascii="方正仿宋简体" w:hAnsi="方正仿宋简体" w:eastAsia="方正仿宋简体" w:cs="方正仿宋简体"/>
          <w:bCs/>
          <w:kern w:val="1"/>
          <w:sz w:val="32"/>
          <w:szCs w:val="32"/>
          <w:highlight w:val="none"/>
          <w:lang w:eastAsia="zh-CN"/>
        </w:rPr>
        <w:t>。</w:t>
      </w:r>
    </w:p>
    <w:p w14:paraId="6621BAA3">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sz w:val="32"/>
          <w:szCs w:val="32"/>
          <w:highlight w:val="none"/>
          <w:shd w:val="clear" w:color="auto" w:fill="FFFFFF"/>
          <w:lang w:val="en-US" w:eastAsia="zh-CN"/>
        </w:rPr>
        <w:t>四、</w:t>
      </w:r>
      <w:r>
        <w:rPr>
          <w:rFonts w:hint="eastAsia" w:ascii="方正仿宋简体" w:hAnsi="方正仿宋简体" w:eastAsia="方正仿宋简体" w:cs="方正仿宋简体"/>
          <w:sz w:val="32"/>
          <w:szCs w:val="32"/>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highlight w:val="none"/>
          <w:shd w:val="clear" w:color="auto" w:fill="FFFFFF"/>
          <w:lang w:eastAsia="zh-CN"/>
        </w:rPr>
        <w:t>。</w:t>
      </w:r>
    </w:p>
    <w:p w14:paraId="61E78984">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highlight w:val="none"/>
        </w:rPr>
        <w:t>愿意向贵方提供任何与该项投标有关的数据、情况和</w:t>
      </w:r>
      <w:r>
        <w:rPr>
          <w:rFonts w:hint="eastAsia" w:ascii="方正仿宋简体" w:hAnsi="方正仿宋简体" w:eastAsia="方正仿宋简体" w:cs="方正仿宋简体"/>
          <w:bCs/>
          <w:kern w:val="1"/>
          <w:sz w:val="32"/>
          <w:szCs w:val="32"/>
        </w:rPr>
        <w:t>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52D1636">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val="en-US" w:eastAsia="zh-CN"/>
        </w:rPr>
        <w:t>六、</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1442F4E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6B0A4DE7">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E00203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5E15E90B">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9B68774">
      <w:pPr>
        <w:rPr>
          <w:rFonts w:hint="eastAsia" w:ascii="方正仿宋简体" w:hAnsi="方正仿宋简体" w:eastAsia="方正仿宋简体" w:cs="方正仿宋简体"/>
          <w:b/>
          <w:bCs/>
          <w:sz w:val="32"/>
          <w:szCs w:val="32"/>
        </w:rPr>
      </w:pPr>
    </w:p>
    <w:p w14:paraId="1787B52F">
      <w:pPr>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b/>
          <w:kern w:val="1"/>
          <w:sz w:val="32"/>
          <w:szCs w:val="32"/>
          <w:lang w:val="en-US" w:eastAsia="zh-CN"/>
        </w:rPr>
        <w:br w:type="page"/>
      </w:r>
    </w:p>
    <w:p w14:paraId="33A5D72D">
      <w:pPr>
        <w:pStyle w:val="12"/>
        <w:adjustRightInd w:val="0"/>
        <w:snapToGrid w:val="0"/>
        <w:spacing w:before="0" w:after="0" w:line="600" w:lineRule="exact"/>
        <w:jc w:val="left"/>
        <w:rPr>
          <w:rFonts w:hint="eastAsia" w:ascii="方正仿宋简体" w:hAnsi="方正仿宋简体" w:eastAsia="方正仿宋简体" w:cs="方正仿宋简体"/>
          <w:b w:val="0"/>
          <w:sz w:val="32"/>
          <w:szCs w:val="32"/>
          <w:lang w:eastAsia="zh-CN"/>
        </w:rPr>
      </w:pPr>
      <w:r>
        <w:rPr>
          <w:rFonts w:hint="eastAsia" w:ascii="方正仿宋简体" w:hAnsi="方正仿宋简体" w:eastAsia="方正仿宋简体" w:cs="方正仿宋简体"/>
          <w:kern w:val="1"/>
          <w:sz w:val="32"/>
          <w:szCs w:val="32"/>
        </w:rPr>
        <w:t>附件</w:t>
      </w: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highlight w:val="none"/>
          <w:lang w:val="en-US" w:eastAsia="zh-CN"/>
        </w:rPr>
        <w:t>：</w:t>
      </w:r>
    </w:p>
    <w:p w14:paraId="462C646C">
      <w:pPr>
        <w:pStyle w:val="12"/>
        <w:adjustRightInd w:val="0"/>
        <w:snapToGrid w:val="0"/>
        <w:spacing w:before="0" w:after="0" w:line="600" w:lineRule="exact"/>
        <w:rPr>
          <w:rFonts w:hint="eastAsia" w:ascii="方正仿宋简体" w:hAnsi="方正仿宋简体" w:eastAsia="方正仿宋简体" w:cs="方正仿宋简体"/>
          <w:b w:val="0"/>
          <w:sz w:val="32"/>
          <w:szCs w:val="32"/>
        </w:rPr>
      </w:pPr>
      <w:r>
        <w:rPr>
          <w:rFonts w:hint="eastAsia" w:ascii="方正仿宋简体" w:hAnsi="方正仿宋简体" w:eastAsia="方正仿宋简体" w:cs="方正仿宋简体"/>
          <w:b w:val="0"/>
          <w:sz w:val="32"/>
          <w:szCs w:val="32"/>
        </w:rPr>
        <w:t xml:space="preserve"> 供应商管理</w:t>
      </w:r>
    </w:p>
    <w:p w14:paraId="329F2E6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5256EE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供应商负面清单管理</w:t>
      </w:r>
    </w:p>
    <w:p w14:paraId="36AE70D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（一）</w:t>
      </w:r>
      <w:r>
        <w:rPr>
          <w:rFonts w:hint="eastAsia" w:ascii="方正仿宋简体" w:hAnsi="方正仿宋简体" w:eastAsia="方正仿宋简体" w:cs="方正仿宋简体"/>
          <w:sz w:val="32"/>
          <w:szCs w:val="32"/>
        </w:rPr>
        <w:t>管理职责</w:t>
      </w:r>
    </w:p>
    <w:p w14:paraId="5CE1190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914B9E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3BB5BBE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C566F1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6D30C5A8">
      <w:pPr>
        <w:tabs>
          <w:tab w:val="left" w:pos="2565"/>
        </w:tabs>
        <w:spacing w:line="600" w:lineRule="exact"/>
        <w:rPr>
          <w:rFonts w:hint="eastAsia" w:ascii="方正仿宋简体" w:hAnsi="方正仿宋简体" w:eastAsia="方正仿宋简体" w:cs="方正仿宋简体"/>
          <w:sz w:val="32"/>
          <w:szCs w:val="32"/>
        </w:rPr>
      </w:pPr>
    </w:p>
    <w:p w14:paraId="4184E94B">
      <w:pPr>
        <w:tabs>
          <w:tab w:val="left" w:pos="2565"/>
        </w:tabs>
        <w:spacing w:line="600" w:lineRule="exact"/>
        <w:rPr>
          <w:rFonts w:hint="eastAsia" w:ascii="方正仿宋简体" w:hAnsi="方正仿宋简体" w:eastAsia="方正仿宋简体" w:cs="方正仿宋简体"/>
          <w:sz w:val="32"/>
          <w:szCs w:val="32"/>
        </w:rPr>
      </w:pPr>
    </w:p>
    <w:p w14:paraId="6A8C41AB">
      <w:pPr>
        <w:tabs>
          <w:tab w:val="left" w:pos="2565"/>
        </w:tabs>
        <w:spacing w:line="600" w:lineRule="exact"/>
        <w:rPr>
          <w:rFonts w:hint="eastAsia" w:ascii="方正仿宋简体" w:hAnsi="方正仿宋简体" w:eastAsia="方正仿宋简体" w:cs="方正仿宋简体"/>
          <w:sz w:val="32"/>
          <w:szCs w:val="32"/>
        </w:rPr>
      </w:pPr>
    </w:p>
    <w:p w14:paraId="3CE64A8D">
      <w:pPr>
        <w:pStyle w:val="7"/>
        <w:rPr>
          <w:rFonts w:hint="eastAsia" w:ascii="方正仿宋简体" w:hAnsi="方正仿宋简体" w:eastAsia="方正仿宋简体" w:cs="方正仿宋简体"/>
          <w:sz w:val="32"/>
          <w:szCs w:val="32"/>
        </w:rPr>
      </w:pPr>
    </w:p>
    <w:p w14:paraId="2846A81F">
      <w:pPr>
        <w:tabs>
          <w:tab w:val="left" w:pos="2565"/>
        </w:tabs>
        <w:spacing w:line="600" w:lineRule="exact"/>
        <w:rPr>
          <w:rFonts w:hint="eastAsia" w:ascii="方正仿宋简体" w:hAnsi="方正仿宋简体" w:eastAsia="方正仿宋简体" w:cs="方正仿宋简体"/>
          <w:sz w:val="32"/>
          <w:szCs w:val="32"/>
        </w:rPr>
      </w:pPr>
    </w:p>
    <w:p w14:paraId="3E5D6D97">
      <w:pPr>
        <w:tabs>
          <w:tab w:val="left" w:pos="2565"/>
        </w:tabs>
        <w:spacing w:line="600" w:lineRule="exact"/>
        <w:rPr>
          <w:rFonts w:hint="eastAsia" w:ascii="方正仿宋简体" w:hAnsi="方正仿宋简体" w:eastAsia="方正仿宋简体" w:cs="方正仿宋简体"/>
          <w:sz w:val="32"/>
          <w:szCs w:val="32"/>
        </w:rPr>
      </w:pPr>
    </w:p>
    <w:p w14:paraId="2223D215">
      <w:pPr>
        <w:numPr>
          <w:ilvl w:val="0"/>
          <w:numId w:val="3"/>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0" b="114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0B778E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供应商积分管理</w:t>
      </w:r>
    </w:p>
    <w:p w14:paraId="411146A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（一）</w:t>
      </w:r>
      <w:r>
        <w:rPr>
          <w:rFonts w:hint="eastAsia" w:ascii="方正仿宋简体" w:hAnsi="方正仿宋简体" w:eastAsia="方正仿宋简体" w:cs="方正仿宋简体"/>
          <w:sz w:val="32"/>
          <w:szCs w:val="32"/>
        </w:rPr>
        <w:t>供应商积分考核</w:t>
      </w:r>
    </w:p>
    <w:p w14:paraId="09FDB7F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bCs/>
          <w:kern w:val="1"/>
          <w:sz w:val="32"/>
          <w:szCs w:val="32"/>
          <w:highlight w:val="none"/>
          <w:lang w:val="en-US" w:eastAsia="zh-CN"/>
        </w:rPr>
        <w:t>审计风控</w:t>
      </w:r>
      <w:r>
        <w:rPr>
          <w:rFonts w:hint="eastAsia" w:ascii="方正仿宋简体" w:hAnsi="方正仿宋简体" w:eastAsia="方正仿宋简体" w:cs="方正仿宋简体"/>
          <w:bCs/>
          <w:kern w:val="1"/>
          <w:sz w:val="32"/>
          <w:szCs w:val="32"/>
          <w:highlight w:val="none"/>
        </w:rPr>
        <w:t>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6A2E59D">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3167ED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458766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3FD18D2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（二）</w:t>
      </w:r>
      <w:r>
        <w:rPr>
          <w:rFonts w:hint="eastAsia" w:ascii="方正仿宋简体" w:hAnsi="方正仿宋简体" w:eastAsia="方正仿宋简体" w:cs="方正仿宋简体"/>
          <w:sz w:val="32"/>
          <w:szCs w:val="32"/>
        </w:rPr>
        <w:t>供应商考核方法</w:t>
      </w:r>
    </w:p>
    <w:p w14:paraId="4913DF7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D79972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7A16D48">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11D348F">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0EA270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25067D6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1CD18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D84263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（3）安全方面</w:t>
      </w:r>
    </w:p>
    <w:p w14:paraId="0D22891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7384EF9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8A71AC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C5E608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6EF508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1D7321">
      <w:pPr>
        <w:spacing w:line="600" w:lineRule="exact"/>
        <w:ind w:left="5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B5E500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1F1E2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EEDE79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1383A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A4712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FF03EA">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1E7B3F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94AB917">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B9049B">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5A385CC">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98280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3716E86">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270844F">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23A9E9C">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59793B">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B147A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5F461FF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18A5A2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18C240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41DDB0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1B239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0A33A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B85EB1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36F55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3EC90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1E201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45D708">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3D19F06">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B21030E">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54A28DE1">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C8DC37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5E39713A">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5058FD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2F099B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257B8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2A3F84E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77ACA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204A3A">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0908C6">
      <w:pPr>
        <w:spacing w:line="60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从负面清单中消除的流程</w:t>
      </w:r>
    </w:p>
    <w:p w14:paraId="42984C9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3B75770">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（一）供应商提出申请</w:t>
      </w:r>
    </w:p>
    <w:p w14:paraId="10A41475">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1.供应商提出负面清单消除的书面申请。</w:t>
      </w:r>
    </w:p>
    <w:p w14:paraId="217618F5">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2.供应商提供针对考核项的整改措施及效果等相关文件材料。</w:t>
      </w:r>
    </w:p>
    <w:p w14:paraId="1701780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（二）确认与消除</w:t>
      </w:r>
    </w:p>
    <w:p w14:paraId="581DE08B">
      <w:pPr>
        <w:spacing w:line="600" w:lineRule="exact"/>
        <w:ind w:firstLine="67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1.采购部门牵头组织相关部门对供应商提供的文件材料进行确认，必要时组织现场考察；</w:t>
      </w:r>
    </w:p>
    <w:p w14:paraId="6B27B569">
      <w:pPr>
        <w:spacing w:line="600" w:lineRule="exact"/>
        <w:ind w:firstLine="67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2.根据确认情况提出建议，报公司批准后从负面清单中消除。</w:t>
      </w:r>
    </w:p>
    <w:p w14:paraId="15E6962A">
      <w:pPr>
        <w:pStyle w:val="7"/>
      </w:pPr>
    </w:p>
    <w:p w14:paraId="36E873F9">
      <w:pPr>
        <w:pStyle w:val="8"/>
      </w:pPr>
    </w:p>
    <w:p w14:paraId="75DB674A">
      <w:pPr>
        <w:pStyle w:val="8"/>
      </w:pPr>
    </w:p>
    <w:p w14:paraId="00ECE60A">
      <w:pPr>
        <w:pStyle w:val="8"/>
      </w:pPr>
    </w:p>
    <w:p w14:paraId="7E739374">
      <w:pPr>
        <w:pStyle w:val="8"/>
      </w:pPr>
    </w:p>
    <w:p w14:paraId="1CCD96AA">
      <w:pPr>
        <w:pStyle w:val="8"/>
      </w:pPr>
    </w:p>
    <w:p w14:paraId="6AD2ADBF">
      <w:pPr>
        <w:pStyle w:val="8"/>
      </w:pPr>
    </w:p>
    <w:p w14:paraId="2A612B1C">
      <w:pPr>
        <w:pStyle w:val="8"/>
      </w:pPr>
    </w:p>
    <w:p w14:paraId="344E390C">
      <w:pPr>
        <w:pStyle w:val="8"/>
      </w:pPr>
    </w:p>
    <w:p w14:paraId="5BF3D5A6">
      <w:pPr>
        <w:pStyle w:val="8"/>
      </w:pPr>
    </w:p>
    <w:p w14:paraId="0211792E">
      <w:pPr>
        <w:pStyle w:val="8"/>
      </w:pPr>
    </w:p>
    <w:p w14:paraId="71440C72">
      <w:pPr>
        <w:pStyle w:val="8"/>
      </w:pPr>
    </w:p>
    <w:p w14:paraId="313AF02F">
      <w:pPr>
        <w:pStyle w:val="8"/>
      </w:pPr>
    </w:p>
    <w:p w14:paraId="745F8A11">
      <w:pPr>
        <w:pStyle w:val="8"/>
      </w:pPr>
    </w:p>
    <w:p w14:paraId="67804011">
      <w:pPr>
        <w:pStyle w:val="8"/>
      </w:pPr>
    </w:p>
    <w:p w14:paraId="4E3DFDD7">
      <w:pPr>
        <w:pStyle w:val="8"/>
      </w:pPr>
    </w:p>
    <w:p w14:paraId="30E71FFE">
      <w:pPr>
        <w:pStyle w:val="8"/>
      </w:pPr>
    </w:p>
    <w:p w14:paraId="5CF400A2">
      <w:pPr>
        <w:pStyle w:val="8"/>
      </w:pPr>
    </w:p>
    <w:p w14:paraId="115A3D74">
      <w:pPr>
        <w:pStyle w:val="8"/>
      </w:pPr>
    </w:p>
    <w:p w14:paraId="54B44443">
      <w:pPr>
        <w:pStyle w:val="8"/>
      </w:pPr>
    </w:p>
    <w:p w14:paraId="1BAB11BF">
      <w:pPr>
        <w:pStyle w:val="8"/>
      </w:pPr>
    </w:p>
    <w:p w14:paraId="04DFD5BB">
      <w:pPr>
        <w:pStyle w:val="8"/>
      </w:pPr>
    </w:p>
    <w:p w14:paraId="543A53BF">
      <w:pPr>
        <w:pStyle w:val="8"/>
      </w:pPr>
    </w:p>
    <w:p w14:paraId="1B6341B7">
      <w:pPr>
        <w:pStyle w:val="8"/>
      </w:pPr>
    </w:p>
    <w:p w14:paraId="794AF299">
      <w:pPr>
        <w:pStyle w:val="8"/>
      </w:pPr>
    </w:p>
    <w:p w14:paraId="095458A6">
      <w:pPr>
        <w:pStyle w:val="8"/>
      </w:pPr>
    </w:p>
    <w:p w14:paraId="052C502E">
      <w:pPr>
        <w:pStyle w:val="8"/>
      </w:pPr>
    </w:p>
    <w:p w14:paraId="2B3ED9B5">
      <w:pP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3</w:t>
      </w:r>
      <w:r>
        <w:rPr>
          <w:rFonts w:hint="eastAsia" w:ascii="方正黑体_GBK" w:hAnsi="方正黑体_GBK" w:eastAsia="方正黑体_GBK" w:cs="方正黑体_GBK"/>
          <w:kern w:val="0"/>
          <w:sz w:val="32"/>
          <w:szCs w:val="32"/>
        </w:rPr>
        <w:t>：现场踏勘证明书</w:t>
      </w:r>
    </w:p>
    <w:p w14:paraId="6324E0F7">
      <w:pPr>
        <w:pStyle w:val="2"/>
      </w:pPr>
    </w:p>
    <w:p w14:paraId="531316A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22F342FA">
      <w:pPr>
        <w:ind w:firstLine="2420" w:firstLineChars="550"/>
        <w:rPr>
          <w:rFonts w:ascii="黑体" w:hAnsi="黑体" w:eastAsia="黑体"/>
          <w:sz w:val="44"/>
          <w:szCs w:val="44"/>
        </w:rPr>
      </w:pPr>
    </w:p>
    <w:p w14:paraId="522574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仿宋_GB2312" w:eastAsia="方正仿宋简体" w:cs="仿宋_GB2312"/>
          <w:kern w:val="1"/>
          <w:sz w:val="32"/>
          <w:szCs w:val="32"/>
          <w:u w:val="single"/>
          <w:lang w:eastAsia="zh-CN"/>
        </w:rPr>
        <w:t>兴普</w:t>
      </w:r>
      <w:r>
        <w:rPr>
          <w:rFonts w:hint="eastAsia" w:ascii="方正仿宋简体" w:hAnsi="仿宋_GB2312" w:eastAsia="方正仿宋简体" w:cs="仿宋_GB2312"/>
          <w:kern w:val="1"/>
          <w:sz w:val="32"/>
          <w:szCs w:val="32"/>
          <w:u w:val="single"/>
        </w:rPr>
        <w:t>驳船拖轮服务</w:t>
      </w:r>
      <w:r>
        <w:rPr>
          <w:rFonts w:hint="eastAsia" w:ascii="方正仿宋简体" w:hAnsi="仿宋_GB2312" w:eastAsia="方正仿宋简体" w:cs="仿宋_GB2312"/>
          <w:kern w:val="1"/>
          <w:sz w:val="32"/>
          <w:szCs w:val="32"/>
        </w:rPr>
        <w:t>招标文件要求，</w:t>
      </w:r>
      <w:r>
        <w:rPr>
          <w:rFonts w:hint="eastAsia" w:ascii="方正仿宋简体" w:hAnsi="方正仿宋简体" w:eastAsia="方正仿宋简体" w:cs="方正仿宋简体"/>
          <w:color w:val="auto"/>
          <w:sz w:val="32"/>
          <w:szCs w:val="32"/>
        </w:rPr>
        <w:t>结合本招标文件所</w:t>
      </w:r>
      <w:r>
        <w:rPr>
          <w:rFonts w:hint="eastAsia" w:ascii="方正仿宋简体" w:hAnsi="方正仿宋简体" w:eastAsia="方正仿宋简体" w:cs="方正仿宋简体"/>
          <w:color w:val="auto"/>
          <w:sz w:val="32"/>
          <w:szCs w:val="32"/>
          <w:lang w:eastAsia="zh-CN"/>
        </w:rPr>
        <w:t>需的相关服务要求</w:t>
      </w:r>
      <w:r>
        <w:rPr>
          <w:rFonts w:hint="eastAsia" w:ascii="方正仿宋简体" w:hAnsi="方正仿宋简体" w:eastAsia="方正仿宋简体" w:cs="方正仿宋简体"/>
          <w:color w:val="auto"/>
          <w:sz w:val="32"/>
          <w:szCs w:val="32"/>
        </w:rPr>
        <w:t>，对</w:t>
      </w:r>
      <w:r>
        <w:rPr>
          <w:rFonts w:hint="eastAsia" w:ascii="方正仿宋简体" w:hAnsi="方正仿宋简体" w:eastAsia="方正仿宋简体" w:cs="方正仿宋简体"/>
          <w:color w:val="auto"/>
          <w:sz w:val="32"/>
          <w:szCs w:val="32"/>
          <w:lang w:eastAsia="zh-CN"/>
        </w:rPr>
        <w:t>兴普驳</w:t>
      </w:r>
      <w:r>
        <w:rPr>
          <w:rFonts w:hint="eastAsia" w:ascii="方正仿宋简体" w:hAnsi="方正仿宋简体" w:eastAsia="方正仿宋简体" w:cs="方正仿宋简体"/>
          <w:color w:val="auto"/>
          <w:sz w:val="32"/>
          <w:szCs w:val="32"/>
          <w:lang w:val="en-US" w:eastAsia="zh-CN"/>
        </w:rPr>
        <w:t>3001-兴普驳3006六条驳船舶进行</w:t>
      </w:r>
      <w:r>
        <w:rPr>
          <w:rFonts w:hint="eastAsia" w:ascii="方正仿宋简体" w:hAnsi="方正仿宋简体" w:eastAsia="方正仿宋简体" w:cs="方正仿宋简体"/>
          <w:color w:val="FF0000"/>
          <w:sz w:val="32"/>
          <w:szCs w:val="32"/>
        </w:rPr>
        <w:t>实地勘查，</w:t>
      </w:r>
      <w:r>
        <w:rPr>
          <w:rFonts w:hint="eastAsia" w:ascii="方正仿宋简体" w:hAnsi="方正仿宋简体" w:eastAsia="方正仿宋简体" w:cs="方正仿宋简体"/>
          <w:color w:val="FF0000"/>
          <w:sz w:val="32"/>
          <w:szCs w:val="32"/>
          <w:lang w:eastAsia="zh-CN"/>
        </w:rPr>
        <w:t>了解船舶业务及船况，</w:t>
      </w:r>
      <w:r>
        <w:rPr>
          <w:rFonts w:hint="eastAsia" w:ascii="方正仿宋简体" w:hAnsi="方正仿宋简体" w:eastAsia="方正仿宋简体" w:cs="方正仿宋简体"/>
          <w:color w:val="FF0000"/>
          <w:sz w:val="32"/>
          <w:szCs w:val="32"/>
        </w:rPr>
        <w:t>认真核实</w:t>
      </w:r>
      <w:r>
        <w:rPr>
          <w:rFonts w:hint="eastAsia" w:ascii="方正仿宋简体" w:hAnsi="方正仿宋简体" w:eastAsia="方正仿宋简体" w:cs="方正仿宋简体"/>
          <w:color w:val="FF0000"/>
          <w:sz w:val="32"/>
          <w:szCs w:val="32"/>
          <w:u w:val="single"/>
          <w:lang w:val="en-US" w:eastAsia="zh-CN"/>
        </w:rPr>
        <w:t>相关业务操作的可行性</w:t>
      </w:r>
      <w:r>
        <w:rPr>
          <w:rFonts w:hint="eastAsia" w:ascii="方正仿宋简体" w:hAnsi="方正仿宋简体" w:eastAsia="方正仿宋简体" w:cs="方正仿宋简体"/>
          <w:color w:val="FF0000"/>
          <w:sz w:val="32"/>
          <w:szCs w:val="32"/>
          <w:lang w:eastAsia="zh-CN"/>
        </w:rPr>
        <w:t>。</w:t>
      </w:r>
    </w:p>
    <w:p w14:paraId="1C9A46C9">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相关招标文件内容，已于</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rPr>
        <w:t>进行实地踏勘。</w:t>
      </w:r>
    </w:p>
    <w:p w14:paraId="37A12C7D">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E83F8A2">
      <w:pPr>
        <w:rPr>
          <w:rFonts w:ascii="方正仿宋简体" w:hAnsi="仿宋_GB2312" w:eastAsia="方正仿宋简体" w:cs="仿宋_GB2312"/>
          <w:kern w:val="1"/>
          <w:sz w:val="32"/>
          <w:szCs w:val="32"/>
        </w:rPr>
      </w:pPr>
    </w:p>
    <w:p w14:paraId="4145EC65">
      <w:pPr>
        <w:pStyle w:val="2"/>
        <w:ind w:left="0" w:leftChars="0" w:firstLine="0" w:firstLineChars="0"/>
        <w:rPr>
          <w:rFonts w:ascii="方正仿宋简体" w:hAnsi="仿宋_GB2312" w:eastAsia="方正仿宋简体" w:cs="仿宋_GB2312"/>
          <w:kern w:val="1"/>
          <w:sz w:val="32"/>
          <w:szCs w:val="32"/>
        </w:rPr>
      </w:pPr>
    </w:p>
    <w:p w14:paraId="43AB601D">
      <w:pPr>
        <w:pStyle w:val="2"/>
        <w:ind w:left="0" w:leftChars="0" w:firstLine="0" w:firstLineChars="0"/>
        <w:rPr>
          <w:rFonts w:ascii="方正仿宋简体" w:hAnsi="仿宋_GB2312" w:eastAsia="方正仿宋简体" w:cs="仿宋_GB2312"/>
          <w:kern w:val="1"/>
          <w:sz w:val="32"/>
          <w:szCs w:val="32"/>
        </w:rPr>
      </w:pPr>
    </w:p>
    <w:tbl>
      <w:tblPr>
        <w:tblStyle w:val="14"/>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2295"/>
        <w:gridCol w:w="2895"/>
      </w:tblGrid>
      <w:tr w14:paraId="57D1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326A2059">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295" w:type="dxa"/>
          </w:tcPr>
          <w:p w14:paraId="2CC241D8">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895" w:type="dxa"/>
          </w:tcPr>
          <w:p w14:paraId="304E5942">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r>
      <w:tr w14:paraId="1594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3D46D108">
            <w:pPr>
              <w:jc w:val="center"/>
              <w:rPr>
                <w:rFonts w:ascii="方正仿宋简体" w:hAnsi="仿宋_GB2312" w:eastAsia="方正仿宋简体" w:cs="仿宋_GB2312"/>
                <w:kern w:val="1"/>
                <w:sz w:val="32"/>
                <w:szCs w:val="32"/>
              </w:rPr>
            </w:pPr>
          </w:p>
        </w:tc>
        <w:tc>
          <w:tcPr>
            <w:tcW w:w="2295" w:type="dxa"/>
          </w:tcPr>
          <w:p w14:paraId="7B5A23CB">
            <w:pPr>
              <w:jc w:val="center"/>
              <w:rPr>
                <w:rFonts w:ascii="方正仿宋简体" w:hAnsi="仿宋_GB2312" w:eastAsia="方正仿宋简体" w:cs="仿宋_GB2312"/>
                <w:kern w:val="1"/>
                <w:sz w:val="32"/>
                <w:szCs w:val="32"/>
              </w:rPr>
            </w:pPr>
          </w:p>
        </w:tc>
        <w:tc>
          <w:tcPr>
            <w:tcW w:w="2895" w:type="dxa"/>
          </w:tcPr>
          <w:p w14:paraId="74AEF4ED">
            <w:pPr>
              <w:jc w:val="center"/>
              <w:rPr>
                <w:rFonts w:ascii="方正仿宋简体" w:hAnsi="仿宋_GB2312" w:eastAsia="方正仿宋简体" w:cs="仿宋_GB2312"/>
                <w:kern w:val="1"/>
                <w:sz w:val="32"/>
                <w:szCs w:val="32"/>
              </w:rPr>
            </w:pPr>
          </w:p>
        </w:tc>
      </w:tr>
      <w:tr w14:paraId="6A33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514260B4">
            <w:pPr>
              <w:jc w:val="center"/>
              <w:rPr>
                <w:rFonts w:ascii="方正仿宋简体" w:hAnsi="仿宋_GB2312" w:eastAsia="方正仿宋简体" w:cs="仿宋_GB2312"/>
                <w:kern w:val="1"/>
                <w:sz w:val="32"/>
                <w:szCs w:val="32"/>
              </w:rPr>
            </w:pPr>
          </w:p>
        </w:tc>
        <w:tc>
          <w:tcPr>
            <w:tcW w:w="2295" w:type="dxa"/>
          </w:tcPr>
          <w:p w14:paraId="0FC40237">
            <w:pPr>
              <w:jc w:val="center"/>
              <w:rPr>
                <w:rFonts w:ascii="方正仿宋简体" w:hAnsi="仿宋_GB2312" w:eastAsia="方正仿宋简体" w:cs="仿宋_GB2312"/>
                <w:kern w:val="1"/>
                <w:sz w:val="32"/>
                <w:szCs w:val="32"/>
              </w:rPr>
            </w:pPr>
          </w:p>
        </w:tc>
        <w:tc>
          <w:tcPr>
            <w:tcW w:w="2895" w:type="dxa"/>
          </w:tcPr>
          <w:p w14:paraId="1D6E9A50">
            <w:pPr>
              <w:jc w:val="center"/>
              <w:rPr>
                <w:rFonts w:ascii="方正仿宋简体" w:hAnsi="仿宋_GB2312" w:eastAsia="方正仿宋简体" w:cs="仿宋_GB2312"/>
                <w:kern w:val="1"/>
                <w:sz w:val="32"/>
                <w:szCs w:val="32"/>
              </w:rPr>
            </w:pPr>
          </w:p>
        </w:tc>
      </w:tr>
      <w:tr w14:paraId="25CF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0A5B2688">
            <w:pPr>
              <w:jc w:val="center"/>
              <w:rPr>
                <w:rFonts w:ascii="方正仿宋简体" w:hAnsi="仿宋_GB2312" w:eastAsia="方正仿宋简体" w:cs="仿宋_GB2312"/>
                <w:kern w:val="1"/>
                <w:sz w:val="32"/>
                <w:szCs w:val="32"/>
              </w:rPr>
            </w:pPr>
          </w:p>
        </w:tc>
        <w:tc>
          <w:tcPr>
            <w:tcW w:w="2295" w:type="dxa"/>
          </w:tcPr>
          <w:p w14:paraId="74D7D049">
            <w:pPr>
              <w:jc w:val="center"/>
              <w:rPr>
                <w:rFonts w:ascii="方正仿宋简体" w:hAnsi="仿宋_GB2312" w:eastAsia="方正仿宋简体" w:cs="仿宋_GB2312"/>
                <w:kern w:val="1"/>
                <w:sz w:val="32"/>
                <w:szCs w:val="32"/>
              </w:rPr>
            </w:pPr>
          </w:p>
        </w:tc>
        <w:tc>
          <w:tcPr>
            <w:tcW w:w="2895" w:type="dxa"/>
          </w:tcPr>
          <w:p w14:paraId="39B97285">
            <w:pPr>
              <w:jc w:val="center"/>
              <w:rPr>
                <w:rFonts w:ascii="方正仿宋简体" w:hAnsi="仿宋_GB2312" w:eastAsia="方正仿宋简体" w:cs="仿宋_GB2312"/>
                <w:kern w:val="1"/>
                <w:sz w:val="32"/>
                <w:szCs w:val="32"/>
              </w:rPr>
            </w:pPr>
          </w:p>
        </w:tc>
      </w:tr>
      <w:tr w14:paraId="0FA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71546A5B">
            <w:pPr>
              <w:jc w:val="center"/>
              <w:rPr>
                <w:rFonts w:ascii="方正仿宋简体" w:hAnsi="仿宋_GB2312" w:eastAsia="方正仿宋简体" w:cs="仿宋_GB2312"/>
                <w:kern w:val="1"/>
                <w:sz w:val="32"/>
                <w:szCs w:val="32"/>
              </w:rPr>
            </w:pPr>
          </w:p>
        </w:tc>
        <w:tc>
          <w:tcPr>
            <w:tcW w:w="2295" w:type="dxa"/>
          </w:tcPr>
          <w:p w14:paraId="15E4C222">
            <w:pPr>
              <w:jc w:val="center"/>
              <w:rPr>
                <w:rFonts w:ascii="方正仿宋简体" w:hAnsi="仿宋_GB2312" w:eastAsia="方正仿宋简体" w:cs="仿宋_GB2312"/>
                <w:kern w:val="1"/>
                <w:sz w:val="32"/>
                <w:szCs w:val="32"/>
              </w:rPr>
            </w:pPr>
          </w:p>
        </w:tc>
        <w:tc>
          <w:tcPr>
            <w:tcW w:w="2895" w:type="dxa"/>
          </w:tcPr>
          <w:p w14:paraId="00DDB718">
            <w:pPr>
              <w:jc w:val="center"/>
              <w:rPr>
                <w:rFonts w:ascii="方正仿宋简体" w:hAnsi="仿宋_GB2312" w:eastAsia="方正仿宋简体" w:cs="仿宋_GB2312"/>
                <w:kern w:val="1"/>
                <w:sz w:val="32"/>
                <w:szCs w:val="32"/>
              </w:rPr>
            </w:pPr>
          </w:p>
        </w:tc>
      </w:tr>
      <w:tr w14:paraId="6053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1997C730">
            <w:pPr>
              <w:jc w:val="center"/>
              <w:rPr>
                <w:rFonts w:ascii="方正仿宋简体" w:hAnsi="仿宋_GB2312" w:eastAsia="方正仿宋简体" w:cs="仿宋_GB2312"/>
                <w:kern w:val="1"/>
                <w:sz w:val="32"/>
                <w:szCs w:val="32"/>
              </w:rPr>
            </w:pPr>
          </w:p>
        </w:tc>
        <w:tc>
          <w:tcPr>
            <w:tcW w:w="2295" w:type="dxa"/>
          </w:tcPr>
          <w:p w14:paraId="7FB21F4A">
            <w:pPr>
              <w:jc w:val="center"/>
              <w:rPr>
                <w:rFonts w:ascii="方正仿宋简体" w:hAnsi="仿宋_GB2312" w:eastAsia="方正仿宋简体" w:cs="仿宋_GB2312"/>
                <w:kern w:val="1"/>
                <w:sz w:val="32"/>
                <w:szCs w:val="32"/>
              </w:rPr>
            </w:pPr>
          </w:p>
        </w:tc>
        <w:tc>
          <w:tcPr>
            <w:tcW w:w="2895" w:type="dxa"/>
          </w:tcPr>
          <w:p w14:paraId="1688ECA6">
            <w:pPr>
              <w:jc w:val="center"/>
              <w:rPr>
                <w:rFonts w:ascii="方正仿宋简体" w:hAnsi="仿宋_GB2312" w:eastAsia="方正仿宋简体" w:cs="仿宋_GB2312"/>
                <w:kern w:val="1"/>
                <w:sz w:val="32"/>
                <w:szCs w:val="32"/>
              </w:rPr>
            </w:pPr>
          </w:p>
        </w:tc>
      </w:tr>
    </w:tbl>
    <w:p w14:paraId="6E90A5D0">
      <w:pPr>
        <w:rPr>
          <w:rFonts w:ascii="方正仿宋简体" w:hAnsi="仿宋_GB2312" w:eastAsia="方正仿宋简体" w:cs="仿宋_GB2312"/>
          <w:kern w:val="1"/>
          <w:sz w:val="32"/>
          <w:szCs w:val="32"/>
        </w:rPr>
      </w:pPr>
    </w:p>
    <w:p w14:paraId="2AF98896">
      <w:pPr>
        <w:rPr>
          <w:rFonts w:hint="eastAsia" w:ascii="宋体" w:hAnsi="宋体" w:eastAsia="宋体" w:cs="Times New Roman"/>
          <w:bCs/>
          <w:sz w:val="28"/>
          <w:szCs w:val="28"/>
        </w:rPr>
      </w:pP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现场陪同人：</w:t>
      </w:r>
    </w:p>
    <w:p w14:paraId="500E64A4">
      <w:pPr>
        <w:pStyle w:val="2"/>
        <w:rPr>
          <w:rFonts w:hint="eastAsia" w:ascii="微软雅黑" w:hAnsi="微软雅黑" w:eastAsia="微软雅黑" w:cs="微软雅黑"/>
          <w:kern w:val="1"/>
          <w:sz w:val="24"/>
          <w:lang w:val="en-US" w:eastAsia="zh-CN"/>
        </w:rPr>
      </w:pPr>
    </w:p>
    <w:p w14:paraId="4F1505F8">
      <w:pPr>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4</w:t>
      </w:r>
      <w:r>
        <w:rPr>
          <w:rFonts w:hint="eastAsia" w:ascii="方正黑体_GBK" w:hAnsi="方正黑体_GBK" w:eastAsia="方正黑体_GBK" w:cs="方正黑体_GBK"/>
          <w:kern w:val="0"/>
          <w:sz w:val="32"/>
          <w:szCs w:val="32"/>
        </w:rPr>
        <w:t>：</w:t>
      </w:r>
      <w:r>
        <w:rPr>
          <w:rFonts w:hint="eastAsia" w:ascii="方正黑体_GBK" w:hAnsi="方正黑体_GBK" w:eastAsia="方正黑体_GBK" w:cs="方正黑体_GBK"/>
          <w:kern w:val="0"/>
          <w:sz w:val="32"/>
          <w:szCs w:val="32"/>
          <w:lang w:eastAsia="zh-CN"/>
        </w:rPr>
        <w:t>安全协议</w:t>
      </w:r>
    </w:p>
    <w:p w14:paraId="08604B75">
      <w:pPr>
        <w:jc w:val="center"/>
        <w:rPr>
          <w:b/>
          <w:bCs/>
          <w:sz w:val="44"/>
          <w:szCs w:val="44"/>
        </w:rPr>
      </w:pPr>
      <w:r>
        <w:rPr>
          <w:rFonts w:hint="eastAsia"/>
          <w:b/>
          <w:bCs/>
          <w:sz w:val="44"/>
          <w:szCs w:val="44"/>
          <w:lang w:eastAsia="zh-CN"/>
        </w:rPr>
        <w:t>拖轮服务</w:t>
      </w:r>
      <w:r>
        <w:rPr>
          <w:rFonts w:hint="eastAsia"/>
          <w:b/>
          <w:bCs/>
          <w:sz w:val="44"/>
          <w:szCs w:val="44"/>
        </w:rPr>
        <w:t>生产管理</w:t>
      </w:r>
      <w:r>
        <w:rPr>
          <w:rFonts w:hint="eastAsia"/>
          <w:b/>
          <w:bCs/>
          <w:sz w:val="44"/>
          <w:szCs w:val="44"/>
          <w:lang w:eastAsia="zh-CN"/>
        </w:rPr>
        <w:t>安全</w:t>
      </w:r>
      <w:r>
        <w:rPr>
          <w:rFonts w:hint="eastAsia"/>
          <w:b/>
          <w:bCs/>
          <w:sz w:val="44"/>
          <w:szCs w:val="44"/>
        </w:rPr>
        <w:t>协议书</w:t>
      </w:r>
    </w:p>
    <w:p w14:paraId="492658EE">
      <w:pPr>
        <w:spacing w:line="560" w:lineRule="exact"/>
        <w:ind w:firstLine="640" w:firstLineChars="200"/>
        <w:rPr>
          <w:rFonts w:ascii="仿宋" w:hAnsi="仿宋" w:eastAsia="仿宋"/>
          <w:sz w:val="32"/>
          <w:szCs w:val="32"/>
        </w:rPr>
      </w:pPr>
    </w:p>
    <w:p w14:paraId="3C16959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甲方:</w:t>
      </w:r>
    </w:p>
    <w:p w14:paraId="334A89B5">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乙方:</w:t>
      </w:r>
    </w:p>
    <w:p w14:paraId="27CAAE1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为加强对拖轮服务过程的安全生产管理，明确双方的安全生产责任，防止和减少作业中的生产安全事故，按照《安全生产法》及其他法律、法规、规章的规定，甲乙双方遵循平等、自愿、公平和诚实信用的原则，就拖轮安全生产管理事项协商一致，订立本协议。</w:t>
      </w:r>
    </w:p>
    <w:p w14:paraId="2436F5C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第一条 项目概况</w:t>
      </w:r>
    </w:p>
    <w:p w14:paraId="5AC69CC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(一)项目名称:拖轮服务</w:t>
      </w:r>
    </w:p>
    <w:p w14:paraId="711B0FE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(二)项目地点与范围:海纳川船厂码头、散货码头</w:t>
      </w:r>
    </w:p>
    <w:p w14:paraId="42E1C6C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(三)项目主要内容:拖轮服务</w:t>
      </w:r>
    </w:p>
    <w:p w14:paraId="2A0F0115">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(四)项目工期:自</w:t>
      </w:r>
      <w:r>
        <w:rPr>
          <w:rFonts w:hint="eastAsia" w:ascii="方正仿宋简体" w:hAnsi="仿宋_GB2312" w:eastAsia="方正仿宋简体" w:cs="仿宋_GB2312"/>
          <w:kern w:val="1"/>
          <w:sz w:val="30"/>
          <w:szCs w:val="30"/>
          <w:u w:val="none"/>
          <w:lang w:val="en-US" w:eastAsia="zh-CN"/>
        </w:rPr>
        <w:t>2025</w:t>
      </w:r>
      <w:r>
        <w:rPr>
          <w:rFonts w:hint="eastAsia" w:ascii="方正仿宋简体" w:hAnsi="仿宋_GB2312" w:eastAsia="方正仿宋简体" w:cs="仿宋_GB2312"/>
          <w:kern w:val="1"/>
          <w:sz w:val="30"/>
          <w:szCs w:val="30"/>
          <w:u w:val="none"/>
          <w:lang w:eastAsia="zh-CN"/>
        </w:rPr>
        <w:t>年</w:t>
      </w:r>
      <w:r>
        <w:rPr>
          <w:rFonts w:hint="eastAsia" w:ascii="方正仿宋简体" w:hAnsi="仿宋_GB2312" w:eastAsia="方正仿宋简体" w:cs="仿宋_GB2312"/>
          <w:kern w:val="1"/>
          <w:sz w:val="30"/>
          <w:szCs w:val="30"/>
          <w:u w:val="none"/>
          <w:lang w:val="en-US" w:eastAsia="zh-CN"/>
        </w:rPr>
        <w:t>1</w:t>
      </w:r>
      <w:r>
        <w:rPr>
          <w:rFonts w:hint="eastAsia" w:ascii="方正仿宋简体" w:hAnsi="仿宋_GB2312" w:eastAsia="方正仿宋简体" w:cs="仿宋_GB2312"/>
          <w:kern w:val="1"/>
          <w:sz w:val="30"/>
          <w:szCs w:val="30"/>
          <w:u w:val="none"/>
          <w:lang w:eastAsia="zh-CN"/>
        </w:rPr>
        <w:t>月</w:t>
      </w:r>
      <w:r>
        <w:rPr>
          <w:rFonts w:hint="eastAsia" w:ascii="方正仿宋简体" w:hAnsi="仿宋_GB2312" w:eastAsia="方正仿宋简体" w:cs="仿宋_GB2312"/>
          <w:kern w:val="1"/>
          <w:sz w:val="30"/>
          <w:szCs w:val="30"/>
          <w:u w:val="none"/>
          <w:lang w:val="en-US" w:eastAsia="zh-CN"/>
        </w:rPr>
        <w:t>1</w:t>
      </w:r>
      <w:r>
        <w:rPr>
          <w:rFonts w:hint="eastAsia" w:ascii="方正仿宋简体" w:hAnsi="仿宋_GB2312" w:eastAsia="方正仿宋简体" w:cs="仿宋_GB2312"/>
          <w:kern w:val="1"/>
          <w:sz w:val="30"/>
          <w:szCs w:val="30"/>
          <w:u w:val="none"/>
          <w:lang w:eastAsia="zh-CN"/>
        </w:rPr>
        <w:t>日至</w:t>
      </w:r>
      <w:r>
        <w:rPr>
          <w:rFonts w:hint="eastAsia" w:ascii="方正仿宋简体" w:hAnsi="仿宋_GB2312" w:eastAsia="方正仿宋简体" w:cs="仿宋_GB2312"/>
          <w:kern w:val="1"/>
          <w:sz w:val="30"/>
          <w:szCs w:val="30"/>
          <w:u w:val="none"/>
          <w:lang w:val="en-US" w:eastAsia="zh-CN"/>
        </w:rPr>
        <w:t>2027</w:t>
      </w:r>
      <w:r>
        <w:rPr>
          <w:rFonts w:hint="eastAsia" w:ascii="方正仿宋简体" w:hAnsi="仿宋_GB2312" w:eastAsia="方正仿宋简体" w:cs="仿宋_GB2312"/>
          <w:kern w:val="1"/>
          <w:sz w:val="30"/>
          <w:szCs w:val="30"/>
          <w:u w:val="none"/>
          <w:lang w:eastAsia="zh-CN"/>
        </w:rPr>
        <w:t>年</w:t>
      </w:r>
      <w:r>
        <w:rPr>
          <w:rFonts w:hint="eastAsia" w:ascii="方正仿宋简体" w:hAnsi="仿宋_GB2312" w:eastAsia="方正仿宋简体" w:cs="仿宋_GB2312"/>
          <w:kern w:val="1"/>
          <w:sz w:val="30"/>
          <w:szCs w:val="30"/>
          <w:u w:val="none"/>
          <w:lang w:val="en-US" w:eastAsia="zh-CN"/>
        </w:rPr>
        <w:t>12</w:t>
      </w:r>
      <w:r>
        <w:rPr>
          <w:rFonts w:hint="eastAsia" w:ascii="方正仿宋简体" w:hAnsi="仿宋_GB2312" w:eastAsia="方正仿宋简体" w:cs="仿宋_GB2312"/>
          <w:kern w:val="1"/>
          <w:sz w:val="30"/>
          <w:szCs w:val="30"/>
          <w:u w:val="none"/>
          <w:lang w:eastAsia="zh-CN"/>
        </w:rPr>
        <w:t>月</w:t>
      </w:r>
      <w:r>
        <w:rPr>
          <w:rFonts w:hint="eastAsia" w:ascii="方正仿宋简体" w:hAnsi="仿宋_GB2312" w:eastAsia="方正仿宋简体" w:cs="仿宋_GB2312"/>
          <w:kern w:val="1"/>
          <w:sz w:val="30"/>
          <w:szCs w:val="30"/>
          <w:u w:val="none"/>
          <w:lang w:val="en-US" w:eastAsia="zh-CN"/>
        </w:rPr>
        <w:t>31</w:t>
      </w:r>
      <w:r>
        <w:rPr>
          <w:rFonts w:hint="eastAsia" w:ascii="方正仿宋简体" w:hAnsi="仿宋_GB2312" w:eastAsia="方正仿宋简体" w:cs="仿宋_GB2312"/>
          <w:kern w:val="1"/>
          <w:sz w:val="30"/>
          <w:szCs w:val="30"/>
          <w:u w:val="none"/>
          <w:lang w:eastAsia="zh-CN"/>
        </w:rPr>
        <w:t>日</w:t>
      </w:r>
    </w:p>
    <w:p w14:paraId="1D6358D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第二条 双方应当遵循的基本原则 </w:t>
      </w:r>
    </w:p>
    <w:p w14:paraId="578E63D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1.乙方在签订拖轮服务合同和安全协议前，须主动接受甲方船务合作处对乙方参加作业的所有员工进行的安全环保教育。经教育培训、考核合格的员工，才可驻点服务。</w:t>
      </w:r>
    </w:p>
    <w:p w14:paraId="5AD5B5D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2.乙方须任命或指定专人作为该项目安全管理责任人，以协调作业过程中的安全/环保有关事务。安全/环保管理责任人应保持与甲方船务合作处的有效联络。</w:t>
      </w:r>
    </w:p>
    <w:p w14:paraId="2E6A4DA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3.乙方在未签订本协议，员工未通过安全培训的，甲方用工部门不得安排作业。</w:t>
      </w:r>
    </w:p>
    <w:p w14:paraId="6B5B302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4.双方必须严守可能涉及的技术秘密和业务机密，严格遵守本协议相关内容。</w:t>
      </w:r>
    </w:p>
    <w:p w14:paraId="0DD91B6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第三条 安全责任</w:t>
      </w:r>
    </w:p>
    <w:p w14:paraId="7E411D6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(一)甲方安全责任</w:t>
      </w:r>
    </w:p>
    <w:p w14:paraId="762DE1C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l.甲方应当保证与拖轮有关的生产系统安全设施正常运行，保证该项目具备法律、法规、规章和标准规定的安全生产条件。</w:t>
      </w:r>
    </w:p>
    <w:p w14:paraId="18CC222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2</w:t>
      </w:r>
      <w:r>
        <w:rPr>
          <w:rFonts w:hint="eastAsia" w:ascii="方正仿宋简体" w:hAnsi="仿宋_GB2312" w:eastAsia="方正仿宋简体" w:cs="仿宋_GB2312"/>
          <w:kern w:val="1"/>
          <w:sz w:val="30"/>
          <w:szCs w:val="30"/>
          <w:u w:val="none"/>
          <w:lang w:eastAsia="zh-CN"/>
        </w:rPr>
        <w:t>.甲方应当对乙方所有人员进行入场前的安全生产规章制度教育与培训。</w:t>
      </w:r>
    </w:p>
    <w:p w14:paraId="10F599F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3</w:t>
      </w:r>
      <w:r>
        <w:rPr>
          <w:rFonts w:hint="eastAsia" w:ascii="方正仿宋简体" w:hAnsi="仿宋_GB2312" w:eastAsia="方正仿宋简体" w:cs="仿宋_GB2312"/>
          <w:kern w:val="1"/>
          <w:sz w:val="30"/>
          <w:szCs w:val="30"/>
          <w:u w:val="none"/>
          <w:lang w:eastAsia="zh-CN"/>
        </w:rPr>
        <w:t>.甲方应当对乙方从业人员进行现场安全交底，告知乙方项目作业过程中可能存在的主要危险有害因素，以及在紧急情况下应当采取的应急措施。</w:t>
      </w:r>
    </w:p>
    <w:p w14:paraId="270C046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4</w:t>
      </w:r>
      <w:r>
        <w:rPr>
          <w:rFonts w:hint="eastAsia" w:ascii="方正仿宋简体" w:hAnsi="仿宋_GB2312" w:eastAsia="方正仿宋简体" w:cs="仿宋_GB2312"/>
          <w:kern w:val="1"/>
          <w:sz w:val="30"/>
          <w:szCs w:val="30"/>
          <w:u w:val="none"/>
          <w:lang w:eastAsia="zh-CN"/>
        </w:rPr>
        <w:t>.甲方应当建立健全事故隐患排查治理制度，定期对乙方工作内容隐患排查治理情况进行分析，并向乙方通报;发现乙方作业过程中的隐患，应当责令整改。</w:t>
      </w:r>
    </w:p>
    <w:p w14:paraId="1D021E9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5</w:t>
      </w:r>
      <w:r>
        <w:rPr>
          <w:rFonts w:hint="eastAsia" w:ascii="方正仿宋简体" w:hAnsi="仿宋_GB2312" w:eastAsia="方正仿宋简体" w:cs="仿宋_GB2312"/>
          <w:kern w:val="1"/>
          <w:sz w:val="30"/>
          <w:szCs w:val="30"/>
          <w:u w:val="none"/>
          <w:lang w:eastAsia="zh-CN"/>
        </w:rPr>
        <w:t>.涉及危险作业的，甲方应当严格按照危险作业管理要求，落实并协助乙方办理、审批各类安全作业票证，协助乙方解决作业过程的安全环保方面问题。</w:t>
      </w:r>
    </w:p>
    <w:p w14:paraId="2173ED3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6</w:t>
      </w:r>
      <w:r>
        <w:rPr>
          <w:rFonts w:hint="eastAsia" w:ascii="方正仿宋简体" w:hAnsi="仿宋_GB2312" w:eastAsia="方正仿宋简体" w:cs="仿宋_GB2312"/>
          <w:kern w:val="1"/>
          <w:sz w:val="30"/>
          <w:szCs w:val="30"/>
          <w:u w:val="none"/>
          <w:lang w:eastAsia="zh-CN"/>
        </w:rPr>
        <w:t>.当生产中出现可能影响作业安全的因素时，甲方应立即通知乙方，紧急情况下可直接通知现场作业人员停工、撤离。</w:t>
      </w:r>
    </w:p>
    <w:p w14:paraId="683A4A9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7</w:t>
      </w:r>
      <w:r>
        <w:rPr>
          <w:rFonts w:hint="eastAsia" w:ascii="方正仿宋简体" w:hAnsi="仿宋_GB2312" w:eastAsia="方正仿宋简体" w:cs="仿宋_GB2312"/>
          <w:kern w:val="1"/>
          <w:sz w:val="30"/>
          <w:szCs w:val="30"/>
          <w:u w:val="none"/>
          <w:lang w:eastAsia="zh-CN"/>
        </w:rPr>
        <w:t>.甲方安全主管部门有权随时对乙方进行安全检查，乙方对安全检查要积极配合，并对检查出的安全隐患按要求进行整改。如不能按要求进行整改或整改无效，甲方安全主管部门将给予相应的处罚。如有异议可与甲方进行说明与协调，但不得拒绝、阻挠甲方的检查。否则甲方有权现场勒令停工。重大事故隐患排除前或排除过程中无法保证安全的，甲方有权责令乙方停止作业。隐患排除后，经甲方审查后视情节可恢复作业。</w:t>
      </w:r>
    </w:p>
    <w:p w14:paraId="314C4C5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8</w:t>
      </w:r>
      <w:r>
        <w:rPr>
          <w:rFonts w:hint="eastAsia" w:ascii="方正仿宋简体" w:hAnsi="仿宋_GB2312" w:eastAsia="方正仿宋简体" w:cs="仿宋_GB2312"/>
          <w:kern w:val="1"/>
          <w:sz w:val="30"/>
          <w:szCs w:val="30"/>
          <w:u w:val="none"/>
          <w:lang w:eastAsia="zh-CN"/>
        </w:rPr>
        <w:t>.甲方对乙方工作中存在的重大安全隐患，有权责令乙方立即整改、排除。当乙方不能如期整改，有权单方终止与乙方间业务合同的履行，乙方作业人员应立即撤离驻点。</w:t>
      </w:r>
    </w:p>
    <w:p w14:paraId="511EFB8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9</w:t>
      </w:r>
      <w:r>
        <w:rPr>
          <w:rFonts w:hint="eastAsia" w:ascii="方正仿宋简体" w:hAnsi="仿宋_GB2312" w:eastAsia="方正仿宋简体" w:cs="仿宋_GB2312"/>
          <w:kern w:val="1"/>
          <w:sz w:val="30"/>
          <w:szCs w:val="30"/>
          <w:u w:val="none"/>
          <w:lang w:eastAsia="zh-CN"/>
        </w:rPr>
        <w:t>.作业项目发生事故后，甲方应当按照应急预案要求，充分调动甲乙双方的应急资源，立即开展应急救援，指挥、协调事故救援工作。</w:t>
      </w:r>
    </w:p>
    <w:p w14:paraId="4B11137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1</w:t>
      </w:r>
      <w:r>
        <w:rPr>
          <w:rFonts w:hint="eastAsia" w:ascii="方正仿宋简体" w:hAnsi="仿宋_GB2312" w:eastAsia="方正仿宋简体" w:cs="仿宋_GB2312"/>
          <w:kern w:val="1"/>
          <w:sz w:val="30"/>
          <w:szCs w:val="30"/>
          <w:u w:val="none"/>
          <w:lang w:val="en-US" w:eastAsia="zh-CN"/>
        </w:rPr>
        <w:t>0</w:t>
      </w:r>
      <w:r>
        <w:rPr>
          <w:rFonts w:hint="eastAsia" w:ascii="方正仿宋简体" w:hAnsi="仿宋_GB2312" w:eastAsia="方正仿宋简体" w:cs="仿宋_GB2312"/>
          <w:kern w:val="1"/>
          <w:sz w:val="30"/>
          <w:szCs w:val="30"/>
          <w:u w:val="none"/>
          <w:lang w:eastAsia="zh-CN"/>
        </w:rPr>
        <w:t>.根据事故调查处理结论，承担相应责任。</w:t>
      </w:r>
    </w:p>
    <w:p w14:paraId="3D08265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 (二)乙方安全责任</w:t>
      </w:r>
    </w:p>
    <w:p w14:paraId="5B90D61C">
      <w:pPr>
        <w:ind w:firstLine="600" w:firstLineChars="200"/>
        <w:jc w:val="left"/>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1.乙方应向甲方提交与在甲方拖运业务相符的资质证书(有效的工商营业执照、税务登记证)等文件资料，并接受甲方相关部门的审核，签订《拖轮服务生产管理安全协议书》。</w:t>
      </w:r>
    </w:p>
    <w:p w14:paraId="7E776D7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2.乙方应当建立健全本单位安全生产责任制、管理制度和安全操作规程，并提供给甲方备案。</w:t>
      </w:r>
    </w:p>
    <w:p w14:paraId="04D41BD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3.乙方应当依照法律法规与从业人员签订劳动合同，为从业人员缴纳工伤保险或者意外伤害险。</w:t>
      </w:r>
    </w:p>
    <w:p w14:paraId="0BD020B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4</w:t>
      </w:r>
      <w:r>
        <w:rPr>
          <w:rFonts w:hint="eastAsia" w:ascii="方正仿宋简体" w:hAnsi="仿宋_GB2312" w:eastAsia="方正仿宋简体" w:cs="仿宋_GB2312"/>
          <w:kern w:val="1"/>
          <w:sz w:val="30"/>
          <w:szCs w:val="30"/>
          <w:u w:val="none"/>
          <w:lang w:eastAsia="zh-CN"/>
        </w:rPr>
        <w:t>.乙方应当保证项目作业范围内作业的安全生产条件，按照相关法律法规要求，及时维护、保养拖运的设备设施。</w:t>
      </w:r>
    </w:p>
    <w:p w14:paraId="1755EE5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5</w:t>
      </w:r>
      <w:r>
        <w:rPr>
          <w:rFonts w:hint="eastAsia" w:ascii="方正仿宋简体" w:hAnsi="仿宋_GB2312" w:eastAsia="方正仿宋简体" w:cs="仿宋_GB2312"/>
          <w:kern w:val="1"/>
          <w:sz w:val="30"/>
          <w:szCs w:val="30"/>
          <w:u w:val="none"/>
          <w:lang w:eastAsia="zh-CN"/>
        </w:rPr>
        <w:t>.乙方应当明确其项目作业人员和设备设施的情况，名册相符，不得弄虚作假，工作人员的资质需符合甲方及行业要求。</w:t>
      </w:r>
    </w:p>
    <w:p w14:paraId="08D4A1D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6</w:t>
      </w:r>
      <w:r>
        <w:rPr>
          <w:rFonts w:hint="eastAsia" w:ascii="方正仿宋简体" w:hAnsi="仿宋_GB2312" w:eastAsia="方正仿宋简体" w:cs="仿宋_GB2312"/>
          <w:kern w:val="1"/>
          <w:sz w:val="30"/>
          <w:szCs w:val="30"/>
          <w:u w:val="none"/>
          <w:lang w:eastAsia="zh-CN"/>
        </w:rPr>
        <w:t>.乙方应当建立隐息排查治理制度，定期开展隐患排查和整治。在项目作业范围内发现重大事故隐患且不能立即治理的，应当采取必要的防范措施，并及时书面报告甲方协商解决，消除事故隐患。</w:t>
      </w:r>
    </w:p>
    <w:p w14:paraId="2495BA6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7</w:t>
      </w:r>
      <w:r>
        <w:rPr>
          <w:rFonts w:hint="eastAsia" w:ascii="方正仿宋简体" w:hAnsi="仿宋_GB2312" w:eastAsia="方正仿宋简体" w:cs="仿宋_GB2312"/>
          <w:kern w:val="1"/>
          <w:sz w:val="30"/>
          <w:szCs w:val="30"/>
          <w:u w:val="none"/>
          <w:lang w:eastAsia="zh-CN"/>
        </w:rPr>
        <w:t>.乙方应当制定本单位的安全教育培训工作计划，按照相关法律、法规、规章和标准对本单位从业人员进行安全教育培训，保证从业人员掌握必需的安全生产知识、操作技能和应急逃生知识。</w:t>
      </w:r>
    </w:p>
    <w:p w14:paraId="074D7D2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8</w:t>
      </w:r>
      <w:r>
        <w:rPr>
          <w:rFonts w:hint="eastAsia" w:ascii="方正仿宋简体" w:hAnsi="仿宋_GB2312" w:eastAsia="方正仿宋简体" w:cs="仿宋_GB2312"/>
          <w:kern w:val="1"/>
          <w:sz w:val="30"/>
          <w:szCs w:val="30"/>
          <w:u w:val="none"/>
          <w:lang w:eastAsia="zh-CN"/>
        </w:rPr>
        <w:t>.乙方应当主动接受甲方组织的安全生产培训与指导，并同时开展对本单位从业人员安全生产知识、应急处置和安全操作技能的教育培训工作；乙方应当如实告知从业人员生产作业过程中可能存在的风险、需采取的安全措施。</w:t>
      </w:r>
    </w:p>
    <w:p w14:paraId="7A46C56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9</w:t>
      </w:r>
      <w:r>
        <w:rPr>
          <w:rFonts w:hint="eastAsia" w:ascii="方正仿宋简体" w:hAnsi="仿宋_GB2312" w:eastAsia="方正仿宋简体" w:cs="仿宋_GB2312"/>
          <w:kern w:val="1"/>
          <w:sz w:val="30"/>
          <w:szCs w:val="30"/>
          <w:u w:val="none"/>
          <w:lang w:eastAsia="zh-CN"/>
        </w:rPr>
        <w:t>.乙方应当强化现场作业管理，危险作业必须符合甲方票证审批的规定和要求。</w:t>
      </w:r>
    </w:p>
    <w:p w14:paraId="0CB7DD4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1）乙方在作业过程中的用电和临时接线要符合甲方安全用电管理规定，需甲方持证电工接线。如发现有违章现象甲方安全主管部门将给予相应的处罚，如发生安全生产事故，甲方将根据事故责任分析,对乙方进行相应的责任追究和损失索赔。</w:t>
      </w:r>
    </w:p>
    <w:p w14:paraId="15AD516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2）乙方在厂区范围内从事动火作业、高处作业、受限空间作业、盲板抽堵作业、吊装作业、断路作业、动土作业、设备检修作业及临时用电等作业，须先办理相应的安全许可证，取得有关部门的批准并接受监督，在落实相应的安全措施后方可进行作业。</w:t>
      </w:r>
    </w:p>
    <w:p w14:paraId="340D6A5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1</w:t>
      </w:r>
      <w:r>
        <w:rPr>
          <w:rFonts w:hint="eastAsia" w:ascii="方正仿宋简体" w:hAnsi="仿宋_GB2312" w:eastAsia="方正仿宋简体" w:cs="仿宋_GB2312"/>
          <w:kern w:val="1"/>
          <w:sz w:val="30"/>
          <w:szCs w:val="30"/>
          <w:u w:val="none"/>
          <w:lang w:val="en-US" w:eastAsia="zh-CN"/>
        </w:rPr>
        <w:t>0</w:t>
      </w:r>
      <w:r>
        <w:rPr>
          <w:rFonts w:hint="eastAsia" w:ascii="方正仿宋简体" w:hAnsi="仿宋_GB2312" w:eastAsia="方正仿宋简体" w:cs="仿宋_GB2312"/>
          <w:kern w:val="1"/>
          <w:sz w:val="30"/>
          <w:szCs w:val="30"/>
          <w:u w:val="none"/>
          <w:lang w:eastAsia="zh-CN"/>
        </w:rPr>
        <w:t>.由于乙方员工本人如：疾病、醉酒、情绪失控等自身原因造成事故的，由乙方自行负责调查处理，甲方有权追究乙方及当事人相关的责任；如给甲方造成损失或影响的将进行赔偿，根据损失或影响对乙方进行相应的责任追究和损失索赔。</w:t>
      </w:r>
    </w:p>
    <w:p w14:paraId="3A72508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1</w:t>
      </w:r>
      <w:r>
        <w:rPr>
          <w:rFonts w:hint="eastAsia" w:ascii="方正仿宋简体" w:hAnsi="仿宋_GB2312" w:eastAsia="方正仿宋简体" w:cs="仿宋_GB2312"/>
          <w:kern w:val="1"/>
          <w:sz w:val="30"/>
          <w:szCs w:val="30"/>
          <w:u w:val="none"/>
          <w:lang w:val="en-US" w:eastAsia="zh-CN"/>
        </w:rPr>
        <w:t>1</w:t>
      </w:r>
      <w:r>
        <w:rPr>
          <w:rFonts w:hint="eastAsia" w:ascii="方正仿宋简体" w:hAnsi="仿宋_GB2312" w:eastAsia="方正仿宋简体" w:cs="仿宋_GB2312"/>
          <w:kern w:val="1"/>
          <w:sz w:val="30"/>
          <w:szCs w:val="30"/>
          <w:u w:val="none"/>
          <w:lang w:eastAsia="zh-CN"/>
        </w:rPr>
        <w:t>.由于乙方员工擅自操作设备、员工之间各自矛盾或其他非甲方原因造成事故或人身伤害的，由乙方自行负责调查处理，如给甲方造成损失或影响的将进行赔偿，甲方有权对乙方进行相应的责任追究和责任处罚。</w:t>
      </w:r>
    </w:p>
    <w:p w14:paraId="4D7BB4D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1</w:t>
      </w:r>
      <w:r>
        <w:rPr>
          <w:rFonts w:hint="eastAsia" w:ascii="方正仿宋简体" w:hAnsi="仿宋_GB2312" w:eastAsia="方正仿宋简体" w:cs="仿宋_GB2312"/>
          <w:kern w:val="1"/>
          <w:sz w:val="30"/>
          <w:szCs w:val="30"/>
          <w:u w:val="none"/>
          <w:lang w:val="en-US" w:eastAsia="zh-CN"/>
        </w:rPr>
        <w:t>2</w:t>
      </w:r>
      <w:r>
        <w:rPr>
          <w:rFonts w:hint="eastAsia" w:ascii="方正仿宋简体" w:hAnsi="仿宋_GB2312" w:eastAsia="方正仿宋简体" w:cs="仿宋_GB2312"/>
          <w:kern w:val="1"/>
          <w:sz w:val="30"/>
          <w:szCs w:val="30"/>
          <w:u w:val="none"/>
          <w:lang w:eastAsia="zh-CN"/>
        </w:rPr>
        <w:t>.乙方在作业过程中违反甲方相关规定发生的安全事故，由乙方自行负责调查处理，分析、统计事故损失，制定相应的措施，并承担全部责任，调查处理结果向甲方报备。如给甲方造成损失或影响的，甲方有权对乙方进行相应的责任追究和责任处罚。</w:t>
      </w:r>
    </w:p>
    <w:p w14:paraId="5F7A581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13</w:t>
      </w:r>
      <w:r>
        <w:rPr>
          <w:rFonts w:hint="eastAsia" w:ascii="方正仿宋简体" w:hAnsi="仿宋_GB2312" w:eastAsia="方正仿宋简体" w:cs="仿宋_GB2312"/>
          <w:kern w:val="1"/>
          <w:sz w:val="30"/>
          <w:szCs w:val="30"/>
          <w:u w:val="none"/>
          <w:lang w:eastAsia="zh-CN"/>
        </w:rPr>
        <w:t>.乙方人员在现场不得擅自动用或操作甲方的设备、机具及消防设施，如需借用甲方的工具、设备，应由用工部门向设备所属部门提出申请，经同意后方可办理租借手续，租借消防器材还需经甲方安全主管部门批准后方可办理相关租借手续，甲方应保证设备、工器具符合安全要求，乙方接收时必须进行验收确认，乙方一经接收使用，表示认可该设备、工器具完好，无安全隐患，若造成安全事故，甲方有权对乙方进行相应的责任追究和责任处罚。</w:t>
      </w:r>
    </w:p>
    <w:p w14:paraId="7A72119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14</w:t>
      </w:r>
      <w:r>
        <w:rPr>
          <w:rFonts w:hint="eastAsia" w:ascii="方正仿宋简体" w:hAnsi="仿宋_GB2312" w:eastAsia="方正仿宋简体" w:cs="仿宋_GB2312"/>
          <w:kern w:val="1"/>
          <w:sz w:val="30"/>
          <w:szCs w:val="30"/>
          <w:u w:val="none"/>
          <w:lang w:eastAsia="zh-CN"/>
        </w:rPr>
        <w:t>.进入生产区域作业之前，必须首先与岗位上的操作人员取得联系，不得强行靠泊。当生产中出现可能影响作业安全的因素时，应立即暂停作业，紧急情况下可直接通知现场作业作业人员停工、撤离。</w:t>
      </w:r>
    </w:p>
    <w:p w14:paraId="707B1A3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15</w:t>
      </w:r>
      <w:r>
        <w:rPr>
          <w:rFonts w:hint="eastAsia" w:ascii="方正仿宋简体" w:hAnsi="仿宋_GB2312" w:eastAsia="方正仿宋简体" w:cs="仿宋_GB2312"/>
          <w:kern w:val="1"/>
          <w:sz w:val="30"/>
          <w:szCs w:val="30"/>
          <w:u w:val="none"/>
          <w:lang w:eastAsia="zh-CN"/>
        </w:rPr>
        <w:t>.乙方负责人应按时参加甲方与作业相关的安全会议和有关安全事项的临时会议，汇报安全作业情况及安全工作安排，落实会议要求。</w:t>
      </w:r>
    </w:p>
    <w:p w14:paraId="40D1941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16</w:t>
      </w:r>
      <w:r>
        <w:rPr>
          <w:rFonts w:hint="eastAsia" w:ascii="方正仿宋简体" w:hAnsi="仿宋_GB2312" w:eastAsia="方正仿宋简体" w:cs="仿宋_GB2312"/>
          <w:kern w:val="1"/>
          <w:sz w:val="30"/>
          <w:szCs w:val="30"/>
          <w:u w:val="none"/>
          <w:lang w:eastAsia="zh-CN"/>
        </w:rPr>
        <w:t>.乙方应当按规定制定应急救援预案;应急救援预案应当定期进行修订并与发包单位或其他作业单位进行有效衔接;应当对现场作业人员进行针对性的培训，按要求定期组织演练，并形成记录。</w:t>
      </w:r>
    </w:p>
    <w:p w14:paraId="36450FE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20</w:t>
      </w:r>
      <w:r>
        <w:rPr>
          <w:rFonts w:hint="eastAsia" w:ascii="方正仿宋简体" w:hAnsi="仿宋_GB2312" w:eastAsia="方正仿宋简体" w:cs="仿宋_GB2312"/>
          <w:kern w:val="1"/>
          <w:sz w:val="30"/>
          <w:szCs w:val="30"/>
          <w:u w:val="none"/>
          <w:lang w:eastAsia="zh-CN"/>
        </w:rPr>
        <w:t>.作业项目发生事故后，事故现场有关人员应当立即向乙方项目部负责人报告;乙方项目部负责人接到报告后，应当及时向甲乙双方的负责人报告，并按照《生产安全事故报告和调查处理条例》(国务院令第493号)等法律、法规、规章的规定报告。按照应急预案或者应急处置方案立即开展事故救援。</w:t>
      </w:r>
    </w:p>
    <w:p w14:paraId="5213074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val="en-US" w:eastAsia="zh-CN"/>
        </w:rPr>
        <w:t>21</w:t>
      </w:r>
      <w:r>
        <w:rPr>
          <w:rFonts w:hint="eastAsia" w:ascii="方正仿宋简体" w:hAnsi="仿宋_GB2312" w:eastAsia="方正仿宋简体" w:cs="仿宋_GB2312"/>
          <w:kern w:val="1"/>
          <w:sz w:val="30"/>
          <w:szCs w:val="30"/>
          <w:u w:val="none"/>
          <w:lang w:eastAsia="zh-CN"/>
        </w:rPr>
        <w:t>.根据事故调查处理结论，承担相应责任。</w:t>
      </w:r>
    </w:p>
    <w:p w14:paraId="0AD8851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第四条 安全检查与考核</w:t>
      </w:r>
    </w:p>
    <w:p w14:paraId="57BC17F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(一)甲方应当加强乙方的监督检查工作，发现乙方违反法律、法规、规章和标准以及甲方安全生产规章制度的行为，有权制止。</w:t>
      </w:r>
    </w:p>
    <w:p w14:paraId="3BA12DE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(二)甲方有权依据《海纳川承包商安全环保考核办法》，对乙方进行安全生产管理考核。</w:t>
      </w:r>
    </w:p>
    <w:p w14:paraId="26E1C31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(三)乙方负责工程范围内的作业安全管理，制定作业方案，加强工程作业现场的日常安全检查，落实各项规章制度和安全操作规程。</w:t>
      </w:r>
    </w:p>
    <w:p w14:paraId="7F83F81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四)在整个外包作业过程中，乙方应当保持安全管理人员和工程技术人员的连续稳定，保持与承揽工程相匹配的作业资质,保证企业负责人、安全管理人员和特种作业人员持有效证件;同时，若技术人员、特种作业人员和设备设施发生变化的，乙方应当及时书面告知甲方。</w:t>
      </w:r>
    </w:p>
    <w:p w14:paraId="0153569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(五)乙方应当接受甲方的监督管理，遵守甲方的有关规章制度的要求。同时,乙方有权拒绝甲方违章指挥和强令冒险作业。</w:t>
      </w:r>
    </w:p>
    <w:p w14:paraId="2891C3C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(六)乙方应当向甲方提供安全生产考核所需资料，接受甲方的考核与奖惩。</w:t>
      </w:r>
    </w:p>
    <w:p w14:paraId="738DE1D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第五条 风险抵押金收取管理</w:t>
      </w:r>
    </w:p>
    <w:p w14:paraId="74AA2FD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1.甲方对乙方实施安全环保风险抵押金管理。按项目闭环管理、专款专用。 </w:t>
      </w:r>
    </w:p>
    <w:p w14:paraId="725683A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2.安全环保风险抵押金的收取和管理要求由承包商引进部门在合同签订前告知承包商，在合同签订时进行约定，并依据收取标准明确收取金额。</w:t>
      </w:r>
    </w:p>
    <w:p w14:paraId="73D4BF8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3.本协议签订前乙方应向甲方支付履约安全风险抵押金柒仟伍佰元整（</w:t>
      </w:r>
      <w:r>
        <w:rPr>
          <w:rFonts w:hint="eastAsia" w:ascii="方正仿宋简体" w:hAnsi="仿宋_GB2312" w:eastAsia="方正仿宋简体" w:cs="仿宋_GB2312"/>
          <w:kern w:val="1"/>
          <w:sz w:val="30"/>
          <w:szCs w:val="30"/>
          <w:u w:val="none"/>
          <w:lang w:val="en-US" w:eastAsia="zh-CN"/>
        </w:rPr>
        <w:t>7500</w:t>
      </w:r>
      <w:r>
        <w:rPr>
          <w:rFonts w:hint="eastAsia" w:ascii="方正仿宋简体" w:hAnsi="仿宋_GB2312" w:eastAsia="方正仿宋简体" w:cs="仿宋_GB2312"/>
          <w:kern w:val="1"/>
          <w:sz w:val="30"/>
          <w:szCs w:val="30"/>
          <w:u w:val="none"/>
          <w:lang w:eastAsia="zh-CN"/>
        </w:rPr>
        <w:t>元）。</w:t>
      </w:r>
    </w:p>
    <w:p w14:paraId="251312A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4.甲方对乙方进行处罚后，由乙方按时缴纳罚款和赔偿款；如乙方未按甲方要求缴纳罚款和赔偿款的，经甲方告知乙方后，在乙方缴纳的安全风险抵押金中扣除；安全风险抵押金扣减后不足柒仟伍佰元整（</w:t>
      </w:r>
      <w:r>
        <w:rPr>
          <w:rFonts w:hint="eastAsia" w:ascii="方正仿宋简体" w:hAnsi="仿宋_GB2312" w:eastAsia="方正仿宋简体" w:cs="仿宋_GB2312"/>
          <w:kern w:val="1"/>
          <w:sz w:val="30"/>
          <w:szCs w:val="30"/>
          <w:u w:val="none"/>
          <w:lang w:val="en-US" w:eastAsia="zh-CN"/>
        </w:rPr>
        <w:t>7500</w:t>
      </w:r>
      <w:r>
        <w:rPr>
          <w:rFonts w:hint="eastAsia" w:ascii="方正仿宋简体" w:hAnsi="仿宋_GB2312" w:eastAsia="方正仿宋简体" w:cs="仿宋_GB2312"/>
          <w:kern w:val="1"/>
          <w:sz w:val="30"/>
          <w:szCs w:val="30"/>
          <w:u w:val="none"/>
          <w:lang w:eastAsia="zh-CN"/>
        </w:rPr>
        <w:t xml:space="preserve">元），乙方应在5个工作日内补齐。 </w:t>
      </w:r>
    </w:p>
    <w:p w14:paraId="35BD0EB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5.本条及本协议其他条款对罚款和安全风险抵押金的扣减，甲方均需出具盖有公章的书面文件送达至乙方后方可执行。</w:t>
      </w:r>
    </w:p>
    <w:p w14:paraId="0F9BCB9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6.安全风险抵押金于本协议终止后30日内由甲方无息退还至乙方。</w:t>
      </w:r>
    </w:p>
    <w:p w14:paraId="28E782F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7.上述安全风险抵押金在甲方期间不计利息，安全风险抵押金的扣减，并不免除乙方因此造成的一切损失的赔偿责任。</w:t>
      </w:r>
    </w:p>
    <w:p w14:paraId="53DB518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8.凭甲方管理部门出具的交/退款通知单收取、保管、退还（免息）承包商安全环保抵押金。 </w:t>
      </w:r>
    </w:p>
    <w:p w14:paraId="4F8FFCB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9.乙方违反本协议的，甲方依据《海纳川承包商安全环保考核办法》进行考核。</w:t>
      </w:r>
    </w:p>
    <w:p w14:paraId="0ECB383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第六条 违约责任</w:t>
      </w:r>
    </w:p>
    <w:p w14:paraId="19569E8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1.乙方在作业中影响甲方正常生产，造成生产环境/安全事故的，由甲方用工部门组织各有关方召开事故分析会，根据事故责任分析，进行相应的责任追究和损失赔偿。</w:t>
      </w:r>
    </w:p>
    <w:p w14:paraId="4AB11BF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2.因乙方原因造成第三方人身伤害、财产损失或环境影响的，由乙方与第三方协商解决，但不得损害甲方利益。</w:t>
      </w:r>
    </w:p>
    <w:p w14:paraId="6F71059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第七条 争议解决方式</w:t>
      </w:r>
    </w:p>
    <w:p w14:paraId="1600D3A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本协议在履行过程中发生争议,由双方协商解决,协商不成可通过司法程序裁决。</w:t>
      </w:r>
    </w:p>
    <w:p w14:paraId="448570C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第八条 协议期限</w:t>
      </w:r>
    </w:p>
    <w:p w14:paraId="12775B5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本协议期限自</w:t>
      </w:r>
      <w:r>
        <w:rPr>
          <w:rFonts w:hint="eastAsia" w:ascii="方正仿宋简体" w:hAnsi="仿宋_GB2312" w:eastAsia="方正仿宋简体" w:cs="仿宋_GB2312"/>
          <w:kern w:val="1"/>
          <w:sz w:val="30"/>
          <w:szCs w:val="30"/>
          <w:u w:val="none"/>
          <w:lang w:val="en-US" w:eastAsia="zh-CN"/>
        </w:rPr>
        <w:t>2025</w:t>
      </w:r>
      <w:r>
        <w:rPr>
          <w:rFonts w:hint="eastAsia" w:ascii="方正仿宋简体" w:hAnsi="仿宋_GB2312" w:eastAsia="方正仿宋简体" w:cs="仿宋_GB2312"/>
          <w:kern w:val="1"/>
          <w:sz w:val="30"/>
          <w:szCs w:val="30"/>
          <w:u w:val="none"/>
          <w:lang w:eastAsia="zh-CN"/>
        </w:rPr>
        <w:t xml:space="preserve">年 </w:t>
      </w:r>
      <w:r>
        <w:rPr>
          <w:rFonts w:hint="eastAsia" w:ascii="方正仿宋简体" w:hAnsi="仿宋_GB2312" w:eastAsia="方正仿宋简体" w:cs="仿宋_GB2312"/>
          <w:kern w:val="1"/>
          <w:sz w:val="30"/>
          <w:szCs w:val="30"/>
          <w:u w:val="none"/>
          <w:lang w:val="en-US" w:eastAsia="zh-CN"/>
        </w:rPr>
        <w:t>1</w:t>
      </w:r>
      <w:r>
        <w:rPr>
          <w:rFonts w:hint="eastAsia" w:ascii="方正仿宋简体" w:hAnsi="仿宋_GB2312" w:eastAsia="方正仿宋简体" w:cs="仿宋_GB2312"/>
          <w:kern w:val="1"/>
          <w:sz w:val="30"/>
          <w:szCs w:val="30"/>
          <w:u w:val="none"/>
          <w:lang w:eastAsia="zh-CN"/>
        </w:rPr>
        <w:t xml:space="preserve"> 月 </w:t>
      </w:r>
      <w:r>
        <w:rPr>
          <w:rFonts w:hint="eastAsia" w:ascii="方正仿宋简体" w:hAnsi="仿宋_GB2312" w:eastAsia="方正仿宋简体" w:cs="仿宋_GB2312"/>
          <w:kern w:val="1"/>
          <w:sz w:val="30"/>
          <w:szCs w:val="30"/>
          <w:u w:val="none"/>
          <w:lang w:val="en-US" w:eastAsia="zh-CN"/>
        </w:rPr>
        <w:t>1</w:t>
      </w:r>
      <w:r>
        <w:rPr>
          <w:rFonts w:hint="eastAsia" w:ascii="方正仿宋简体" w:hAnsi="仿宋_GB2312" w:eastAsia="方正仿宋简体" w:cs="仿宋_GB2312"/>
          <w:kern w:val="1"/>
          <w:sz w:val="30"/>
          <w:szCs w:val="30"/>
          <w:u w:val="none"/>
          <w:lang w:eastAsia="zh-CN"/>
        </w:rPr>
        <w:t xml:space="preserve">日至 </w:t>
      </w:r>
      <w:r>
        <w:rPr>
          <w:rFonts w:hint="eastAsia" w:ascii="方正仿宋简体" w:hAnsi="仿宋_GB2312" w:eastAsia="方正仿宋简体" w:cs="仿宋_GB2312"/>
          <w:kern w:val="1"/>
          <w:sz w:val="30"/>
          <w:szCs w:val="30"/>
          <w:u w:val="none"/>
          <w:lang w:val="en-US" w:eastAsia="zh-CN"/>
        </w:rPr>
        <w:t>2027</w:t>
      </w:r>
      <w:r>
        <w:rPr>
          <w:rFonts w:hint="eastAsia" w:ascii="方正仿宋简体" w:hAnsi="仿宋_GB2312" w:eastAsia="方正仿宋简体" w:cs="仿宋_GB2312"/>
          <w:kern w:val="1"/>
          <w:sz w:val="30"/>
          <w:szCs w:val="30"/>
          <w:u w:val="none"/>
          <w:lang w:eastAsia="zh-CN"/>
        </w:rPr>
        <w:t>年</w:t>
      </w:r>
      <w:r>
        <w:rPr>
          <w:rFonts w:hint="eastAsia" w:ascii="方正仿宋简体" w:hAnsi="仿宋_GB2312" w:eastAsia="方正仿宋简体" w:cs="仿宋_GB2312"/>
          <w:kern w:val="1"/>
          <w:sz w:val="30"/>
          <w:szCs w:val="30"/>
          <w:u w:val="none"/>
          <w:lang w:val="en-US" w:eastAsia="zh-CN"/>
        </w:rPr>
        <w:t>12</w:t>
      </w:r>
      <w:r>
        <w:rPr>
          <w:rFonts w:hint="eastAsia" w:ascii="方正仿宋简体" w:hAnsi="仿宋_GB2312" w:eastAsia="方正仿宋简体" w:cs="仿宋_GB2312"/>
          <w:kern w:val="1"/>
          <w:sz w:val="30"/>
          <w:szCs w:val="30"/>
          <w:u w:val="none"/>
          <w:lang w:eastAsia="zh-CN"/>
        </w:rPr>
        <w:t xml:space="preserve">月 </w:t>
      </w:r>
      <w:r>
        <w:rPr>
          <w:rFonts w:hint="eastAsia" w:ascii="方正仿宋简体" w:hAnsi="仿宋_GB2312" w:eastAsia="方正仿宋简体" w:cs="仿宋_GB2312"/>
          <w:kern w:val="1"/>
          <w:sz w:val="30"/>
          <w:szCs w:val="30"/>
          <w:u w:val="none"/>
          <w:lang w:val="en-US" w:eastAsia="zh-CN"/>
        </w:rPr>
        <w:t>31</w:t>
      </w:r>
      <w:r>
        <w:rPr>
          <w:rFonts w:hint="eastAsia" w:ascii="方正仿宋简体" w:hAnsi="仿宋_GB2312" w:eastAsia="方正仿宋简体" w:cs="仿宋_GB2312"/>
          <w:kern w:val="1"/>
          <w:sz w:val="30"/>
          <w:szCs w:val="30"/>
          <w:u w:val="none"/>
          <w:lang w:eastAsia="zh-CN"/>
        </w:rPr>
        <w:t xml:space="preserve"> 日止。本协议在执行过程中发生异议时，经双方协商可对相关条款进行修改，如无法达成共识，经双方同意后可终止本协议。</w:t>
      </w:r>
    </w:p>
    <w:p w14:paraId="7944B90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第九条 协议生效</w:t>
      </w:r>
    </w:p>
    <w:p w14:paraId="4F69CF0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本协议自甲乙双方签字盖章之日起生效,其时效与双方所签订项目(工程)承包合同相同。本协议一式二份，由甲方、乙方各持一份。</w:t>
      </w:r>
    </w:p>
    <w:p w14:paraId="76A05FC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第十条 附则</w:t>
      </w:r>
    </w:p>
    <w:p w14:paraId="3C581E5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1.本协议在履行期间，如果出现乙方负责人变更等情况，乙方在变更前须负责落实新任乙方负责人重新签订本协议。</w:t>
      </w:r>
    </w:p>
    <w:p w14:paraId="0EBD1F9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2.本协议如有其它未尽事宜，双方另行协商一致签订书面补充协议。补充协议与本协议具有同等法律效力。 </w:t>
      </w:r>
    </w:p>
    <w:p w14:paraId="390D6B6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3.协议有效期满后，本协议自行失效。</w:t>
      </w:r>
    </w:p>
    <w:p w14:paraId="60EADBD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4.本协议书解释权归甲方环保安全部。</w:t>
      </w:r>
    </w:p>
    <w:p w14:paraId="57D7A71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p>
    <w:p w14:paraId="568AB67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甲方(盖章):                   乙方(盖章): </w:t>
      </w:r>
    </w:p>
    <w:p w14:paraId="1054C405">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主要负责人(签字):             主要负责人(签字): </w:t>
      </w:r>
    </w:p>
    <w:p w14:paraId="46BEFDF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或委托代理人(签字):           或委托代理人(签字): </w:t>
      </w:r>
    </w:p>
    <w:p w14:paraId="6298170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 xml:space="preserve">联系电话:                     联系电话: </w:t>
      </w:r>
    </w:p>
    <w:p w14:paraId="019A1F2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简体" w:hAnsi="仿宋_GB2312" w:eastAsia="方正仿宋简体" w:cs="仿宋_GB2312"/>
          <w:kern w:val="1"/>
          <w:sz w:val="30"/>
          <w:szCs w:val="30"/>
          <w:u w:val="none"/>
          <w:lang w:eastAsia="zh-CN"/>
        </w:rPr>
      </w:pPr>
      <w:r>
        <w:rPr>
          <w:rFonts w:hint="eastAsia" w:ascii="方正仿宋简体" w:hAnsi="仿宋_GB2312" w:eastAsia="方正仿宋简体" w:cs="仿宋_GB2312"/>
          <w:kern w:val="1"/>
          <w:sz w:val="30"/>
          <w:szCs w:val="30"/>
          <w:u w:val="none"/>
          <w:lang w:eastAsia="zh-CN"/>
        </w:rPr>
        <w:t>年  月  日                    年  月  日</w:t>
      </w:r>
    </w:p>
    <w:p w14:paraId="581F364A">
      <w:pPr>
        <w:pStyle w:val="2"/>
        <w:rPr>
          <w:rFonts w:hint="eastAsia"/>
          <w:lang w:eastAsia="zh-CN"/>
        </w:rPr>
      </w:pPr>
    </w:p>
    <w:p w14:paraId="7F0308FE">
      <w:pPr>
        <w:pStyle w:val="2"/>
        <w:rPr>
          <w:rFonts w:hint="eastAsia" w:ascii="方正黑体_GBK" w:hAnsi="方正黑体_GBK" w:eastAsia="方正黑体_GBK" w:cs="方正黑体_GBK"/>
          <w:kern w:val="0"/>
          <w:sz w:val="32"/>
          <w:szCs w:val="32"/>
          <w:lang w:eastAsia="zh-CN"/>
        </w:rPr>
      </w:pPr>
    </w:p>
    <w:p w14:paraId="1BD72045">
      <w:pPr>
        <w:pStyle w:val="2"/>
        <w:rPr>
          <w:rFonts w:hint="eastAsia" w:ascii="方正黑体_GBK" w:hAnsi="方正黑体_GBK" w:eastAsia="方正黑体_GBK" w:cs="方正黑体_GBK"/>
          <w:kern w:val="0"/>
          <w:sz w:val="32"/>
          <w:szCs w:val="32"/>
          <w:lang w:eastAsia="zh-CN"/>
        </w:rPr>
      </w:pPr>
    </w:p>
    <w:p w14:paraId="7C73F6FD">
      <w:pPr>
        <w:pStyle w:val="2"/>
        <w:rPr>
          <w:rFonts w:hint="eastAsia" w:ascii="方正黑体_GBK" w:hAnsi="方正黑体_GBK" w:eastAsia="方正黑体_GBK" w:cs="方正黑体_GBK"/>
          <w:kern w:val="0"/>
          <w:sz w:val="32"/>
          <w:szCs w:val="32"/>
          <w:lang w:eastAsia="zh-CN"/>
        </w:rPr>
      </w:pPr>
    </w:p>
    <w:p w14:paraId="4F28ADF1">
      <w:pPr>
        <w:pStyle w:val="2"/>
        <w:rPr>
          <w:rFonts w:hint="eastAsia" w:ascii="方正黑体_GBK" w:hAnsi="方正黑体_GBK" w:eastAsia="方正黑体_GBK" w:cs="方正黑体_GBK"/>
          <w:kern w:val="0"/>
          <w:sz w:val="32"/>
          <w:szCs w:val="32"/>
          <w:lang w:eastAsia="zh-CN"/>
        </w:rPr>
      </w:pPr>
    </w:p>
    <w:p w14:paraId="51589805">
      <w:pPr>
        <w:pStyle w:val="2"/>
        <w:rPr>
          <w:rFonts w:hint="eastAsia" w:ascii="方正黑体_GBK" w:hAnsi="方正黑体_GBK" w:eastAsia="方正黑体_GBK" w:cs="方正黑体_GBK"/>
          <w:kern w:val="0"/>
          <w:sz w:val="32"/>
          <w:szCs w:val="32"/>
          <w:lang w:eastAsia="zh-CN"/>
        </w:rPr>
      </w:pPr>
    </w:p>
    <w:p w14:paraId="00FBFE26">
      <w:pPr>
        <w:pStyle w:val="2"/>
        <w:rPr>
          <w:rFonts w:hint="eastAsia" w:ascii="方正黑体_GBK" w:hAnsi="方正黑体_GBK" w:eastAsia="方正黑体_GBK" w:cs="方正黑体_GBK"/>
          <w:kern w:val="0"/>
          <w:sz w:val="32"/>
          <w:szCs w:val="32"/>
          <w:lang w:eastAsia="zh-CN"/>
        </w:rPr>
      </w:pPr>
    </w:p>
    <w:p w14:paraId="5F5C2CF4">
      <w:pPr>
        <w:pStyle w:val="2"/>
        <w:rPr>
          <w:rFonts w:hint="eastAsia" w:ascii="方正黑体_GBK" w:hAnsi="方正黑体_GBK" w:eastAsia="方正黑体_GBK" w:cs="方正黑体_GBK"/>
          <w:kern w:val="0"/>
          <w:sz w:val="32"/>
          <w:szCs w:val="32"/>
          <w:lang w:eastAsia="zh-CN"/>
        </w:rPr>
      </w:pPr>
    </w:p>
    <w:p w14:paraId="0CD5351A">
      <w:pPr>
        <w:pStyle w:val="2"/>
        <w:rPr>
          <w:rFonts w:hint="eastAsia" w:ascii="方正黑体_GBK" w:hAnsi="方正黑体_GBK" w:eastAsia="方正黑体_GBK" w:cs="方正黑体_GBK"/>
          <w:kern w:val="0"/>
          <w:sz w:val="32"/>
          <w:szCs w:val="32"/>
          <w:lang w:eastAsia="zh-CN"/>
        </w:rPr>
      </w:pPr>
    </w:p>
    <w:p w14:paraId="6EF023F6">
      <w:pPr>
        <w:pStyle w:val="2"/>
        <w:rPr>
          <w:rFonts w:hint="eastAsia" w:ascii="方正黑体_GBK" w:hAnsi="方正黑体_GBK" w:eastAsia="方正黑体_GBK" w:cs="方正黑体_GBK"/>
          <w:kern w:val="0"/>
          <w:sz w:val="32"/>
          <w:szCs w:val="32"/>
          <w:lang w:eastAsia="zh-CN"/>
        </w:rPr>
      </w:pPr>
    </w:p>
    <w:p w14:paraId="7985B67F">
      <w:pPr>
        <w:pStyle w:val="2"/>
        <w:rPr>
          <w:rFonts w:hint="eastAsia" w:ascii="方正黑体_GBK" w:hAnsi="方正黑体_GBK" w:eastAsia="方正黑体_GBK" w:cs="方正黑体_GBK"/>
          <w:kern w:val="0"/>
          <w:sz w:val="32"/>
          <w:szCs w:val="32"/>
          <w:lang w:eastAsia="zh-CN"/>
        </w:rPr>
      </w:pPr>
    </w:p>
    <w:p w14:paraId="4D077736">
      <w:pPr>
        <w:pStyle w:val="2"/>
        <w:rPr>
          <w:rFonts w:hint="eastAsia" w:ascii="方正黑体_GBK" w:hAnsi="方正黑体_GBK" w:eastAsia="方正黑体_GBK" w:cs="方正黑体_GBK"/>
          <w:kern w:val="0"/>
          <w:sz w:val="32"/>
          <w:szCs w:val="32"/>
          <w:lang w:eastAsia="zh-CN"/>
        </w:rPr>
      </w:pPr>
    </w:p>
    <w:p w14:paraId="2EEB223C">
      <w:pPr>
        <w:pStyle w:val="2"/>
        <w:rPr>
          <w:rFonts w:hint="eastAsia" w:ascii="方正黑体_GBK" w:hAnsi="方正黑体_GBK" w:eastAsia="方正黑体_GBK" w:cs="方正黑体_GBK"/>
          <w:kern w:val="0"/>
          <w:sz w:val="32"/>
          <w:szCs w:val="32"/>
          <w:lang w:eastAsia="zh-CN"/>
        </w:rPr>
      </w:pPr>
    </w:p>
    <w:p w14:paraId="3E378CB5">
      <w:pPr>
        <w:pStyle w:val="2"/>
        <w:rPr>
          <w:rFonts w:hint="eastAsia" w:ascii="方正黑体_GBK" w:hAnsi="方正黑体_GBK" w:eastAsia="方正黑体_GBK" w:cs="方正黑体_GBK"/>
          <w:kern w:val="0"/>
          <w:sz w:val="32"/>
          <w:szCs w:val="32"/>
          <w:lang w:eastAsia="zh-CN"/>
        </w:rPr>
      </w:pPr>
    </w:p>
    <w:p w14:paraId="7CE6C090">
      <w:pPr>
        <w:pStyle w:val="2"/>
        <w:rPr>
          <w:rFonts w:hint="eastAsia" w:ascii="方正黑体_GBK" w:hAnsi="方正黑体_GBK" w:eastAsia="方正黑体_GBK" w:cs="方正黑体_GBK"/>
          <w:kern w:val="0"/>
          <w:sz w:val="32"/>
          <w:szCs w:val="32"/>
          <w:lang w:eastAsia="zh-CN"/>
        </w:rPr>
      </w:pPr>
    </w:p>
    <w:p w14:paraId="5FE869D7">
      <w:pPr>
        <w:pStyle w:val="2"/>
        <w:ind w:left="0" w:leftChars="0" w:firstLine="0" w:firstLineChars="0"/>
        <w:rPr>
          <w:rFonts w:hint="eastAsia" w:ascii="方正黑体_GBK" w:hAnsi="方正黑体_GBK" w:eastAsia="方正黑体_GBK" w:cs="方正黑体_GBK"/>
          <w:kern w:val="0"/>
          <w:sz w:val="32"/>
          <w:szCs w:val="32"/>
          <w:lang w:eastAsia="zh-CN"/>
        </w:rPr>
      </w:pPr>
    </w:p>
    <w:p w14:paraId="1D40064D">
      <w:pPr>
        <w:pStyle w:val="2"/>
        <w:ind w:left="0" w:leftChars="0" w:firstLine="0" w:firstLineChars="0"/>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eastAsia="zh-CN"/>
        </w:rPr>
        <w:t>附件</w:t>
      </w:r>
      <w:r>
        <w:rPr>
          <w:rFonts w:hint="eastAsia" w:ascii="方正黑体_GBK" w:hAnsi="方正黑体_GBK" w:eastAsia="方正黑体_GBK" w:cs="方正黑体_GBK"/>
          <w:kern w:val="0"/>
          <w:sz w:val="32"/>
          <w:szCs w:val="32"/>
          <w:lang w:val="en-US" w:eastAsia="zh-CN"/>
        </w:rPr>
        <w:t>5：合同</w:t>
      </w:r>
    </w:p>
    <w:p w14:paraId="354BACB4">
      <w:pPr>
        <w:jc w:val="center"/>
        <w:rPr>
          <w:rFonts w:hint="eastAsia"/>
          <w:b/>
          <w:color w:val="auto"/>
          <w:sz w:val="44"/>
          <w:szCs w:val="44"/>
        </w:rPr>
      </w:pPr>
      <w:r>
        <w:rPr>
          <w:rFonts w:hint="eastAsia"/>
          <w:b/>
          <w:color w:val="auto"/>
          <w:sz w:val="44"/>
          <w:szCs w:val="44"/>
        </w:rPr>
        <w:t>拖轮保障协议</w:t>
      </w:r>
    </w:p>
    <w:p w14:paraId="18F02640">
      <w:pPr>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编号：</w:t>
      </w:r>
      <w:r>
        <w:rPr>
          <w:rFonts w:hint="eastAsia" w:ascii="仿宋_GB2312" w:hAnsi="仿宋_GB2312" w:eastAsia="仿宋_GB2312" w:cs="仿宋_GB2312"/>
          <w:color w:val="auto"/>
          <w:sz w:val="28"/>
          <w:szCs w:val="28"/>
          <w:lang w:val="en-US" w:eastAsia="zh-CN"/>
        </w:rPr>
        <w:t xml:space="preserve">                     合同签订地：镇江市京口区</w:t>
      </w:r>
    </w:p>
    <w:p w14:paraId="13FEA8A5">
      <w:pPr>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合同签订时间：</w:t>
      </w:r>
    </w:p>
    <w:p w14:paraId="2E4E802F">
      <w:pPr>
        <w:rPr>
          <w:rFonts w:hint="eastAsia"/>
          <w:color w:val="auto"/>
        </w:rPr>
      </w:pPr>
    </w:p>
    <w:p w14:paraId="1DECBFBA">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甲方：江苏兴普</w:t>
      </w:r>
      <w:r>
        <w:rPr>
          <w:rFonts w:hint="eastAsia" w:ascii="仿宋_GB2312" w:hAnsi="仿宋_GB2312" w:eastAsia="仿宋_GB2312" w:cs="仿宋_GB2312"/>
          <w:color w:val="auto"/>
          <w:sz w:val="28"/>
          <w:szCs w:val="28"/>
          <w:lang w:eastAsia="zh-CN"/>
        </w:rPr>
        <w:t>物贸</w:t>
      </w:r>
      <w:r>
        <w:rPr>
          <w:rFonts w:hint="eastAsia" w:ascii="仿宋_GB2312" w:hAnsi="仿宋_GB2312" w:eastAsia="仿宋_GB2312" w:cs="仿宋_GB2312"/>
          <w:color w:val="auto"/>
          <w:sz w:val="28"/>
          <w:szCs w:val="28"/>
        </w:rPr>
        <w:t>有限公司</w:t>
      </w:r>
    </w:p>
    <w:p w14:paraId="362C9ADA">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p>
    <w:p w14:paraId="3053FE01">
      <w:pPr>
        <w:ind w:firstLine="478" w:firstLineChars="17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经甲、乙双方友好协商，就乙方拖轮为甲方驳船兴普驳3001-3006提供拖带及靠（移）离泊服务保障事宜</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，签订本协议。</w:t>
      </w:r>
    </w:p>
    <w:p w14:paraId="5602A4E2">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作业内容及要求</w:t>
      </w:r>
    </w:p>
    <w:p w14:paraId="1A1EE159">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乙方驻港拖轮应服从甲方的调度，按要求及时将甲方驳船安全拖带至甲方指定泊位。</w:t>
      </w:r>
    </w:p>
    <w:p w14:paraId="41525471">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乙方根据甲方要求，派谴</w:t>
      </w:r>
      <w:r>
        <w:rPr>
          <w:rFonts w:hint="eastAsia" w:ascii="仿宋_GB2312" w:hAnsi="仿宋_GB2312" w:eastAsia="仿宋_GB2312" w:cs="仿宋_GB2312"/>
          <w:color w:val="auto"/>
          <w:sz w:val="28"/>
          <w:szCs w:val="28"/>
          <w:lang w:val="en-US" w:eastAsia="zh-CN"/>
        </w:rPr>
        <w:t>要求实际控制拖轮的总功率超660kw，</w:t>
      </w:r>
      <w:r>
        <w:rPr>
          <w:rFonts w:hint="eastAsia" w:ascii="仿宋_GB2312" w:hAnsi="仿宋_GB2312" w:eastAsia="仿宋_GB2312" w:cs="仿宋_GB2312"/>
          <w:color w:val="auto"/>
          <w:sz w:val="28"/>
          <w:szCs w:val="28"/>
        </w:rPr>
        <w:t>驻扎甲方港区，为甲方驳船提供拖带及靠（移）离泊服务。</w:t>
      </w:r>
    </w:p>
    <w:p w14:paraId="21185350">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在拖带服务中，乙方拖轮应与甲方驳船负责人进行工作联系和协调。</w:t>
      </w:r>
    </w:p>
    <w:p w14:paraId="1F9B6326">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作业量：兴普驳3001-3006年运输煤炭约30万吨左右。</w:t>
      </w:r>
    </w:p>
    <w:p w14:paraId="65B30223">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作业范围</w:t>
      </w:r>
    </w:p>
    <w:p w14:paraId="25AE69F7">
      <w:pPr>
        <w:tabs>
          <w:tab w:val="left" w:pos="0"/>
        </w:tabs>
        <w:ind w:firstLine="478" w:firstLineChars="17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实载区间：</w:t>
      </w:r>
      <w:bookmarkStart w:id="0" w:name="OLE_LINK1"/>
      <w:r>
        <w:rPr>
          <w:rFonts w:hint="eastAsia" w:ascii="仿宋_GB2312" w:hAnsi="仿宋_GB2312" w:eastAsia="仿宋_GB2312" w:cs="仿宋_GB2312"/>
          <w:color w:val="auto"/>
          <w:sz w:val="28"/>
          <w:szCs w:val="28"/>
        </w:rPr>
        <w:t>95号浮（盛华港）、</w:t>
      </w:r>
      <w:r>
        <w:rPr>
          <w:rFonts w:hint="eastAsia" w:ascii="仿宋_GB2312" w:hAnsi="仿宋_GB2312" w:eastAsia="仿宋_GB2312" w:cs="仿宋_GB2312"/>
          <w:color w:val="auto"/>
          <w:sz w:val="28"/>
          <w:szCs w:val="28"/>
          <w:lang w:eastAsia="zh-CN"/>
        </w:rPr>
        <w:t>谏壁电厂、</w:t>
      </w:r>
      <w:r>
        <w:rPr>
          <w:rFonts w:hint="eastAsia" w:ascii="仿宋_GB2312" w:hAnsi="仿宋_GB2312" w:eastAsia="仿宋_GB2312" w:cs="仿宋_GB2312"/>
          <w:color w:val="auto"/>
          <w:sz w:val="28"/>
          <w:szCs w:val="28"/>
        </w:rPr>
        <w:t>大港码头</w:t>
      </w:r>
      <w:bookmarkEnd w:id="0"/>
      <w:r>
        <w:rPr>
          <w:rFonts w:hint="eastAsia" w:ascii="仿宋_GB2312" w:hAnsi="仿宋_GB2312" w:eastAsia="仿宋_GB2312" w:cs="仿宋_GB2312"/>
          <w:color w:val="auto"/>
          <w:sz w:val="28"/>
          <w:szCs w:val="28"/>
          <w:lang w:eastAsia="zh-CN"/>
        </w:rPr>
        <w:t>、孟家港等</w:t>
      </w:r>
      <w:r>
        <w:rPr>
          <w:rFonts w:hint="eastAsia" w:ascii="仿宋_GB2312" w:hAnsi="仿宋_GB2312" w:eastAsia="仿宋_GB2312" w:cs="仿宋_GB2312"/>
          <w:color w:val="auto"/>
          <w:sz w:val="28"/>
          <w:szCs w:val="28"/>
        </w:rPr>
        <w:t>——索普船厂码头——甲醇码头</w:t>
      </w:r>
    </w:p>
    <w:p w14:paraId="3762873D">
      <w:pPr>
        <w:tabs>
          <w:tab w:val="left" w:pos="0"/>
        </w:tabs>
        <w:ind w:firstLine="478" w:firstLineChars="171"/>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空载区间：甲醇码头——船厂码头——95号浮（盛华港）、大港码头</w:t>
      </w:r>
      <w:r>
        <w:rPr>
          <w:rFonts w:hint="eastAsia" w:ascii="仿宋_GB2312" w:hAnsi="仿宋_GB2312" w:eastAsia="仿宋_GB2312" w:cs="仿宋_GB2312"/>
          <w:color w:val="auto"/>
          <w:sz w:val="28"/>
          <w:szCs w:val="28"/>
          <w:lang w:eastAsia="zh-CN"/>
        </w:rPr>
        <w:t>、孟家港、谏壁电厂等</w:t>
      </w:r>
    </w:p>
    <w:p w14:paraId="17B9EAD4">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双方权利和义务</w:t>
      </w:r>
    </w:p>
    <w:p w14:paraId="108BE528">
      <w:p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甲方权利和义务：</w:t>
      </w:r>
    </w:p>
    <w:p w14:paraId="26857211">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方驳船需要使用拖轮进行拖带及靠（移）离泊服务的，需提前4小时通知乙方（特殊情况除外），通知内容：驳船名称、靠（移）离泊时间、拖轮使用需求计划。乙方按通知信息与甲方沟通后，确定拖轮使用计划，甲方作业前与乙方确定最终使用计划。</w:t>
      </w:r>
    </w:p>
    <w:p w14:paraId="08FB45B8">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甲方负责乙方拖轮进出港码头的联系协调的调度指挥事宜，免费为乙方提供安全靠泊位置、岸电和淡水，提供乙方拖轮加油泊位，并负责乙方人员、车辆进出甲方港区、码头的证件办理。</w:t>
      </w:r>
    </w:p>
    <w:p w14:paraId="2E607A39">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甲方有权对乙方服务进行监督，乙方如有违反相关规定，甲方有追究乙方造成经济损失的权利。</w:t>
      </w:r>
    </w:p>
    <w:p w14:paraId="3C636BF9">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甲方有义务按时支付拖轮服务费用给乙方。</w:t>
      </w:r>
    </w:p>
    <w:p w14:paraId="617CED8A">
      <w:p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乙方权利和义务</w:t>
      </w:r>
    </w:p>
    <w:p w14:paraId="1880466C">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乙方负责提供的服务拖轮处于适航适拖状态，配备合格的船员，符合行业规范要求，负责自身拖轮的燃油费用、船员工资等费用。</w:t>
      </w:r>
    </w:p>
    <w:p w14:paraId="22F314F4">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乙方拖轮在甲方期间，需服从甲方的合理调度指挥，做好船舶及船员的管理，严格执行安全操作规程，保证顺利完成拖带及靠（移）离泊作业。</w:t>
      </w:r>
    </w:p>
    <w:p w14:paraId="4C227250">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乙方船员在甲方期间，本着友好合作的原则，为甲方提供优质服务，与甲方人员和睦相处。</w:t>
      </w:r>
    </w:p>
    <w:p w14:paraId="34E18433">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乙方拖轮在甲方码头停泊，作业时应符合安全和防污染等要求，并制定各项安全和防污染措施及应急预案，在靠（移）离泊及其他作业、停泊过程中不造成甲方水域污染。</w:t>
      </w:r>
    </w:p>
    <w:p w14:paraId="2364B281">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乙方拖轮进入甲方码头水域及人员进入厂区，必须服从甲方的管理，严格遵守甲方码头和厂区的各项管理规定。</w:t>
      </w:r>
    </w:p>
    <w:p w14:paraId="29605DF6">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甲方如有违反相关规定，乙方有追究</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造成经济损失的权利。</w:t>
      </w:r>
    </w:p>
    <w:p w14:paraId="09ED46F3">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结算与付款</w:t>
      </w:r>
    </w:p>
    <w:p w14:paraId="3534F41F">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甲方按月对已结束的海轮煤炭驳船运量结算拖轮服务费，结算吨位以甲方皮带秤为结算依据，结算单价为人民币</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元/吨（含税价</w:t>
      </w:r>
      <w:r>
        <w:rPr>
          <w:rFonts w:hint="eastAsia" w:ascii="仿宋_GB2312" w:hAnsi="仿宋_GB2312" w:eastAsia="仿宋_GB2312" w:cs="仿宋_GB2312"/>
          <w:color w:val="auto"/>
          <w:sz w:val="28"/>
          <w:szCs w:val="28"/>
          <w:lang w:eastAsia="zh-CN"/>
        </w:rPr>
        <w:t>，税率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14:paraId="7C022B37">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以每月20日作为结算日，当月的拖轮服务费在每月25日前双方确认，凭拖轮结算清单、索普动力厂皮带秤报表及《驳船拖轮作业记录单》（格式见附件1）进行确认，并开具正规发票，甲方在收到发票后30个工作日内结算完毕并付款。</w:t>
      </w:r>
    </w:p>
    <w:p w14:paraId="571C9618">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3、甲方公司自有船舶在航行时突发险情或应急保供，需要拖轮作业的费用条款：</w:t>
      </w:r>
    </w:p>
    <w:p w14:paraId="69051966">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①、结算价格：按照拖轮业务合同约定运输单价</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元/吨（含税价，税率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%）计算。</w:t>
      </w:r>
    </w:p>
    <w:p w14:paraId="7CFD0AA8">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②、结算方式：在作业完毕后，凭《自有船舶拖轮作业记录单》进行结算（格式见附件2），并开具正规发票，甲方在收到发票后30个工作日内结算完毕并付款。</w:t>
      </w:r>
    </w:p>
    <w:p w14:paraId="6AC6C5F0">
      <w:pPr>
        <w:numPr>
          <w:ilvl w:val="0"/>
          <w:numId w:val="0"/>
        </w:numPr>
        <w:tabs>
          <w:tab w:val="left" w:pos="0"/>
        </w:tabs>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4、付款方式：承兑汇票。</w:t>
      </w:r>
    </w:p>
    <w:p w14:paraId="568430D7">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安全责任</w:t>
      </w:r>
    </w:p>
    <w:p w14:paraId="5029CCA5">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根据甲方的工作要求以及季节、吃水、气象、水文和海事部门的规定，甲乙双方协商确认拖轮作业拖带驳船数量和编队。</w:t>
      </w:r>
    </w:p>
    <w:p w14:paraId="3B327092">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乙方应确保作业期间甲乙双方船舶航行安全。如因乙方违章操作、判断失误等而发生的船舶、码头损坏，乙方承担赔偿责任。</w:t>
      </w:r>
    </w:p>
    <w:p w14:paraId="34C5236C">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作业期间双方人员的安全自行负责。</w:t>
      </w:r>
    </w:p>
    <w:p w14:paraId="5416D40C">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违约责任</w:t>
      </w:r>
    </w:p>
    <w:p w14:paraId="0E9E79F2">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乙方拖轮在甲方区域内应服从甲方管理，如乙方不服从甲方管理而导致甲方无法正常工作，甲方视情节严重程度有权要求乙方支付不低于1000元/次违约金。</w:t>
      </w:r>
    </w:p>
    <w:p w14:paraId="3579B27D">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乙方接到甲方作业通知后，未能按甲方要求进场作业，乙方须支付5000元/次违约金，且甲方有权委托其他拖轮进场作业。如乙方按要求进场后因甲方原因取消作业的，甲方须支付5000元/次违约金。</w:t>
      </w:r>
    </w:p>
    <w:p w14:paraId="690E24EB">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甲乙双方违反本协议均被视为违约，一方有权要求违约方支付不低于2000元/次违约金，情节严重的违约方应赔偿由此造成对方的直接损失。如一方发生严重违约，另一方有权终止本协议。</w:t>
      </w:r>
    </w:p>
    <w:p w14:paraId="13695F17">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争议解决方式</w:t>
      </w:r>
    </w:p>
    <w:p w14:paraId="0DC7F55A">
      <w:p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在本协议履行期间，甲乙双方发生争议或未尽事宜在不影响生产运行的前提下，双方应友好协商解决。协商不成，任何一方均可向所在地法院提</w:t>
      </w:r>
      <w:r>
        <w:rPr>
          <w:rFonts w:hint="eastAsia" w:ascii="仿宋_GB2312" w:hAnsi="仿宋_GB2312" w:eastAsia="仿宋_GB2312" w:cs="仿宋_GB2312"/>
          <w:color w:val="auto"/>
          <w:sz w:val="28"/>
          <w:szCs w:val="28"/>
          <w:lang w:eastAsia="zh-CN"/>
        </w:rPr>
        <w:t>起诉讼</w:t>
      </w:r>
      <w:r>
        <w:rPr>
          <w:rFonts w:hint="eastAsia" w:ascii="仿宋_GB2312" w:hAnsi="仿宋_GB2312" w:eastAsia="仿宋_GB2312" w:cs="仿宋_GB2312"/>
          <w:color w:val="auto"/>
          <w:sz w:val="28"/>
          <w:szCs w:val="28"/>
        </w:rPr>
        <w:t>。</w:t>
      </w:r>
    </w:p>
    <w:p w14:paraId="685FF826">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协议履行期限</w:t>
      </w:r>
    </w:p>
    <w:p w14:paraId="711E72BE">
      <w:p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协议期限：本协议有效期自20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月1日起至20</w:t>
      </w:r>
      <w:r>
        <w:rPr>
          <w:rFonts w:hint="eastAsia" w:ascii="仿宋_GB2312" w:hAnsi="仿宋_GB2312" w:eastAsia="仿宋_GB2312" w:cs="仿宋_GB2312"/>
          <w:color w:val="auto"/>
          <w:sz w:val="28"/>
          <w:szCs w:val="28"/>
          <w:lang w:val="en-US" w:eastAsia="zh-CN"/>
        </w:rPr>
        <w:t>27</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月3</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日止。</w:t>
      </w:r>
    </w:p>
    <w:p w14:paraId="46E17004">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免责条款</w:t>
      </w:r>
    </w:p>
    <w:p w14:paraId="1401E094">
      <w:pPr>
        <w:tabs>
          <w:tab w:val="left" w:pos="0"/>
        </w:tabs>
        <w:ind w:firstLine="478" w:firstLineChars="17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协议期内如遇不可抗力造成双方无法履行协议时，双方互不追究责任，各自承担各自的损失。</w:t>
      </w:r>
    </w:p>
    <w:p w14:paraId="17593B6E">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本协议未尽事宜，双方可签订补充协议，补充协议与本协议具有同等法律效办。</w:t>
      </w:r>
    </w:p>
    <w:p w14:paraId="4AAD3BC5">
      <w:pPr>
        <w:numPr>
          <w:ilvl w:val="0"/>
          <w:numId w:val="0"/>
        </w:numPr>
        <w:tabs>
          <w:tab w:val="left" w:pos="0"/>
        </w:tabs>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十一、</w:t>
      </w:r>
      <w:r>
        <w:rPr>
          <w:rFonts w:hint="eastAsia" w:ascii="仿宋_GB2312" w:hAnsi="仿宋_GB2312" w:eastAsia="仿宋_GB2312" w:cs="仿宋_GB2312"/>
          <w:color w:val="auto"/>
          <w:sz w:val="28"/>
          <w:szCs w:val="28"/>
        </w:rPr>
        <w:t>本协议一式四份，甲乙双方各执二份</w:t>
      </w:r>
      <w:r>
        <w:rPr>
          <w:rFonts w:hint="eastAsia" w:ascii="仿宋_GB2312" w:hAnsi="仿宋_GB2312" w:eastAsia="仿宋_GB2312" w:cs="仿宋_GB2312"/>
          <w:color w:val="auto"/>
          <w:sz w:val="28"/>
          <w:szCs w:val="28"/>
          <w:lang w:eastAsia="zh-CN"/>
        </w:rPr>
        <w:t>，签字、盖章生效</w:t>
      </w:r>
      <w:r>
        <w:rPr>
          <w:rFonts w:hint="eastAsia" w:ascii="仿宋_GB2312" w:hAnsi="仿宋_GB2312" w:eastAsia="仿宋_GB2312" w:cs="仿宋_GB2312"/>
          <w:color w:val="auto"/>
          <w:sz w:val="28"/>
          <w:szCs w:val="28"/>
        </w:rPr>
        <w:t>。</w:t>
      </w:r>
    </w:p>
    <w:p w14:paraId="1D682857">
      <w:pPr>
        <w:rPr>
          <w:rFonts w:hint="eastAsia" w:ascii="仿宋_GB2312" w:hAnsi="仿宋_GB2312" w:eastAsia="仿宋_GB2312" w:cs="仿宋_GB2312"/>
          <w:color w:val="auto"/>
          <w:sz w:val="28"/>
          <w:szCs w:val="28"/>
        </w:rPr>
      </w:pPr>
    </w:p>
    <w:p w14:paraId="320AC53A">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甲方：江苏兴普</w:t>
      </w:r>
      <w:r>
        <w:rPr>
          <w:rFonts w:hint="eastAsia" w:ascii="仿宋_GB2312" w:hAnsi="仿宋_GB2312" w:eastAsia="仿宋_GB2312" w:cs="仿宋_GB2312"/>
          <w:color w:val="auto"/>
          <w:sz w:val="28"/>
          <w:szCs w:val="28"/>
          <w:lang w:eastAsia="zh-CN"/>
        </w:rPr>
        <w:t>物贸</w:t>
      </w:r>
      <w:r>
        <w:rPr>
          <w:rFonts w:hint="eastAsia" w:ascii="仿宋_GB2312" w:hAnsi="仿宋_GB2312" w:eastAsia="仿宋_GB2312" w:cs="仿宋_GB2312"/>
          <w:color w:val="auto"/>
          <w:sz w:val="28"/>
          <w:szCs w:val="28"/>
        </w:rPr>
        <w:t>有限公司（章）</w:t>
      </w:r>
    </w:p>
    <w:p w14:paraId="4A760241">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地址：镇江市谏壁镇越河街</w:t>
      </w:r>
      <w:r>
        <w:rPr>
          <w:rFonts w:hint="eastAsia" w:ascii="仿宋_GB2312" w:hAnsi="仿宋_GB2312" w:eastAsia="仿宋_GB2312" w:cs="仿宋_GB2312"/>
          <w:color w:val="auto"/>
          <w:sz w:val="28"/>
          <w:szCs w:val="28"/>
          <w:lang w:val="en-US" w:eastAsia="zh-CN"/>
        </w:rPr>
        <w:t>50号</w:t>
      </w:r>
    </w:p>
    <w:p w14:paraId="5FD84D8E">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p w14:paraId="6D2F4FDA">
      <w:p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w:t>
      </w:r>
    </w:p>
    <w:p w14:paraId="1393E768">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p>
    <w:p w14:paraId="1A0BDBD1">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（章）</w:t>
      </w:r>
    </w:p>
    <w:p w14:paraId="179CDD9E">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地址：镇江市谏壁镇小山</w:t>
      </w:r>
      <w:r>
        <w:rPr>
          <w:rFonts w:hint="eastAsia" w:ascii="仿宋_GB2312" w:hAnsi="仿宋_GB2312" w:eastAsia="仿宋_GB2312" w:cs="仿宋_GB2312"/>
          <w:color w:val="auto"/>
          <w:sz w:val="28"/>
          <w:szCs w:val="28"/>
          <w:lang w:val="en-US" w:eastAsia="zh-CN"/>
        </w:rPr>
        <w:t>52号27室</w:t>
      </w:r>
    </w:p>
    <w:p w14:paraId="5C565219">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p w14:paraId="56012473">
      <w:p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w:t>
      </w:r>
    </w:p>
    <w:p w14:paraId="23FEA135">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p>
    <w:p w14:paraId="04C21934">
      <w:pPr>
        <w:rPr>
          <w:rFonts w:hint="eastAsia"/>
          <w:color w:val="auto"/>
        </w:rPr>
      </w:pPr>
    </w:p>
    <w:p w14:paraId="42F4534F">
      <w:pPr>
        <w:rPr>
          <w:rFonts w:hint="eastAsia"/>
          <w:color w:val="auto"/>
        </w:rPr>
      </w:pPr>
    </w:p>
    <w:p w14:paraId="7023E0FA">
      <w:pPr>
        <w:rPr>
          <w:rFonts w:hint="eastAsia"/>
          <w:color w:val="auto"/>
        </w:rPr>
      </w:pPr>
    </w:p>
    <w:p w14:paraId="1FF3F35C">
      <w:pPr>
        <w:rPr>
          <w:rFonts w:hint="eastAsia"/>
          <w:color w:val="auto"/>
        </w:rPr>
      </w:pPr>
    </w:p>
    <w:p w14:paraId="59D44D4C">
      <w:pPr>
        <w:rPr>
          <w:rFonts w:hint="eastAsia"/>
          <w:color w:val="auto"/>
        </w:rPr>
      </w:pPr>
    </w:p>
    <w:p w14:paraId="2B47269E">
      <w:pPr>
        <w:rPr>
          <w:rFonts w:hint="eastAsia"/>
          <w:color w:val="auto"/>
        </w:rPr>
      </w:pPr>
    </w:p>
    <w:p w14:paraId="47E8253F">
      <w:pPr>
        <w:rPr>
          <w:rFonts w:hint="eastAsia" w:ascii="仿宋" w:hAnsi="仿宋" w:eastAsia="仿宋" w:cs="仿宋"/>
          <w:color w:val="auto"/>
          <w:sz w:val="32"/>
          <w:szCs w:val="32"/>
          <w:lang w:eastAsia="zh-CN"/>
        </w:rPr>
      </w:pPr>
    </w:p>
    <w:p w14:paraId="5122B30A">
      <w:pPr>
        <w:rPr>
          <w:rFonts w:hint="eastAsia" w:ascii="仿宋" w:hAnsi="仿宋" w:eastAsia="仿宋" w:cs="仿宋"/>
          <w:color w:val="auto"/>
          <w:sz w:val="32"/>
          <w:szCs w:val="32"/>
          <w:lang w:eastAsia="zh-CN"/>
        </w:rPr>
      </w:pPr>
    </w:p>
    <w:p w14:paraId="1A1C3B25">
      <w:pPr>
        <w:rPr>
          <w:rFonts w:hint="eastAsia" w:ascii="仿宋" w:hAnsi="仿宋" w:eastAsia="仿宋" w:cs="仿宋"/>
          <w:color w:val="auto"/>
          <w:sz w:val="32"/>
          <w:szCs w:val="32"/>
          <w:lang w:eastAsia="zh-CN"/>
        </w:rPr>
      </w:pPr>
    </w:p>
    <w:p w14:paraId="0641160A">
      <w:pPr>
        <w:rPr>
          <w:rFonts w:hint="eastAsia" w:ascii="仿宋" w:hAnsi="仿宋" w:eastAsia="仿宋" w:cs="仿宋"/>
          <w:color w:val="auto"/>
          <w:sz w:val="32"/>
          <w:szCs w:val="32"/>
          <w:lang w:eastAsia="zh-CN"/>
        </w:rPr>
      </w:pPr>
    </w:p>
    <w:p w14:paraId="695EEBD9">
      <w:pPr>
        <w:rPr>
          <w:rFonts w:hint="eastAsia" w:ascii="仿宋" w:hAnsi="仿宋" w:eastAsia="仿宋" w:cs="仿宋"/>
          <w:color w:val="auto"/>
          <w:sz w:val="32"/>
          <w:szCs w:val="32"/>
          <w:lang w:eastAsia="zh-CN"/>
        </w:rPr>
      </w:pPr>
    </w:p>
    <w:p w14:paraId="37C8EB82">
      <w:pPr>
        <w:rPr>
          <w:rFonts w:hint="eastAsia" w:ascii="仿宋" w:hAnsi="仿宋" w:eastAsia="仿宋" w:cs="仿宋"/>
          <w:color w:val="auto"/>
          <w:sz w:val="32"/>
          <w:szCs w:val="32"/>
          <w:lang w:eastAsia="zh-CN"/>
        </w:rPr>
      </w:pPr>
    </w:p>
    <w:p w14:paraId="0D60656B">
      <w:pPr>
        <w:rPr>
          <w:rFonts w:hint="eastAsia" w:ascii="仿宋" w:hAnsi="仿宋" w:eastAsia="仿宋" w:cs="仿宋"/>
          <w:color w:val="auto"/>
          <w:sz w:val="32"/>
          <w:szCs w:val="32"/>
          <w:lang w:eastAsia="zh-CN"/>
        </w:rPr>
      </w:pPr>
    </w:p>
    <w:p w14:paraId="37B39214">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w:t>
      </w:r>
    </w:p>
    <w:tbl>
      <w:tblPr>
        <w:tblStyle w:val="13"/>
        <w:tblW w:w="0" w:type="auto"/>
        <w:tblInd w:w="-573" w:type="dxa"/>
        <w:tblLayout w:type="fixed"/>
        <w:tblCellMar>
          <w:top w:w="0" w:type="dxa"/>
          <w:left w:w="0" w:type="dxa"/>
          <w:bottom w:w="0" w:type="dxa"/>
          <w:right w:w="0" w:type="dxa"/>
        </w:tblCellMar>
      </w:tblPr>
      <w:tblGrid>
        <w:gridCol w:w="1683"/>
        <w:gridCol w:w="1683"/>
        <w:gridCol w:w="1417"/>
        <w:gridCol w:w="1800"/>
        <w:gridCol w:w="1350"/>
        <w:gridCol w:w="1550"/>
      </w:tblGrid>
      <w:tr w14:paraId="59A69A5F">
        <w:tblPrEx>
          <w:tblCellMar>
            <w:top w:w="0" w:type="dxa"/>
            <w:left w:w="0" w:type="dxa"/>
            <w:bottom w:w="0" w:type="dxa"/>
            <w:right w:w="0" w:type="dxa"/>
          </w:tblCellMar>
        </w:tblPrEx>
        <w:trPr>
          <w:trHeight w:val="867" w:hRule="atLeast"/>
        </w:trPr>
        <w:tc>
          <w:tcPr>
            <w:tcW w:w="9483" w:type="dxa"/>
            <w:gridSpan w:val="6"/>
            <w:tcBorders>
              <w:top w:val="nil"/>
              <w:left w:val="nil"/>
              <w:bottom w:val="nil"/>
              <w:right w:val="nil"/>
            </w:tcBorders>
            <w:noWrap w:val="0"/>
            <w:tcMar>
              <w:top w:w="15" w:type="dxa"/>
              <w:left w:w="15" w:type="dxa"/>
              <w:right w:w="15" w:type="dxa"/>
            </w:tcMar>
            <w:vAlign w:val="center"/>
          </w:tcPr>
          <w:p w14:paraId="1B57EB02">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cs="宋体"/>
                <w:i w:val="0"/>
                <w:color w:val="000000"/>
                <w:kern w:val="0"/>
                <w:sz w:val="40"/>
                <w:szCs w:val="40"/>
                <w:u w:val="none"/>
                <w:lang w:val="en-US" w:eastAsia="zh-CN" w:bidi="ar"/>
              </w:rPr>
              <w:t>驳船拖轮</w:t>
            </w:r>
            <w:r>
              <w:rPr>
                <w:rFonts w:hint="eastAsia" w:ascii="宋体" w:hAnsi="宋体" w:eastAsia="宋体" w:cs="宋体"/>
                <w:i w:val="0"/>
                <w:color w:val="000000"/>
                <w:kern w:val="0"/>
                <w:sz w:val="40"/>
                <w:szCs w:val="40"/>
                <w:u w:val="none"/>
                <w:lang w:val="en-US" w:eastAsia="zh-CN" w:bidi="ar"/>
              </w:rPr>
              <w:t>作业记录单</w:t>
            </w:r>
          </w:p>
        </w:tc>
      </w:tr>
      <w:tr w14:paraId="5D5D6F6F">
        <w:tblPrEx>
          <w:tblCellMar>
            <w:top w:w="0" w:type="dxa"/>
            <w:left w:w="0" w:type="dxa"/>
            <w:bottom w:w="0" w:type="dxa"/>
            <w:right w:w="0" w:type="dxa"/>
          </w:tblCellMar>
        </w:tblPrEx>
        <w:trPr>
          <w:trHeight w:val="642" w:hRule="atLeast"/>
        </w:trPr>
        <w:tc>
          <w:tcPr>
            <w:tcW w:w="1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20F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作业</w:t>
            </w:r>
            <w:r>
              <w:rPr>
                <w:rFonts w:hint="eastAsia" w:ascii="宋体" w:hAnsi="宋体" w:eastAsia="宋体" w:cs="宋体"/>
                <w:i w:val="0"/>
                <w:color w:val="000000"/>
                <w:kern w:val="0"/>
                <w:sz w:val="24"/>
                <w:szCs w:val="24"/>
                <w:u w:val="none"/>
                <w:lang w:val="en-US" w:eastAsia="zh-CN" w:bidi="ar"/>
              </w:rPr>
              <w:t>时间</w:t>
            </w:r>
          </w:p>
        </w:tc>
        <w:tc>
          <w:tcPr>
            <w:tcW w:w="1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13C09">
            <w:pPr>
              <w:jc w:val="center"/>
              <w:rPr>
                <w:rFonts w:hint="eastAsia" w:ascii="宋体" w:hAnsi="宋体" w:eastAsia="宋体" w:cs="宋体"/>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2D0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作业</w:t>
            </w:r>
            <w:r>
              <w:rPr>
                <w:rFonts w:hint="eastAsia" w:ascii="宋体" w:hAnsi="宋体" w:eastAsia="宋体" w:cs="宋体"/>
                <w:i w:val="0"/>
                <w:color w:val="000000"/>
                <w:kern w:val="0"/>
                <w:sz w:val="24"/>
                <w:szCs w:val="24"/>
                <w:u w:val="none"/>
                <w:lang w:val="en-US" w:eastAsia="zh-CN" w:bidi="ar"/>
              </w:rPr>
              <w:t>地点</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49294">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5BD02">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船名</w:t>
            </w:r>
            <w:r>
              <w:rPr>
                <w:rFonts w:hint="eastAsia" w:ascii="宋体" w:hAnsi="宋体" w:cs="宋体"/>
                <w:i w:val="0"/>
                <w:color w:val="000000"/>
                <w:kern w:val="0"/>
                <w:sz w:val="24"/>
                <w:szCs w:val="24"/>
                <w:u w:val="none"/>
                <w:lang w:val="en-US" w:eastAsia="zh-CN" w:bidi="ar"/>
              </w:rPr>
              <w:t>、船号</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299E0">
            <w:pPr>
              <w:jc w:val="center"/>
              <w:rPr>
                <w:rFonts w:hint="eastAsia" w:ascii="宋体" w:hAnsi="宋体" w:eastAsia="宋体" w:cs="宋体"/>
                <w:i w:val="0"/>
                <w:color w:val="000000"/>
                <w:kern w:val="2"/>
                <w:sz w:val="24"/>
                <w:szCs w:val="24"/>
                <w:u w:val="none"/>
                <w:lang w:val="en-US" w:eastAsia="zh-CN" w:bidi="ar-SA"/>
              </w:rPr>
            </w:pPr>
          </w:p>
        </w:tc>
      </w:tr>
      <w:tr w14:paraId="72F3479F">
        <w:tblPrEx>
          <w:tblCellMar>
            <w:top w:w="0" w:type="dxa"/>
            <w:left w:w="0" w:type="dxa"/>
            <w:bottom w:w="0" w:type="dxa"/>
            <w:right w:w="0" w:type="dxa"/>
          </w:tblCellMar>
        </w:tblPrEx>
        <w:trPr>
          <w:trHeight w:val="600" w:hRule="atLeast"/>
        </w:trPr>
        <w:tc>
          <w:tcPr>
            <w:tcW w:w="1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0DD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货物名称</w:t>
            </w:r>
          </w:p>
        </w:tc>
        <w:tc>
          <w:tcPr>
            <w:tcW w:w="1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D4E3B">
            <w:pPr>
              <w:jc w:val="center"/>
              <w:rPr>
                <w:rFonts w:hint="eastAsia" w:ascii="宋体" w:hAnsi="宋体" w:eastAsia="宋体" w:cs="宋体"/>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784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载重吨位</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9D6F0">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28C2B">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备注</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E35DA">
            <w:pPr>
              <w:jc w:val="center"/>
              <w:rPr>
                <w:rFonts w:hint="eastAsia" w:ascii="宋体" w:hAnsi="宋体" w:eastAsia="宋体" w:cs="宋体"/>
                <w:i w:val="0"/>
                <w:color w:val="000000"/>
                <w:kern w:val="2"/>
                <w:sz w:val="24"/>
                <w:szCs w:val="24"/>
                <w:u w:val="none"/>
                <w:lang w:val="en-US" w:eastAsia="zh-CN" w:bidi="ar-SA"/>
              </w:rPr>
            </w:pPr>
          </w:p>
        </w:tc>
      </w:tr>
      <w:tr w14:paraId="6F055504">
        <w:tblPrEx>
          <w:tblCellMar>
            <w:top w:w="0" w:type="dxa"/>
            <w:left w:w="0" w:type="dxa"/>
            <w:bottom w:w="0" w:type="dxa"/>
            <w:right w:w="0" w:type="dxa"/>
          </w:tblCellMar>
        </w:tblPrEx>
        <w:trPr>
          <w:trHeight w:val="400" w:hRule="atLeast"/>
        </w:trPr>
        <w:tc>
          <w:tcPr>
            <w:tcW w:w="1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D15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作业说明</w:t>
            </w:r>
          </w:p>
        </w:tc>
        <w:tc>
          <w:tcPr>
            <w:tcW w:w="7800"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98A19">
            <w:pPr>
              <w:jc w:val="center"/>
              <w:rPr>
                <w:rFonts w:hint="eastAsia" w:ascii="宋体" w:hAnsi="宋体" w:eastAsia="宋体" w:cs="宋体"/>
                <w:i w:val="0"/>
                <w:color w:val="000000"/>
                <w:sz w:val="24"/>
                <w:szCs w:val="24"/>
                <w:u w:val="none"/>
              </w:rPr>
            </w:pPr>
          </w:p>
        </w:tc>
      </w:tr>
      <w:tr w14:paraId="56184069">
        <w:tblPrEx>
          <w:tblCellMar>
            <w:top w:w="0" w:type="dxa"/>
            <w:left w:w="0" w:type="dxa"/>
            <w:bottom w:w="0" w:type="dxa"/>
            <w:right w:w="0" w:type="dxa"/>
          </w:tblCellMar>
        </w:tblPrEx>
        <w:trPr>
          <w:trHeight w:val="400" w:hRule="atLeast"/>
        </w:trPr>
        <w:tc>
          <w:tcPr>
            <w:tcW w:w="1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88374">
            <w:pPr>
              <w:jc w:val="center"/>
              <w:rPr>
                <w:rFonts w:hint="eastAsia" w:ascii="宋体" w:hAnsi="宋体" w:eastAsia="宋体" w:cs="宋体"/>
                <w:i w:val="0"/>
                <w:color w:val="000000"/>
                <w:sz w:val="24"/>
                <w:szCs w:val="24"/>
                <w:u w:val="none"/>
              </w:rPr>
            </w:pPr>
          </w:p>
        </w:tc>
        <w:tc>
          <w:tcPr>
            <w:tcW w:w="7800"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67C8E">
            <w:pPr>
              <w:jc w:val="center"/>
              <w:rPr>
                <w:rFonts w:hint="eastAsia" w:ascii="宋体" w:hAnsi="宋体" w:eastAsia="宋体" w:cs="宋体"/>
                <w:i w:val="0"/>
                <w:color w:val="000000"/>
                <w:sz w:val="24"/>
                <w:szCs w:val="24"/>
                <w:u w:val="none"/>
              </w:rPr>
            </w:pPr>
          </w:p>
        </w:tc>
      </w:tr>
      <w:tr w14:paraId="34F8DD8E">
        <w:tblPrEx>
          <w:tblCellMar>
            <w:top w:w="0" w:type="dxa"/>
            <w:left w:w="0" w:type="dxa"/>
            <w:bottom w:w="0" w:type="dxa"/>
            <w:right w:w="0" w:type="dxa"/>
          </w:tblCellMar>
        </w:tblPrEx>
        <w:trPr>
          <w:trHeight w:val="944" w:hRule="atLeast"/>
        </w:trPr>
        <w:tc>
          <w:tcPr>
            <w:tcW w:w="1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3806D">
            <w:pPr>
              <w:jc w:val="center"/>
              <w:rPr>
                <w:rFonts w:hint="eastAsia" w:ascii="宋体" w:hAnsi="宋体" w:eastAsia="宋体" w:cs="宋体"/>
                <w:i w:val="0"/>
                <w:color w:val="000000"/>
                <w:sz w:val="24"/>
                <w:szCs w:val="24"/>
                <w:u w:val="none"/>
              </w:rPr>
            </w:pPr>
          </w:p>
        </w:tc>
        <w:tc>
          <w:tcPr>
            <w:tcW w:w="7800"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AC2FA">
            <w:pPr>
              <w:jc w:val="center"/>
              <w:rPr>
                <w:rFonts w:hint="eastAsia" w:ascii="宋体" w:hAnsi="宋体" w:eastAsia="宋体" w:cs="宋体"/>
                <w:i w:val="0"/>
                <w:color w:val="000000"/>
                <w:sz w:val="24"/>
                <w:szCs w:val="24"/>
                <w:u w:val="none"/>
              </w:rPr>
            </w:pPr>
          </w:p>
        </w:tc>
      </w:tr>
      <w:tr w14:paraId="40E7C2D5">
        <w:tblPrEx>
          <w:tblCellMar>
            <w:top w:w="0" w:type="dxa"/>
            <w:left w:w="0" w:type="dxa"/>
            <w:bottom w:w="0" w:type="dxa"/>
            <w:right w:w="0" w:type="dxa"/>
          </w:tblCellMar>
        </w:tblPrEx>
        <w:trPr>
          <w:trHeight w:val="708" w:hRule="atLeast"/>
        </w:trPr>
        <w:tc>
          <w:tcPr>
            <w:tcW w:w="1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3F7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驳船</w:t>
            </w:r>
            <w:r>
              <w:rPr>
                <w:rFonts w:hint="eastAsia" w:ascii="宋体" w:hAnsi="宋体" w:eastAsia="宋体" w:cs="宋体"/>
                <w:i w:val="0"/>
                <w:color w:val="000000"/>
                <w:kern w:val="0"/>
                <w:sz w:val="24"/>
                <w:szCs w:val="24"/>
                <w:u w:val="none"/>
                <w:lang w:val="en-US" w:eastAsia="zh-CN" w:bidi="ar"/>
              </w:rPr>
              <w:t>签</w:t>
            </w:r>
            <w:r>
              <w:rPr>
                <w:rFonts w:hint="eastAsia" w:ascii="宋体" w:hAnsi="宋体" w:cs="宋体"/>
                <w:i w:val="0"/>
                <w:color w:val="000000"/>
                <w:kern w:val="0"/>
                <w:sz w:val="24"/>
                <w:szCs w:val="24"/>
                <w:u w:val="none"/>
                <w:lang w:val="en-US" w:eastAsia="zh-CN" w:bidi="ar"/>
              </w:rPr>
              <w:t>字</w:t>
            </w:r>
          </w:p>
        </w:tc>
        <w:tc>
          <w:tcPr>
            <w:tcW w:w="3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E166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A8340">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拖轮</w:t>
            </w:r>
            <w:r>
              <w:rPr>
                <w:rFonts w:hint="eastAsia" w:ascii="宋体" w:hAnsi="宋体" w:cs="宋体"/>
                <w:i w:val="0"/>
                <w:color w:val="000000"/>
                <w:kern w:val="0"/>
                <w:sz w:val="24"/>
                <w:szCs w:val="24"/>
                <w:u w:val="none"/>
                <w:lang w:val="en-US" w:eastAsia="zh-CN" w:bidi="ar"/>
              </w:rPr>
              <w:t>负责人</w:t>
            </w:r>
            <w:r>
              <w:rPr>
                <w:rFonts w:hint="eastAsia" w:ascii="宋体" w:hAnsi="宋体" w:eastAsia="宋体" w:cs="宋体"/>
                <w:i w:val="0"/>
                <w:color w:val="000000"/>
                <w:kern w:val="0"/>
                <w:sz w:val="24"/>
                <w:szCs w:val="24"/>
                <w:u w:val="none"/>
                <w:lang w:val="en-US" w:eastAsia="zh-CN" w:bidi="ar"/>
              </w:rPr>
              <w:t>签</w:t>
            </w:r>
            <w:r>
              <w:rPr>
                <w:rFonts w:hint="eastAsia" w:ascii="宋体" w:hAnsi="宋体" w:cs="宋体"/>
                <w:i w:val="0"/>
                <w:color w:val="000000"/>
                <w:kern w:val="0"/>
                <w:sz w:val="24"/>
                <w:szCs w:val="24"/>
                <w:u w:val="none"/>
                <w:lang w:val="en-US" w:eastAsia="zh-CN" w:bidi="ar"/>
              </w:rPr>
              <w:t>字</w:t>
            </w:r>
          </w:p>
        </w:tc>
        <w:tc>
          <w:tcPr>
            <w:tcW w:w="29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A8FD5">
            <w:pPr>
              <w:jc w:val="center"/>
              <w:rPr>
                <w:rFonts w:hint="eastAsia" w:ascii="宋体" w:hAnsi="宋体" w:eastAsia="宋体" w:cs="宋体"/>
                <w:i w:val="0"/>
                <w:color w:val="000000"/>
                <w:sz w:val="24"/>
                <w:szCs w:val="24"/>
                <w:u w:val="none"/>
              </w:rPr>
            </w:pPr>
          </w:p>
        </w:tc>
      </w:tr>
      <w:tr w14:paraId="64A2B381">
        <w:tblPrEx>
          <w:tblCellMar>
            <w:top w:w="0" w:type="dxa"/>
            <w:left w:w="0" w:type="dxa"/>
            <w:bottom w:w="0" w:type="dxa"/>
            <w:right w:w="0" w:type="dxa"/>
          </w:tblCellMar>
        </w:tblPrEx>
        <w:trPr>
          <w:trHeight w:val="708" w:hRule="atLeast"/>
        </w:trPr>
        <w:tc>
          <w:tcPr>
            <w:tcW w:w="1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20705">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船队长签字</w:t>
            </w:r>
          </w:p>
        </w:tc>
        <w:tc>
          <w:tcPr>
            <w:tcW w:w="3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324F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32B46">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部门负责人签字</w:t>
            </w:r>
          </w:p>
        </w:tc>
        <w:tc>
          <w:tcPr>
            <w:tcW w:w="29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0ED29">
            <w:pPr>
              <w:jc w:val="center"/>
              <w:rPr>
                <w:rFonts w:hint="eastAsia" w:ascii="宋体" w:hAnsi="宋体" w:eastAsia="宋体" w:cs="宋体"/>
                <w:i w:val="0"/>
                <w:color w:val="000000"/>
                <w:sz w:val="24"/>
                <w:szCs w:val="24"/>
                <w:u w:val="none"/>
              </w:rPr>
            </w:pPr>
          </w:p>
        </w:tc>
      </w:tr>
    </w:tbl>
    <w:p w14:paraId="5EDC2C89">
      <w:pPr>
        <w:rPr>
          <w:rFonts w:hint="eastAsia"/>
          <w:color w:val="auto"/>
        </w:rPr>
      </w:pPr>
    </w:p>
    <w:p w14:paraId="6C9B512B">
      <w:pPr>
        <w:rPr>
          <w:rFonts w:hint="eastAsia"/>
          <w:color w:val="auto"/>
        </w:rPr>
      </w:pPr>
    </w:p>
    <w:p w14:paraId="17769A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32"/>
          <w:szCs w:val="32"/>
          <w:lang w:val="en-US" w:eastAsia="zh-CN"/>
        </w:rPr>
        <w:t>附件2</w:t>
      </w:r>
    </w:p>
    <w:tbl>
      <w:tblPr>
        <w:tblStyle w:val="13"/>
        <w:tblpPr w:leftFromText="180" w:rightFromText="180" w:vertAnchor="text" w:horzAnchor="page" w:tblpX="1237" w:tblpY="589"/>
        <w:tblOverlap w:val="never"/>
        <w:tblW w:w="0" w:type="auto"/>
        <w:tblInd w:w="0" w:type="dxa"/>
        <w:tblLayout w:type="fixed"/>
        <w:tblCellMar>
          <w:top w:w="0" w:type="dxa"/>
          <w:left w:w="0" w:type="dxa"/>
          <w:bottom w:w="0" w:type="dxa"/>
          <w:right w:w="0" w:type="dxa"/>
        </w:tblCellMar>
      </w:tblPr>
      <w:tblGrid>
        <w:gridCol w:w="1650"/>
        <w:gridCol w:w="1691"/>
        <w:gridCol w:w="1416"/>
        <w:gridCol w:w="1817"/>
        <w:gridCol w:w="1333"/>
        <w:gridCol w:w="1558"/>
      </w:tblGrid>
      <w:tr w14:paraId="0C5A3449">
        <w:tblPrEx>
          <w:tblCellMar>
            <w:top w:w="0" w:type="dxa"/>
            <w:left w:w="0" w:type="dxa"/>
            <w:bottom w:w="0" w:type="dxa"/>
            <w:right w:w="0" w:type="dxa"/>
          </w:tblCellMar>
        </w:tblPrEx>
        <w:trPr>
          <w:trHeight w:val="867" w:hRule="atLeast"/>
        </w:trPr>
        <w:tc>
          <w:tcPr>
            <w:tcW w:w="9465" w:type="dxa"/>
            <w:gridSpan w:val="6"/>
            <w:tcBorders>
              <w:top w:val="nil"/>
              <w:left w:val="nil"/>
              <w:bottom w:val="nil"/>
              <w:right w:val="nil"/>
            </w:tcBorders>
            <w:noWrap w:val="0"/>
            <w:tcMar>
              <w:top w:w="15" w:type="dxa"/>
              <w:left w:w="15" w:type="dxa"/>
              <w:right w:w="15" w:type="dxa"/>
            </w:tcMar>
            <w:vAlign w:val="center"/>
          </w:tcPr>
          <w:p w14:paraId="63A2BD5F">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cs="宋体"/>
                <w:i w:val="0"/>
                <w:color w:val="000000"/>
                <w:kern w:val="0"/>
                <w:sz w:val="40"/>
                <w:szCs w:val="40"/>
                <w:u w:val="none"/>
                <w:lang w:val="en-US" w:eastAsia="zh-CN" w:bidi="ar"/>
              </w:rPr>
              <w:t>自有</w:t>
            </w:r>
            <w:r>
              <w:rPr>
                <w:rFonts w:hint="eastAsia" w:ascii="宋体" w:hAnsi="宋体" w:eastAsia="宋体" w:cs="宋体"/>
                <w:i w:val="0"/>
                <w:color w:val="000000"/>
                <w:kern w:val="0"/>
                <w:sz w:val="40"/>
                <w:szCs w:val="40"/>
                <w:u w:val="none"/>
                <w:lang w:val="en-US" w:eastAsia="zh-CN" w:bidi="ar"/>
              </w:rPr>
              <w:t>船舶</w:t>
            </w:r>
            <w:r>
              <w:rPr>
                <w:rFonts w:hint="eastAsia" w:ascii="宋体" w:hAnsi="宋体" w:cs="宋体"/>
                <w:i w:val="0"/>
                <w:color w:val="000000"/>
                <w:kern w:val="0"/>
                <w:sz w:val="40"/>
                <w:szCs w:val="40"/>
                <w:u w:val="none"/>
                <w:lang w:val="en-US" w:eastAsia="zh-CN" w:bidi="ar"/>
              </w:rPr>
              <w:t>拖轮</w:t>
            </w:r>
            <w:r>
              <w:rPr>
                <w:rFonts w:hint="eastAsia" w:ascii="宋体" w:hAnsi="宋体" w:eastAsia="宋体" w:cs="宋体"/>
                <w:i w:val="0"/>
                <w:color w:val="000000"/>
                <w:kern w:val="0"/>
                <w:sz w:val="40"/>
                <w:szCs w:val="40"/>
                <w:u w:val="none"/>
                <w:lang w:val="en-US" w:eastAsia="zh-CN" w:bidi="ar"/>
              </w:rPr>
              <w:t>作业记录单</w:t>
            </w:r>
          </w:p>
        </w:tc>
      </w:tr>
      <w:tr w14:paraId="430165BA">
        <w:tblPrEx>
          <w:tblCellMar>
            <w:top w:w="0" w:type="dxa"/>
            <w:left w:w="0" w:type="dxa"/>
            <w:bottom w:w="0" w:type="dxa"/>
            <w:right w:w="0" w:type="dxa"/>
          </w:tblCellMar>
        </w:tblPrEx>
        <w:trPr>
          <w:trHeight w:val="598" w:hRule="atLeast"/>
        </w:trPr>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705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作业</w:t>
            </w:r>
            <w:r>
              <w:rPr>
                <w:rFonts w:hint="eastAsia" w:ascii="宋体" w:hAnsi="宋体" w:eastAsia="宋体" w:cs="宋体"/>
                <w:i w:val="0"/>
                <w:color w:val="000000"/>
                <w:kern w:val="0"/>
                <w:sz w:val="24"/>
                <w:szCs w:val="24"/>
                <w:u w:val="none"/>
                <w:lang w:val="en-US" w:eastAsia="zh-CN" w:bidi="ar"/>
              </w:rPr>
              <w:t>时间</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0E966">
            <w:pPr>
              <w:jc w:val="center"/>
              <w:rPr>
                <w:rFonts w:hint="eastAsia" w:ascii="宋体" w:hAnsi="宋体" w:eastAsia="宋体" w:cs="宋体"/>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D51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作业</w:t>
            </w:r>
            <w:r>
              <w:rPr>
                <w:rFonts w:hint="eastAsia" w:ascii="宋体" w:hAnsi="宋体" w:eastAsia="宋体" w:cs="宋体"/>
                <w:i w:val="0"/>
                <w:color w:val="000000"/>
                <w:kern w:val="0"/>
                <w:sz w:val="24"/>
                <w:szCs w:val="24"/>
                <w:u w:val="none"/>
                <w:lang w:val="en-US" w:eastAsia="zh-CN" w:bidi="ar"/>
              </w:rPr>
              <w:t>地点</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B23B7">
            <w:pPr>
              <w:jc w:val="center"/>
              <w:rPr>
                <w:rFonts w:hint="eastAsia" w:ascii="宋体" w:hAnsi="宋体" w:eastAsia="宋体" w:cs="宋体"/>
                <w:i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585FA">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船名</w:t>
            </w:r>
            <w:r>
              <w:rPr>
                <w:rFonts w:hint="eastAsia" w:ascii="宋体" w:hAnsi="宋体" w:cs="宋体"/>
                <w:i w:val="0"/>
                <w:color w:val="000000"/>
                <w:kern w:val="0"/>
                <w:sz w:val="24"/>
                <w:szCs w:val="24"/>
                <w:u w:val="none"/>
                <w:lang w:val="en-US" w:eastAsia="zh-CN" w:bidi="ar"/>
              </w:rPr>
              <w:t>船号</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C35A3">
            <w:pPr>
              <w:jc w:val="center"/>
              <w:rPr>
                <w:rFonts w:hint="eastAsia" w:ascii="宋体" w:hAnsi="宋体" w:eastAsia="宋体" w:cs="宋体"/>
                <w:i w:val="0"/>
                <w:color w:val="000000"/>
                <w:kern w:val="2"/>
                <w:sz w:val="24"/>
                <w:szCs w:val="24"/>
                <w:u w:val="none"/>
                <w:lang w:val="en-US" w:eastAsia="zh-CN" w:bidi="ar-SA"/>
              </w:rPr>
            </w:pPr>
          </w:p>
        </w:tc>
      </w:tr>
      <w:tr w14:paraId="041B6491">
        <w:tblPrEx>
          <w:tblCellMar>
            <w:top w:w="0" w:type="dxa"/>
            <w:left w:w="0" w:type="dxa"/>
            <w:bottom w:w="0" w:type="dxa"/>
            <w:right w:w="0" w:type="dxa"/>
          </w:tblCellMar>
        </w:tblPrEx>
        <w:trPr>
          <w:trHeight w:val="580" w:hRule="atLeast"/>
        </w:trPr>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1B9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货物名称</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C20D7">
            <w:pPr>
              <w:jc w:val="center"/>
              <w:rPr>
                <w:rFonts w:hint="eastAsia" w:ascii="宋体" w:hAnsi="宋体" w:eastAsia="宋体" w:cs="宋体"/>
                <w:i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AC8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载重吨位</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791C5">
            <w:pPr>
              <w:jc w:val="center"/>
              <w:rPr>
                <w:rFonts w:hint="eastAsia" w:ascii="宋体" w:hAnsi="宋体" w:eastAsia="宋体" w:cs="宋体"/>
                <w:i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C47DA">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备注</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C8407">
            <w:pPr>
              <w:jc w:val="center"/>
              <w:rPr>
                <w:rFonts w:hint="eastAsia" w:ascii="宋体" w:hAnsi="宋体" w:eastAsia="宋体" w:cs="宋体"/>
                <w:i w:val="0"/>
                <w:color w:val="000000"/>
                <w:kern w:val="2"/>
                <w:sz w:val="24"/>
                <w:szCs w:val="24"/>
                <w:u w:val="none"/>
                <w:lang w:val="en-US" w:eastAsia="zh-CN" w:bidi="ar-SA"/>
              </w:rPr>
            </w:pPr>
          </w:p>
        </w:tc>
      </w:tr>
      <w:tr w14:paraId="35354517">
        <w:tblPrEx>
          <w:tblCellMar>
            <w:top w:w="0" w:type="dxa"/>
            <w:left w:w="0" w:type="dxa"/>
            <w:bottom w:w="0" w:type="dxa"/>
            <w:right w:w="0" w:type="dxa"/>
          </w:tblCellMar>
        </w:tblPrEx>
        <w:trPr>
          <w:trHeight w:val="400" w:hRule="atLeast"/>
        </w:trPr>
        <w:tc>
          <w:tcPr>
            <w:tcW w:w="16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8E2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作业</w:t>
            </w:r>
            <w:r>
              <w:rPr>
                <w:rFonts w:hint="eastAsia" w:ascii="宋体" w:hAnsi="宋体" w:eastAsia="宋体" w:cs="宋体"/>
                <w:i w:val="0"/>
                <w:color w:val="000000"/>
                <w:kern w:val="0"/>
                <w:sz w:val="24"/>
                <w:szCs w:val="24"/>
                <w:u w:val="none"/>
                <w:lang w:val="en-US" w:eastAsia="zh-CN" w:bidi="ar"/>
              </w:rPr>
              <w:t>说明</w:t>
            </w:r>
          </w:p>
        </w:tc>
        <w:tc>
          <w:tcPr>
            <w:tcW w:w="7815"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85322">
            <w:pPr>
              <w:jc w:val="center"/>
              <w:rPr>
                <w:rFonts w:hint="eastAsia" w:ascii="宋体" w:hAnsi="宋体" w:eastAsia="宋体" w:cs="宋体"/>
                <w:i w:val="0"/>
                <w:color w:val="000000"/>
                <w:sz w:val="24"/>
                <w:szCs w:val="24"/>
                <w:u w:val="none"/>
              </w:rPr>
            </w:pPr>
          </w:p>
        </w:tc>
      </w:tr>
      <w:tr w14:paraId="194B856C">
        <w:tblPrEx>
          <w:tblCellMar>
            <w:top w:w="0" w:type="dxa"/>
            <w:left w:w="0" w:type="dxa"/>
            <w:bottom w:w="0" w:type="dxa"/>
            <w:right w:w="0" w:type="dxa"/>
          </w:tblCellMar>
        </w:tblPrEx>
        <w:trPr>
          <w:trHeight w:val="400" w:hRule="atLeast"/>
        </w:trPr>
        <w:tc>
          <w:tcPr>
            <w:tcW w:w="1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7962C">
            <w:pPr>
              <w:jc w:val="center"/>
              <w:rPr>
                <w:rFonts w:hint="eastAsia" w:ascii="宋体" w:hAnsi="宋体" w:eastAsia="宋体" w:cs="宋体"/>
                <w:i w:val="0"/>
                <w:color w:val="000000"/>
                <w:sz w:val="24"/>
                <w:szCs w:val="24"/>
                <w:u w:val="none"/>
              </w:rPr>
            </w:pPr>
          </w:p>
        </w:tc>
        <w:tc>
          <w:tcPr>
            <w:tcW w:w="7815"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B5258">
            <w:pPr>
              <w:jc w:val="center"/>
              <w:rPr>
                <w:rFonts w:hint="eastAsia" w:ascii="宋体" w:hAnsi="宋体" w:eastAsia="宋体" w:cs="宋体"/>
                <w:i w:val="0"/>
                <w:color w:val="000000"/>
                <w:sz w:val="24"/>
                <w:szCs w:val="24"/>
                <w:u w:val="none"/>
              </w:rPr>
            </w:pPr>
          </w:p>
        </w:tc>
      </w:tr>
      <w:tr w14:paraId="5F8A3F12">
        <w:tblPrEx>
          <w:tblCellMar>
            <w:top w:w="0" w:type="dxa"/>
            <w:left w:w="0" w:type="dxa"/>
            <w:bottom w:w="0" w:type="dxa"/>
            <w:right w:w="0" w:type="dxa"/>
          </w:tblCellMar>
        </w:tblPrEx>
        <w:trPr>
          <w:trHeight w:val="1005" w:hRule="atLeast"/>
        </w:trPr>
        <w:tc>
          <w:tcPr>
            <w:tcW w:w="1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A00D8">
            <w:pPr>
              <w:jc w:val="center"/>
              <w:rPr>
                <w:rFonts w:hint="eastAsia" w:ascii="宋体" w:hAnsi="宋体" w:eastAsia="宋体" w:cs="宋体"/>
                <w:i w:val="0"/>
                <w:color w:val="000000"/>
                <w:sz w:val="24"/>
                <w:szCs w:val="24"/>
                <w:u w:val="none"/>
              </w:rPr>
            </w:pPr>
          </w:p>
        </w:tc>
        <w:tc>
          <w:tcPr>
            <w:tcW w:w="7815"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D3F9E">
            <w:pPr>
              <w:jc w:val="center"/>
              <w:rPr>
                <w:rFonts w:hint="eastAsia" w:ascii="宋体" w:hAnsi="宋体" w:eastAsia="宋体" w:cs="宋体"/>
                <w:i w:val="0"/>
                <w:color w:val="000000"/>
                <w:sz w:val="24"/>
                <w:szCs w:val="24"/>
                <w:u w:val="none"/>
              </w:rPr>
            </w:pPr>
          </w:p>
        </w:tc>
      </w:tr>
      <w:tr w14:paraId="25D40F16">
        <w:tblPrEx>
          <w:tblCellMar>
            <w:top w:w="0" w:type="dxa"/>
            <w:left w:w="0" w:type="dxa"/>
            <w:bottom w:w="0" w:type="dxa"/>
            <w:right w:w="0" w:type="dxa"/>
          </w:tblCellMar>
        </w:tblPrEx>
        <w:trPr>
          <w:trHeight w:val="708" w:hRule="atLeast"/>
        </w:trPr>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4949A">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被拖</w:t>
            </w:r>
            <w:r>
              <w:rPr>
                <w:rFonts w:hint="eastAsia" w:ascii="宋体" w:hAnsi="宋体" w:eastAsia="宋体" w:cs="宋体"/>
                <w:i w:val="0"/>
                <w:color w:val="000000"/>
                <w:kern w:val="0"/>
                <w:sz w:val="24"/>
                <w:szCs w:val="24"/>
                <w:u w:val="none"/>
                <w:lang w:val="en-US" w:eastAsia="zh-CN" w:bidi="ar"/>
              </w:rPr>
              <w:t>船长签名</w:t>
            </w:r>
          </w:p>
        </w:tc>
        <w:tc>
          <w:tcPr>
            <w:tcW w:w="31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D1F9D">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310A1">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拖轮</w:t>
            </w:r>
            <w:r>
              <w:rPr>
                <w:rFonts w:hint="eastAsia" w:ascii="宋体" w:hAnsi="宋体" w:eastAsia="宋体" w:cs="宋体"/>
                <w:i w:val="0"/>
                <w:color w:val="000000"/>
                <w:kern w:val="0"/>
                <w:sz w:val="24"/>
                <w:szCs w:val="24"/>
                <w:u w:val="none"/>
                <w:lang w:val="en-US" w:eastAsia="zh-CN" w:bidi="ar"/>
              </w:rPr>
              <w:t>负责人签名</w:t>
            </w:r>
          </w:p>
        </w:tc>
        <w:tc>
          <w:tcPr>
            <w:tcW w:w="28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3D8E1">
            <w:pPr>
              <w:jc w:val="center"/>
              <w:rPr>
                <w:rFonts w:hint="eastAsia" w:ascii="宋体" w:hAnsi="宋体" w:eastAsia="宋体" w:cs="宋体"/>
                <w:i w:val="0"/>
                <w:color w:val="000000"/>
                <w:kern w:val="2"/>
                <w:sz w:val="24"/>
                <w:szCs w:val="24"/>
                <w:u w:val="none"/>
                <w:lang w:val="en-US" w:eastAsia="zh-CN" w:bidi="ar-SA"/>
              </w:rPr>
            </w:pPr>
          </w:p>
          <w:p w14:paraId="6A978A0B">
            <w:pPr>
              <w:jc w:val="center"/>
              <w:rPr>
                <w:rFonts w:hint="eastAsia" w:ascii="宋体" w:hAnsi="宋体" w:eastAsia="宋体" w:cs="宋体"/>
                <w:i w:val="0"/>
                <w:color w:val="000000"/>
                <w:kern w:val="2"/>
                <w:sz w:val="24"/>
                <w:szCs w:val="24"/>
                <w:u w:val="none"/>
                <w:lang w:val="en-US" w:eastAsia="zh-CN" w:bidi="ar-SA"/>
              </w:rPr>
            </w:pPr>
          </w:p>
        </w:tc>
      </w:tr>
      <w:tr w14:paraId="0B546548">
        <w:tblPrEx>
          <w:tblCellMar>
            <w:top w:w="0" w:type="dxa"/>
            <w:left w:w="0" w:type="dxa"/>
            <w:bottom w:w="0" w:type="dxa"/>
            <w:right w:w="0" w:type="dxa"/>
          </w:tblCellMar>
        </w:tblPrEx>
        <w:trPr>
          <w:trHeight w:val="708" w:hRule="atLeast"/>
        </w:trPr>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B160A">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船队长签字</w:t>
            </w:r>
          </w:p>
        </w:tc>
        <w:tc>
          <w:tcPr>
            <w:tcW w:w="31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4E27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4F0BB">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sz w:val="24"/>
                <w:szCs w:val="24"/>
                <w:u w:val="none"/>
                <w:lang w:eastAsia="zh-CN"/>
              </w:rPr>
              <w:t>部门负责人签字</w:t>
            </w:r>
          </w:p>
        </w:tc>
        <w:tc>
          <w:tcPr>
            <w:tcW w:w="28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E930E">
            <w:pPr>
              <w:jc w:val="center"/>
              <w:rPr>
                <w:rFonts w:hint="eastAsia" w:ascii="宋体" w:hAnsi="宋体" w:eastAsia="宋体" w:cs="宋体"/>
                <w:i w:val="0"/>
                <w:color w:val="000000"/>
                <w:kern w:val="2"/>
                <w:sz w:val="24"/>
                <w:szCs w:val="24"/>
                <w:u w:val="none"/>
                <w:lang w:val="en-US" w:eastAsia="zh-CN" w:bidi="ar-SA"/>
              </w:rPr>
            </w:pPr>
          </w:p>
        </w:tc>
      </w:tr>
    </w:tbl>
    <w:p w14:paraId="54BCEE02">
      <w:pPr>
        <w:pStyle w:val="2"/>
        <w:ind w:left="0" w:leftChars="0" w:firstLine="0" w:firstLineChars="0"/>
        <w:rPr>
          <w:rFonts w:hint="eastAsia" w:ascii="方正黑体_GBK" w:hAnsi="方正黑体_GBK" w:eastAsia="方正黑体_GBK" w:cs="方正黑体_GBK"/>
          <w:kern w:val="0"/>
          <w:sz w:val="32"/>
          <w:szCs w:val="32"/>
          <w:lang w:val="en-US" w:eastAsia="zh-CN"/>
        </w:rPr>
      </w:pPr>
    </w:p>
    <w:p w14:paraId="205ADB9E">
      <w:pPr>
        <w:pStyle w:val="2"/>
        <w:ind w:left="0" w:leftChars="0" w:firstLine="0" w:firstLineChars="0"/>
        <w:rPr>
          <w:rFonts w:hint="default" w:ascii="方正黑体_GBK" w:hAnsi="方正黑体_GBK" w:eastAsia="方正黑体_GBK" w:cs="方正黑体_GBK"/>
          <w:kern w:val="0"/>
          <w:sz w:val="32"/>
          <w:szCs w:val="32"/>
          <w:lang w:val="en-US" w:eastAsia="zh-CN"/>
        </w:rPr>
      </w:pPr>
    </w:p>
    <w:p w14:paraId="698B2DE1">
      <w:pPr>
        <w:pStyle w:val="2"/>
        <w:rPr>
          <w:rFonts w:hint="default" w:ascii="仿宋_GB2312" w:hAnsi="仿宋_GB2312" w:eastAsia="仿宋_GB2312" w:cs="仿宋_GB2312"/>
          <w:color w:val="FF0000"/>
          <w:kern w:val="1"/>
          <w:sz w:val="24"/>
          <w:lang w:val="en-US" w:eastAsia="zh-CN"/>
        </w:rPr>
      </w:pP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902542-12BA-40DF-A6AB-475C80EE99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31C3B040-FE54-4209-976A-3E70A8FD3334}"/>
  </w:font>
  <w:font w:name="Cambria">
    <w:panose1 w:val="02040503050406030204"/>
    <w:charset w:val="00"/>
    <w:family w:val="moder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B0D25DA8-282C-4B51-8168-FA539CE0A4C4}"/>
  </w:font>
  <w:font w:name="微软雅黑">
    <w:panose1 w:val="020B0503020204020204"/>
    <w:charset w:val="86"/>
    <w:family w:val="auto"/>
    <w:pitch w:val="default"/>
    <w:sig w:usb0="80000287" w:usb1="280F3C52" w:usb2="00000016" w:usb3="00000000" w:csb0="0004001F" w:csb1="00000000"/>
    <w:embedRegular r:id="rId4" w:fontKey="{15C8FC60-2D0F-4CBF-9E52-826DD352316C}"/>
  </w:font>
  <w:font w:name="仿宋">
    <w:panose1 w:val="02010609060101010101"/>
    <w:charset w:val="86"/>
    <w:family w:val="auto"/>
    <w:pitch w:val="default"/>
    <w:sig w:usb0="800002BF" w:usb1="38CF7CFA" w:usb2="00000016" w:usb3="00000000" w:csb0="00040001" w:csb1="00000000"/>
    <w:embedRegular r:id="rId5" w:fontKey="{E37DC49D-D6A2-42E0-A86B-DCD62E75AC2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099B7"/>
    <w:multiLevelType w:val="singleLevel"/>
    <w:tmpl w:val="F43099B7"/>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67D22FA"/>
    <w:multiLevelType w:val="singleLevel"/>
    <w:tmpl w:val="767D22FA"/>
    <w:lvl w:ilvl="0" w:tentative="0">
      <w:start w:val="3"/>
      <w:numFmt w:val="chineseCounting"/>
      <w:suff w:val="nothing"/>
      <w:lvlText w:val="（%1）"/>
      <w:lvlJc w:val="left"/>
      <w:rPr>
        <w:rFonts w:hint="eastAsia" w:ascii="方正楷体_GBK" w:hAnsi="方正楷体_GBK" w:eastAsia="方正楷体_GBK" w:cs="方正楷体_GBK"/>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00C45D21"/>
    <w:rsid w:val="001049AF"/>
    <w:rsid w:val="00117CC8"/>
    <w:rsid w:val="00146253"/>
    <w:rsid w:val="00174ADE"/>
    <w:rsid w:val="001D1D17"/>
    <w:rsid w:val="002037E9"/>
    <w:rsid w:val="002A141B"/>
    <w:rsid w:val="002C26C0"/>
    <w:rsid w:val="00386328"/>
    <w:rsid w:val="00391D25"/>
    <w:rsid w:val="003B0C36"/>
    <w:rsid w:val="003E5BB6"/>
    <w:rsid w:val="004356E6"/>
    <w:rsid w:val="00435DD9"/>
    <w:rsid w:val="004A50E7"/>
    <w:rsid w:val="0051418A"/>
    <w:rsid w:val="00554FAA"/>
    <w:rsid w:val="005A476D"/>
    <w:rsid w:val="005A64C5"/>
    <w:rsid w:val="00656123"/>
    <w:rsid w:val="0068075D"/>
    <w:rsid w:val="006C349A"/>
    <w:rsid w:val="006E3D0A"/>
    <w:rsid w:val="007050BB"/>
    <w:rsid w:val="00705E50"/>
    <w:rsid w:val="007C74B2"/>
    <w:rsid w:val="007E1821"/>
    <w:rsid w:val="00853D63"/>
    <w:rsid w:val="00894D40"/>
    <w:rsid w:val="00905644"/>
    <w:rsid w:val="00922B7A"/>
    <w:rsid w:val="00973C90"/>
    <w:rsid w:val="009C4CF3"/>
    <w:rsid w:val="00A01812"/>
    <w:rsid w:val="00A14775"/>
    <w:rsid w:val="00A671B4"/>
    <w:rsid w:val="00A8162D"/>
    <w:rsid w:val="00AA195C"/>
    <w:rsid w:val="00AF1713"/>
    <w:rsid w:val="00B108A6"/>
    <w:rsid w:val="00B41462"/>
    <w:rsid w:val="00B44F77"/>
    <w:rsid w:val="00B60319"/>
    <w:rsid w:val="00C45D21"/>
    <w:rsid w:val="00C46C90"/>
    <w:rsid w:val="00C47D8E"/>
    <w:rsid w:val="00CB3844"/>
    <w:rsid w:val="00CE1613"/>
    <w:rsid w:val="00D55A45"/>
    <w:rsid w:val="00D750FB"/>
    <w:rsid w:val="00DB3B29"/>
    <w:rsid w:val="00DE5F1F"/>
    <w:rsid w:val="00DF255F"/>
    <w:rsid w:val="00DF32BD"/>
    <w:rsid w:val="00E0551F"/>
    <w:rsid w:val="00E33050"/>
    <w:rsid w:val="00E6445E"/>
    <w:rsid w:val="00EA0F80"/>
    <w:rsid w:val="00F21CE7"/>
    <w:rsid w:val="00F44D58"/>
    <w:rsid w:val="00F51B3B"/>
    <w:rsid w:val="00F9044A"/>
    <w:rsid w:val="00FD0536"/>
    <w:rsid w:val="00FE0A52"/>
    <w:rsid w:val="01656895"/>
    <w:rsid w:val="01777BD9"/>
    <w:rsid w:val="01950AEB"/>
    <w:rsid w:val="019D1E38"/>
    <w:rsid w:val="01E41154"/>
    <w:rsid w:val="032F2286"/>
    <w:rsid w:val="03713CFB"/>
    <w:rsid w:val="03E0627B"/>
    <w:rsid w:val="047939C0"/>
    <w:rsid w:val="04AA1CBA"/>
    <w:rsid w:val="04EB6681"/>
    <w:rsid w:val="05193B70"/>
    <w:rsid w:val="053C3128"/>
    <w:rsid w:val="056828BE"/>
    <w:rsid w:val="06136950"/>
    <w:rsid w:val="062318A1"/>
    <w:rsid w:val="0653591A"/>
    <w:rsid w:val="06A64D78"/>
    <w:rsid w:val="06B7048E"/>
    <w:rsid w:val="06D03D80"/>
    <w:rsid w:val="06EE4CC3"/>
    <w:rsid w:val="078E5A46"/>
    <w:rsid w:val="07BE4679"/>
    <w:rsid w:val="07E04497"/>
    <w:rsid w:val="081713C4"/>
    <w:rsid w:val="082C7881"/>
    <w:rsid w:val="08934A03"/>
    <w:rsid w:val="08F8136C"/>
    <w:rsid w:val="09247DCC"/>
    <w:rsid w:val="092D5C55"/>
    <w:rsid w:val="09570572"/>
    <w:rsid w:val="09864BCA"/>
    <w:rsid w:val="09CF47C3"/>
    <w:rsid w:val="0A3159BF"/>
    <w:rsid w:val="0A711C0A"/>
    <w:rsid w:val="0AEC6174"/>
    <w:rsid w:val="0AF61B02"/>
    <w:rsid w:val="0AFD780F"/>
    <w:rsid w:val="0B3376C1"/>
    <w:rsid w:val="0B4867FD"/>
    <w:rsid w:val="0B5A4068"/>
    <w:rsid w:val="0B676377"/>
    <w:rsid w:val="0BDB51A9"/>
    <w:rsid w:val="0BF272D2"/>
    <w:rsid w:val="0C8E7E92"/>
    <w:rsid w:val="0D415BDD"/>
    <w:rsid w:val="0D75133F"/>
    <w:rsid w:val="0D8E5814"/>
    <w:rsid w:val="0D9213D4"/>
    <w:rsid w:val="0DA47D15"/>
    <w:rsid w:val="0DE77B5E"/>
    <w:rsid w:val="0E120EEB"/>
    <w:rsid w:val="0E1704E7"/>
    <w:rsid w:val="0E34558B"/>
    <w:rsid w:val="0E83792A"/>
    <w:rsid w:val="0E8A5090"/>
    <w:rsid w:val="0E974BFD"/>
    <w:rsid w:val="0EBC4F8B"/>
    <w:rsid w:val="0F232368"/>
    <w:rsid w:val="0F501F02"/>
    <w:rsid w:val="0F60049C"/>
    <w:rsid w:val="0FAD1102"/>
    <w:rsid w:val="105C40E4"/>
    <w:rsid w:val="10637DEB"/>
    <w:rsid w:val="10BD59B7"/>
    <w:rsid w:val="10CA33D3"/>
    <w:rsid w:val="10F20D97"/>
    <w:rsid w:val="11020C70"/>
    <w:rsid w:val="11133A6D"/>
    <w:rsid w:val="1171200C"/>
    <w:rsid w:val="1180087C"/>
    <w:rsid w:val="11C44012"/>
    <w:rsid w:val="1233386D"/>
    <w:rsid w:val="123579E9"/>
    <w:rsid w:val="125E4936"/>
    <w:rsid w:val="12A32349"/>
    <w:rsid w:val="12C0464D"/>
    <w:rsid w:val="1308146B"/>
    <w:rsid w:val="13264EE2"/>
    <w:rsid w:val="133D56D1"/>
    <w:rsid w:val="140339A4"/>
    <w:rsid w:val="14117786"/>
    <w:rsid w:val="14117F91"/>
    <w:rsid w:val="14171081"/>
    <w:rsid w:val="148534B4"/>
    <w:rsid w:val="14E200DE"/>
    <w:rsid w:val="15182CC0"/>
    <w:rsid w:val="152C01CB"/>
    <w:rsid w:val="15701B77"/>
    <w:rsid w:val="15714980"/>
    <w:rsid w:val="15D67BDB"/>
    <w:rsid w:val="15F13FFC"/>
    <w:rsid w:val="16375FD0"/>
    <w:rsid w:val="165F0C7D"/>
    <w:rsid w:val="17057AF1"/>
    <w:rsid w:val="178C2434"/>
    <w:rsid w:val="17966404"/>
    <w:rsid w:val="17FC7F32"/>
    <w:rsid w:val="181A30AD"/>
    <w:rsid w:val="184074FE"/>
    <w:rsid w:val="18A9769D"/>
    <w:rsid w:val="18DC0363"/>
    <w:rsid w:val="19112A4A"/>
    <w:rsid w:val="19175799"/>
    <w:rsid w:val="1945415A"/>
    <w:rsid w:val="198F3627"/>
    <w:rsid w:val="19BB4BF7"/>
    <w:rsid w:val="19CB12B3"/>
    <w:rsid w:val="19CC487B"/>
    <w:rsid w:val="19F31E08"/>
    <w:rsid w:val="1A051B3B"/>
    <w:rsid w:val="1A0C5F31"/>
    <w:rsid w:val="1AE364B6"/>
    <w:rsid w:val="1B27179A"/>
    <w:rsid w:val="1B3133D3"/>
    <w:rsid w:val="1B8624DD"/>
    <w:rsid w:val="1BA33BEC"/>
    <w:rsid w:val="1BAB7A14"/>
    <w:rsid w:val="1BD507E9"/>
    <w:rsid w:val="1BE32C15"/>
    <w:rsid w:val="1BE705C9"/>
    <w:rsid w:val="1BE90E79"/>
    <w:rsid w:val="1C013E26"/>
    <w:rsid w:val="1C147F54"/>
    <w:rsid w:val="1C30737B"/>
    <w:rsid w:val="1C4C4B9B"/>
    <w:rsid w:val="1D5F0F0F"/>
    <w:rsid w:val="1D696C3F"/>
    <w:rsid w:val="1DB14A0B"/>
    <w:rsid w:val="1DDA3719"/>
    <w:rsid w:val="1DDE692B"/>
    <w:rsid w:val="1E081BFA"/>
    <w:rsid w:val="1E116D00"/>
    <w:rsid w:val="1EA24D25"/>
    <w:rsid w:val="1F0C5C88"/>
    <w:rsid w:val="1F124BE1"/>
    <w:rsid w:val="1F126C88"/>
    <w:rsid w:val="1F4C5B16"/>
    <w:rsid w:val="1FB301B8"/>
    <w:rsid w:val="202A1546"/>
    <w:rsid w:val="202A40A9"/>
    <w:rsid w:val="204D7932"/>
    <w:rsid w:val="207D7466"/>
    <w:rsid w:val="208222FB"/>
    <w:rsid w:val="210241D0"/>
    <w:rsid w:val="214B2529"/>
    <w:rsid w:val="22282CCC"/>
    <w:rsid w:val="224B0A97"/>
    <w:rsid w:val="22723AE6"/>
    <w:rsid w:val="228A060E"/>
    <w:rsid w:val="22C74335"/>
    <w:rsid w:val="22F3219E"/>
    <w:rsid w:val="232E600D"/>
    <w:rsid w:val="24086876"/>
    <w:rsid w:val="246116F0"/>
    <w:rsid w:val="24623C09"/>
    <w:rsid w:val="246245B1"/>
    <w:rsid w:val="24871943"/>
    <w:rsid w:val="24C33D1A"/>
    <w:rsid w:val="24DB0068"/>
    <w:rsid w:val="24FA6582"/>
    <w:rsid w:val="2589055E"/>
    <w:rsid w:val="25F9125E"/>
    <w:rsid w:val="2663385B"/>
    <w:rsid w:val="266C685F"/>
    <w:rsid w:val="26E80FFE"/>
    <w:rsid w:val="279325A6"/>
    <w:rsid w:val="2877430E"/>
    <w:rsid w:val="287B7B98"/>
    <w:rsid w:val="288023F3"/>
    <w:rsid w:val="288325A9"/>
    <w:rsid w:val="28C05695"/>
    <w:rsid w:val="28CE1CA7"/>
    <w:rsid w:val="29584876"/>
    <w:rsid w:val="299B7DC6"/>
    <w:rsid w:val="29B36EBE"/>
    <w:rsid w:val="29C27101"/>
    <w:rsid w:val="2A1468AC"/>
    <w:rsid w:val="2A4857F0"/>
    <w:rsid w:val="2A645CAD"/>
    <w:rsid w:val="2A6C19EC"/>
    <w:rsid w:val="2A9E1972"/>
    <w:rsid w:val="2A9F638E"/>
    <w:rsid w:val="2AF61F1D"/>
    <w:rsid w:val="2B6627DC"/>
    <w:rsid w:val="2B68125E"/>
    <w:rsid w:val="2B746B21"/>
    <w:rsid w:val="2B8D7298"/>
    <w:rsid w:val="2BD21A02"/>
    <w:rsid w:val="2C1507F3"/>
    <w:rsid w:val="2C4D3321"/>
    <w:rsid w:val="2DA51213"/>
    <w:rsid w:val="2DB43204"/>
    <w:rsid w:val="2E6A615C"/>
    <w:rsid w:val="2E8364D0"/>
    <w:rsid w:val="2ED7364E"/>
    <w:rsid w:val="2F1F1579"/>
    <w:rsid w:val="2F8A7C47"/>
    <w:rsid w:val="2F8E0562"/>
    <w:rsid w:val="2F9803AC"/>
    <w:rsid w:val="300131A6"/>
    <w:rsid w:val="30C45A71"/>
    <w:rsid w:val="30E402A4"/>
    <w:rsid w:val="30FE1366"/>
    <w:rsid w:val="31552326"/>
    <w:rsid w:val="31E640FD"/>
    <w:rsid w:val="31EB39D4"/>
    <w:rsid w:val="31EF6F01"/>
    <w:rsid w:val="327112D7"/>
    <w:rsid w:val="32CB5278"/>
    <w:rsid w:val="32DA05FD"/>
    <w:rsid w:val="32DF6682"/>
    <w:rsid w:val="32E77EFC"/>
    <w:rsid w:val="32FD73FC"/>
    <w:rsid w:val="334A7792"/>
    <w:rsid w:val="33646075"/>
    <w:rsid w:val="33EF1298"/>
    <w:rsid w:val="33F702EF"/>
    <w:rsid w:val="34420633"/>
    <w:rsid w:val="358F1EEB"/>
    <w:rsid w:val="35A818A1"/>
    <w:rsid w:val="35E13004"/>
    <w:rsid w:val="360D5BA8"/>
    <w:rsid w:val="36322CCC"/>
    <w:rsid w:val="36323FE7"/>
    <w:rsid w:val="367C137F"/>
    <w:rsid w:val="36A26EF5"/>
    <w:rsid w:val="36A50A28"/>
    <w:rsid w:val="36A858D0"/>
    <w:rsid w:val="36D44917"/>
    <w:rsid w:val="371D75ED"/>
    <w:rsid w:val="37792256"/>
    <w:rsid w:val="37945F72"/>
    <w:rsid w:val="37A442EA"/>
    <w:rsid w:val="38303DCF"/>
    <w:rsid w:val="38606463"/>
    <w:rsid w:val="38B0063F"/>
    <w:rsid w:val="38E946AA"/>
    <w:rsid w:val="39131727"/>
    <w:rsid w:val="39F50E2C"/>
    <w:rsid w:val="39FB51A0"/>
    <w:rsid w:val="3A0D6176"/>
    <w:rsid w:val="3A20637A"/>
    <w:rsid w:val="3A3E0A25"/>
    <w:rsid w:val="3AB57C56"/>
    <w:rsid w:val="3B0A78BE"/>
    <w:rsid w:val="3B0B262F"/>
    <w:rsid w:val="3B0E03F8"/>
    <w:rsid w:val="3B1F064C"/>
    <w:rsid w:val="3B411480"/>
    <w:rsid w:val="3B4B77C9"/>
    <w:rsid w:val="3BDA3C5B"/>
    <w:rsid w:val="3C075498"/>
    <w:rsid w:val="3C432919"/>
    <w:rsid w:val="3C982989"/>
    <w:rsid w:val="3C9E1E47"/>
    <w:rsid w:val="3CA42DBF"/>
    <w:rsid w:val="3CEB63D0"/>
    <w:rsid w:val="3D49251B"/>
    <w:rsid w:val="3DE32C6A"/>
    <w:rsid w:val="3E407007"/>
    <w:rsid w:val="3E5F50BB"/>
    <w:rsid w:val="3EA77CD0"/>
    <w:rsid w:val="3EAA6689"/>
    <w:rsid w:val="3F8C2233"/>
    <w:rsid w:val="3FEC4A80"/>
    <w:rsid w:val="40730CFD"/>
    <w:rsid w:val="40DF6392"/>
    <w:rsid w:val="417C1E33"/>
    <w:rsid w:val="41A82C28"/>
    <w:rsid w:val="41C51A2C"/>
    <w:rsid w:val="41E87C27"/>
    <w:rsid w:val="41EE7702"/>
    <w:rsid w:val="421206CD"/>
    <w:rsid w:val="42307D25"/>
    <w:rsid w:val="42784CF1"/>
    <w:rsid w:val="4292354B"/>
    <w:rsid w:val="42F44377"/>
    <w:rsid w:val="44374C79"/>
    <w:rsid w:val="449F0DA3"/>
    <w:rsid w:val="44C45BCB"/>
    <w:rsid w:val="45045C89"/>
    <w:rsid w:val="453066F8"/>
    <w:rsid w:val="45D73C90"/>
    <w:rsid w:val="466F4CE0"/>
    <w:rsid w:val="46870B49"/>
    <w:rsid w:val="46DB11E7"/>
    <w:rsid w:val="46E77855"/>
    <w:rsid w:val="46E909B9"/>
    <w:rsid w:val="472A044C"/>
    <w:rsid w:val="47AA78B7"/>
    <w:rsid w:val="480A0431"/>
    <w:rsid w:val="4820176A"/>
    <w:rsid w:val="48B331F5"/>
    <w:rsid w:val="48E07C53"/>
    <w:rsid w:val="493F097D"/>
    <w:rsid w:val="4973088D"/>
    <w:rsid w:val="497F0713"/>
    <w:rsid w:val="49AD4E50"/>
    <w:rsid w:val="49FF1868"/>
    <w:rsid w:val="4A0D1A95"/>
    <w:rsid w:val="4A413C1A"/>
    <w:rsid w:val="4A58649B"/>
    <w:rsid w:val="4AC23E67"/>
    <w:rsid w:val="4B06733D"/>
    <w:rsid w:val="4B2868E7"/>
    <w:rsid w:val="4B577B99"/>
    <w:rsid w:val="4BC15012"/>
    <w:rsid w:val="4C1C049B"/>
    <w:rsid w:val="4C4802F9"/>
    <w:rsid w:val="4C611AC3"/>
    <w:rsid w:val="4CB93146"/>
    <w:rsid w:val="4D0D294C"/>
    <w:rsid w:val="4D3D4B6D"/>
    <w:rsid w:val="4D73517C"/>
    <w:rsid w:val="4E0336C0"/>
    <w:rsid w:val="4E106094"/>
    <w:rsid w:val="4E8314AE"/>
    <w:rsid w:val="4EEA0D24"/>
    <w:rsid w:val="4F202E8B"/>
    <w:rsid w:val="4F3F1B86"/>
    <w:rsid w:val="4F483359"/>
    <w:rsid w:val="50092C3B"/>
    <w:rsid w:val="50397C5E"/>
    <w:rsid w:val="503A35E5"/>
    <w:rsid w:val="50B03CD7"/>
    <w:rsid w:val="5111214A"/>
    <w:rsid w:val="51C25640"/>
    <w:rsid w:val="521828C1"/>
    <w:rsid w:val="524B41F4"/>
    <w:rsid w:val="5264234F"/>
    <w:rsid w:val="53547192"/>
    <w:rsid w:val="53CE4B7C"/>
    <w:rsid w:val="53F35F85"/>
    <w:rsid w:val="540B7291"/>
    <w:rsid w:val="541C1980"/>
    <w:rsid w:val="54464267"/>
    <w:rsid w:val="54554E92"/>
    <w:rsid w:val="54937A91"/>
    <w:rsid w:val="54AE4F22"/>
    <w:rsid w:val="54CA4149"/>
    <w:rsid w:val="552A0DA7"/>
    <w:rsid w:val="55465502"/>
    <w:rsid w:val="556B13E7"/>
    <w:rsid w:val="559002A6"/>
    <w:rsid w:val="55EB7976"/>
    <w:rsid w:val="56180104"/>
    <w:rsid w:val="563A7096"/>
    <w:rsid w:val="56424B82"/>
    <w:rsid w:val="56A77FE6"/>
    <w:rsid w:val="56D7230C"/>
    <w:rsid w:val="56DD5E7E"/>
    <w:rsid w:val="56E524FD"/>
    <w:rsid w:val="57514C26"/>
    <w:rsid w:val="57633422"/>
    <w:rsid w:val="578E474D"/>
    <w:rsid w:val="57B230BA"/>
    <w:rsid w:val="58650D9E"/>
    <w:rsid w:val="58A00CF4"/>
    <w:rsid w:val="59460183"/>
    <w:rsid w:val="59505C28"/>
    <w:rsid w:val="59ED52F5"/>
    <w:rsid w:val="5AB17726"/>
    <w:rsid w:val="5AF538F6"/>
    <w:rsid w:val="5B2D7CE8"/>
    <w:rsid w:val="5B791466"/>
    <w:rsid w:val="5B8A4E2B"/>
    <w:rsid w:val="5B9B58B4"/>
    <w:rsid w:val="5BE03293"/>
    <w:rsid w:val="5BE83AEC"/>
    <w:rsid w:val="5C221AFD"/>
    <w:rsid w:val="5C625E0A"/>
    <w:rsid w:val="5C693288"/>
    <w:rsid w:val="5C7E6153"/>
    <w:rsid w:val="5C9A78E6"/>
    <w:rsid w:val="5CB308A9"/>
    <w:rsid w:val="5CBE511A"/>
    <w:rsid w:val="5CD40BD9"/>
    <w:rsid w:val="5CDD04F0"/>
    <w:rsid w:val="5D0C00B7"/>
    <w:rsid w:val="5D186A5C"/>
    <w:rsid w:val="5DAA7FFC"/>
    <w:rsid w:val="5E356992"/>
    <w:rsid w:val="5E443FAD"/>
    <w:rsid w:val="5E957E7A"/>
    <w:rsid w:val="5EB629D1"/>
    <w:rsid w:val="5ECF75EF"/>
    <w:rsid w:val="5F143116"/>
    <w:rsid w:val="5F322719"/>
    <w:rsid w:val="5F461E36"/>
    <w:rsid w:val="5F702B80"/>
    <w:rsid w:val="5F872FD9"/>
    <w:rsid w:val="5F9E6674"/>
    <w:rsid w:val="5FBA292E"/>
    <w:rsid w:val="5FEA46E0"/>
    <w:rsid w:val="6044419E"/>
    <w:rsid w:val="60624BBE"/>
    <w:rsid w:val="60844B35"/>
    <w:rsid w:val="609351E9"/>
    <w:rsid w:val="6094045F"/>
    <w:rsid w:val="60AB0B37"/>
    <w:rsid w:val="60F32689"/>
    <w:rsid w:val="60F572E8"/>
    <w:rsid w:val="612A5A76"/>
    <w:rsid w:val="61731758"/>
    <w:rsid w:val="619F21C8"/>
    <w:rsid w:val="61C64CD9"/>
    <w:rsid w:val="61EA6C19"/>
    <w:rsid w:val="61F07DAC"/>
    <w:rsid w:val="621041A6"/>
    <w:rsid w:val="621E5A8D"/>
    <w:rsid w:val="624F6626"/>
    <w:rsid w:val="62B02824"/>
    <w:rsid w:val="631A1559"/>
    <w:rsid w:val="63441800"/>
    <w:rsid w:val="63A829F0"/>
    <w:rsid w:val="63D83A12"/>
    <w:rsid w:val="63F07E85"/>
    <w:rsid w:val="640C041C"/>
    <w:rsid w:val="6429154F"/>
    <w:rsid w:val="653F443F"/>
    <w:rsid w:val="66577D56"/>
    <w:rsid w:val="669730E8"/>
    <w:rsid w:val="66CC170A"/>
    <w:rsid w:val="66E55C01"/>
    <w:rsid w:val="6712451C"/>
    <w:rsid w:val="6714470C"/>
    <w:rsid w:val="6757532A"/>
    <w:rsid w:val="67C1666E"/>
    <w:rsid w:val="67EF2B7F"/>
    <w:rsid w:val="68112A26"/>
    <w:rsid w:val="68663A29"/>
    <w:rsid w:val="68721283"/>
    <w:rsid w:val="68CC5E3B"/>
    <w:rsid w:val="6915776F"/>
    <w:rsid w:val="69450BD9"/>
    <w:rsid w:val="69635503"/>
    <w:rsid w:val="697C3EC8"/>
    <w:rsid w:val="69971A21"/>
    <w:rsid w:val="69B7302F"/>
    <w:rsid w:val="6A48205B"/>
    <w:rsid w:val="6A490EEE"/>
    <w:rsid w:val="6A9C4961"/>
    <w:rsid w:val="6BF95CB0"/>
    <w:rsid w:val="6BFD3860"/>
    <w:rsid w:val="6C4D5981"/>
    <w:rsid w:val="6C961E4E"/>
    <w:rsid w:val="6CE60925"/>
    <w:rsid w:val="6D5C4743"/>
    <w:rsid w:val="6D6B05C8"/>
    <w:rsid w:val="6D6F3F34"/>
    <w:rsid w:val="6D71150E"/>
    <w:rsid w:val="6D884EE9"/>
    <w:rsid w:val="6DED6DD5"/>
    <w:rsid w:val="6E166FE8"/>
    <w:rsid w:val="6E1F57B8"/>
    <w:rsid w:val="6E4D30AD"/>
    <w:rsid w:val="6E661451"/>
    <w:rsid w:val="6E7B7615"/>
    <w:rsid w:val="6EA20099"/>
    <w:rsid w:val="6EE52135"/>
    <w:rsid w:val="6EFA0593"/>
    <w:rsid w:val="6F1F6075"/>
    <w:rsid w:val="6F2D2250"/>
    <w:rsid w:val="6FBF081F"/>
    <w:rsid w:val="704E2BDF"/>
    <w:rsid w:val="70A079B6"/>
    <w:rsid w:val="713752AB"/>
    <w:rsid w:val="719B1CDE"/>
    <w:rsid w:val="71DF27D4"/>
    <w:rsid w:val="71E7188F"/>
    <w:rsid w:val="72271CD2"/>
    <w:rsid w:val="725F1775"/>
    <w:rsid w:val="72CB03A1"/>
    <w:rsid w:val="72D57472"/>
    <w:rsid w:val="734B19D0"/>
    <w:rsid w:val="73B57AA8"/>
    <w:rsid w:val="73ED4AD0"/>
    <w:rsid w:val="745E239E"/>
    <w:rsid w:val="746F1200"/>
    <w:rsid w:val="74802E55"/>
    <w:rsid w:val="74AF784E"/>
    <w:rsid w:val="74BA06CD"/>
    <w:rsid w:val="74D60490"/>
    <w:rsid w:val="74EE2931"/>
    <w:rsid w:val="75183AAA"/>
    <w:rsid w:val="7539087A"/>
    <w:rsid w:val="75DA6B4D"/>
    <w:rsid w:val="760E58D6"/>
    <w:rsid w:val="76621657"/>
    <w:rsid w:val="76742AFE"/>
    <w:rsid w:val="768076F4"/>
    <w:rsid w:val="78281DF2"/>
    <w:rsid w:val="78403936"/>
    <w:rsid w:val="789E71A6"/>
    <w:rsid w:val="79175B26"/>
    <w:rsid w:val="794176B1"/>
    <w:rsid w:val="79786DA9"/>
    <w:rsid w:val="79CE0777"/>
    <w:rsid w:val="79F0714E"/>
    <w:rsid w:val="7A9B2D4F"/>
    <w:rsid w:val="7AAD2A82"/>
    <w:rsid w:val="7B2210AC"/>
    <w:rsid w:val="7B244FA8"/>
    <w:rsid w:val="7B2F5855"/>
    <w:rsid w:val="7B4707E1"/>
    <w:rsid w:val="7BC5342E"/>
    <w:rsid w:val="7BEF5015"/>
    <w:rsid w:val="7C3B3EC8"/>
    <w:rsid w:val="7C4A4A2C"/>
    <w:rsid w:val="7D586923"/>
    <w:rsid w:val="7D7C4CE2"/>
    <w:rsid w:val="7DAC7021"/>
    <w:rsid w:val="7DC1685E"/>
    <w:rsid w:val="7DCA6952"/>
    <w:rsid w:val="7DEE57B6"/>
    <w:rsid w:val="7E2C6434"/>
    <w:rsid w:val="7E6E23AB"/>
    <w:rsid w:val="7E811003"/>
    <w:rsid w:val="7E98143A"/>
    <w:rsid w:val="7EEA1BAF"/>
    <w:rsid w:val="7EF13F17"/>
    <w:rsid w:val="7F0276E5"/>
    <w:rsid w:val="7F532CB7"/>
    <w:rsid w:val="7FB90718"/>
    <w:rsid w:val="7FC15811"/>
    <w:rsid w:val="7FE458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9"/>
    <w:pPr>
      <w:keepNext/>
      <w:keepLines/>
      <w:jc w:val="center"/>
      <w:outlineLvl w:val="0"/>
    </w:pPr>
    <w:rPr>
      <w:rFonts w:eastAsia="黑体"/>
      <w:b/>
      <w:bCs/>
      <w:kern w:val="44"/>
      <w:sz w:val="44"/>
      <w:szCs w:val="44"/>
    </w:rPr>
  </w:style>
  <w:style w:type="paragraph" w:styleId="5">
    <w:name w:val="heading 3"/>
    <w:basedOn w:val="1"/>
    <w:next w:val="1"/>
    <w:link w:val="22"/>
    <w:qFormat/>
    <w:uiPriority w:val="0"/>
    <w:pPr>
      <w:keepNext/>
      <w:keepLines/>
      <w:spacing w:before="260" w:after="260" w:line="413" w:lineRule="auto"/>
      <w:outlineLvl w:val="2"/>
    </w:pPr>
    <w:rPr>
      <w:rFonts w:eastAsia="‹ÎSå"/>
      <w:b/>
      <w:sz w:val="32"/>
      <w:szCs w:val="32"/>
      <w:lang w:val="zh-CN"/>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alloon Text"/>
    <w:basedOn w:val="1"/>
    <w:link w:val="23"/>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u w:val="single"/>
    </w:rPr>
  </w:style>
  <w:style w:type="paragraph" w:customStyle="1" w:styleId="17">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99"/>
    <w:pPr>
      <w:ind w:firstLine="420" w:firstLineChars="200"/>
    </w:pPr>
  </w:style>
  <w:style w:type="character" w:customStyle="1" w:styleId="20">
    <w:name w:val="页眉 Char"/>
    <w:basedOn w:val="15"/>
    <w:link w:val="11"/>
    <w:semiHidden/>
    <w:qFormat/>
    <w:uiPriority w:val="99"/>
    <w:rPr>
      <w:sz w:val="18"/>
      <w:szCs w:val="18"/>
    </w:rPr>
  </w:style>
  <w:style w:type="character" w:customStyle="1" w:styleId="21">
    <w:name w:val="页脚 Char"/>
    <w:basedOn w:val="15"/>
    <w:link w:val="10"/>
    <w:semiHidden/>
    <w:qFormat/>
    <w:uiPriority w:val="99"/>
    <w:rPr>
      <w:sz w:val="18"/>
      <w:szCs w:val="18"/>
    </w:rPr>
  </w:style>
  <w:style w:type="character" w:customStyle="1" w:styleId="22">
    <w:name w:val="标题 3 Char"/>
    <w:basedOn w:val="15"/>
    <w:link w:val="5"/>
    <w:qFormat/>
    <w:uiPriority w:val="0"/>
    <w:rPr>
      <w:rFonts w:ascii="Times New Roman" w:hAnsi="Times New Roman" w:eastAsia="‹ÎSå" w:cs="Times New Roman"/>
      <w:b/>
      <w:color w:val="000000"/>
      <w:kern w:val="0"/>
      <w:sz w:val="32"/>
      <w:szCs w:val="32"/>
      <w:lang w:val="zh-CN"/>
    </w:rPr>
  </w:style>
  <w:style w:type="character" w:customStyle="1" w:styleId="23">
    <w:name w:val="批注框文本 Char"/>
    <w:basedOn w:val="15"/>
    <w:link w:val="9"/>
    <w:semiHidden/>
    <w:qFormat/>
    <w:uiPriority w:val="99"/>
    <w:rPr>
      <w:rFonts w:ascii="Times New Roman" w:hAnsi="Times New Roman" w:eastAsia="宋体" w:cs="Times New Roman"/>
      <w:color w:val="000000"/>
      <w:sz w:val="18"/>
      <w:szCs w:val="18"/>
    </w:rPr>
  </w:style>
  <w:style w:type="character" w:customStyle="1" w:styleId="24">
    <w:name w:val="font21"/>
    <w:basedOn w:val="15"/>
    <w:qFormat/>
    <w:uiPriority w:val="0"/>
    <w:rPr>
      <w:rFonts w:hint="eastAsia" w:ascii="方正仿宋简体" w:hAnsi="方正仿宋简体" w:eastAsia="方正仿宋简体" w:cs="方正仿宋简体"/>
      <w:color w:val="000000"/>
      <w:sz w:val="32"/>
      <w:szCs w:val="32"/>
      <w:u w:val="single"/>
    </w:rPr>
  </w:style>
  <w:style w:type="character" w:customStyle="1" w:styleId="25">
    <w:name w:val="font11"/>
    <w:basedOn w:val="15"/>
    <w:qFormat/>
    <w:uiPriority w:val="0"/>
    <w:rPr>
      <w:rFonts w:hint="eastAsia" w:ascii="方正仿宋简体" w:hAnsi="方正仿宋简体" w:eastAsia="方正仿宋简体" w:cs="方正仿宋简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2472</Words>
  <Characters>2728</Characters>
  <Lines>19</Lines>
  <Paragraphs>5</Paragraphs>
  <TotalTime>0</TotalTime>
  <ScaleCrop>false</ScaleCrop>
  <LinksUpToDate>false</LinksUpToDate>
  <CharactersWithSpaces>2776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2017-05-19T03:41:00Z</dcterms:created>
  <dc:creator>胡彪</dc:creator>
  <cp:lastModifiedBy>yyq.</cp:lastModifiedBy>
  <cp:lastPrinted>2024-09-04T01:57:00Z</cp:lastPrinted>
  <dcterms:modified xsi:type="dcterms:W3CDTF">2024-12-12T07:13:15Z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C2D2A638D86E4F5694FB83CB73C6FE07_13</vt:lpwstr>
  </property>
  <property fmtid="{D5CDD505-2E9C-101B-9397-08002B2CF9AE}" pid="4" name="KSOSaveFontToCloudKey">
    <vt:lpwstr>313945102_cloud</vt:lpwstr>
  </property>
</Properties>
</file>