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FA14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1"/>
          <w:sz w:val="44"/>
          <w:szCs w:val="44"/>
        </w:rPr>
        <w:t>江苏索普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1"/>
          <w:sz w:val="44"/>
          <w:szCs w:val="44"/>
          <w:lang w:val="en-US" w:eastAsia="zh-CN"/>
        </w:rPr>
        <w:t>新材料科技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1"/>
          <w:sz w:val="44"/>
          <w:szCs w:val="44"/>
        </w:rPr>
        <w:t>有限公司</w:t>
      </w:r>
    </w:p>
    <w:p w14:paraId="5BF46519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1"/>
          <w:sz w:val="44"/>
          <w:szCs w:val="44"/>
        </w:rPr>
        <w:t>年度电力采购文件</w:t>
      </w:r>
    </w:p>
    <w:p w14:paraId="7A0785B9">
      <w:pPr>
        <w:adjustRightInd w:val="0"/>
        <w:snapToGrid w:val="0"/>
        <w:spacing w:line="600" w:lineRule="exact"/>
        <w:jc w:val="left"/>
        <w:rPr>
          <w:rFonts w:ascii="仿宋_GB2312" w:hAnsi="仿宋_GB2312" w:eastAsia="仿宋_GB2312" w:cs="仿宋_GB2312"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 xml:space="preserve">    </w:t>
      </w:r>
    </w:p>
    <w:p w14:paraId="5428B219"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我公司现需采购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>年电能量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 xml:space="preserve"> 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zh-CN"/>
        </w:rPr>
        <w:t>采用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公开采购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zh-CN"/>
        </w:rPr>
        <w:t>的方式选定供应商，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特邀请贵单位参与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。</w:t>
      </w:r>
    </w:p>
    <w:p w14:paraId="309720CD"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一、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概况：</w:t>
      </w:r>
    </w:p>
    <w:p w14:paraId="2B75FF64"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highlight w:val="none"/>
        </w:rPr>
        <w:t>（一）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名称：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>年度江苏索普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新材料科技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>有限公司电能量采购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</w:p>
    <w:p w14:paraId="25C35AFE"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highlight w:val="none"/>
        </w:rPr>
        <w:t>（二）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截止时间202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日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时（北京时间）；</w:t>
      </w:r>
    </w:p>
    <w:p w14:paraId="7F66E612">
      <w:pPr>
        <w:adjustRightInd w:val="0"/>
        <w:snapToGrid w:val="0"/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highlight w:val="none"/>
        </w:rPr>
        <w:t>（三）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highlight w:val="none"/>
          <w:lang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highlight w:val="none"/>
        </w:rPr>
        <w:t>时间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日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single"/>
        </w:rPr>
        <w:t xml:space="preserve"> 14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时（北京时间）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highlight w:val="none"/>
        </w:rPr>
        <w:t>；</w:t>
      </w:r>
    </w:p>
    <w:p w14:paraId="76A4E4EB">
      <w:pPr>
        <w:adjustRightInd w:val="0"/>
        <w:snapToGrid w:val="0"/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highlight w:val="none"/>
        </w:rPr>
        <w:t>（四）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highlight w:val="none"/>
          <w:lang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highlight w:val="none"/>
        </w:rPr>
        <w:t>地点：江苏索普(集团)有限公司评审中心；</w:t>
      </w:r>
    </w:p>
    <w:p w14:paraId="1E711D97">
      <w:pPr>
        <w:adjustRightInd w:val="0"/>
        <w:snapToGrid w:val="0"/>
        <w:spacing w:line="600" w:lineRule="exact"/>
        <w:rPr>
          <w:rFonts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 xml:space="preserve">    二、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内容：</w:t>
      </w:r>
    </w:p>
    <w:p w14:paraId="46559331">
      <w:pPr>
        <w:adjustRightInd w:val="0"/>
        <w:snapToGrid w:val="0"/>
        <w:spacing w:line="600" w:lineRule="exac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 xml:space="preserve">    （一）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 xml:space="preserve">内容    </w:t>
      </w:r>
    </w:p>
    <w:p w14:paraId="1364828C">
      <w:pPr>
        <w:adjustRightInd w:val="0"/>
        <w:snapToGrid w:val="0"/>
        <w:spacing w:line="600" w:lineRule="exact"/>
        <w:ind w:firstLine="600"/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江苏索普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新材料科技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有限公司现有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装置区的110kV变电所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u w:val="single"/>
        </w:rPr>
        <w:t>用电户号：3201000857151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和醋酸乙烯项目地块10kV变电所（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u w:val="single"/>
          <w:lang w:val="en-US" w:eastAsia="zh-CN"/>
        </w:rPr>
        <w:t>用电户号:3203085792840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 xml:space="preserve">，最高用电电压等级为110千伏。            </w:t>
      </w:r>
    </w:p>
    <w:p w14:paraId="402C741A">
      <w:pPr>
        <w:adjustRightInd w:val="0"/>
        <w:snapToGrid w:val="0"/>
        <w:spacing w:line="600" w:lineRule="exact"/>
        <w:ind w:firstLine="600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年全年预计需购电量为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u w:val="single"/>
        </w:rPr>
        <w:t>5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u w:val="single"/>
        </w:rPr>
        <w:t>000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万千瓦时，经公司综合考虑20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年为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u w:val="single"/>
        </w:rPr>
        <w:t>二类用户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 xml:space="preserve">。                        </w:t>
      </w:r>
    </w:p>
    <w:p w14:paraId="53BF83E9">
      <w:pPr>
        <w:adjustRightInd w:val="0"/>
        <w:snapToGrid w:val="0"/>
        <w:spacing w:line="600" w:lineRule="exact"/>
        <w:ind w:firstLine="579" w:firstLineChars="193"/>
        <w:rPr>
          <w:rFonts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（二）技术要求</w:t>
      </w:r>
    </w:p>
    <w:p w14:paraId="468FA2F5">
      <w:pPr>
        <w:adjustRightInd w:val="0"/>
        <w:snapToGrid w:val="0"/>
        <w:spacing w:line="600" w:lineRule="exact"/>
        <w:ind w:left="301" w:firstLine="300" w:firstLineChars="100"/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年度电量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需承担所有偏差考核部分，并在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书上注</w:t>
      </w:r>
    </w:p>
    <w:p w14:paraId="1C2B8A68">
      <w:pPr>
        <w:adjustRightInd w:val="0"/>
        <w:snapToGrid w:val="0"/>
        <w:spacing w:line="600" w:lineRule="exac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明。</w:t>
      </w:r>
    </w:p>
    <w:p w14:paraId="21746F33">
      <w:pPr>
        <w:adjustRightInd w:val="0"/>
        <w:snapToGrid w:val="0"/>
        <w:spacing w:line="600" w:lineRule="exact"/>
        <w:rPr>
          <w:rFonts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 xml:space="preserve">    三、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人资质与要求：</w:t>
      </w:r>
    </w:p>
    <w:p w14:paraId="4165D009">
      <w:pPr>
        <w:pStyle w:val="2"/>
        <w:spacing w:line="600" w:lineRule="exact"/>
        <w:rPr>
          <w:rFonts w:hint="eastAsia" w:ascii="仿宋" w:hAnsi="仿宋" w:eastAsia="仿宋_GB2312" w:cs="仿宋"/>
          <w:bCs/>
          <w:color w:val="auto"/>
          <w:sz w:val="30"/>
          <w:szCs w:val="30"/>
          <w:shd w:val="clear" w:color="FFFFFF" w:fill="D9D9D9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shd w:val="clear" w:color="FFFFFF" w:fill="D9D9D9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  <w:lang w:eastAsia="zh-CN"/>
        </w:rPr>
        <w:t>报价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</w:rPr>
        <w:t>人必须具备中华人民共和国境内生产或经营应具备的合法资质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  <w:lang w:val="en-US" w:eastAsia="zh-CN"/>
        </w:rPr>
        <w:t>需提供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</w:rPr>
        <w:t>营业执照、税务登记证、组织机构代码证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  <w:lang w:val="en-US" w:eastAsia="zh-CN"/>
        </w:rPr>
        <w:t>或三证合一）；未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>列入失信被执行人、重大违法案件当事人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eastAsia="zh-CN"/>
        </w:rPr>
        <w:t>。</w:t>
      </w:r>
    </w:p>
    <w:p w14:paraId="6332F83B">
      <w:pPr>
        <w:pStyle w:val="2"/>
        <w:spacing w:line="600" w:lineRule="exact"/>
        <w:jc w:val="left"/>
        <w:rPr>
          <w:rFonts w:hint="eastAsia" w:ascii="仿宋" w:hAnsi="仿宋" w:eastAsia="仿宋_GB2312" w:cs="仿宋"/>
          <w:bCs/>
          <w:color w:val="auto"/>
          <w:kern w:val="1"/>
          <w:sz w:val="30"/>
          <w:szCs w:val="30"/>
          <w:shd w:val="clear" w:color="FFFFFF" w:fill="D9D9D9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shd w:val="clear" w:color="FFFFFF" w:fill="D9D9D9"/>
        </w:rPr>
        <w:t>（二）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  <w:lang w:eastAsia="zh-CN"/>
        </w:rPr>
        <w:t>报价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</w:rPr>
        <w:t>人需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</w:rPr>
        <w:t>江苏省电力交易中心注册生效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</w:rPr>
        <w:t>没有被江苏省电力交易中心通报处罚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</w:rPr>
        <w:t>无合同毁约的售电公司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shd w:val="clear" w:color="FFFFFF" w:fill="D9D9D9"/>
          <w:lang w:eastAsia="zh-CN"/>
        </w:rPr>
        <w:t>。</w:t>
      </w:r>
    </w:p>
    <w:p w14:paraId="2426B4FE">
      <w:pPr>
        <w:pStyle w:val="2"/>
        <w:spacing w:line="600" w:lineRule="exact"/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shd w:val="clear" w:color="FFFFFF" w:fill="D9D9D9"/>
        </w:rPr>
        <w:t xml:space="preserve">   （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shd w:val="clear" w:color="FFFFFF" w:fill="D9D9D9"/>
          <w:lang w:val="en-US" w:eastAsia="zh-CN"/>
        </w:rPr>
        <w:t>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shd w:val="clear" w:color="FFFFFF" w:fill="D9D9D9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>人注册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val="en-US" w:eastAsia="zh-CN"/>
        </w:rPr>
        <w:t>及实缴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>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val="en-US" w:eastAsia="zh-CN"/>
        </w:rPr>
        <w:t>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>应不低于人民币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  <w:shd w:val="clear" w:color="FFFFFF" w:fill="D9D9D9"/>
        </w:rPr>
        <w:t xml:space="preserve"> 2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>亿元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val="en-US" w:eastAsia="zh-CN"/>
        </w:rPr>
        <w:t>。</w:t>
      </w:r>
    </w:p>
    <w:p w14:paraId="290BC2AE">
      <w:pPr>
        <w:pStyle w:val="2"/>
        <w:spacing w:line="60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val="en-US" w:eastAsia="zh-CN"/>
        </w:rPr>
        <w:t>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val="en-US" w:eastAsia="zh-CN"/>
        </w:rPr>
        <w:t>报价人具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>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val="en-US" w:eastAsia="zh-CN"/>
        </w:rPr>
        <w:t>2022年-2024年连续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>售电业绩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val="en-US" w:eastAsia="zh-CN"/>
        </w:rPr>
        <w:t>，且年平均售电量超过预计购电量的十倍及以上(具备消纳电量负荷波动能力)。</w:t>
      </w:r>
    </w:p>
    <w:p w14:paraId="1DBDFBC1"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bCs/>
          <w:color w:val="auto"/>
          <w:sz w:val="30"/>
          <w:szCs w:val="30"/>
          <w:u w:val="single"/>
          <w:shd w:val="clear" w:color="FFFFFF" w:fill="D9D9D9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 xml:space="preserve">   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  <w:lang w:val="en-US" w:eastAsia="zh-CN"/>
        </w:rPr>
        <w:t>五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shd w:val="clear" w:color="FFFFFF" w:fill="D9D9D9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  <w:shd w:val="clear" w:color="FFFFFF" w:fill="D9D9D9"/>
        </w:rPr>
        <w:t>（其他与此次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  <w:shd w:val="clear" w:color="FFFFFF" w:fill="D9D9D9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  <w:shd w:val="clear" w:color="FFFFFF" w:fill="D9D9D9"/>
        </w:rPr>
        <w:t>要求相匹配的相关要求。）</w:t>
      </w:r>
    </w:p>
    <w:p w14:paraId="53D04231">
      <w:pPr>
        <w:adjustRightInd w:val="0"/>
        <w:snapToGrid w:val="0"/>
        <w:spacing w:line="600" w:lineRule="exact"/>
        <w:ind w:firstLine="480"/>
        <w:rPr>
          <w:rFonts w:ascii="仿宋" w:hAnsi="仿宋" w:eastAsia="仿宋" w:cs="仿宋"/>
          <w:b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kern w:val="2"/>
          <w:sz w:val="30"/>
          <w:szCs w:val="30"/>
        </w:rPr>
        <w:t>四、</w:t>
      </w:r>
      <w:r>
        <w:rPr>
          <w:rFonts w:hint="eastAsia" w:ascii="仿宋" w:hAnsi="仿宋" w:eastAsia="仿宋" w:cs="仿宋"/>
          <w:b/>
          <w:color w:val="auto"/>
          <w:kern w:val="2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/>
          <w:color w:val="auto"/>
          <w:kern w:val="2"/>
          <w:sz w:val="30"/>
          <w:szCs w:val="30"/>
        </w:rPr>
        <w:t>：</w:t>
      </w:r>
    </w:p>
    <w:p w14:paraId="0E524916">
      <w:pPr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（一）报价方式：</w:t>
      </w:r>
    </w:p>
    <w:p w14:paraId="7C9F2859">
      <w:pPr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人对202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年度长协电量和月度集中竞价电量分别报价，在采购总量一定的前提下，需要明确电量采购结构（长协、月度竞价分成比例）。</w:t>
      </w:r>
    </w:p>
    <w:p w14:paraId="3F123833">
      <w:pPr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人不接受年度长协电量采购价格高于202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年江苏省年度长协平均交易价格；低于年度长协均价部分，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人应明确价差分成比例或价差绝对值。</w:t>
      </w:r>
    </w:p>
    <w:p w14:paraId="4E5E2A56">
      <w:pPr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人不接受月度集中竞价电量采购价格高于当期统一边际出清价格，低于出清价格部分，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人应明确价差分成比列或价差绝对值。</w:t>
      </w:r>
    </w:p>
    <w:p w14:paraId="6D169479">
      <w:pPr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在比例竞价的基础上，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人可附加让利条款。</w:t>
      </w:r>
    </w:p>
    <w:p w14:paraId="586A74F6">
      <w:pPr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（二）本项目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采用线下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应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将报价书及相关资料以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密封袋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形式送达，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密封袋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外包装必须用“封条”密封，封条“格式自定”，另需加盖公章、法人章，填写密封日期；在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密封袋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封面上需注明“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项目名称，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方名称、地址、联系人、联系电话”等；</w:t>
      </w:r>
      <w:r>
        <w:rPr>
          <w:rFonts w:hint="eastAsia" w:ascii="仿宋_GB2312" w:hAnsi="仿宋_GB2312" w:eastAsia="仿宋_GB2312" w:cs="仿宋_GB2312"/>
          <w:color w:val="auto"/>
          <w:kern w:val="1"/>
          <w:sz w:val="30"/>
          <w:szCs w:val="30"/>
        </w:rPr>
        <w:t>并要求在</w:t>
      </w:r>
      <w:r>
        <w:rPr>
          <w:rFonts w:hint="eastAsia" w:ascii="仿宋_GB2312" w:hAnsi="仿宋_GB2312" w:eastAsia="仿宋_GB2312" w:cs="仿宋_GB2312"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1"/>
          <w:sz w:val="30"/>
          <w:szCs w:val="30"/>
        </w:rPr>
        <w:t>截止日之前送达，逾期将作为作</w:t>
      </w:r>
      <w:r>
        <w:rPr>
          <w:rFonts w:hint="eastAsia" w:ascii="仿宋_GB2312" w:hAnsi="仿宋_GB2312" w:eastAsia="仿宋_GB2312" w:cs="仿宋_GB2312"/>
          <w:color w:val="auto"/>
          <w:kern w:val="1"/>
          <w:sz w:val="30"/>
          <w:szCs w:val="30"/>
          <w:lang w:eastAsia="zh-CN"/>
        </w:rPr>
        <w:t>无效报价</w:t>
      </w:r>
      <w:r>
        <w:rPr>
          <w:rFonts w:hint="eastAsia" w:ascii="仿宋_GB2312" w:hAnsi="仿宋_GB2312" w:eastAsia="仿宋_GB2312" w:cs="仿宋_GB2312"/>
          <w:color w:val="auto"/>
          <w:kern w:val="1"/>
          <w:sz w:val="30"/>
          <w:szCs w:val="30"/>
        </w:rPr>
        <w:t>处理。</w:t>
      </w:r>
    </w:p>
    <w:p w14:paraId="454F5851">
      <w:pPr>
        <w:adjustRightInd w:val="0"/>
        <w:snapToGrid w:val="0"/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（三）与本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有关的一切往来通讯请密封寄：</w:t>
      </w:r>
    </w:p>
    <w:p w14:paraId="33A1A368">
      <w:pPr>
        <w:pStyle w:val="6"/>
        <w:keepNext w:val="0"/>
        <w:keepLines w:val="0"/>
        <w:pageBreakBefore w:val="0"/>
        <w:widowControl w:val="0"/>
        <w:tabs>
          <w:tab w:val="left" w:pos="18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00"/>
        <w:jc w:val="left"/>
        <w:textAlignment w:val="auto"/>
        <w:outlineLvl w:val="9"/>
        <w:rPr>
          <w:rFonts w:hint="default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公司：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江苏索普新材料科技有限公司</w:t>
      </w:r>
    </w:p>
    <w:p w14:paraId="5991CF1A">
      <w:pPr>
        <w:pStyle w:val="6"/>
        <w:keepNext w:val="0"/>
        <w:keepLines w:val="0"/>
        <w:pageBreakBefore w:val="0"/>
        <w:widowControl w:val="0"/>
        <w:tabs>
          <w:tab w:val="left" w:pos="18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00"/>
        <w:jc w:val="left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地址：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江苏省镇江市经开区青龙山路8号</w:t>
      </w:r>
    </w:p>
    <w:p w14:paraId="78D9D5B5">
      <w:pPr>
        <w:pStyle w:val="6"/>
        <w:keepNext w:val="0"/>
        <w:keepLines w:val="0"/>
        <w:pageBreakBefore w:val="0"/>
        <w:widowControl w:val="0"/>
        <w:tabs>
          <w:tab w:val="left" w:pos="18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00"/>
        <w:jc w:val="left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邮编：212006</w:t>
      </w:r>
    </w:p>
    <w:p w14:paraId="2BEAFFC6">
      <w:pPr>
        <w:pStyle w:val="6"/>
        <w:keepNext w:val="0"/>
        <w:keepLines w:val="0"/>
        <w:pageBreakBefore w:val="0"/>
        <w:widowControl w:val="0"/>
        <w:tabs>
          <w:tab w:val="left" w:pos="18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00"/>
        <w:jc w:val="left"/>
        <w:textAlignment w:val="auto"/>
        <w:outlineLvl w:val="9"/>
        <w:rPr>
          <w:rFonts w:hint="default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联系人：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束文</w:t>
      </w:r>
    </w:p>
    <w:p w14:paraId="5894EC30">
      <w:pPr>
        <w:pStyle w:val="6"/>
        <w:keepNext w:val="0"/>
        <w:keepLines w:val="0"/>
        <w:pageBreakBefore w:val="0"/>
        <w:widowControl w:val="0"/>
        <w:tabs>
          <w:tab w:val="left" w:pos="18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00"/>
        <w:jc w:val="left"/>
        <w:textAlignment w:val="auto"/>
        <w:outlineLvl w:val="9"/>
        <w:rPr>
          <w:rFonts w:hint="default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15716101636</w:t>
      </w:r>
    </w:p>
    <w:p w14:paraId="0A5EFE88">
      <w:pPr>
        <w:adjustRightInd w:val="0"/>
        <w:snapToGrid w:val="0"/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（四）凡对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文件条款有疑义的，请在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前按以下方式联系：</w:t>
      </w:r>
    </w:p>
    <w:p w14:paraId="4745F6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联系单位：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江苏索普新材料科技有限公司</w:t>
      </w:r>
    </w:p>
    <w:p w14:paraId="63A5B0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 xml:space="preserve">    地址：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 w:bidi="ar-SA"/>
        </w:rPr>
        <w:t>江苏省镇江市经开区青龙山路8号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，邮编：212006</w:t>
      </w:r>
    </w:p>
    <w:p w14:paraId="567651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00" w:firstLineChars="200"/>
        <w:jc w:val="left"/>
        <w:textAlignment w:val="auto"/>
        <w:outlineLvl w:val="9"/>
        <w:rPr>
          <w:rFonts w:hint="default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联系人：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 xml:space="preserve">束文 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15716101636</w:t>
      </w:r>
    </w:p>
    <w:p w14:paraId="21C167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00"/>
        <w:jc w:val="left"/>
        <w:textAlignment w:val="auto"/>
        <w:outlineLvl w:val="9"/>
        <w:rPr>
          <w:rFonts w:hint="default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技术联系人：戴敏 联系电话：13913437317</w:t>
      </w:r>
    </w:p>
    <w:p w14:paraId="5E71B3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00"/>
        <w:jc w:val="left"/>
        <w:textAlignment w:val="auto"/>
        <w:outlineLvl w:val="9"/>
        <w:rPr>
          <w:rFonts w:hint="default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负责人：赵欣 联系电话：0511-88987819</w:t>
      </w:r>
    </w:p>
    <w:p w14:paraId="6B675613">
      <w:pPr>
        <w:adjustRightInd w:val="0"/>
        <w:snapToGrid w:val="0"/>
        <w:spacing w:line="600" w:lineRule="exact"/>
        <w:ind w:firstLine="602" w:firstLineChars="200"/>
        <w:jc w:val="left"/>
        <w:rPr>
          <w:rFonts w:ascii="仿宋" w:hAnsi="仿宋" w:eastAsia="仿宋" w:cs="仿宋"/>
          <w:b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</w:rPr>
        <w:t>五、</w:t>
      </w: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  <w:lang w:eastAsia="zh-CN"/>
        </w:rPr>
        <w:t>询价废止</w:t>
      </w: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</w:rPr>
        <w:t>及</w:t>
      </w: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  <w:lang w:eastAsia="zh-CN"/>
        </w:rPr>
        <w:t>无效报价</w:t>
      </w: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</w:rPr>
        <w:t>：</w:t>
      </w:r>
    </w:p>
    <w:p w14:paraId="2509617F">
      <w:pPr>
        <w:adjustRightInd w:val="0"/>
        <w:snapToGrid w:val="0"/>
        <w:spacing w:line="600" w:lineRule="exact"/>
        <w:ind w:firstLine="600" w:firstLineChars="200"/>
        <w:jc w:val="left"/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（一）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评审</w:t>
      </w:r>
    </w:p>
    <w:p w14:paraId="770C1370">
      <w:pPr>
        <w:adjustRightInd w:val="0"/>
        <w:snapToGrid w:val="0"/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本项目由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人组织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小组负责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工作，对各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人报价进行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，确定最终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中选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人。</w:t>
      </w:r>
    </w:p>
    <w:p w14:paraId="04D29548">
      <w:pPr>
        <w:adjustRightInd w:val="0"/>
        <w:snapToGrid w:val="0"/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1.请各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人保持通讯畅通，便于</w:t>
      </w:r>
      <w:r>
        <w:rPr>
          <w:rFonts w:hint="eastAsia" w:ascii="仿宋_GB2312" w:hAnsi="宋体" w:eastAsia="仿宋_GB2312" w:cs="‹ÎSå"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_GB2312" w:hAnsi="宋体" w:eastAsia="仿宋_GB2312" w:cs="‹ÎSå"/>
          <w:color w:val="auto"/>
          <w:kern w:val="1"/>
          <w:sz w:val="30"/>
          <w:szCs w:val="30"/>
        </w:rPr>
        <w:t>小组在</w:t>
      </w:r>
      <w:r>
        <w:rPr>
          <w:rFonts w:hint="eastAsia" w:ascii="仿宋_GB2312" w:hAnsi="宋体" w:eastAsia="仿宋_GB2312" w:cs="‹ÎSå"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_GB2312" w:hAnsi="宋体" w:eastAsia="仿宋_GB2312" w:cs="‹ÎSå"/>
          <w:color w:val="auto"/>
          <w:kern w:val="1"/>
          <w:sz w:val="30"/>
          <w:szCs w:val="30"/>
        </w:rPr>
        <w:t>现场电话联系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。</w:t>
      </w:r>
    </w:p>
    <w:p w14:paraId="33DCC5E4">
      <w:pPr>
        <w:pStyle w:val="2"/>
        <w:spacing w:line="600" w:lineRule="exact"/>
        <w:ind w:firstLine="600" w:firstLineChars="200"/>
        <w:rPr>
          <w:color w:val="auto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2.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小组不得泄露各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 xml:space="preserve">人的报价。  </w:t>
      </w:r>
    </w:p>
    <w:p w14:paraId="769CE046">
      <w:pPr>
        <w:adjustRightInd w:val="0"/>
        <w:snapToGrid w:val="0"/>
        <w:spacing w:line="600" w:lineRule="exact"/>
        <w:ind w:firstLine="600" w:firstLineChars="200"/>
        <w:jc w:val="left"/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（二）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评审</w:t>
      </w:r>
    </w:p>
    <w:p w14:paraId="24B1A253">
      <w:pPr>
        <w:adjustRightInd w:val="0"/>
        <w:snapToGrid w:val="0"/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1.在能够满足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人技术要求的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人中选择最优的一家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人作为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中选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候选人。</w:t>
      </w:r>
    </w:p>
    <w:p w14:paraId="4E63C35C">
      <w:pPr>
        <w:adjustRightInd w:val="0"/>
        <w:snapToGrid w:val="0"/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2.在相同报价的情况下，优先考虑曾服务过本公司的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人。</w:t>
      </w:r>
    </w:p>
    <w:p w14:paraId="787FC8DC">
      <w:pPr>
        <w:adjustRightInd w:val="0"/>
        <w:snapToGrid w:val="0"/>
        <w:spacing w:line="600" w:lineRule="exact"/>
        <w:ind w:firstLine="600" w:firstLineChars="200"/>
        <w:jc w:val="left"/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（三）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询价废止</w:t>
      </w:r>
    </w:p>
    <w:p w14:paraId="1653C9A2">
      <w:pPr>
        <w:adjustRightInd w:val="0"/>
        <w:snapToGrid w:val="0"/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人如发现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过程中有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串通报价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、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陪同报价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等扰乱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人经营秩序的恶劣情况，经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小组评定可作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询价废止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处理，并可将相关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方列入供应商负面清单，不再接受参与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工作。</w:t>
      </w:r>
    </w:p>
    <w:p w14:paraId="1B9BF76A">
      <w:pPr>
        <w:adjustRightInd w:val="0"/>
        <w:snapToGrid w:val="0"/>
        <w:spacing w:line="600" w:lineRule="exact"/>
        <w:ind w:firstLine="600" w:firstLineChars="200"/>
        <w:jc w:val="left"/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（四）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无效报价</w:t>
      </w:r>
    </w:p>
    <w:p w14:paraId="4003BC01">
      <w:pPr>
        <w:adjustRightInd w:val="0"/>
        <w:snapToGrid w:val="0"/>
        <w:spacing w:line="600" w:lineRule="exact"/>
        <w:ind w:firstLine="600" w:firstLineChars="200"/>
        <w:jc w:val="left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人不具备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人明确要求资质的，或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文件填写不完整、报价有空项的，或不符合技术要求条款的，或者存在其他不符合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人有关要求的问题，经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小组评定，可作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无效报价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处理。</w:t>
      </w:r>
    </w:p>
    <w:p w14:paraId="307FC8D9">
      <w:pPr>
        <w:numPr>
          <w:ilvl w:val="0"/>
          <w:numId w:val="1"/>
        </w:numPr>
        <w:adjustRightInd w:val="0"/>
        <w:snapToGrid w:val="0"/>
        <w:spacing w:line="600" w:lineRule="exact"/>
        <w:ind w:firstLine="602" w:firstLineChars="200"/>
        <w:jc w:val="left"/>
        <w:rPr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</w:rPr>
        <w:t>其他注意事项：</w:t>
      </w:r>
      <w:r>
        <w:rPr>
          <w:rFonts w:hint="eastAsia"/>
          <w:color w:val="auto"/>
          <w:sz w:val="30"/>
          <w:szCs w:val="30"/>
        </w:rPr>
        <w:t>　　</w:t>
      </w:r>
    </w:p>
    <w:p w14:paraId="76C5508A"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（一）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人应详细阅读本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书，参与报价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即视为对本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书所列之条款均表示接受。</w:t>
      </w:r>
    </w:p>
    <w:p w14:paraId="6CAE85B2"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 w:cs="仿宋"/>
          <w:bCs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（二）本次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解释权归江苏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索普新材料科技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有限公司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t>商务合作部</w:t>
      </w: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所有。</w:t>
      </w:r>
    </w:p>
    <w:p w14:paraId="797AFF92">
      <w:pPr>
        <w:pStyle w:val="2"/>
        <w:spacing w:line="600" w:lineRule="exact"/>
        <w:rPr>
          <w:rFonts w:eastAsia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1"/>
          <w:sz w:val="30"/>
          <w:szCs w:val="30"/>
        </w:rPr>
        <w:t>　　</w:t>
      </w:r>
    </w:p>
    <w:p w14:paraId="72E34BD7">
      <w:pPr>
        <w:rPr>
          <w:color w:val="auto"/>
        </w:rPr>
      </w:pPr>
      <w:r>
        <w:rPr>
          <w:color w:val="auto"/>
        </w:rPr>
        <w:br w:type="page"/>
      </w:r>
    </w:p>
    <w:p w14:paraId="25206B2E">
      <w:pPr>
        <w:pStyle w:val="3"/>
        <w:rPr>
          <w:color w:val="auto"/>
        </w:rPr>
      </w:pPr>
    </w:p>
    <w:p w14:paraId="5001A8E0">
      <w:pPr>
        <w:pStyle w:val="3"/>
        <w:rPr>
          <w:color w:val="auto"/>
        </w:rPr>
      </w:pPr>
    </w:p>
    <w:tbl>
      <w:tblPr>
        <w:tblStyle w:val="4"/>
        <w:tblpPr w:leftFromText="180" w:rightFromText="180" w:vertAnchor="text" w:horzAnchor="page" w:tblpX="703" w:tblpY="194"/>
        <w:tblOverlap w:val="never"/>
        <w:tblW w:w="1086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7860"/>
      </w:tblGrid>
      <w:tr w14:paraId="756D9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2ACA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sz w:val="48"/>
                <w:szCs w:val="4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1"/>
                <w:sz w:val="30"/>
                <w:szCs w:val="30"/>
              </w:rPr>
              <w:t>附件：报价表</w:t>
            </w:r>
          </w:p>
          <w:p w14:paraId="34FC197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</w:rPr>
              <w:t>报价表</w:t>
            </w:r>
          </w:p>
        </w:tc>
      </w:tr>
      <w:tr w14:paraId="4F7D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F9933">
            <w:pPr>
              <w:tabs>
                <w:tab w:val="left" w:pos="7740"/>
              </w:tabs>
              <w:adjustRightInd w:val="0"/>
              <w:snapToGrid w:val="0"/>
              <w:rPr>
                <w:rFonts w:ascii="宋体" w:hAnsi="宋体"/>
                <w:color w:val="auto"/>
                <w:sz w:val="24"/>
              </w:rPr>
            </w:pPr>
          </w:p>
          <w:p w14:paraId="76D09868">
            <w:pPr>
              <w:tabs>
                <w:tab w:val="left" w:pos="7740"/>
              </w:tabs>
              <w:adjustRightInd w:val="0"/>
              <w:snapToGrid w:val="0"/>
              <w:rPr>
                <w:rFonts w:ascii="宋体" w:hAnsi="宋体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公司：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u w:val="single"/>
              </w:rPr>
              <w:t xml:space="preserve">                                    </w:t>
            </w:r>
          </w:p>
          <w:p w14:paraId="46402CC1">
            <w:pPr>
              <w:tabs>
                <w:tab w:val="left" w:pos="7740"/>
              </w:tabs>
              <w:adjustRightInd w:val="0"/>
              <w:snapToGrid w:val="0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6C726125">
            <w:pPr>
              <w:tabs>
                <w:tab w:val="left" w:pos="7740"/>
              </w:tabs>
              <w:adjustRightInd w:val="0"/>
              <w:snapToGrid w:val="0"/>
              <w:rPr>
                <w:rFonts w:ascii="宋体" w:hAnsi="宋体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项目：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yellow"/>
                <w:u w:val="single"/>
              </w:rPr>
              <w:t xml:space="preserve"> 索普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yellow"/>
                <w:u w:val="single"/>
                <w:lang w:val="en-US" w:eastAsia="zh-CN"/>
              </w:rPr>
              <w:t>新材料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yellow"/>
                <w:u w:val="single"/>
              </w:rPr>
              <w:t>202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yellow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yellow"/>
                <w:u w:val="single"/>
              </w:rPr>
              <w:t xml:space="preserve">年度购售电项目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b/>
                <w:bCs/>
                <w:color w:val="auto"/>
                <w:sz w:val="24"/>
                <w:u w:val="single"/>
              </w:rPr>
              <w:t xml:space="preserve">   </w:t>
            </w:r>
          </w:p>
        </w:tc>
      </w:tr>
      <w:tr w14:paraId="7F18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555CFC77">
            <w:pPr>
              <w:widowControl/>
              <w:ind w:firstLine="840" w:firstLineChars="350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</w:rPr>
              <w:t>项目名称</w:t>
            </w:r>
          </w:p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0C8B092F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</w:rPr>
              <w:t>说明</w:t>
            </w:r>
          </w:p>
        </w:tc>
      </w:tr>
      <w:tr w14:paraId="4919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2EE425">
            <w:pPr>
              <w:widowControl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</w:rPr>
              <w:t>售电服务项目（202</w:t>
            </w:r>
            <w:r>
              <w:rPr>
                <w:rFonts w:hint="eastAsia" w:ascii="黑体" w:hAnsi="黑体" w:eastAsia="黑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color w:val="auto"/>
                <w:sz w:val="24"/>
              </w:rPr>
              <w:t>年）</w:t>
            </w:r>
          </w:p>
        </w:tc>
      </w:tr>
      <w:tr w14:paraId="487EC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D43F86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</w:rPr>
              <w:t>交易模式</w:t>
            </w:r>
          </w:p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0D47">
            <w:pPr>
              <w:widowControl/>
              <w:jc w:val="left"/>
              <w:rPr>
                <w:rFonts w:ascii="等线" w:hAnsi="等线" w:eastAsia="等线" w:cs="等线"/>
                <w:color w:val="auto"/>
                <w:sz w:val="24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</w:rPr>
              <w:t>1.</w:t>
            </w:r>
            <w:r>
              <w:rPr>
                <w:rFonts w:ascii="等线" w:hAnsi="等线" w:eastAsia="等线" w:cs="等线"/>
                <w:color w:val="auto"/>
                <w:sz w:val="24"/>
              </w:rPr>
              <w:t>与交易中心公告的批</w:t>
            </w:r>
            <w:r>
              <w:rPr>
                <w:rFonts w:hint="eastAsia" w:ascii="等线" w:hAnsi="等线" w:eastAsia="等线" w:cs="等线"/>
                <w:color w:val="auto"/>
                <w:sz w:val="24"/>
              </w:rPr>
              <w:t>发市场年度长协交易均价的价差部分，</w:t>
            </w:r>
            <w:r>
              <w:rPr>
                <w:rFonts w:hint="eastAsia" w:ascii="等线" w:hAnsi="等线" w:eastAsia="等线" w:cs="等线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等线" w:hAnsi="等线" w:eastAsia="等线" w:cs="等线"/>
                <w:color w:val="auto"/>
                <w:sz w:val="24"/>
              </w:rPr>
              <w:t>% 比例归</w:t>
            </w:r>
            <w:r>
              <w:rPr>
                <w:rFonts w:hint="eastAsia" w:ascii="等线" w:hAnsi="等线" w:eastAsia="等线" w:cs="等线"/>
                <w:color w:val="auto"/>
                <w:sz w:val="24"/>
                <w:lang w:eastAsia="zh-CN"/>
              </w:rPr>
              <w:t>采购</w:t>
            </w:r>
            <w:r>
              <w:rPr>
                <w:rFonts w:hint="eastAsia" w:ascii="等线" w:hAnsi="等线" w:eastAsia="等线" w:cs="等线"/>
                <w:color w:val="auto"/>
                <w:sz w:val="24"/>
              </w:rPr>
              <w:t>人所有。</w:t>
            </w:r>
          </w:p>
          <w:p w14:paraId="031096AA">
            <w:pPr>
              <w:widowControl/>
              <w:jc w:val="left"/>
              <w:rPr>
                <w:rFonts w:hint="eastAsia" w:ascii="等线" w:hAnsi="等线" w:eastAsia="等线" w:cs="等线"/>
                <w:color w:val="auto"/>
                <w:sz w:val="24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</w:rPr>
              <w:t>2.</w:t>
            </w:r>
            <w:r>
              <w:rPr>
                <w:rFonts w:ascii="等线" w:hAnsi="等线" w:eastAsia="等线" w:cs="等线"/>
                <w:color w:val="auto"/>
                <w:sz w:val="24"/>
              </w:rPr>
              <w:t>与交易中心公告的月</w:t>
            </w:r>
            <w:r>
              <w:rPr>
                <w:rFonts w:hint="eastAsia" w:ascii="等线" w:hAnsi="等线" w:eastAsia="等线" w:cs="等线"/>
                <w:color w:val="auto"/>
                <w:sz w:val="24"/>
              </w:rPr>
              <w:t>度竞价出清价格的价差部分，</w:t>
            </w:r>
            <w:r>
              <w:rPr>
                <w:rFonts w:hint="eastAsia" w:ascii="等线" w:hAnsi="等线" w:eastAsia="等线" w:cs="等线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等线" w:hAnsi="等线" w:eastAsia="等线" w:cs="等线"/>
                <w:color w:val="auto"/>
                <w:sz w:val="24"/>
              </w:rPr>
              <w:t>%比例归</w:t>
            </w:r>
            <w:r>
              <w:rPr>
                <w:rFonts w:hint="eastAsia" w:ascii="等线" w:hAnsi="等线" w:eastAsia="等线" w:cs="等线"/>
                <w:color w:val="auto"/>
                <w:sz w:val="24"/>
                <w:lang w:eastAsia="zh-CN"/>
              </w:rPr>
              <w:t>采购</w:t>
            </w:r>
            <w:r>
              <w:rPr>
                <w:rFonts w:hint="eastAsia" w:ascii="等线" w:hAnsi="等线" w:eastAsia="等线" w:cs="等线"/>
                <w:color w:val="auto"/>
                <w:sz w:val="24"/>
              </w:rPr>
              <w:t>人所有。</w:t>
            </w:r>
            <w:bookmarkStart w:id="0" w:name="_GoBack"/>
            <w:bookmarkEnd w:id="0"/>
          </w:p>
          <w:p w14:paraId="5DC1B032">
            <w:pPr>
              <w:widowControl/>
              <w:jc w:val="left"/>
              <w:rPr>
                <w:rFonts w:hint="default" w:ascii="等线" w:hAnsi="等线" w:eastAsia="等线" w:cs="等线"/>
                <w:color w:val="auto"/>
                <w:sz w:val="24"/>
                <w:lang w:val="en-US" w:eastAsia="zh-CN"/>
              </w:rPr>
            </w:pPr>
          </w:p>
          <w:p w14:paraId="71694660">
            <w:pPr>
              <w:widowControl/>
              <w:jc w:val="left"/>
              <w:rPr>
                <w:rFonts w:ascii="等线" w:hAnsi="等线" w:eastAsia="等线" w:cs="等线"/>
                <w:color w:val="auto"/>
                <w:sz w:val="24"/>
              </w:rPr>
            </w:pPr>
          </w:p>
          <w:p w14:paraId="713A8E55">
            <w:pPr>
              <w:widowControl/>
              <w:jc w:val="left"/>
              <w:rPr>
                <w:rFonts w:ascii="黑体" w:hAnsi="黑体" w:eastAsia="黑体" w:cs="宋体"/>
                <w:color w:val="auto"/>
                <w:sz w:val="24"/>
              </w:rPr>
            </w:pPr>
          </w:p>
        </w:tc>
      </w:tr>
      <w:tr w14:paraId="153B1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F56E6F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</w:rPr>
              <w:t>报价说明</w:t>
            </w:r>
          </w:p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9C1B">
            <w:pPr>
              <w:widowControl/>
              <w:jc w:val="center"/>
              <w:rPr>
                <w:rFonts w:hint="default" w:ascii="黑体" w:hAnsi="黑体" w:eastAsia="黑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</w:rPr>
              <w:t>在此处填写上述比例分成的基础上</w:t>
            </w:r>
            <w:r>
              <w:rPr>
                <w:rFonts w:hint="eastAsia" w:ascii="黑体" w:hAnsi="黑体" w:eastAsia="黑体" w:cs="宋体"/>
                <w:color w:val="auto"/>
                <w:sz w:val="24"/>
                <w:lang w:val="en-US" w:eastAsia="zh-CN"/>
              </w:rPr>
              <w:t>填写固定报价模式</w:t>
            </w:r>
          </w:p>
        </w:tc>
      </w:tr>
      <w:tr w14:paraId="34099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E26AD9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</w:rPr>
              <w:t>偏差考核</w:t>
            </w:r>
          </w:p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C2F445">
            <w:pPr>
              <w:widowControl/>
              <w:jc w:val="center"/>
              <w:rPr>
                <w:rFonts w:ascii="等线" w:hAnsi="等线" w:eastAsia="等线" w:cs="等线"/>
                <w:color w:val="auto"/>
                <w:sz w:val="24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</w:rPr>
              <w:t>是否愿意</w:t>
            </w:r>
            <w:r>
              <w:rPr>
                <w:rFonts w:ascii="等线" w:hAnsi="等线" w:eastAsia="等线" w:cs="等线"/>
                <w:color w:val="auto"/>
                <w:sz w:val="24"/>
              </w:rPr>
              <w:t>承担所有偏差</w:t>
            </w:r>
            <w:r>
              <w:rPr>
                <w:rFonts w:hint="eastAsia" w:ascii="等线" w:hAnsi="等线" w:eastAsia="等线" w:cs="等线"/>
                <w:color w:val="auto"/>
                <w:sz w:val="24"/>
              </w:rPr>
              <w:t>考核（请在下方明确勾选）</w:t>
            </w:r>
          </w:p>
          <w:p w14:paraId="07FDC3C1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</w:rPr>
              <w:t>是            否</w:t>
            </w:r>
          </w:p>
        </w:tc>
      </w:tr>
      <w:tr w14:paraId="5243D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88DC1D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</w:rPr>
              <w:t>增值服务</w:t>
            </w:r>
          </w:p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5BFDD9">
            <w:pPr>
              <w:widowControl/>
              <w:ind w:firstLine="240" w:firstLineChars="100"/>
              <w:jc w:val="left"/>
              <w:rPr>
                <w:rFonts w:ascii="黑体" w:hAnsi="黑体" w:eastAsia="黑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</w:rPr>
              <w:t>如有，请在此处说明。</w:t>
            </w:r>
          </w:p>
        </w:tc>
      </w:tr>
    </w:tbl>
    <w:p w14:paraId="53FC2206">
      <w:pPr>
        <w:adjustRightInd w:val="0"/>
        <w:snapToGrid w:val="0"/>
        <w:rPr>
          <w:b/>
          <w:bCs/>
          <w:color w:val="auto"/>
          <w:spacing w:val="4"/>
          <w:sz w:val="24"/>
        </w:rPr>
      </w:pPr>
    </w:p>
    <w:p w14:paraId="4E27B79F">
      <w:pPr>
        <w:adjustRightInd w:val="0"/>
        <w:snapToGrid w:val="0"/>
        <w:ind w:firstLine="1743" w:firstLineChars="700"/>
        <w:rPr>
          <w:rFonts w:ascii="宋体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pacing w:val="4"/>
          <w:sz w:val="24"/>
          <w:lang w:eastAsia="zh-CN"/>
        </w:rPr>
        <w:t>报价</w:t>
      </w:r>
      <w:r>
        <w:rPr>
          <w:rFonts w:hint="eastAsia"/>
          <w:b/>
          <w:bCs/>
          <w:color w:val="auto"/>
          <w:spacing w:val="4"/>
          <w:sz w:val="24"/>
        </w:rPr>
        <w:t>人名称（盖公章）：</w:t>
      </w:r>
      <w:r>
        <w:rPr>
          <w:rFonts w:hint="eastAsia"/>
          <w:b/>
          <w:bCs/>
          <w:color w:val="auto"/>
          <w:spacing w:val="4"/>
          <w:sz w:val="24"/>
          <w:u w:val="single"/>
        </w:rPr>
        <w:t xml:space="preserve">                              </w:t>
      </w:r>
    </w:p>
    <w:p w14:paraId="78A55B8F">
      <w:pPr>
        <w:widowControl/>
        <w:adjustRightInd w:val="0"/>
        <w:snapToGrid w:val="0"/>
        <w:jc w:val="center"/>
        <w:rPr>
          <w:rFonts w:ascii="宋体"/>
          <w:b/>
          <w:bCs/>
          <w:color w:val="auto"/>
          <w:sz w:val="24"/>
        </w:rPr>
      </w:pPr>
    </w:p>
    <w:p w14:paraId="7A8B9DD5">
      <w:pPr>
        <w:widowControl/>
        <w:adjustRightInd w:val="0"/>
        <w:snapToGrid w:val="0"/>
        <w:jc w:val="center"/>
        <w:rPr>
          <w:b/>
          <w:bCs/>
          <w:color w:val="auto"/>
          <w:spacing w:val="4"/>
          <w:sz w:val="24"/>
        </w:rPr>
      </w:pPr>
      <w:r>
        <w:rPr>
          <w:rFonts w:hint="eastAsia" w:ascii="宋体"/>
          <w:b/>
          <w:bCs/>
          <w:color w:val="auto"/>
          <w:sz w:val="24"/>
        </w:rPr>
        <w:t>法定代表人或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报价</w:t>
      </w:r>
      <w:r>
        <w:rPr>
          <w:rFonts w:hint="eastAsia" w:ascii="宋体" w:hAnsi="宋体"/>
          <w:b/>
          <w:bCs/>
          <w:color w:val="auto"/>
          <w:sz w:val="24"/>
        </w:rPr>
        <w:t>人授权代表（签名或盖章）：</w:t>
      </w:r>
      <w:r>
        <w:rPr>
          <w:b/>
          <w:bCs/>
          <w:color w:val="auto"/>
          <w:spacing w:val="4"/>
          <w:sz w:val="24"/>
          <w:u w:val="single"/>
        </w:rPr>
        <w:t xml:space="preserve">             </w:t>
      </w:r>
    </w:p>
    <w:p w14:paraId="0C42287F">
      <w:pPr>
        <w:widowControl/>
        <w:adjustRightInd w:val="0"/>
        <w:snapToGrid w:val="0"/>
        <w:ind w:firstLine="5726" w:firstLineChars="2300"/>
        <w:rPr>
          <w:color w:val="auto"/>
          <w:spacing w:val="4"/>
          <w:sz w:val="24"/>
          <w:u w:val="single"/>
        </w:rPr>
      </w:pPr>
      <w:r>
        <w:rPr>
          <w:rFonts w:hint="eastAsia"/>
          <w:b/>
          <w:bCs/>
          <w:color w:val="auto"/>
          <w:spacing w:val="4"/>
          <w:sz w:val="24"/>
        </w:rPr>
        <w:t>日期：</w:t>
      </w:r>
      <w:r>
        <w:rPr>
          <w:b/>
          <w:bCs/>
          <w:color w:val="auto"/>
          <w:spacing w:val="4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pacing w:val="4"/>
          <w:sz w:val="24"/>
          <w:u w:val="single"/>
        </w:rPr>
        <w:t xml:space="preserve">              </w:t>
      </w:r>
    </w:p>
    <w:p w14:paraId="7BC12989">
      <w:pPr>
        <w:pStyle w:val="3"/>
        <w:rPr>
          <w:color w:val="auto"/>
        </w:rPr>
      </w:pPr>
    </w:p>
    <w:p w14:paraId="000D15B6">
      <w:pPr>
        <w:pStyle w:val="3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2F910"/>
    <w:multiLevelType w:val="singleLevel"/>
    <w:tmpl w:val="BCD2F91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0OTY2NDc5NWE3Nzg3MjM1MTViZmRjODQ2NGZjMDEifQ=="/>
  </w:docVars>
  <w:rsids>
    <w:rsidRoot w:val="2D317CFE"/>
    <w:rsid w:val="000E6326"/>
    <w:rsid w:val="0016406F"/>
    <w:rsid w:val="001C0F63"/>
    <w:rsid w:val="00257A08"/>
    <w:rsid w:val="002C551D"/>
    <w:rsid w:val="00392029"/>
    <w:rsid w:val="005229BE"/>
    <w:rsid w:val="00561D83"/>
    <w:rsid w:val="00B42372"/>
    <w:rsid w:val="00DD567D"/>
    <w:rsid w:val="00EF5769"/>
    <w:rsid w:val="0A194D0C"/>
    <w:rsid w:val="0B761135"/>
    <w:rsid w:val="0D761B69"/>
    <w:rsid w:val="1B784350"/>
    <w:rsid w:val="1EC53F11"/>
    <w:rsid w:val="1FFC6B20"/>
    <w:rsid w:val="20C937E1"/>
    <w:rsid w:val="2D190FEA"/>
    <w:rsid w:val="2D317CFE"/>
    <w:rsid w:val="2FA11189"/>
    <w:rsid w:val="35EF74CF"/>
    <w:rsid w:val="37EE7E55"/>
    <w:rsid w:val="3F1723AA"/>
    <w:rsid w:val="47514864"/>
    <w:rsid w:val="4A214E7A"/>
    <w:rsid w:val="51C64ECE"/>
    <w:rsid w:val="585B38DC"/>
    <w:rsid w:val="58A6765C"/>
    <w:rsid w:val="58BB5C0D"/>
    <w:rsid w:val="602763D2"/>
    <w:rsid w:val="63976831"/>
    <w:rsid w:val="63C52C80"/>
    <w:rsid w:val="66CD0D0B"/>
    <w:rsid w:val="6B7D161D"/>
    <w:rsid w:val="6C3E7033"/>
    <w:rsid w:val="7226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sz w:val="20"/>
      <w:szCs w:val="20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1744</Words>
  <Characters>1884</Characters>
  <Lines>15</Lines>
  <Paragraphs>4</Paragraphs>
  <TotalTime>0</TotalTime>
  <ScaleCrop>false</ScaleCrop>
  <LinksUpToDate>false</LinksUpToDate>
  <CharactersWithSpaces>2120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2022-11-24T05:55:00Z</dcterms:created>
  <dc:creator>李巍</dc:creator>
  <cp:lastModifiedBy>幻觉</cp:lastModifiedBy>
  <dcterms:modified xsi:type="dcterms:W3CDTF">2024-11-29T05:52:51Z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4DFCFB87310F479F9F236D403C081281</vt:lpwstr>
  </property>
</Properties>
</file>