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F1A904">
      <w:pPr>
        <w:adjustRightInd w:val="0"/>
        <w:snapToGrid w:val="0"/>
        <w:jc w:val="center"/>
        <w:rPr>
          <w:rFonts w:hint="eastAsia" w:ascii="方正小标宋简体" w:hAnsi="方正小标宋简体" w:eastAsia="方正小标宋简体" w:cs="方正小标宋简体"/>
          <w:bCs/>
          <w:kern w:val="1"/>
          <w:sz w:val="44"/>
          <w:szCs w:val="44"/>
        </w:rPr>
      </w:pPr>
      <w:r>
        <w:rPr>
          <w:rFonts w:hint="eastAsia" w:ascii="方正小标宋简体" w:hAnsi="方正小标宋简体" w:eastAsia="方正小标宋简体" w:cs="方正小标宋简体"/>
          <w:bCs/>
          <w:kern w:val="1"/>
          <w:sz w:val="44"/>
          <w:szCs w:val="44"/>
        </w:rPr>
        <w:t>江苏索普赛瑞装备制造有限公司</w:t>
      </w:r>
    </w:p>
    <w:p w14:paraId="629B8EA2">
      <w:pPr>
        <w:adjustRightInd w:val="0"/>
        <w:snapToGrid w:val="0"/>
        <w:jc w:val="center"/>
        <w:rPr>
          <w:rFonts w:hint="eastAsia" w:ascii="方正小标宋简体" w:hAnsi="方正小标宋简体" w:eastAsia="方正小标宋简体" w:cs="方正小标宋简体"/>
          <w:bCs/>
          <w:kern w:val="1"/>
          <w:sz w:val="44"/>
          <w:szCs w:val="44"/>
        </w:rPr>
      </w:pPr>
      <w:r>
        <w:rPr>
          <w:rFonts w:hint="eastAsia" w:ascii="方正小标宋简体" w:hAnsi="方正小标宋简体" w:eastAsia="方正小标宋简体" w:cs="方正小标宋简体"/>
          <w:bCs/>
          <w:kern w:val="1"/>
          <w:sz w:val="44"/>
          <w:szCs w:val="44"/>
          <w:lang w:val="en-US" w:eastAsia="zh-CN"/>
        </w:rPr>
        <w:t>年度</w:t>
      </w:r>
      <w:r>
        <w:rPr>
          <w:rFonts w:hint="eastAsia" w:ascii="方正小标宋简体" w:hAnsi="方正小标宋简体" w:eastAsia="方正小标宋简体" w:cs="方正小标宋简体"/>
          <w:bCs/>
          <w:kern w:val="1"/>
          <w:sz w:val="44"/>
          <w:szCs w:val="44"/>
        </w:rPr>
        <w:t>环境监测</w:t>
      </w:r>
      <w:r>
        <w:rPr>
          <w:rFonts w:hint="eastAsia" w:ascii="方正小标宋简体" w:hAnsi="方正小标宋简体" w:eastAsia="方正小标宋简体" w:cs="方正小标宋简体"/>
          <w:bCs/>
          <w:kern w:val="1"/>
          <w:sz w:val="44"/>
          <w:szCs w:val="44"/>
          <w:lang w:val="en-US" w:eastAsia="zh-CN"/>
        </w:rPr>
        <w:t>采购</w:t>
      </w:r>
      <w:r>
        <w:rPr>
          <w:rFonts w:hint="eastAsia" w:ascii="方正小标宋简体" w:hAnsi="方正小标宋简体" w:eastAsia="方正小标宋简体" w:cs="方正小标宋简体"/>
          <w:bCs/>
          <w:kern w:val="1"/>
          <w:sz w:val="44"/>
          <w:szCs w:val="44"/>
        </w:rPr>
        <w:t>文件</w:t>
      </w:r>
    </w:p>
    <w:p w14:paraId="32E09182">
      <w:pPr>
        <w:spacing w:line="400" w:lineRule="exact"/>
        <w:ind w:firstLine="480" w:firstLineChars="200"/>
        <w:jc w:val="center"/>
        <w:rPr>
          <w:rFonts w:hint="eastAsia" w:ascii="仿宋_GB2312" w:hAnsi="仿宋_GB2312" w:eastAsia="仿宋_GB2312" w:cs="仿宋_GB2312"/>
          <w:sz w:val="24"/>
        </w:rPr>
      </w:pPr>
    </w:p>
    <w:p w14:paraId="019E8959">
      <w:pPr>
        <w:adjustRightInd w:val="0"/>
        <w:snapToGrid w:val="0"/>
        <w:spacing w:line="360" w:lineRule="auto"/>
        <w:ind w:firstLine="600" w:firstLineChars="200"/>
        <w:jc w:val="left"/>
        <w:rPr>
          <w:rFonts w:hint="eastAsia" w:ascii="仿宋" w:hAnsi="仿宋" w:eastAsia="仿宋" w:cs="仿宋"/>
          <w:bCs/>
          <w:sz w:val="30"/>
          <w:szCs w:val="30"/>
        </w:rPr>
      </w:pPr>
      <w:r>
        <w:rPr>
          <w:rFonts w:hint="eastAsia" w:ascii="仿宋" w:hAnsi="仿宋" w:eastAsia="仿宋" w:cs="仿宋"/>
          <w:bCs/>
          <w:sz w:val="30"/>
          <w:szCs w:val="30"/>
        </w:rPr>
        <w:t>我公司现需</w:t>
      </w:r>
      <w:r>
        <w:rPr>
          <w:rFonts w:hint="eastAsia" w:ascii="仿宋" w:hAnsi="仿宋" w:eastAsia="仿宋" w:cs="仿宋"/>
          <w:bCs/>
          <w:sz w:val="30"/>
          <w:szCs w:val="30"/>
          <w:lang w:val="en-US" w:eastAsia="zh-CN"/>
        </w:rPr>
        <w:t>采购年度环境监测</w:t>
      </w:r>
      <w:r>
        <w:rPr>
          <w:rFonts w:hint="eastAsia" w:ascii="仿宋" w:hAnsi="仿宋" w:eastAsia="仿宋" w:cs="仿宋"/>
          <w:bCs/>
          <w:sz w:val="30"/>
          <w:szCs w:val="30"/>
        </w:rPr>
        <w:t>（长约1年），采用自主公开</w:t>
      </w:r>
      <w:r>
        <w:rPr>
          <w:rFonts w:hint="eastAsia" w:ascii="仿宋" w:hAnsi="仿宋" w:eastAsia="仿宋" w:cs="仿宋"/>
          <w:bCs/>
          <w:sz w:val="30"/>
          <w:szCs w:val="30"/>
          <w:lang w:val="en-US" w:eastAsia="zh-CN"/>
        </w:rPr>
        <w:t>采购</w:t>
      </w:r>
      <w:r>
        <w:rPr>
          <w:rFonts w:hint="eastAsia" w:ascii="仿宋" w:hAnsi="仿宋" w:eastAsia="仿宋" w:cs="仿宋"/>
          <w:bCs/>
          <w:sz w:val="30"/>
          <w:szCs w:val="30"/>
        </w:rPr>
        <w:t>的方式选定供应商，特邀请贵单位参与报价。</w:t>
      </w:r>
    </w:p>
    <w:p w14:paraId="048D0D0D">
      <w:pPr>
        <w:ind w:firstLine="602" w:firstLineChars="200"/>
        <w:rPr>
          <w:rFonts w:hint="eastAsia" w:ascii="仿宋" w:hAnsi="仿宋" w:eastAsia="仿宋" w:cs="仿宋"/>
          <w:b/>
          <w:color w:val="auto"/>
          <w:sz w:val="30"/>
          <w:szCs w:val="30"/>
        </w:rPr>
      </w:pPr>
      <w:r>
        <w:rPr>
          <w:rFonts w:hint="eastAsia" w:ascii="仿宋" w:hAnsi="仿宋" w:eastAsia="仿宋" w:cs="仿宋"/>
          <w:b/>
          <w:color w:val="auto"/>
          <w:sz w:val="30"/>
          <w:szCs w:val="30"/>
        </w:rPr>
        <w:t>一、</w:t>
      </w:r>
      <w:r>
        <w:rPr>
          <w:rFonts w:hint="eastAsia" w:ascii="仿宋" w:hAnsi="仿宋" w:eastAsia="仿宋" w:cs="仿宋"/>
          <w:b/>
          <w:color w:val="auto"/>
          <w:sz w:val="30"/>
          <w:szCs w:val="30"/>
          <w:lang w:val="en-US" w:eastAsia="zh-CN"/>
        </w:rPr>
        <w:t>采购</w:t>
      </w:r>
      <w:r>
        <w:rPr>
          <w:rFonts w:hint="eastAsia" w:ascii="仿宋" w:hAnsi="仿宋" w:eastAsia="仿宋" w:cs="仿宋"/>
          <w:b/>
          <w:color w:val="auto"/>
          <w:sz w:val="30"/>
          <w:szCs w:val="30"/>
        </w:rPr>
        <w:t>概况：</w:t>
      </w:r>
    </w:p>
    <w:p w14:paraId="7A42FAC9">
      <w:pPr>
        <w:adjustRightInd w:val="0"/>
        <w:snapToGrid w:val="0"/>
        <w:spacing w:line="600" w:lineRule="exact"/>
        <w:ind w:firstLine="600" w:firstLineChars="200"/>
        <w:rPr>
          <w:rFonts w:hint="eastAsia" w:ascii="仿宋" w:hAnsi="仿宋" w:eastAsia="仿宋" w:cs="仿宋"/>
          <w:bCs/>
          <w:sz w:val="30"/>
          <w:szCs w:val="30"/>
          <w:u w:val="single"/>
        </w:rPr>
      </w:pPr>
      <w:r>
        <w:rPr>
          <w:rFonts w:hint="eastAsia" w:ascii="仿宋" w:hAnsi="仿宋" w:eastAsia="仿宋" w:cs="仿宋"/>
          <w:bCs/>
          <w:kern w:val="1"/>
          <w:sz w:val="30"/>
          <w:szCs w:val="30"/>
        </w:rPr>
        <w:t>（一）</w:t>
      </w:r>
      <w:r>
        <w:rPr>
          <w:rFonts w:hint="eastAsia" w:ascii="仿宋" w:hAnsi="仿宋" w:eastAsia="仿宋" w:cs="仿宋"/>
          <w:bCs/>
          <w:sz w:val="30"/>
          <w:szCs w:val="30"/>
        </w:rPr>
        <w:t>项目名称：</w:t>
      </w:r>
      <w:r>
        <w:rPr>
          <w:rFonts w:hint="eastAsia" w:ascii="仿宋" w:hAnsi="仿宋" w:eastAsia="仿宋" w:cs="仿宋"/>
          <w:bCs/>
          <w:color w:val="auto"/>
          <w:sz w:val="30"/>
          <w:szCs w:val="30"/>
          <w:u w:val="single"/>
        </w:rPr>
        <w:t>江苏索普赛瑞装备制造有限公司</w:t>
      </w:r>
      <w:r>
        <w:rPr>
          <w:rFonts w:hint="eastAsia" w:ascii="仿宋" w:hAnsi="仿宋" w:eastAsia="仿宋" w:cs="仿宋"/>
          <w:bCs/>
          <w:color w:val="auto"/>
          <w:sz w:val="30"/>
          <w:szCs w:val="30"/>
          <w:u w:val="single"/>
          <w:lang w:val="en-US" w:eastAsia="zh-CN"/>
        </w:rPr>
        <w:t>年度</w:t>
      </w:r>
      <w:r>
        <w:rPr>
          <w:rFonts w:hint="eastAsia" w:ascii="仿宋_GB2312" w:hAnsi="仿宋_GB2312" w:eastAsia="仿宋_GB2312" w:cs="仿宋_GB2312"/>
          <w:bCs/>
          <w:sz w:val="28"/>
          <w:szCs w:val="28"/>
          <w:u w:val="single"/>
        </w:rPr>
        <w:t>环境监测</w:t>
      </w:r>
      <w:r>
        <w:rPr>
          <w:rFonts w:hint="eastAsia" w:ascii="仿宋" w:hAnsi="仿宋" w:eastAsia="仿宋" w:cs="仿宋"/>
          <w:bCs/>
          <w:sz w:val="30"/>
          <w:szCs w:val="30"/>
          <w:u w:val="single"/>
        </w:rPr>
        <w:t>；</w:t>
      </w:r>
    </w:p>
    <w:p w14:paraId="45261CD2">
      <w:pPr>
        <w:adjustRightInd w:val="0"/>
        <w:snapToGrid w:val="0"/>
        <w:spacing w:line="600" w:lineRule="exact"/>
        <w:ind w:firstLine="579" w:firstLineChars="193"/>
        <w:rPr>
          <w:rFonts w:hint="eastAsia" w:ascii="仿宋" w:hAnsi="仿宋" w:eastAsia="仿宋" w:cs="仿宋"/>
          <w:bCs/>
          <w:color w:val="auto"/>
          <w:sz w:val="30"/>
          <w:szCs w:val="30"/>
        </w:rPr>
      </w:pPr>
      <w:r>
        <w:rPr>
          <w:rFonts w:hint="eastAsia" w:ascii="仿宋" w:hAnsi="仿宋" w:eastAsia="仿宋" w:cs="仿宋"/>
          <w:bCs/>
          <w:color w:val="auto"/>
          <w:kern w:val="1"/>
          <w:sz w:val="30"/>
          <w:szCs w:val="30"/>
        </w:rPr>
        <w:t>（二）</w:t>
      </w:r>
      <w:r>
        <w:rPr>
          <w:rFonts w:hint="eastAsia" w:ascii="仿宋" w:hAnsi="仿宋" w:eastAsia="仿宋" w:cs="仿宋"/>
          <w:bCs/>
          <w:color w:val="auto"/>
          <w:sz w:val="30"/>
          <w:szCs w:val="30"/>
        </w:rPr>
        <w:t>交货时间：</w:t>
      </w:r>
      <w:r>
        <w:rPr>
          <w:rFonts w:hint="eastAsia" w:ascii="仿宋" w:hAnsi="仿宋" w:eastAsia="仿宋" w:cs="仿宋"/>
          <w:bCs/>
          <w:i w:val="0"/>
          <w:iCs w:val="0"/>
          <w:color w:val="auto"/>
          <w:sz w:val="30"/>
          <w:szCs w:val="30"/>
          <w:u w:val="single"/>
        </w:rPr>
        <w:t>2024年</w:t>
      </w:r>
      <w:r>
        <w:rPr>
          <w:rFonts w:hint="eastAsia" w:ascii="仿宋" w:hAnsi="仿宋" w:eastAsia="仿宋" w:cs="仿宋"/>
          <w:bCs/>
          <w:i w:val="0"/>
          <w:iCs w:val="0"/>
          <w:color w:val="auto"/>
          <w:sz w:val="30"/>
          <w:szCs w:val="30"/>
          <w:u w:val="single"/>
          <w:lang w:val="en-US" w:eastAsia="zh-CN"/>
        </w:rPr>
        <w:t>12</w:t>
      </w:r>
      <w:r>
        <w:rPr>
          <w:rFonts w:hint="eastAsia" w:ascii="仿宋" w:hAnsi="仿宋" w:eastAsia="仿宋" w:cs="仿宋"/>
          <w:bCs/>
          <w:i w:val="0"/>
          <w:iCs w:val="0"/>
          <w:color w:val="auto"/>
          <w:sz w:val="30"/>
          <w:szCs w:val="30"/>
          <w:u w:val="single"/>
        </w:rPr>
        <w:t>月</w:t>
      </w:r>
      <w:r>
        <w:rPr>
          <w:rFonts w:hint="eastAsia" w:ascii="仿宋" w:hAnsi="仿宋" w:eastAsia="仿宋" w:cs="仿宋"/>
          <w:bCs/>
          <w:i w:val="0"/>
          <w:iCs w:val="0"/>
          <w:color w:val="auto"/>
          <w:sz w:val="30"/>
          <w:szCs w:val="30"/>
          <w:u w:val="single"/>
          <w:lang w:val="en-US" w:eastAsia="zh-CN"/>
        </w:rPr>
        <w:t>31</w:t>
      </w:r>
      <w:r>
        <w:rPr>
          <w:rFonts w:hint="eastAsia" w:ascii="仿宋" w:hAnsi="仿宋" w:eastAsia="仿宋" w:cs="仿宋"/>
          <w:bCs/>
          <w:i w:val="0"/>
          <w:iCs w:val="0"/>
          <w:color w:val="auto"/>
          <w:sz w:val="30"/>
          <w:szCs w:val="30"/>
          <w:u w:val="single"/>
        </w:rPr>
        <w:t>日1</w:t>
      </w:r>
      <w:r>
        <w:rPr>
          <w:rFonts w:ascii="仿宋" w:hAnsi="仿宋" w:eastAsia="仿宋" w:cs="仿宋"/>
          <w:bCs/>
          <w:i w:val="0"/>
          <w:iCs w:val="0"/>
          <w:color w:val="auto"/>
          <w:sz w:val="30"/>
          <w:szCs w:val="30"/>
          <w:u w:val="single"/>
        </w:rPr>
        <w:t>0</w:t>
      </w:r>
      <w:r>
        <w:rPr>
          <w:rFonts w:hint="eastAsia" w:ascii="仿宋" w:hAnsi="仿宋" w:eastAsia="仿宋" w:cs="仿宋"/>
          <w:bCs/>
          <w:i w:val="0"/>
          <w:iCs w:val="0"/>
          <w:color w:val="auto"/>
          <w:sz w:val="30"/>
          <w:szCs w:val="30"/>
          <w:u w:val="single"/>
        </w:rPr>
        <w:t>时（北京时间）</w:t>
      </w:r>
      <w:r>
        <w:rPr>
          <w:rFonts w:hint="eastAsia" w:ascii="仿宋" w:hAnsi="仿宋" w:eastAsia="仿宋" w:cs="仿宋"/>
          <w:bCs/>
          <w:color w:val="auto"/>
          <w:sz w:val="30"/>
          <w:szCs w:val="30"/>
        </w:rPr>
        <w:t>；</w:t>
      </w:r>
    </w:p>
    <w:p w14:paraId="3756F642">
      <w:pPr>
        <w:adjustRightInd w:val="0"/>
        <w:snapToGrid w:val="0"/>
        <w:spacing w:line="600" w:lineRule="exact"/>
        <w:rPr>
          <w:rFonts w:hint="default" w:eastAsia="仿宋"/>
          <w:lang w:val="en-US" w:eastAsia="zh-CN"/>
        </w:rPr>
      </w:pPr>
      <w:r>
        <w:rPr>
          <w:rFonts w:hint="eastAsia" w:ascii="仿宋" w:hAnsi="仿宋" w:eastAsia="仿宋" w:cs="仿宋"/>
          <w:bCs/>
          <w:color w:val="auto"/>
          <w:sz w:val="30"/>
          <w:szCs w:val="30"/>
          <w:lang w:val="en-US" w:eastAsia="zh-CN"/>
        </w:rPr>
        <w:t xml:space="preserve">                    </w:t>
      </w:r>
      <w:r>
        <w:rPr>
          <w:rFonts w:hint="eastAsia" w:ascii="仿宋" w:hAnsi="仿宋" w:eastAsia="仿宋" w:cs="仿宋"/>
          <w:bCs/>
          <w:color w:val="auto"/>
          <w:sz w:val="30"/>
          <w:szCs w:val="30"/>
          <w:u w:val="single"/>
          <w:lang w:val="en-US" w:eastAsia="zh-CN"/>
        </w:rPr>
        <w:t xml:space="preserve">2025年每季度末 </w:t>
      </w:r>
      <w:r>
        <w:rPr>
          <w:rFonts w:hint="eastAsia" w:ascii="仿宋" w:hAnsi="仿宋" w:eastAsia="仿宋" w:cs="仿宋"/>
          <w:bCs/>
          <w:i w:val="0"/>
          <w:iCs w:val="0"/>
          <w:color w:val="auto"/>
          <w:sz w:val="30"/>
          <w:szCs w:val="30"/>
          <w:u w:val="single"/>
        </w:rPr>
        <w:t>（北京时间</w:t>
      </w:r>
      <w:r>
        <w:rPr>
          <w:rFonts w:hint="eastAsia" w:ascii="仿宋" w:hAnsi="仿宋" w:eastAsia="仿宋" w:cs="仿宋"/>
          <w:bCs/>
          <w:i w:val="0"/>
          <w:iCs w:val="0"/>
          <w:color w:val="auto"/>
          <w:sz w:val="30"/>
          <w:szCs w:val="30"/>
          <w:u w:val="single"/>
          <w:lang w:eastAsia="zh-CN"/>
        </w:rPr>
        <w:t>）</w:t>
      </w:r>
      <w:r>
        <w:rPr>
          <w:rFonts w:hint="eastAsia" w:ascii="仿宋" w:hAnsi="仿宋" w:eastAsia="仿宋" w:cs="仿宋"/>
          <w:bCs/>
          <w:color w:val="auto"/>
          <w:sz w:val="30"/>
          <w:szCs w:val="30"/>
          <w:u w:val="single"/>
          <w:lang w:val="en-US" w:eastAsia="zh-CN"/>
        </w:rPr>
        <w:t xml:space="preserve">      </w:t>
      </w:r>
    </w:p>
    <w:p w14:paraId="6D0383B1">
      <w:pPr>
        <w:adjustRightInd w:val="0"/>
        <w:snapToGrid w:val="0"/>
        <w:spacing w:line="600" w:lineRule="exact"/>
        <w:ind w:firstLine="579" w:firstLineChars="193"/>
        <w:rPr>
          <w:rFonts w:hint="eastAsia"/>
          <w:color w:val="auto"/>
        </w:rPr>
      </w:pPr>
      <w:r>
        <w:rPr>
          <w:rFonts w:hint="eastAsia" w:ascii="仿宋" w:hAnsi="仿宋" w:eastAsia="仿宋" w:cs="仿宋"/>
          <w:bCs/>
          <w:color w:val="auto"/>
          <w:kern w:val="1"/>
          <w:sz w:val="30"/>
          <w:szCs w:val="30"/>
        </w:rPr>
        <w:t>（三）</w:t>
      </w:r>
      <w:r>
        <w:rPr>
          <w:rFonts w:hint="eastAsia" w:ascii="仿宋" w:hAnsi="仿宋" w:eastAsia="仿宋" w:cs="仿宋"/>
          <w:bCs/>
          <w:color w:val="auto"/>
          <w:sz w:val="30"/>
          <w:szCs w:val="30"/>
        </w:rPr>
        <w:t>交货地点：</w:t>
      </w:r>
      <w:r>
        <w:rPr>
          <w:rFonts w:hint="eastAsia" w:ascii="仿宋" w:hAnsi="仿宋" w:eastAsia="仿宋" w:cs="仿宋"/>
          <w:bCs/>
          <w:color w:val="auto"/>
          <w:sz w:val="30"/>
          <w:szCs w:val="30"/>
          <w:u w:val="single"/>
        </w:rPr>
        <w:t xml:space="preserve">江苏索普赛瑞装备制造有限公司 </w:t>
      </w:r>
      <w:r>
        <w:rPr>
          <w:rFonts w:hint="eastAsia" w:ascii="仿宋" w:hAnsi="仿宋" w:eastAsia="仿宋" w:cs="仿宋"/>
          <w:bCs/>
          <w:color w:val="auto"/>
          <w:sz w:val="30"/>
          <w:szCs w:val="30"/>
        </w:rPr>
        <w:t>；</w:t>
      </w:r>
    </w:p>
    <w:p w14:paraId="73C399D4">
      <w:pPr>
        <w:adjustRightInd w:val="0"/>
        <w:snapToGrid w:val="0"/>
        <w:spacing w:line="600" w:lineRule="exact"/>
        <w:jc w:val="left"/>
        <w:rPr>
          <w:rFonts w:hint="eastAsia" w:ascii="仿宋" w:hAnsi="仿宋" w:eastAsia="仿宋" w:cs="仿宋"/>
          <w:bCs/>
          <w:color w:val="auto"/>
          <w:sz w:val="30"/>
          <w:szCs w:val="30"/>
        </w:rPr>
      </w:pPr>
      <w:r>
        <w:rPr>
          <w:rFonts w:hint="eastAsia" w:ascii="仿宋" w:hAnsi="仿宋" w:eastAsia="仿宋" w:cs="仿宋"/>
          <w:bCs/>
          <w:color w:val="auto"/>
          <w:sz w:val="30"/>
          <w:szCs w:val="30"/>
        </w:rPr>
        <w:t xml:space="preserve">    </w:t>
      </w:r>
      <w:r>
        <w:rPr>
          <w:rFonts w:hint="eastAsia" w:ascii="仿宋" w:hAnsi="仿宋" w:eastAsia="仿宋" w:cs="仿宋"/>
          <w:bCs/>
          <w:color w:val="auto"/>
          <w:kern w:val="1"/>
          <w:sz w:val="30"/>
          <w:szCs w:val="30"/>
        </w:rPr>
        <w:t>（四）</w:t>
      </w:r>
      <w:r>
        <w:rPr>
          <w:rFonts w:hint="eastAsia" w:ascii="仿宋" w:hAnsi="仿宋" w:eastAsia="仿宋" w:cs="仿宋"/>
          <w:bCs/>
          <w:color w:val="auto"/>
          <w:sz w:val="30"/>
          <w:szCs w:val="30"/>
        </w:rPr>
        <w:t>报价截止时间及评审时间</w:t>
      </w:r>
      <w:r>
        <w:rPr>
          <w:rFonts w:hint="eastAsia" w:ascii="仿宋" w:hAnsi="仿宋" w:eastAsia="仿宋" w:cs="仿宋"/>
          <w:bCs/>
          <w:color w:val="auto"/>
          <w:sz w:val="30"/>
          <w:szCs w:val="30"/>
          <w:u w:val="single"/>
        </w:rPr>
        <w:t>202</w:t>
      </w:r>
      <w:r>
        <w:rPr>
          <w:rFonts w:hint="eastAsia" w:ascii="仿宋" w:hAnsi="仿宋" w:eastAsia="仿宋" w:cs="仿宋"/>
          <w:bCs/>
          <w:color w:val="auto"/>
          <w:sz w:val="30"/>
          <w:szCs w:val="30"/>
          <w:u w:val="single"/>
          <w:lang w:val="en-US" w:eastAsia="zh-CN"/>
        </w:rPr>
        <w:t>4</w:t>
      </w:r>
      <w:r>
        <w:rPr>
          <w:rFonts w:hint="eastAsia" w:ascii="仿宋" w:hAnsi="仿宋" w:eastAsia="仿宋" w:cs="仿宋"/>
          <w:bCs/>
          <w:color w:val="auto"/>
          <w:sz w:val="30"/>
          <w:szCs w:val="30"/>
          <w:u w:val="single"/>
        </w:rPr>
        <w:t xml:space="preserve">年 </w:t>
      </w:r>
      <w:r>
        <w:rPr>
          <w:rFonts w:hint="eastAsia" w:ascii="仿宋" w:hAnsi="仿宋" w:eastAsia="仿宋" w:cs="仿宋"/>
          <w:bCs/>
          <w:color w:val="auto"/>
          <w:sz w:val="30"/>
          <w:szCs w:val="30"/>
          <w:u w:val="single"/>
          <w:lang w:val="en-US" w:eastAsia="zh-CN"/>
        </w:rPr>
        <w:t xml:space="preserve">12 </w:t>
      </w:r>
      <w:r>
        <w:rPr>
          <w:rFonts w:hint="eastAsia" w:ascii="仿宋" w:hAnsi="仿宋" w:eastAsia="仿宋" w:cs="仿宋"/>
          <w:bCs/>
          <w:color w:val="auto"/>
          <w:sz w:val="30"/>
          <w:szCs w:val="30"/>
          <w:u w:val="single"/>
        </w:rPr>
        <w:t>月</w:t>
      </w:r>
      <w:r>
        <w:rPr>
          <w:rFonts w:hint="eastAsia" w:ascii="仿宋" w:hAnsi="仿宋" w:eastAsia="仿宋" w:cs="仿宋"/>
          <w:bCs/>
          <w:color w:val="auto"/>
          <w:sz w:val="30"/>
          <w:szCs w:val="30"/>
          <w:u w:val="single"/>
          <w:lang w:val="en-US" w:eastAsia="zh-CN"/>
        </w:rPr>
        <w:t xml:space="preserve"> 02 </w:t>
      </w:r>
      <w:r>
        <w:rPr>
          <w:rFonts w:hint="eastAsia" w:ascii="仿宋" w:hAnsi="仿宋" w:eastAsia="仿宋" w:cs="仿宋"/>
          <w:bCs/>
          <w:color w:val="auto"/>
          <w:sz w:val="30"/>
          <w:szCs w:val="30"/>
          <w:u w:val="single"/>
        </w:rPr>
        <w:t>日</w:t>
      </w:r>
      <w:r>
        <w:rPr>
          <w:rFonts w:hint="eastAsia" w:ascii="仿宋" w:hAnsi="仿宋" w:eastAsia="仿宋" w:cs="仿宋"/>
          <w:bCs/>
          <w:color w:val="auto"/>
          <w:sz w:val="30"/>
          <w:szCs w:val="30"/>
          <w:u w:val="single"/>
          <w:lang w:val="en-US" w:eastAsia="zh-CN"/>
        </w:rPr>
        <w:t xml:space="preserve"> 10 </w:t>
      </w:r>
      <w:r>
        <w:rPr>
          <w:rFonts w:hint="eastAsia" w:ascii="仿宋" w:hAnsi="仿宋" w:eastAsia="仿宋" w:cs="仿宋"/>
          <w:bCs/>
          <w:color w:val="auto"/>
          <w:sz w:val="30"/>
          <w:szCs w:val="30"/>
          <w:u w:val="single"/>
        </w:rPr>
        <w:t>时（北京时间）</w:t>
      </w:r>
      <w:r>
        <w:rPr>
          <w:rFonts w:hint="eastAsia" w:ascii="仿宋" w:hAnsi="仿宋" w:eastAsia="仿宋" w:cs="仿宋"/>
          <w:bCs/>
          <w:color w:val="auto"/>
          <w:sz w:val="30"/>
          <w:szCs w:val="30"/>
        </w:rPr>
        <w:t>；</w:t>
      </w:r>
    </w:p>
    <w:p w14:paraId="48B525E2">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（五）评审地点：</w:t>
      </w:r>
      <w:r>
        <w:rPr>
          <w:rFonts w:hint="eastAsia" w:ascii="仿宋" w:hAnsi="仿宋" w:eastAsia="仿宋" w:cs="仿宋"/>
          <w:bCs/>
          <w:color w:val="auto"/>
          <w:kern w:val="1"/>
          <w:sz w:val="30"/>
          <w:szCs w:val="30"/>
          <w:u w:val="single"/>
        </w:rPr>
        <w:t>江苏索普(集团)有限公司采购中心</w:t>
      </w:r>
      <w:r>
        <w:rPr>
          <w:rFonts w:hint="eastAsia" w:ascii="仿宋" w:hAnsi="仿宋" w:eastAsia="仿宋" w:cs="仿宋"/>
          <w:bCs/>
          <w:color w:val="auto"/>
          <w:kern w:val="1"/>
          <w:sz w:val="30"/>
          <w:szCs w:val="30"/>
        </w:rPr>
        <w:t>；</w:t>
      </w:r>
      <w:bookmarkStart w:id="0" w:name="_GoBack"/>
      <w:bookmarkEnd w:id="0"/>
    </w:p>
    <w:p w14:paraId="3DC52A21">
      <w:pPr>
        <w:ind w:firstLine="602" w:firstLineChars="200"/>
        <w:rPr>
          <w:rFonts w:hint="eastAsia" w:ascii="仿宋" w:hAnsi="仿宋" w:eastAsia="仿宋" w:cs="仿宋"/>
          <w:b/>
          <w:color w:val="auto"/>
          <w:sz w:val="30"/>
          <w:szCs w:val="30"/>
        </w:rPr>
      </w:pPr>
      <w:r>
        <w:rPr>
          <w:rFonts w:hint="eastAsia" w:ascii="仿宋" w:hAnsi="仿宋" w:eastAsia="仿宋" w:cs="仿宋"/>
          <w:b/>
          <w:color w:val="auto"/>
          <w:sz w:val="30"/>
          <w:szCs w:val="30"/>
        </w:rPr>
        <w:t>二、</w:t>
      </w:r>
      <w:r>
        <w:rPr>
          <w:rFonts w:hint="eastAsia" w:ascii="仿宋" w:hAnsi="仿宋" w:eastAsia="仿宋" w:cs="仿宋"/>
          <w:b/>
          <w:color w:val="auto"/>
          <w:sz w:val="30"/>
          <w:szCs w:val="30"/>
          <w:lang w:val="en-US" w:eastAsia="zh-CN"/>
        </w:rPr>
        <w:t>采购</w:t>
      </w:r>
      <w:r>
        <w:rPr>
          <w:rFonts w:hint="eastAsia" w:ascii="仿宋" w:hAnsi="仿宋" w:eastAsia="仿宋" w:cs="仿宋"/>
          <w:b/>
          <w:color w:val="auto"/>
          <w:sz w:val="30"/>
          <w:szCs w:val="30"/>
        </w:rPr>
        <w:t>内容</w:t>
      </w:r>
    </w:p>
    <w:p w14:paraId="145CC223">
      <w:pPr>
        <w:numPr>
          <w:ilvl w:val="0"/>
          <w:numId w:val="0"/>
        </w:numPr>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val="en-US" w:eastAsia="zh-CN"/>
        </w:rPr>
        <w:t>1.</w:t>
      </w:r>
      <w:r>
        <w:rPr>
          <w:rFonts w:hint="eastAsia" w:ascii="仿宋_GB2312" w:hAnsi="仿宋_GB2312" w:eastAsia="仿宋_GB2312" w:cs="仿宋_GB2312"/>
          <w:bCs/>
          <w:sz w:val="28"/>
          <w:szCs w:val="28"/>
        </w:rPr>
        <w:t>废气环境监测。</w:t>
      </w:r>
      <w:r>
        <w:rPr>
          <w:rFonts w:hint="eastAsia" w:ascii="仿宋_GB2312" w:hAnsi="仿宋_GB2312" w:eastAsia="仿宋_GB2312" w:cs="仿宋_GB2312"/>
          <w:bCs/>
          <w:sz w:val="28"/>
          <w:szCs w:val="28"/>
          <w:lang w:eastAsia="zh-CN"/>
        </w:rPr>
        <w:t>报价</w:t>
      </w:r>
      <w:r>
        <w:rPr>
          <w:rFonts w:hint="eastAsia" w:ascii="仿宋_GB2312" w:hAnsi="仿宋_GB2312" w:eastAsia="仿宋_GB2312" w:cs="仿宋_GB2312"/>
          <w:bCs/>
          <w:sz w:val="28"/>
          <w:szCs w:val="28"/>
        </w:rPr>
        <w:t>方依据国家《固定污染源烟气排放连续监测技术规范》、《固定污染源排气中颗粒物测定与气态污染物采样方法》、</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lang w:val="en-US" w:eastAsia="zh-CN"/>
        </w:rPr>
        <w:t>江苏省</w:t>
      </w:r>
      <w:r>
        <w:rPr>
          <w:rFonts w:hint="eastAsia" w:ascii="仿宋_GB2312" w:hAnsi="仿宋_GB2312" w:eastAsia="仿宋_GB2312" w:cs="仿宋_GB2312"/>
          <w:bCs/>
          <w:sz w:val="28"/>
          <w:szCs w:val="28"/>
          <w:lang w:eastAsia="zh-CN"/>
        </w:rPr>
        <w:t>大气污染物综合排放标准DB32/4041-2021》</w:t>
      </w:r>
      <w:r>
        <w:rPr>
          <w:rFonts w:hint="eastAsia" w:ascii="仿宋_GB2312" w:hAnsi="仿宋_GB2312" w:eastAsia="仿宋_GB2312" w:cs="仿宋_GB2312"/>
          <w:bCs/>
          <w:sz w:val="28"/>
          <w:szCs w:val="28"/>
        </w:rPr>
        <w:t>等国家监测技术规范开展包括废气排放口及厂界进行环境监测，并出具规范的检测报告。</w:t>
      </w:r>
    </w:p>
    <w:p w14:paraId="1A2F2CFF">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 w:hAnsi="仿宋" w:eastAsia="仿宋" w:cs="仿宋"/>
          <w:b/>
          <w:color w:val="auto"/>
          <w:sz w:val="30"/>
          <w:szCs w:val="30"/>
          <w:lang w:val="en-US" w:eastAsia="zh-CN"/>
        </w:rPr>
      </w:pPr>
      <w:r>
        <w:rPr>
          <w:rFonts w:hint="eastAsia" w:ascii="仿宋" w:hAnsi="仿宋" w:eastAsia="仿宋" w:cs="仿宋"/>
          <w:b/>
          <w:color w:val="auto"/>
          <w:sz w:val="30"/>
          <w:szCs w:val="30"/>
          <w:lang w:val="en-US" w:eastAsia="zh-CN"/>
        </w:rPr>
        <w:t>2、索普赛瑞2024年需检测项目</w:t>
      </w:r>
    </w:p>
    <w:tbl>
      <w:tblPr>
        <w:tblStyle w:val="7"/>
        <w:tblpPr w:leftFromText="180" w:rightFromText="180" w:vertAnchor="text" w:horzAnchor="page" w:tblpXSpec="center" w:tblpY="633"/>
        <w:tblOverlap w:val="never"/>
        <w:tblW w:w="8179" w:type="dxa"/>
        <w:jc w:val="center"/>
        <w:tblLayout w:type="fixed"/>
        <w:tblCellMar>
          <w:top w:w="0" w:type="dxa"/>
          <w:left w:w="0" w:type="dxa"/>
          <w:bottom w:w="0" w:type="dxa"/>
          <w:right w:w="0" w:type="dxa"/>
        </w:tblCellMar>
      </w:tblPr>
      <w:tblGrid>
        <w:gridCol w:w="1207"/>
        <w:gridCol w:w="2610"/>
        <w:gridCol w:w="1590"/>
        <w:gridCol w:w="2772"/>
      </w:tblGrid>
      <w:tr w14:paraId="6F48BADA">
        <w:tblPrEx>
          <w:tblCellMar>
            <w:top w:w="0" w:type="dxa"/>
            <w:left w:w="0" w:type="dxa"/>
            <w:bottom w:w="0" w:type="dxa"/>
            <w:right w:w="0" w:type="dxa"/>
          </w:tblCellMar>
        </w:tblPrEx>
        <w:trPr>
          <w:trHeight w:val="619" w:hRule="atLeast"/>
          <w:jc w:val="center"/>
        </w:trPr>
        <w:tc>
          <w:tcPr>
            <w:tcW w:w="1207"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757FCED8">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宋体" w:hAnsi="宋体" w:cs="宋体"/>
                <w:b/>
                <w:color w:val="000000"/>
                <w:sz w:val="22"/>
              </w:rPr>
            </w:pPr>
            <w:r>
              <w:rPr>
                <w:rFonts w:hint="eastAsia" w:ascii="宋体" w:hAnsi="宋体" w:cs="宋体"/>
                <w:b/>
                <w:color w:val="000000"/>
                <w:kern w:val="0"/>
                <w:sz w:val="22"/>
                <w:lang w:bidi="ar"/>
              </w:rPr>
              <w:t>类别</w:t>
            </w:r>
          </w:p>
        </w:tc>
        <w:tc>
          <w:tcPr>
            <w:tcW w:w="2610"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74CDEFDF">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宋体" w:hAnsi="宋体" w:cs="宋体"/>
                <w:b/>
                <w:color w:val="000000"/>
                <w:sz w:val="22"/>
              </w:rPr>
            </w:pPr>
            <w:r>
              <w:rPr>
                <w:rFonts w:hint="eastAsia" w:ascii="宋体" w:hAnsi="宋体" w:cs="宋体"/>
                <w:b/>
                <w:color w:val="000000"/>
                <w:kern w:val="0"/>
                <w:sz w:val="22"/>
                <w:lang w:bidi="ar"/>
              </w:rPr>
              <w:t>监测点位</w:t>
            </w:r>
          </w:p>
        </w:tc>
        <w:tc>
          <w:tcPr>
            <w:tcW w:w="1590"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24F0A3A0">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宋体" w:hAnsi="宋体" w:cs="宋体"/>
                <w:b/>
                <w:color w:val="000000"/>
                <w:sz w:val="22"/>
              </w:rPr>
            </w:pPr>
            <w:r>
              <w:rPr>
                <w:rFonts w:hint="eastAsia" w:ascii="宋体" w:hAnsi="宋体" w:cs="宋体"/>
                <w:b/>
                <w:color w:val="000000"/>
                <w:kern w:val="0"/>
                <w:sz w:val="22"/>
                <w:lang w:bidi="ar"/>
              </w:rPr>
              <w:t>监测项目</w:t>
            </w:r>
          </w:p>
        </w:tc>
        <w:tc>
          <w:tcPr>
            <w:tcW w:w="2772"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48613C16">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宋体" w:hAnsi="宋体" w:cs="宋体"/>
                <w:b/>
                <w:color w:val="000000"/>
                <w:sz w:val="22"/>
              </w:rPr>
            </w:pPr>
            <w:r>
              <w:rPr>
                <w:rFonts w:hint="eastAsia" w:ascii="宋体" w:hAnsi="宋体" w:cs="宋体"/>
                <w:b/>
                <w:color w:val="000000"/>
                <w:kern w:val="0"/>
                <w:sz w:val="22"/>
                <w:lang w:bidi="ar"/>
              </w:rPr>
              <w:t>监测频次</w:t>
            </w:r>
          </w:p>
        </w:tc>
      </w:tr>
      <w:tr w14:paraId="3AF14247">
        <w:tblPrEx>
          <w:tblCellMar>
            <w:top w:w="0" w:type="dxa"/>
            <w:left w:w="0" w:type="dxa"/>
            <w:bottom w:w="0" w:type="dxa"/>
            <w:right w:w="0" w:type="dxa"/>
          </w:tblCellMar>
        </w:tblPrEx>
        <w:trPr>
          <w:trHeight w:val="499" w:hRule="atLeast"/>
          <w:jc w:val="center"/>
        </w:trPr>
        <w:tc>
          <w:tcPr>
            <w:tcW w:w="1207"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B6327A7">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lang w:bidi="ar"/>
              </w:rPr>
              <w:t>有组织废气</w:t>
            </w:r>
          </w:p>
        </w:tc>
        <w:tc>
          <w:tcPr>
            <w:tcW w:w="261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EC76380">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喷砂废气处理装置排气筒</w:t>
            </w:r>
          </w:p>
        </w:tc>
        <w:tc>
          <w:tcPr>
            <w:tcW w:w="159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5FDD60D">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颗粒物</w:t>
            </w:r>
          </w:p>
        </w:tc>
        <w:tc>
          <w:tcPr>
            <w:tcW w:w="277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0069513">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宋体" w:hAnsi="宋体" w:cs="宋体"/>
                <w:color w:val="000000"/>
                <w:sz w:val="20"/>
                <w:szCs w:val="20"/>
              </w:rPr>
            </w:pPr>
            <w:r>
              <w:rPr>
                <w:rFonts w:hint="eastAsia" w:ascii="宋体" w:hAnsi="宋体" w:cs="宋体"/>
                <w:kern w:val="0"/>
                <w:sz w:val="20"/>
                <w:szCs w:val="20"/>
                <w:lang w:bidi="ar"/>
              </w:rPr>
              <w:t>1次/年</w:t>
            </w:r>
          </w:p>
        </w:tc>
      </w:tr>
      <w:tr w14:paraId="7BBB692B">
        <w:tblPrEx>
          <w:tblCellMar>
            <w:top w:w="0" w:type="dxa"/>
            <w:left w:w="0" w:type="dxa"/>
            <w:bottom w:w="0" w:type="dxa"/>
            <w:right w:w="0" w:type="dxa"/>
          </w:tblCellMar>
        </w:tblPrEx>
        <w:trPr>
          <w:trHeight w:val="444" w:hRule="atLeast"/>
          <w:jc w:val="center"/>
        </w:trPr>
        <w:tc>
          <w:tcPr>
            <w:tcW w:w="1207"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6D2DDE5">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宋体" w:hAnsi="宋体" w:cs="宋体"/>
                <w:b/>
                <w:color w:val="000000"/>
                <w:sz w:val="18"/>
                <w:szCs w:val="18"/>
              </w:rPr>
            </w:pPr>
          </w:p>
        </w:tc>
        <w:tc>
          <w:tcPr>
            <w:tcW w:w="2610" w:type="dxa"/>
            <w:vMerge w:val="restar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EECA056">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喷漆废气处理装置排气筒</w:t>
            </w:r>
          </w:p>
        </w:tc>
        <w:tc>
          <w:tcPr>
            <w:tcW w:w="159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BE7997C">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VOC</w:t>
            </w:r>
            <w:r>
              <w:rPr>
                <w:rStyle w:val="11"/>
                <w:rFonts w:hint="default"/>
                <w:lang w:bidi="ar"/>
              </w:rPr>
              <w:t>S</w:t>
            </w:r>
          </w:p>
        </w:tc>
        <w:tc>
          <w:tcPr>
            <w:tcW w:w="277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2206A23">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宋体" w:hAnsi="宋体" w:cs="宋体"/>
                <w:color w:val="000000"/>
                <w:sz w:val="20"/>
                <w:szCs w:val="20"/>
              </w:rPr>
            </w:pPr>
            <w:r>
              <w:rPr>
                <w:rFonts w:hint="eastAsia" w:ascii="宋体" w:hAnsi="宋体" w:cs="宋体"/>
                <w:kern w:val="0"/>
                <w:sz w:val="20"/>
                <w:szCs w:val="20"/>
                <w:lang w:bidi="ar"/>
              </w:rPr>
              <w:t>1次/年</w:t>
            </w:r>
          </w:p>
        </w:tc>
      </w:tr>
      <w:tr w14:paraId="7DB79F32">
        <w:tblPrEx>
          <w:tblCellMar>
            <w:top w:w="0" w:type="dxa"/>
            <w:left w:w="0" w:type="dxa"/>
            <w:bottom w:w="0" w:type="dxa"/>
            <w:right w:w="0" w:type="dxa"/>
          </w:tblCellMar>
        </w:tblPrEx>
        <w:trPr>
          <w:trHeight w:val="379" w:hRule="atLeast"/>
          <w:jc w:val="center"/>
        </w:trPr>
        <w:tc>
          <w:tcPr>
            <w:tcW w:w="1207"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BC63991">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宋体" w:hAnsi="宋体" w:cs="宋体"/>
                <w:b/>
                <w:color w:val="000000"/>
                <w:sz w:val="18"/>
                <w:szCs w:val="18"/>
              </w:rPr>
            </w:pPr>
          </w:p>
        </w:tc>
        <w:tc>
          <w:tcPr>
            <w:tcW w:w="2610"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80DDCC3">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宋体" w:hAnsi="宋体" w:cs="宋体"/>
                <w:color w:val="000000"/>
                <w:sz w:val="20"/>
                <w:szCs w:val="20"/>
              </w:rPr>
            </w:pPr>
          </w:p>
        </w:tc>
        <w:tc>
          <w:tcPr>
            <w:tcW w:w="159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8E45CBD">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宋体" w:hAnsi="宋体" w:cs="宋体"/>
                <w:color w:val="000000"/>
                <w:sz w:val="20"/>
                <w:szCs w:val="20"/>
              </w:rPr>
            </w:pPr>
            <w:r>
              <w:rPr>
                <w:rStyle w:val="12"/>
                <w:rFonts w:hint="default"/>
                <w:lang w:bidi="ar"/>
              </w:rPr>
              <w:t>颗粒物</w:t>
            </w:r>
          </w:p>
        </w:tc>
        <w:tc>
          <w:tcPr>
            <w:tcW w:w="277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8BC0CA4">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宋体" w:hAnsi="宋体" w:cs="宋体"/>
                <w:color w:val="000000"/>
                <w:sz w:val="20"/>
                <w:szCs w:val="20"/>
              </w:rPr>
            </w:pPr>
            <w:r>
              <w:rPr>
                <w:rFonts w:hint="eastAsia" w:ascii="宋体" w:hAnsi="宋体" w:cs="宋体"/>
                <w:kern w:val="0"/>
                <w:sz w:val="20"/>
                <w:szCs w:val="20"/>
                <w:lang w:bidi="ar"/>
              </w:rPr>
              <w:t>1次/年</w:t>
            </w:r>
          </w:p>
        </w:tc>
      </w:tr>
      <w:tr w14:paraId="3EEDF46D">
        <w:tblPrEx>
          <w:tblCellMar>
            <w:top w:w="0" w:type="dxa"/>
            <w:left w:w="0" w:type="dxa"/>
            <w:bottom w:w="0" w:type="dxa"/>
            <w:right w:w="0" w:type="dxa"/>
          </w:tblCellMar>
        </w:tblPrEx>
        <w:trPr>
          <w:trHeight w:val="434" w:hRule="atLeast"/>
          <w:jc w:val="center"/>
        </w:trPr>
        <w:tc>
          <w:tcPr>
            <w:tcW w:w="1207"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F4BE4FE">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lang w:bidi="ar"/>
              </w:rPr>
              <w:t>无组织废气</w:t>
            </w:r>
          </w:p>
        </w:tc>
        <w:tc>
          <w:tcPr>
            <w:tcW w:w="2610" w:type="dxa"/>
            <w:vMerge w:val="restar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522273B">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四周厂界</w:t>
            </w:r>
          </w:p>
        </w:tc>
        <w:tc>
          <w:tcPr>
            <w:tcW w:w="159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09E1841">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颗粒物</w:t>
            </w:r>
          </w:p>
        </w:tc>
        <w:tc>
          <w:tcPr>
            <w:tcW w:w="277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DEBCF04">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宋体" w:hAnsi="宋体" w:cs="宋体"/>
                <w:color w:val="000000"/>
                <w:sz w:val="20"/>
                <w:szCs w:val="20"/>
              </w:rPr>
            </w:pPr>
            <w:r>
              <w:rPr>
                <w:rFonts w:hint="eastAsia" w:ascii="宋体" w:hAnsi="宋体" w:cs="宋体"/>
                <w:kern w:val="0"/>
                <w:sz w:val="20"/>
                <w:szCs w:val="20"/>
                <w:lang w:bidi="ar"/>
              </w:rPr>
              <w:t>1次/年</w:t>
            </w:r>
          </w:p>
        </w:tc>
      </w:tr>
      <w:tr w14:paraId="365AA716">
        <w:tblPrEx>
          <w:tblCellMar>
            <w:top w:w="0" w:type="dxa"/>
            <w:left w:w="0" w:type="dxa"/>
            <w:bottom w:w="0" w:type="dxa"/>
            <w:right w:w="0" w:type="dxa"/>
          </w:tblCellMar>
        </w:tblPrEx>
        <w:trPr>
          <w:trHeight w:val="224" w:hRule="atLeast"/>
          <w:jc w:val="center"/>
        </w:trPr>
        <w:tc>
          <w:tcPr>
            <w:tcW w:w="1207"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0778310">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宋体" w:hAnsi="宋体" w:cs="宋体"/>
                <w:b/>
                <w:color w:val="000000"/>
                <w:sz w:val="18"/>
                <w:szCs w:val="18"/>
              </w:rPr>
            </w:pPr>
          </w:p>
        </w:tc>
        <w:tc>
          <w:tcPr>
            <w:tcW w:w="2610"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95797C8">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宋体" w:hAnsi="宋体" w:cs="宋体"/>
                <w:color w:val="000000"/>
                <w:sz w:val="20"/>
                <w:szCs w:val="20"/>
              </w:rPr>
            </w:pPr>
          </w:p>
        </w:tc>
        <w:tc>
          <w:tcPr>
            <w:tcW w:w="159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0B721C5">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HF</w:t>
            </w:r>
          </w:p>
        </w:tc>
        <w:tc>
          <w:tcPr>
            <w:tcW w:w="277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184A50D">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宋体" w:hAnsi="宋体" w:cs="宋体"/>
                <w:color w:val="000000"/>
                <w:sz w:val="20"/>
                <w:szCs w:val="20"/>
              </w:rPr>
            </w:pPr>
            <w:r>
              <w:rPr>
                <w:rFonts w:hint="eastAsia" w:ascii="宋体" w:hAnsi="宋体" w:cs="宋体"/>
                <w:kern w:val="0"/>
                <w:sz w:val="20"/>
                <w:szCs w:val="20"/>
                <w:lang w:bidi="ar"/>
              </w:rPr>
              <w:t>1次/年</w:t>
            </w:r>
          </w:p>
        </w:tc>
      </w:tr>
      <w:tr w14:paraId="408313A4">
        <w:tblPrEx>
          <w:tblCellMar>
            <w:top w:w="0" w:type="dxa"/>
            <w:left w:w="0" w:type="dxa"/>
            <w:bottom w:w="0" w:type="dxa"/>
            <w:right w:w="0" w:type="dxa"/>
          </w:tblCellMar>
        </w:tblPrEx>
        <w:trPr>
          <w:trHeight w:val="359" w:hRule="atLeast"/>
          <w:jc w:val="center"/>
        </w:trPr>
        <w:tc>
          <w:tcPr>
            <w:tcW w:w="1207"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E996739">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宋体" w:hAnsi="宋体" w:cs="宋体"/>
                <w:b/>
                <w:color w:val="000000"/>
                <w:kern w:val="0"/>
                <w:sz w:val="18"/>
                <w:szCs w:val="18"/>
                <w:lang w:bidi="ar"/>
              </w:rPr>
            </w:pPr>
          </w:p>
        </w:tc>
        <w:tc>
          <w:tcPr>
            <w:tcW w:w="2610"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4184D1A">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宋体" w:hAnsi="宋体" w:cs="宋体"/>
                <w:color w:val="000000"/>
                <w:kern w:val="0"/>
                <w:sz w:val="20"/>
                <w:szCs w:val="20"/>
                <w:lang w:bidi="ar"/>
              </w:rPr>
            </w:pPr>
          </w:p>
        </w:tc>
        <w:tc>
          <w:tcPr>
            <w:tcW w:w="159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46470B2">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硫酸雾</w:t>
            </w:r>
          </w:p>
        </w:tc>
        <w:tc>
          <w:tcPr>
            <w:tcW w:w="277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E0C610C">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宋体" w:hAnsi="宋体" w:cs="宋体"/>
                <w:color w:val="000000"/>
                <w:sz w:val="20"/>
                <w:szCs w:val="20"/>
              </w:rPr>
            </w:pPr>
            <w:r>
              <w:rPr>
                <w:rFonts w:hint="eastAsia" w:ascii="宋体" w:hAnsi="宋体" w:cs="宋体"/>
                <w:kern w:val="0"/>
                <w:sz w:val="20"/>
                <w:szCs w:val="20"/>
                <w:lang w:bidi="ar"/>
              </w:rPr>
              <w:t>1次/年</w:t>
            </w:r>
          </w:p>
        </w:tc>
      </w:tr>
      <w:tr w14:paraId="4B56F0ED">
        <w:tblPrEx>
          <w:tblCellMar>
            <w:top w:w="0" w:type="dxa"/>
            <w:left w:w="0" w:type="dxa"/>
            <w:bottom w:w="0" w:type="dxa"/>
            <w:right w:w="0" w:type="dxa"/>
          </w:tblCellMar>
        </w:tblPrEx>
        <w:trPr>
          <w:trHeight w:val="164" w:hRule="atLeast"/>
          <w:jc w:val="center"/>
        </w:trPr>
        <w:tc>
          <w:tcPr>
            <w:tcW w:w="1207"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64F3095">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宋体" w:hAnsi="宋体" w:cs="宋体"/>
                <w:b/>
                <w:color w:val="000000"/>
                <w:kern w:val="0"/>
                <w:sz w:val="18"/>
                <w:szCs w:val="18"/>
                <w:lang w:bidi="ar"/>
              </w:rPr>
            </w:pPr>
          </w:p>
        </w:tc>
        <w:tc>
          <w:tcPr>
            <w:tcW w:w="2610"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877C041">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宋体" w:hAnsi="宋体" w:cs="宋体"/>
                <w:color w:val="000000"/>
                <w:kern w:val="0"/>
                <w:sz w:val="20"/>
                <w:szCs w:val="20"/>
                <w:lang w:bidi="ar"/>
              </w:rPr>
            </w:pPr>
          </w:p>
        </w:tc>
        <w:tc>
          <w:tcPr>
            <w:tcW w:w="159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EFB7548">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氯化氢</w:t>
            </w:r>
          </w:p>
        </w:tc>
        <w:tc>
          <w:tcPr>
            <w:tcW w:w="277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262DC86">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宋体" w:hAnsi="宋体" w:cs="宋体"/>
                <w:color w:val="000000"/>
                <w:sz w:val="20"/>
                <w:szCs w:val="20"/>
              </w:rPr>
            </w:pPr>
            <w:r>
              <w:rPr>
                <w:rFonts w:hint="eastAsia" w:ascii="宋体" w:hAnsi="宋体" w:cs="宋体"/>
                <w:kern w:val="0"/>
                <w:sz w:val="20"/>
                <w:szCs w:val="20"/>
                <w:lang w:bidi="ar"/>
              </w:rPr>
              <w:t>1次/年</w:t>
            </w:r>
          </w:p>
        </w:tc>
      </w:tr>
      <w:tr w14:paraId="379C21F8">
        <w:tblPrEx>
          <w:tblCellMar>
            <w:top w:w="0" w:type="dxa"/>
            <w:left w:w="0" w:type="dxa"/>
            <w:bottom w:w="0" w:type="dxa"/>
            <w:right w:w="0" w:type="dxa"/>
          </w:tblCellMar>
        </w:tblPrEx>
        <w:trPr>
          <w:trHeight w:val="344" w:hRule="atLeast"/>
          <w:jc w:val="center"/>
        </w:trPr>
        <w:tc>
          <w:tcPr>
            <w:tcW w:w="1207"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5929740">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宋体" w:hAnsi="宋体" w:cs="宋体"/>
                <w:b/>
                <w:color w:val="000000"/>
                <w:kern w:val="0"/>
                <w:sz w:val="18"/>
                <w:szCs w:val="18"/>
                <w:lang w:bidi="ar"/>
              </w:rPr>
            </w:pPr>
          </w:p>
        </w:tc>
        <w:tc>
          <w:tcPr>
            <w:tcW w:w="2610"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3F776E4">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宋体" w:hAnsi="宋体" w:cs="宋体"/>
                <w:color w:val="000000"/>
                <w:kern w:val="0"/>
                <w:sz w:val="20"/>
                <w:szCs w:val="20"/>
                <w:lang w:bidi="ar"/>
              </w:rPr>
            </w:pPr>
          </w:p>
        </w:tc>
        <w:tc>
          <w:tcPr>
            <w:tcW w:w="159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47A3FB5">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ascii="宋体" w:hAnsi="宋体" w:cs="宋体"/>
                <w:kern w:val="0"/>
                <w:sz w:val="20"/>
                <w:szCs w:val="20"/>
                <w:lang w:bidi="ar"/>
              </w:rPr>
            </w:pPr>
            <w:r>
              <w:rPr>
                <w:rFonts w:hint="eastAsia" w:ascii="宋体" w:hAnsi="宋体" w:cs="宋体"/>
                <w:kern w:val="0"/>
                <w:sz w:val="20"/>
                <w:szCs w:val="20"/>
                <w:lang w:bidi="ar"/>
              </w:rPr>
              <w:t>挥发性有机物</w:t>
            </w:r>
          </w:p>
        </w:tc>
        <w:tc>
          <w:tcPr>
            <w:tcW w:w="277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894C867">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1次/年</w:t>
            </w:r>
          </w:p>
        </w:tc>
      </w:tr>
      <w:tr w14:paraId="4B912C31">
        <w:tblPrEx>
          <w:tblCellMar>
            <w:top w:w="0" w:type="dxa"/>
            <w:left w:w="0" w:type="dxa"/>
            <w:bottom w:w="0" w:type="dxa"/>
            <w:right w:w="0" w:type="dxa"/>
          </w:tblCellMar>
        </w:tblPrEx>
        <w:trPr>
          <w:trHeight w:val="409" w:hRule="atLeast"/>
          <w:jc w:val="center"/>
        </w:trPr>
        <w:tc>
          <w:tcPr>
            <w:tcW w:w="120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3F0E2FB">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lang w:bidi="ar"/>
              </w:rPr>
              <w:t>噪声</w:t>
            </w:r>
          </w:p>
        </w:tc>
        <w:tc>
          <w:tcPr>
            <w:tcW w:w="261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922E24D">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四周厂界</w:t>
            </w:r>
          </w:p>
        </w:tc>
        <w:tc>
          <w:tcPr>
            <w:tcW w:w="159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B683CB0">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等效A声级</w:t>
            </w:r>
          </w:p>
        </w:tc>
        <w:tc>
          <w:tcPr>
            <w:tcW w:w="277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6BC237A">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宋体" w:hAnsi="宋体" w:eastAsia="宋体" w:cs="宋体"/>
                <w:color w:val="000000"/>
                <w:sz w:val="20"/>
                <w:szCs w:val="20"/>
                <w:lang w:eastAsia="zh-CN"/>
              </w:rPr>
            </w:pPr>
            <w:r>
              <w:rPr>
                <w:rFonts w:hint="eastAsia" w:ascii="宋体" w:hAnsi="宋体" w:cs="宋体"/>
                <w:kern w:val="0"/>
                <w:sz w:val="20"/>
                <w:szCs w:val="20"/>
                <w:lang w:bidi="ar"/>
              </w:rPr>
              <w:t>1次/年</w:t>
            </w:r>
          </w:p>
        </w:tc>
      </w:tr>
    </w:tbl>
    <w:p w14:paraId="69802120">
      <w:pPr>
        <w:keepNext w:val="0"/>
        <w:keepLines w:val="0"/>
        <w:pageBreakBefore w:val="0"/>
        <w:widowControl w:val="0"/>
        <w:kinsoku/>
        <w:wordWrap/>
        <w:overflowPunct/>
        <w:topLinePunct w:val="0"/>
        <w:autoSpaceDE/>
        <w:autoSpaceDN/>
        <w:bidi w:val="0"/>
        <w:adjustRightInd/>
        <w:snapToGrid/>
        <w:spacing w:line="0" w:lineRule="atLeast"/>
        <w:ind w:firstLine="602" w:firstLineChars="200"/>
        <w:jc w:val="center"/>
        <w:textAlignment w:val="auto"/>
        <w:rPr>
          <w:rFonts w:hint="eastAsia" w:ascii="仿宋" w:hAnsi="仿宋" w:eastAsia="仿宋" w:cs="仿宋"/>
          <w:b/>
          <w:color w:val="auto"/>
          <w:sz w:val="30"/>
          <w:szCs w:val="30"/>
          <w:lang w:val="en-US" w:eastAsia="zh-CN"/>
        </w:rPr>
      </w:pPr>
    </w:p>
    <w:p w14:paraId="228565DE">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 w:hAnsi="仿宋" w:eastAsia="仿宋" w:cs="仿宋"/>
          <w:b/>
          <w:color w:val="auto"/>
          <w:sz w:val="30"/>
          <w:szCs w:val="30"/>
          <w:lang w:val="en-US" w:eastAsia="zh-CN"/>
        </w:rPr>
      </w:pPr>
      <w:r>
        <w:rPr>
          <w:rFonts w:hint="eastAsia" w:ascii="仿宋" w:hAnsi="仿宋" w:eastAsia="仿宋" w:cs="仿宋"/>
          <w:b/>
          <w:color w:val="auto"/>
          <w:sz w:val="30"/>
          <w:szCs w:val="30"/>
          <w:lang w:val="en-US" w:eastAsia="zh-CN"/>
        </w:rPr>
        <w:t>3、索普赛瑞2025年需检测项目</w:t>
      </w:r>
    </w:p>
    <w:tbl>
      <w:tblPr>
        <w:tblStyle w:val="7"/>
        <w:tblpPr w:leftFromText="180" w:rightFromText="180" w:vertAnchor="text" w:horzAnchor="page" w:tblpXSpec="center" w:tblpY="633"/>
        <w:tblOverlap w:val="never"/>
        <w:tblW w:w="8202" w:type="dxa"/>
        <w:jc w:val="center"/>
        <w:tblLayout w:type="fixed"/>
        <w:tblCellMar>
          <w:top w:w="0" w:type="dxa"/>
          <w:left w:w="0" w:type="dxa"/>
          <w:bottom w:w="0" w:type="dxa"/>
          <w:right w:w="0" w:type="dxa"/>
        </w:tblCellMar>
      </w:tblPr>
      <w:tblGrid>
        <w:gridCol w:w="1192"/>
        <w:gridCol w:w="2610"/>
        <w:gridCol w:w="1590"/>
        <w:gridCol w:w="2810"/>
      </w:tblGrid>
      <w:tr w14:paraId="7E85231E">
        <w:tblPrEx>
          <w:tblCellMar>
            <w:top w:w="0" w:type="dxa"/>
            <w:left w:w="0" w:type="dxa"/>
            <w:bottom w:w="0" w:type="dxa"/>
            <w:right w:w="0" w:type="dxa"/>
          </w:tblCellMar>
        </w:tblPrEx>
        <w:trPr>
          <w:trHeight w:val="619" w:hRule="atLeast"/>
          <w:jc w:val="center"/>
        </w:trPr>
        <w:tc>
          <w:tcPr>
            <w:tcW w:w="1192"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12F27D60">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宋体" w:hAnsi="宋体" w:cs="宋体"/>
                <w:b/>
                <w:color w:val="000000"/>
                <w:sz w:val="22"/>
              </w:rPr>
            </w:pPr>
            <w:r>
              <w:rPr>
                <w:rFonts w:hint="eastAsia" w:ascii="宋体" w:hAnsi="宋体" w:cs="宋体"/>
                <w:b/>
                <w:color w:val="000000"/>
                <w:kern w:val="0"/>
                <w:sz w:val="22"/>
                <w:lang w:bidi="ar"/>
              </w:rPr>
              <w:t>类别</w:t>
            </w:r>
          </w:p>
        </w:tc>
        <w:tc>
          <w:tcPr>
            <w:tcW w:w="2610"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58F41688">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宋体" w:hAnsi="宋体" w:cs="宋体"/>
                <w:b/>
                <w:color w:val="000000"/>
                <w:sz w:val="22"/>
              </w:rPr>
            </w:pPr>
            <w:r>
              <w:rPr>
                <w:rFonts w:hint="eastAsia" w:ascii="宋体" w:hAnsi="宋体" w:cs="宋体"/>
                <w:b/>
                <w:color w:val="000000"/>
                <w:kern w:val="0"/>
                <w:sz w:val="22"/>
                <w:lang w:bidi="ar"/>
              </w:rPr>
              <w:t>监测点位</w:t>
            </w:r>
          </w:p>
        </w:tc>
        <w:tc>
          <w:tcPr>
            <w:tcW w:w="1590"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0B6C58E7">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宋体" w:hAnsi="宋体" w:cs="宋体"/>
                <w:b/>
                <w:color w:val="000000"/>
                <w:sz w:val="22"/>
              </w:rPr>
            </w:pPr>
            <w:r>
              <w:rPr>
                <w:rFonts w:hint="eastAsia" w:ascii="宋体" w:hAnsi="宋体" w:cs="宋体"/>
                <w:b/>
                <w:color w:val="000000"/>
                <w:kern w:val="0"/>
                <w:sz w:val="22"/>
                <w:lang w:bidi="ar"/>
              </w:rPr>
              <w:t>监测项目</w:t>
            </w:r>
          </w:p>
        </w:tc>
        <w:tc>
          <w:tcPr>
            <w:tcW w:w="2810"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2363869B">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宋体" w:hAnsi="宋体" w:cs="宋体"/>
                <w:b/>
                <w:color w:val="000000"/>
                <w:sz w:val="22"/>
              </w:rPr>
            </w:pPr>
            <w:r>
              <w:rPr>
                <w:rFonts w:hint="eastAsia" w:ascii="宋体" w:hAnsi="宋体" w:cs="宋体"/>
                <w:b/>
                <w:color w:val="000000"/>
                <w:kern w:val="0"/>
                <w:sz w:val="22"/>
                <w:lang w:bidi="ar"/>
              </w:rPr>
              <w:t>监测频次</w:t>
            </w:r>
          </w:p>
        </w:tc>
      </w:tr>
      <w:tr w14:paraId="07B14EB3">
        <w:tblPrEx>
          <w:tblCellMar>
            <w:top w:w="0" w:type="dxa"/>
            <w:left w:w="0" w:type="dxa"/>
            <w:bottom w:w="0" w:type="dxa"/>
            <w:right w:w="0" w:type="dxa"/>
          </w:tblCellMar>
        </w:tblPrEx>
        <w:trPr>
          <w:trHeight w:val="499" w:hRule="atLeast"/>
          <w:jc w:val="center"/>
        </w:trPr>
        <w:tc>
          <w:tcPr>
            <w:tcW w:w="1192"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4DB6DE0">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lang w:bidi="ar"/>
              </w:rPr>
              <w:t>有组织废气</w:t>
            </w:r>
          </w:p>
        </w:tc>
        <w:tc>
          <w:tcPr>
            <w:tcW w:w="261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D97B098">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喷砂废气处理装置排气筒</w:t>
            </w:r>
          </w:p>
        </w:tc>
        <w:tc>
          <w:tcPr>
            <w:tcW w:w="159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6E59596">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颗粒物</w:t>
            </w:r>
          </w:p>
        </w:tc>
        <w:tc>
          <w:tcPr>
            <w:tcW w:w="281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FEECA4D">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宋体" w:hAnsi="宋体" w:cs="宋体"/>
                <w:color w:val="000000"/>
                <w:sz w:val="20"/>
                <w:szCs w:val="20"/>
              </w:rPr>
            </w:pPr>
            <w:r>
              <w:rPr>
                <w:rFonts w:hint="eastAsia" w:ascii="宋体" w:hAnsi="宋体" w:cs="宋体"/>
                <w:kern w:val="0"/>
                <w:sz w:val="20"/>
                <w:szCs w:val="20"/>
                <w:lang w:val="en-US" w:eastAsia="zh-CN" w:bidi="ar"/>
              </w:rPr>
              <w:t>4</w:t>
            </w:r>
            <w:r>
              <w:rPr>
                <w:rFonts w:hint="eastAsia" w:ascii="宋体" w:hAnsi="宋体" w:cs="宋体"/>
                <w:kern w:val="0"/>
                <w:sz w:val="20"/>
                <w:szCs w:val="20"/>
                <w:lang w:bidi="ar"/>
              </w:rPr>
              <w:t>次/年</w:t>
            </w:r>
            <w:r>
              <w:rPr>
                <w:rFonts w:hint="eastAsia" w:ascii="宋体" w:hAnsi="宋体" w:cs="宋体"/>
                <w:kern w:val="0"/>
                <w:sz w:val="20"/>
                <w:szCs w:val="20"/>
                <w:lang w:eastAsia="zh-CN" w:bidi="ar"/>
              </w:rPr>
              <w:t>（</w:t>
            </w:r>
            <w:r>
              <w:rPr>
                <w:rFonts w:hint="eastAsia" w:ascii="宋体" w:hAnsi="宋体" w:cs="宋体"/>
                <w:kern w:val="0"/>
                <w:sz w:val="20"/>
                <w:szCs w:val="20"/>
                <w:lang w:val="en-US" w:eastAsia="zh-CN" w:bidi="ar"/>
              </w:rPr>
              <w:t>1次/季度</w:t>
            </w:r>
            <w:r>
              <w:rPr>
                <w:rFonts w:hint="eastAsia" w:ascii="宋体" w:hAnsi="宋体" w:cs="宋体"/>
                <w:kern w:val="0"/>
                <w:sz w:val="20"/>
                <w:szCs w:val="20"/>
                <w:lang w:eastAsia="zh-CN" w:bidi="ar"/>
              </w:rPr>
              <w:t>）</w:t>
            </w:r>
          </w:p>
        </w:tc>
      </w:tr>
      <w:tr w14:paraId="7C157B1B">
        <w:tblPrEx>
          <w:tblCellMar>
            <w:top w:w="0" w:type="dxa"/>
            <w:left w:w="0" w:type="dxa"/>
            <w:bottom w:w="0" w:type="dxa"/>
            <w:right w:w="0" w:type="dxa"/>
          </w:tblCellMar>
        </w:tblPrEx>
        <w:trPr>
          <w:trHeight w:val="444" w:hRule="atLeast"/>
          <w:jc w:val="center"/>
        </w:trPr>
        <w:tc>
          <w:tcPr>
            <w:tcW w:w="1192"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878E893">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宋体" w:hAnsi="宋体" w:cs="宋体"/>
                <w:b/>
                <w:color w:val="000000"/>
                <w:sz w:val="18"/>
                <w:szCs w:val="18"/>
              </w:rPr>
            </w:pPr>
          </w:p>
        </w:tc>
        <w:tc>
          <w:tcPr>
            <w:tcW w:w="2610" w:type="dxa"/>
            <w:vMerge w:val="restar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0E54B55">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喷漆废气处理装置排气筒</w:t>
            </w:r>
          </w:p>
        </w:tc>
        <w:tc>
          <w:tcPr>
            <w:tcW w:w="159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5E30CDB">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VOC</w:t>
            </w:r>
            <w:r>
              <w:rPr>
                <w:rStyle w:val="11"/>
                <w:rFonts w:hint="default"/>
                <w:lang w:bidi="ar"/>
              </w:rPr>
              <w:t>S</w:t>
            </w:r>
          </w:p>
        </w:tc>
        <w:tc>
          <w:tcPr>
            <w:tcW w:w="281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DEBE767">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宋体" w:hAnsi="宋体" w:cs="宋体"/>
                <w:color w:val="000000"/>
                <w:sz w:val="20"/>
                <w:szCs w:val="20"/>
              </w:rPr>
            </w:pPr>
            <w:r>
              <w:rPr>
                <w:rFonts w:hint="eastAsia" w:ascii="宋体" w:hAnsi="宋体" w:cs="宋体"/>
                <w:kern w:val="0"/>
                <w:sz w:val="20"/>
                <w:szCs w:val="20"/>
                <w:lang w:val="en-US" w:eastAsia="zh-CN" w:bidi="ar"/>
              </w:rPr>
              <w:t>4</w:t>
            </w:r>
            <w:r>
              <w:rPr>
                <w:rFonts w:hint="eastAsia" w:ascii="宋体" w:hAnsi="宋体" w:cs="宋体"/>
                <w:kern w:val="0"/>
                <w:sz w:val="20"/>
                <w:szCs w:val="20"/>
                <w:lang w:bidi="ar"/>
              </w:rPr>
              <w:t>次/年</w:t>
            </w:r>
            <w:r>
              <w:rPr>
                <w:rFonts w:hint="eastAsia" w:ascii="宋体" w:hAnsi="宋体" w:cs="宋体"/>
                <w:kern w:val="0"/>
                <w:sz w:val="20"/>
                <w:szCs w:val="20"/>
                <w:lang w:eastAsia="zh-CN" w:bidi="ar"/>
              </w:rPr>
              <w:t>（</w:t>
            </w:r>
            <w:r>
              <w:rPr>
                <w:rFonts w:hint="eastAsia" w:ascii="宋体" w:hAnsi="宋体" w:cs="宋体"/>
                <w:kern w:val="0"/>
                <w:sz w:val="20"/>
                <w:szCs w:val="20"/>
                <w:lang w:val="en-US" w:eastAsia="zh-CN" w:bidi="ar"/>
              </w:rPr>
              <w:t>1次/季度</w:t>
            </w:r>
            <w:r>
              <w:rPr>
                <w:rFonts w:hint="eastAsia" w:ascii="宋体" w:hAnsi="宋体" w:cs="宋体"/>
                <w:kern w:val="0"/>
                <w:sz w:val="20"/>
                <w:szCs w:val="20"/>
                <w:lang w:eastAsia="zh-CN" w:bidi="ar"/>
              </w:rPr>
              <w:t>）</w:t>
            </w:r>
          </w:p>
        </w:tc>
      </w:tr>
      <w:tr w14:paraId="37174CA0">
        <w:tblPrEx>
          <w:tblCellMar>
            <w:top w:w="0" w:type="dxa"/>
            <w:left w:w="0" w:type="dxa"/>
            <w:bottom w:w="0" w:type="dxa"/>
            <w:right w:w="0" w:type="dxa"/>
          </w:tblCellMar>
        </w:tblPrEx>
        <w:trPr>
          <w:trHeight w:val="379" w:hRule="atLeast"/>
          <w:jc w:val="center"/>
        </w:trPr>
        <w:tc>
          <w:tcPr>
            <w:tcW w:w="1192"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85A2436">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宋体" w:hAnsi="宋体" w:cs="宋体"/>
                <w:b/>
                <w:color w:val="000000"/>
                <w:sz w:val="18"/>
                <w:szCs w:val="18"/>
              </w:rPr>
            </w:pPr>
          </w:p>
        </w:tc>
        <w:tc>
          <w:tcPr>
            <w:tcW w:w="2610"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62F3EC6">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宋体" w:hAnsi="宋体" w:cs="宋体"/>
                <w:color w:val="000000"/>
                <w:sz w:val="20"/>
                <w:szCs w:val="20"/>
              </w:rPr>
            </w:pPr>
          </w:p>
        </w:tc>
        <w:tc>
          <w:tcPr>
            <w:tcW w:w="159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9FA16CE">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宋体" w:hAnsi="宋体" w:cs="宋体"/>
                <w:color w:val="000000"/>
                <w:sz w:val="20"/>
                <w:szCs w:val="20"/>
              </w:rPr>
            </w:pPr>
            <w:r>
              <w:rPr>
                <w:rStyle w:val="12"/>
                <w:rFonts w:hint="default"/>
                <w:lang w:bidi="ar"/>
              </w:rPr>
              <w:t>颗粒物</w:t>
            </w:r>
          </w:p>
        </w:tc>
        <w:tc>
          <w:tcPr>
            <w:tcW w:w="281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D68E838">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宋体" w:hAnsi="宋体" w:cs="宋体"/>
                <w:color w:val="000000"/>
                <w:sz w:val="20"/>
                <w:szCs w:val="20"/>
              </w:rPr>
            </w:pPr>
            <w:r>
              <w:rPr>
                <w:rFonts w:hint="eastAsia" w:ascii="宋体" w:hAnsi="宋体" w:cs="宋体"/>
                <w:kern w:val="0"/>
                <w:sz w:val="20"/>
                <w:szCs w:val="20"/>
                <w:lang w:val="en-US" w:eastAsia="zh-CN" w:bidi="ar"/>
              </w:rPr>
              <w:t>4</w:t>
            </w:r>
            <w:r>
              <w:rPr>
                <w:rFonts w:hint="eastAsia" w:ascii="宋体" w:hAnsi="宋体" w:cs="宋体"/>
                <w:kern w:val="0"/>
                <w:sz w:val="20"/>
                <w:szCs w:val="20"/>
                <w:lang w:bidi="ar"/>
              </w:rPr>
              <w:t>次/年</w:t>
            </w:r>
            <w:r>
              <w:rPr>
                <w:rFonts w:hint="eastAsia" w:ascii="宋体" w:hAnsi="宋体" w:cs="宋体"/>
                <w:kern w:val="0"/>
                <w:sz w:val="20"/>
                <w:szCs w:val="20"/>
                <w:lang w:eastAsia="zh-CN" w:bidi="ar"/>
              </w:rPr>
              <w:t>（</w:t>
            </w:r>
            <w:r>
              <w:rPr>
                <w:rFonts w:hint="eastAsia" w:ascii="宋体" w:hAnsi="宋体" w:cs="宋体"/>
                <w:kern w:val="0"/>
                <w:sz w:val="20"/>
                <w:szCs w:val="20"/>
                <w:lang w:val="en-US" w:eastAsia="zh-CN" w:bidi="ar"/>
              </w:rPr>
              <w:t>1次/季度</w:t>
            </w:r>
            <w:r>
              <w:rPr>
                <w:rFonts w:hint="eastAsia" w:ascii="宋体" w:hAnsi="宋体" w:cs="宋体"/>
                <w:kern w:val="0"/>
                <w:sz w:val="20"/>
                <w:szCs w:val="20"/>
                <w:lang w:eastAsia="zh-CN" w:bidi="ar"/>
              </w:rPr>
              <w:t>）</w:t>
            </w:r>
          </w:p>
        </w:tc>
      </w:tr>
      <w:tr w14:paraId="340CFA53">
        <w:tblPrEx>
          <w:tblCellMar>
            <w:top w:w="0" w:type="dxa"/>
            <w:left w:w="0" w:type="dxa"/>
            <w:bottom w:w="0" w:type="dxa"/>
            <w:right w:w="0" w:type="dxa"/>
          </w:tblCellMar>
        </w:tblPrEx>
        <w:trPr>
          <w:trHeight w:val="434" w:hRule="atLeast"/>
          <w:jc w:val="center"/>
        </w:trPr>
        <w:tc>
          <w:tcPr>
            <w:tcW w:w="1192"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0543BB2">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lang w:bidi="ar"/>
              </w:rPr>
              <w:t>无组织废气</w:t>
            </w:r>
          </w:p>
        </w:tc>
        <w:tc>
          <w:tcPr>
            <w:tcW w:w="2610" w:type="dxa"/>
            <w:vMerge w:val="restar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FD89B3E">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四周厂界</w:t>
            </w:r>
          </w:p>
        </w:tc>
        <w:tc>
          <w:tcPr>
            <w:tcW w:w="159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BE36EC9">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颗粒物</w:t>
            </w:r>
          </w:p>
        </w:tc>
        <w:tc>
          <w:tcPr>
            <w:tcW w:w="281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CBCEBB1">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宋体" w:hAnsi="宋体" w:cs="宋体"/>
                <w:color w:val="000000"/>
                <w:sz w:val="20"/>
                <w:szCs w:val="20"/>
              </w:rPr>
            </w:pPr>
            <w:r>
              <w:rPr>
                <w:rFonts w:hint="eastAsia" w:ascii="宋体" w:hAnsi="宋体" w:cs="宋体"/>
                <w:kern w:val="0"/>
                <w:sz w:val="20"/>
                <w:szCs w:val="20"/>
                <w:lang w:bidi="ar"/>
              </w:rPr>
              <w:t>1次/年</w:t>
            </w:r>
          </w:p>
        </w:tc>
      </w:tr>
      <w:tr w14:paraId="4B02D21E">
        <w:tblPrEx>
          <w:tblCellMar>
            <w:top w:w="0" w:type="dxa"/>
            <w:left w:w="0" w:type="dxa"/>
            <w:bottom w:w="0" w:type="dxa"/>
            <w:right w:w="0" w:type="dxa"/>
          </w:tblCellMar>
        </w:tblPrEx>
        <w:trPr>
          <w:trHeight w:val="224" w:hRule="atLeast"/>
          <w:jc w:val="center"/>
        </w:trPr>
        <w:tc>
          <w:tcPr>
            <w:tcW w:w="1192"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232DF5E">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宋体" w:hAnsi="宋体" w:cs="宋体"/>
                <w:b/>
                <w:color w:val="000000"/>
                <w:sz w:val="18"/>
                <w:szCs w:val="18"/>
              </w:rPr>
            </w:pPr>
          </w:p>
        </w:tc>
        <w:tc>
          <w:tcPr>
            <w:tcW w:w="2610"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3195A76">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宋体" w:hAnsi="宋体" w:cs="宋体"/>
                <w:color w:val="000000"/>
                <w:sz w:val="20"/>
                <w:szCs w:val="20"/>
              </w:rPr>
            </w:pPr>
          </w:p>
        </w:tc>
        <w:tc>
          <w:tcPr>
            <w:tcW w:w="159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EF0D5EA">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HF</w:t>
            </w:r>
          </w:p>
        </w:tc>
        <w:tc>
          <w:tcPr>
            <w:tcW w:w="281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F3565B1">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宋体" w:hAnsi="宋体" w:cs="宋体"/>
                <w:color w:val="000000"/>
                <w:sz w:val="20"/>
                <w:szCs w:val="20"/>
              </w:rPr>
            </w:pPr>
            <w:r>
              <w:rPr>
                <w:rFonts w:hint="eastAsia" w:ascii="宋体" w:hAnsi="宋体" w:cs="宋体"/>
                <w:kern w:val="0"/>
                <w:sz w:val="20"/>
                <w:szCs w:val="20"/>
                <w:lang w:bidi="ar"/>
              </w:rPr>
              <w:t>1次/年</w:t>
            </w:r>
          </w:p>
        </w:tc>
      </w:tr>
      <w:tr w14:paraId="3AD16762">
        <w:tblPrEx>
          <w:tblCellMar>
            <w:top w:w="0" w:type="dxa"/>
            <w:left w:w="0" w:type="dxa"/>
            <w:bottom w:w="0" w:type="dxa"/>
            <w:right w:w="0" w:type="dxa"/>
          </w:tblCellMar>
        </w:tblPrEx>
        <w:trPr>
          <w:trHeight w:val="359" w:hRule="atLeast"/>
          <w:jc w:val="center"/>
        </w:trPr>
        <w:tc>
          <w:tcPr>
            <w:tcW w:w="1192"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A340BAD">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宋体" w:hAnsi="宋体" w:cs="宋体"/>
                <w:b/>
                <w:color w:val="000000"/>
                <w:kern w:val="0"/>
                <w:sz w:val="18"/>
                <w:szCs w:val="18"/>
                <w:lang w:bidi="ar"/>
              </w:rPr>
            </w:pPr>
          </w:p>
        </w:tc>
        <w:tc>
          <w:tcPr>
            <w:tcW w:w="2610"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6A07CF1">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宋体" w:hAnsi="宋体" w:cs="宋体"/>
                <w:color w:val="000000"/>
                <w:kern w:val="0"/>
                <w:sz w:val="20"/>
                <w:szCs w:val="20"/>
                <w:lang w:bidi="ar"/>
              </w:rPr>
            </w:pPr>
          </w:p>
        </w:tc>
        <w:tc>
          <w:tcPr>
            <w:tcW w:w="159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775EBE9">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硫酸雾</w:t>
            </w:r>
          </w:p>
        </w:tc>
        <w:tc>
          <w:tcPr>
            <w:tcW w:w="281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6238ACD">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宋体" w:hAnsi="宋体" w:cs="宋体"/>
                <w:color w:val="000000"/>
                <w:sz w:val="20"/>
                <w:szCs w:val="20"/>
              </w:rPr>
            </w:pPr>
            <w:r>
              <w:rPr>
                <w:rFonts w:hint="eastAsia" w:ascii="宋体" w:hAnsi="宋体" w:cs="宋体"/>
                <w:kern w:val="0"/>
                <w:sz w:val="20"/>
                <w:szCs w:val="20"/>
                <w:lang w:bidi="ar"/>
              </w:rPr>
              <w:t>1次/年</w:t>
            </w:r>
          </w:p>
        </w:tc>
      </w:tr>
      <w:tr w14:paraId="6B525168">
        <w:tblPrEx>
          <w:tblCellMar>
            <w:top w:w="0" w:type="dxa"/>
            <w:left w:w="0" w:type="dxa"/>
            <w:bottom w:w="0" w:type="dxa"/>
            <w:right w:w="0" w:type="dxa"/>
          </w:tblCellMar>
        </w:tblPrEx>
        <w:trPr>
          <w:trHeight w:val="164" w:hRule="atLeast"/>
          <w:jc w:val="center"/>
        </w:trPr>
        <w:tc>
          <w:tcPr>
            <w:tcW w:w="1192"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EA6D6BA">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宋体" w:hAnsi="宋体" w:cs="宋体"/>
                <w:b/>
                <w:color w:val="000000"/>
                <w:kern w:val="0"/>
                <w:sz w:val="18"/>
                <w:szCs w:val="18"/>
                <w:lang w:bidi="ar"/>
              </w:rPr>
            </w:pPr>
          </w:p>
        </w:tc>
        <w:tc>
          <w:tcPr>
            <w:tcW w:w="2610"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0553352">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宋体" w:hAnsi="宋体" w:cs="宋体"/>
                <w:color w:val="000000"/>
                <w:kern w:val="0"/>
                <w:sz w:val="20"/>
                <w:szCs w:val="20"/>
                <w:lang w:bidi="ar"/>
              </w:rPr>
            </w:pPr>
          </w:p>
        </w:tc>
        <w:tc>
          <w:tcPr>
            <w:tcW w:w="159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B43C57B">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氯化氢</w:t>
            </w:r>
          </w:p>
        </w:tc>
        <w:tc>
          <w:tcPr>
            <w:tcW w:w="281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F83EB14">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宋体" w:hAnsi="宋体" w:cs="宋体"/>
                <w:color w:val="000000"/>
                <w:sz w:val="20"/>
                <w:szCs w:val="20"/>
              </w:rPr>
            </w:pPr>
            <w:r>
              <w:rPr>
                <w:rFonts w:hint="eastAsia" w:ascii="宋体" w:hAnsi="宋体" w:cs="宋体"/>
                <w:kern w:val="0"/>
                <w:sz w:val="20"/>
                <w:szCs w:val="20"/>
                <w:lang w:bidi="ar"/>
              </w:rPr>
              <w:t>1次/年</w:t>
            </w:r>
          </w:p>
        </w:tc>
      </w:tr>
      <w:tr w14:paraId="6F60F0B2">
        <w:tblPrEx>
          <w:tblCellMar>
            <w:top w:w="0" w:type="dxa"/>
            <w:left w:w="0" w:type="dxa"/>
            <w:bottom w:w="0" w:type="dxa"/>
            <w:right w:w="0" w:type="dxa"/>
          </w:tblCellMar>
        </w:tblPrEx>
        <w:trPr>
          <w:trHeight w:val="344" w:hRule="atLeast"/>
          <w:jc w:val="center"/>
        </w:trPr>
        <w:tc>
          <w:tcPr>
            <w:tcW w:w="1192"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F688060">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宋体" w:hAnsi="宋体" w:cs="宋体"/>
                <w:b/>
                <w:color w:val="000000"/>
                <w:kern w:val="0"/>
                <w:sz w:val="18"/>
                <w:szCs w:val="18"/>
                <w:lang w:bidi="ar"/>
              </w:rPr>
            </w:pPr>
          </w:p>
        </w:tc>
        <w:tc>
          <w:tcPr>
            <w:tcW w:w="2610"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90DD236">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宋体" w:hAnsi="宋体" w:cs="宋体"/>
                <w:color w:val="000000"/>
                <w:kern w:val="0"/>
                <w:sz w:val="20"/>
                <w:szCs w:val="20"/>
                <w:lang w:bidi="ar"/>
              </w:rPr>
            </w:pPr>
          </w:p>
        </w:tc>
        <w:tc>
          <w:tcPr>
            <w:tcW w:w="159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4595CFE">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ascii="宋体" w:hAnsi="宋体" w:cs="宋体"/>
                <w:kern w:val="0"/>
                <w:sz w:val="20"/>
                <w:szCs w:val="20"/>
                <w:lang w:bidi="ar"/>
              </w:rPr>
            </w:pPr>
            <w:r>
              <w:rPr>
                <w:rFonts w:hint="eastAsia" w:ascii="宋体" w:hAnsi="宋体" w:cs="宋体"/>
                <w:kern w:val="0"/>
                <w:sz w:val="20"/>
                <w:szCs w:val="20"/>
                <w:lang w:bidi="ar"/>
              </w:rPr>
              <w:t>挥发性有机物</w:t>
            </w:r>
          </w:p>
        </w:tc>
        <w:tc>
          <w:tcPr>
            <w:tcW w:w="281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298664C">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1次/年</w:t>
            </w:r>
          </w:p>
        </w:tc>
      </w:tr>
      <w:tr w14:paraId="273B0E6B">
        <w:tblPrEx>
          <w:tblCellMar>
            <w:top w:w="0" w:type="dxa"/>
            <w:left w:w="0" w:type="dxa"/>
            <w:bottom w:w="0" w:type="dxa"/>
            <w:right w:w="0" w:type="dxa"/>
          </w:tblCellMar>
        </w:tblPrEx>
        <w:trPr>
          <w:trHeight w:val="409" w:hRule="atLeast"/>
          <w:jc w:val="center"/>
        </w:trPr>
        <w:tc>
          <w:tcPr>
            <w:tcW w:w="119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5D6090B">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lang w:bidi="ar"/>
              </w:rPr>
              <w:t>噪声</w:t>
            </w:r>
          </w:p>
        </w:tc>
        <w:tc>
          <w:tcPr>
            <w:tcW w:w="261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FD6E2BE">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四周厂界</w:t>
            </w:r>
          </w:p>
        </w:tc>
        <w:tc>
          <w:tcPr>
            <w:tcW w:w="159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DB2E159">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等效A声级</w:t>
            </w:r>
          </w:p>
        </w:tc>
        <w:tc>
          <w:tcPr>
            <w:tcW w:w="281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493DE00">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宋体" w:hAnsi="宋体" w:eastAsia="宋体" w:cs="宋体"/>
                <w:color w:val="000000"/>
                <w:sz w:val="20"/>
                <w:szCs w:val="20"/>
                <w:lang w:eastAsia="zh-CN"/>
              </w:rPr>
            </w:pPr>
            <w:r>
              <w:rPr>
                <w:rFonts w:hint="eastAsia" w:ascii="宋体" w:hAnsi="宋体" w:cs="宋体"/>
                <w:kern w:val="0"/>
                <w:sz w:val="20"/>
                <w:szCs w:val="20"/>
                <w:lang w:bidi="ar"/>
              </w:rPr>
              <w:t>1次/年</w:t>
            </w:r>
          </w:p>
        </w:tc>
      </w:tr>
    </w:tbl>
    <w:p w14:paraId="42B08C7E">
      <w:pPr>
        <w:rPr>
          <w:rFonts w:hint="eastAsia" w:ascii="仿宋" w:hAnsi="仿宋" w:eastAsia="仿宋" w:cs="仿宋"/>
          <w:b/>
          <w:color w:val="auto"/>
          <w:sz w:val="30"/>
          <w:szCs w:val="30"/>
        </w:rPr>
      </w:pPr>
    </w:p>
    <w:p w14:paraId="1940768B">
      <w:pPr>
        <w:ind w:firstLine="602" w:firstLineChars="200"/>
        <w:rPr>
          <w:rFonts w:hint="eastAsia" w:ascii="仿宋" w:hAnsi="仿宋" w:eastAsia="仿宋" w:cs="仿宋"/>
          <w:b/>
          <w:color w:val="auto"/>
          <w:sz w:val="30"/>
          <w:szCs w:val="30"/>
        </w:rPr>
      </w:pPr>
    </w:p>
    <w:p w14:paraId="5D627E90">
      <w:pPr>
        <w:ind w:firstLine="602" w:firstLineChars="200"/>
        <w:rPr>
          <w:rFonts w:hint="eastAsia" w:ascii="仿宋" w:hAnsi="仿宋" w:eastAsia="仿宋" w:cs="仿宋"/>
          <w:b/>
          <w:color w:val="auto"/>
          <w:sz w:val="30"/>
          <w:szCs w:val="30"/>
        </w:rPr>
      </w:pPr>
      <w:r>
        <w:rPr>
          <w:rFonts w:hint="eastAsia" w:ascii="仿宋" w:hAnsi="仿宋" w:eastAsia="仿宋" w:cs="仿宋"/>
          <w:b/>
          <w:color w:val="auto"/>
          <w:sz w:val="30"/>
          <w:szCs w:val="30"/>
        </w:rPr>
        <w:t>三、报价人资质与要求</w:t>
      </w:r>
    </w:p>
    <w:p w14:paraId="7248797B">
      <w:pPr>
        <w:adjustRightInd w:val="0"/>
        <w:snapToGrid w:val="0"/>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 w:hAnsi="仿宋" w:eastAsia="仿宋" w:cs="仿宋"/>
          <w:bCs/>
          <w:kern w:val="1"/>
          <w:sz w:val="30"/>
          <w:szCs w:val="30"/>
          <w:lang w:eastAsia="zh-CN"/>
        </w:rPr>
        <w:t>报价</w:t>
      </w:r>
      <w:r>
        <w:rPr>
          <w:rFonts w:hint="eastAsia" w:ascii="仿宋" w:hAnsi="仿宋" w:eastAsia="仿宋" w:cs="仿宋"/>
          <w:bCs/>
          <w:kern w:val="1"/>
          <w:sz w:val="30"/>
          <w:szCs w:val="30"/>
          <w:lang w:val="en-US" w:eastAsia="zh-CN"/>
        </w:rPr>
        <w:t>人</w:t>
      </w:r>
      <w:r>
        <w:rPr>
          <w:rFonts w:hint="eastAsia" w:ascii="仿宋" w:hAnsi="仿宋" w:eastAsia="仿宋" w:cs="仿宋"/>
          <w:bCs/>
          <w:kern w:val="1"/>
          <w:sz w:val="30"/>
          <w:szCs w:val="30"/>
        </w:rPr>
        <w:t>必须为江苏省内注册的法人，具有合法的营业执照，经营范围须含有</w:t>
      </w:r>
      <w:r>
        <w:rPr>
          <w:rFonts w:hint="eastAsia" w:ascii="仿宋" w:hAnsi="仿宋" w:eastAsia="仿宋" w:cs="仿宋"/>
          <w:bCs/>
          <w:kern w:val="1"/>
          <w:sz w:val="30"/>
          <w:szCs w:val="30"/>
          <w:lang w:val="en-US" w:eastAsia="zh-CN"/>
        </w:rPr>
        <w:t>环境监测服务</w:t>
      </w:r>
      <w:r>
        <w:rPr>
          <w:rFonts w:hint="eastAsia" w:ascii="仿宋" w:hAnsi="仿宋" w:eastAsia="仿宋" w:cs="仿宋"/>
          <w:bCs/>
          <w:kern w:val="1"/>
          <w:sz w:val="30"/>
          <w:szCs w:val="30"/>
        </w:rPr>
        <w:t>内容，注册资本</w:t>
      </w:r>
      <w:r>
        <w:rPr>
          <w:rFonts w:hint="eastAsia" w:ascii="仿宋" w:hAnsi="仿宋" w:eastAsia="仿宋" w:cs="仿宋"/>
          <w:bCs/>
          <w:kern w:val="1"/>
          <w:sz w:val="30"/>
          <w:szCs w:val="30"/>
          <w:lang w:val="en-US" w:eastAsia="zh-CN"/>
        </w:rPr>
        <w:t>200</w:t>
      </w:r>
      <w:r>
        <w:rPr>
          <w:rFonts w:hint="eastAsia" w:ascii="仿宋" w:hAnsi="仿宋" w:eastAsia="仿宋" w:cs="仿宋"/>
          <w:bCs/>
          <w:kern w:val="1"/>
          <w:sz w:val="30"/>
          <w:szCs w:val="30"/>
        </w:rPr>
        <w:t>万以上。</w:t>
      </w:r>
    </w:p>
    <w:p w14:paraId="2213EFEF">
      <w:pPr>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（2）</w:t>
      </w:r>
      <w:r>
        <w:rPr>
          <w:rFonts w:hint="eastAsia" w:ascii="仿宋_GB2312" w:hAnsi="仿宋_GB2312" w:eastAsia="仿宋_GB2312" w:cs="仿宋_GB2312"/>
          <w:sz w:val="28"/>
          <w:szCs w:val="28"/>
          <w:lang w:eastAsia="zh-CN"/>
        </w:rPr>
        <w:t>报价</w:t>
      </w:r>
      <w:r>
        <w:rPr>
          <w:rFonts w:hint="eastAsia" w:ascii="仿宋_GB2312" w:hAnsi="仿宋_GB2312" w:eastAsia="仿宋_GB2312" w:cs="仿宋_GB2312"/>
          <w:sz w:val="28"/>
          <w:szCs w:val="28"/>
        </w:rPr>
        <w:t>人</w:t>
      </w:r>
      <w:r>
        <w:rPr>
          <w:rFonts w:ascii="仿宋_GB2312" w:hAnsi="仿宋_GB2312" w:eastAsia="仿宋_GB2312" w:cs="仿宋_GB2312"/>
          <w:sz w:val="28"/>
          <w:szCs w:val="28"/>
        </w:rPr>
        <w:t>营业范围</w:t>
      </w:r>
      <w:r>
        <w:rPr>
          <w:rFonts w:hint="eastAsia" w:ascii="仿宋_GB2312" w:hAnsi="仿宋_GB2312" w:eastAsia="仿宋_GB2312" w:cs="仿宋_GB2312"/>
          <w:sz w:val="28"/>
          <w:szCs w:val="28"/>
        </w:rPr>
        <w:t>包括</w:t>
      </w:r>
      <w:r>
        <w:rPr>
          <w:rFonts w:hint="eastAsia" w:ascii="仿宋_GB2312" w:hAnsi="仿宋_GB2312" w:eastAsia="仿宋_GB2312" w:cs="仿宋_GB2312"/>
          <w:sz w:val="28"/>
          <w:szCs w:val="28"/>
          <w:lang w:val="en-US" w:eastAsia="zh-CN"/>
        </w:rPr>
        <w:t>索普赛瑞所需</w:t>
      </w:r>
      <w:r>
        <w:rPr>
          <w:rFonts w:hint="eastAsia" w:ascii="仿宋_GB2312" w:hAnsi="仿宋_GB2312" w:eastAsia="仿宋_GB2312" w:cs="仿宋_GB2312"/>
          <w:sz w:val="28"/>
          <w:szCs w:val="28"/>
        </w:rPr>
        <w:t>检测</w:t>
      </w:r>
      <w:r>
        <w:rPr>
          <w:rFonts w:ascii="仿宋_GB2312" w:hAnsi="仿宋_GB2312" w:eastAsia="仿宋_GB2312" w:cs="仿宋_GB2312"/>
          <w:sz w:val="28"/>
          <w:szCs w:val="28"/>
        </w:rPr>
        <w:t>项目。</w:t>
      </w:r>
      <w:r>
        <w:rPr>
          <w:rFonts w:hint="eastAsia" w:ascii="仿宋_GB2312" w:hAnsi="仿宋_GB2312" w:eastAsia="仿宋_GB2312" w:cs="仿宋_GB2312"/>
          <w:sz w:val="28"/>
          <w:szCs w:val="28"/>
        </w:rPr>
        <w:t>有相关检测业绩</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提</w:t>
      </w:r>
      <w:r>
        <w:rPr>
          <w:rFonts w:ascii="仿宋_GB2312" w:hAnsi="仿宋_GB2312" w:eastAsia="仿宋_GB2312" w:cs="仿宋_GB2312"/>
          <w:sz w:val="28"/>
          <w:szCs w:val="28"/>
        </w:rPr>
        <w:t>供业绩合同复印件。</w:t>
      </w:r>
    </w:p>
    <w:p w14:paraId="49648BB0">
      <w:pPr>
        <w:ind w:firstLine="560" w:firstLineChars="200"/>
        <w:rPr>
          <w:rFonts w:hint="eastAsia" w:ascii="仿宋" w:hAnsi="仿宋" w:eastAsia="仿宋" w:cs="仿宋"/>
          <w:b/>
          <w:color w:val="auto"/>
          <w:kern w:val="2"/>
          <w:sz w:val="30"/>
          <w:szCs w:val="30"/>
        </w:rPr>
      </w:pPr>
      <w:r>
        <w:rPr>
          <w:rFonts w:ascii="仿宋_GB2312" w:hAnsi="仿宋_GB2312" w:eastAsia="仿宋_GB2312" w:cs="仿宋_GB2312"/>
          <w:sz w:val="28"/>
          <w:szCs w:val="28"/>
        </w:rPr>
        <w:t>（3）</w:t>
      </w:r>
      <w:r>
        <w:rPr>
          <w:rFonts w:hint="eastAsia" w:ascii="仿宋_GB2312" w:hAnsi="仿宋_GB2312" w:eastAsia="仿宋_GB2312" w:cs="仿宋_GB2312"/>
          <w:sz w:val="28"/>
          <w:szCs w:val="28"/>
          <w:lang w:eastAsia="zh-CN"/>
        </w:rPr>
        <w:t>报价</w:t>
      </w:r>
      <w:r>
        <w:rPr>
          <w:rFonts w:hint="eastAsia" w:ascii="仿宋_GB2312" w:hAnsi="仿宋_GB2312" w:eastAsia="仿宋_GB2312" w:cs="仿宋_GB2312"/>
          <w:sz w:val="28"/>
          <w:szCs w:val="28"/>
        </w:rPr>
        <w:t>人拥有省级及以上市场监督管理局实验室资质认定（或CNAS资质）、中国合格评定国家认可委员会实验室认可证书CNAS。</w:t>
      </w:r>
    </w:p>
    <w:p w14:paraId="26F5FBB2">
      <w:pPr>
        <w:adjustRightInd w:val="0"/>
        <w:snapToGrid w:val="0"/>
        <w:spacing w:line="600" w:lineRule="exact"/>
        <w:ind w:firstLine="480"/>
        <w:rPr>
          <w:rFonts w:hint="eastAsia" w:ascii="仿宋" w:hAnsi="仿宋" w:eastAsia="仿宋" w:cs="仿宋"/>
          <w:bCs/>
          <w:color w:val="auto"/>
          <w:kern w:val="1"/>
          <w:sz w:val="30"/>
          <w:szCs w:val="30"/>
        </w:rPr>
      </w:pPr>
      <w:r>
        <w:rPr>
          <w:rFonts w:hint="eastAsia" w:ascii="仿宋" w:hAnsi="仿宋" w:eastAsia="仿宋" w:cs="仿宋"/>
          <w:b/>
          <w:color w:val="auto"/>
          <w:kern w:val="2"/>
          <w:sz w:val="30"/>
          <w:szCs w:val="30"/>
        </w:rPr>
        <w:t>四、报价：</w:t>
      </w:r>
    </w:p>
    <w:p w14:paraId="201D5929">
      <w:pPr>
        <w:adjustRightInd w:val="0"/>
        <w:snapToGrid w:val="0"/>
        <w:spacing w:line="600" w:lineRule="exact"/>
        <w:ind w:firstLine="600" w:firstLineChars="200"/>
        <w:jc w:val="left"/>
        <w:rPr>
          <w:rFonts w:hint="eastAsia" w:ascii="仿宋" w:hAnsi="仿宋" w:eastAsia="仿宋" w:cs="仿宋"/>
          <w:bCs/>
          <w:color w:val="auto"/>
          <w:sz w:val="30"/>
          <w:szCs w:val="30"/>
        </w:rPr>
      </w:pPr>
      <w:r>
        <w:rPr>
          <w:rFonts w:hint="eastAsia" w:ascii="仿宋" w:hAnsi="仿宋" w:eastAsia="仿宋" w:cs="仿宋"/>
          <w:bCs/>
          <w:color w:val="auto"/>
          <w:kern w:val="1"/>
          <w:sz w:val="30"/>
          <w:szCs w:val="30"/>
        </w:rPr>
        <w:t>（一）报价方式：</w:t>
      </w:r>
      <w:r>
        <w:rPr>
          <w:rFonts w:hint="eastAsia" w:ascii="仿宋" w:hAnsi="仿宋" w:eastAsia="仿宋" w:cs="仿宋"/>
          <w:bCs/>
          <w:color w:val="auto"/>
          <w:sz w:val="30"/>
          <w:szCs w:val="30"/>
        </w:rPr>
        <w:t>报价为含增值税送到价。如国家税率调整，按合同含税价格/（1+合同约定税率）*（1+国家规定的新税率）调整合同价格开具发票；</w:t>
      </w:r>
    </w:p>
    <w:p w14:paraId="48B8E771">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（二）付款方式：</w:t>
      </w:r>
      <w:r>
        <w:rPr>
          <w:rFonts w:hint="eastAsia" w:ascii="仿宋" w:hAnsi="仿宋" w:eastAsia="仿宋" w:cs="仿宋"/>
          <w:bCs/>
          <w:color w:val="auto"/>
          <w:kern w:val="1"/>
          <w:sz w:val="30"/>
          <w:szCs w:val="30"/>
          <w:lang w:val="en-US" w:eastAsia="zh-CN"/>
        </w:rPr>
        <w:t>见询价单</w:t>
      </w:r>
      <w:r>
        <w:rPr>
          <w:rFonts w:hint="eastAsia" w:ascii="仿宋" w:hAnsi="仿宋" w:eastAsia="仿宋" w:cs="仿宋"/>
          <w:bCs/>
          <w:color w:val="auto"/>
          <w:kern w:val="1"/>
          <w:sz w:val="30"/>
          <w:szCs w:val="30"/>
        </w:rPr>
        <w:t>。如报价人不接受采购人提出的付款方式，可在</w:t>
      </w:r>
      <w:r>
        <w:rPr>
          <w:rFonts w:hint="eastAsia" w:ascii="仿宋" w:hAnsi="仿宋" w:eastAsia="仿宋" w:cs="仿宋"/>
          <w:bCs/>
          <w:color w:val="auto"/>
          <w:kern w:val="1"/>
          <w:sz w:val="30"/>
          <w:szCs w:val="30"/>
          <w:lang w:val="en-US" w:eastAsia="zh-CN"/>
        </w:rPr>
        <w:t>询价单</w:t>
      </w:r>
      <w:r>
        <w:rPr>
          <w:rFonts w:hint="eastAsia" w:ascii="仿宋" w:hAnsi="仿宋" w:eastAsia="仿宋" w:cs="仿宋"/>
          <w:bCs/>
          <w:color w:val="auto"/>
          <w:kern w:val="1"/>
          <w:sz w:val="30"/>
          <w:szCs w:val="30"/>
        </w:rPr>
        <w:t>中明确能够接受的付款方式及付款时间，评</w:t>
      </w:r>
      <w:r>
        <w:rPr>
          <w:rFonts w:hint="eastAsia" w:ascii="仿宋" w:hAnsi="仿宋" w:eastAsia="仿宋" w:cs="仿宋"/>
          <w:bCs/>
          <w:color w:val="auto"/>
          <w:kern w:val="1"/>
          <w:sz w:val="30"/>
          <w:szCs w:val="30"/>
          <w:lang w:val="en-US" w:eastAsia="zh-CN"/>
        </w:rPr>
        <w:t>审</w:t>
      </w:r>
      <w:r>
        <w:rPr>
          <w:rFonts w:hint="eastAsia" w:ascii="仿宋" w:hAnsi="仿宋" w:eastAsia="仿宋" w:cs="仿宋"/>
          <w:bCs/>
          <w:color w:val="auto"/>
          <w:kern w:val="1"/>
          <w:sz w:val="30"/>
          <w:szCs w:val="30"/>
        </w:rPr>
        <w:t>时作为参考。报价为含税</w:t>
      </w:r>
      <w:r>
        <w:rPr>
          <w:rFonts w:hint="eastAsia" w:ascii="仿宋" w:hAnsi="仿宋" w:eastAsia="仿宋" w:cs="仿宋"/>
          <w:bCs/>
          <w:color w:val="auto"/>
          <w:kern w:val="1"/>
          <w:sz w:val="30"/>
          <w:szCs w:val="30"/>
          <w:lang w:val="en-US" w:eastAsia="zh-CN"/>
        </w:rPr>
        <w:t>含运费价</w:t>
      </w:r>
      <w:r>
        <w:rPr>
          <w:rFonts w:hint="eastAsia" w:ascii="仿宋" w:hAnsi="仿宋" w:eastAsia="仿宋" w:cs="仿宋"/>
          <w:bCs/>
          <w:color w:val="auto"/>
          <w:kern w:val="1"/>
          <w:sz w:val="30"/>
          <w:szCs w:val="30"/>
        </w:rPr>
        <w:t>，如有不同请注明。</w:t>
      </w:r>
    </w:p>
    <w:p w14:paraId="594A5397">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（三）本项目报价可通过线上和线下两种方式进行：</w:t>
      </w:r>
    </w:p>
    <w:p w14:paraId="7B80D5A4">
      <w:pPr>
        <w:adjustRightInd w:val="0"/>
        <w:snapToGrid w:val="0"/>
        <w:spacing w:line="600" w:lineRule="exact"/>
        <w:ind w:firstLine="600" w:firstLineChars="200"/>
        <w:jc w:val="left"/>
        <w:rPr>
          <w:rFonts w:ascii="仿宋" w:hAnsi="仿宋" w:eastAsia="仿宋" w:cs="仿宋"/>
          <w:bCs/>
          <w:color w:val="auto"/>
          <w:kern w:val="1"/>
          <w:sz w:val="30"/>
          <w:szCs w:val="30"/>
        </w:rPr>
      </w:pPr>
      <w:r>
        <w:rPr>
          <w:rFonts w:hint="eastAsia" w:ascii="仿宋" w:hAnsi="仿宋" w:eastAsia="仿宋" w:cs="仿宋"/>
          <w:bCs/>
          <w:color w:val="auto"/>
          <w:kern w:val="1"/>
          <w:sz w:val="30"/>
          <w:szCs w:val="30"/>
        </w:rPr>
        <w:t>1、采用线上报价需严格按照1688线上格式要求填写报价，如需上传报价单需加盖报价章，同时上传采购文件中所规定的资质材料。</w:t>
      </w:r>
    </w:p>
    <w:p w14:paraId="6F154187">
      <w:pPr>
        <w:wordWrap w:val="0"/>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2、采用线下报价有两种方式：</w:t>
      </w:r>
    </w:p>
    <w:p w14:paraId="7B665C70">
      <w:pPr>
        <w:wordWrap w:val="0"/>
        <w:adjustRightInd w:val="0"/>
        <w:snapToGrid w:val="0"/>
        <w:spacing w:line="600" w:lineRule="exact"/>
        <w:ind w:firstLine="600" w:firstLineChars="200"/>
        <w:jc w:val="left"/>
        <w:rPr>
          <w:rFonts w:hint="eastAsia" w:ascii="仿宋" w:hAnsi="仿宋" w:eastAsia="仿宋" w:cs="仿宋"/>
          <w:bCs/>
          <w:sz w:val="30"/>
          <w:szCs w:val="30"/>
        </w:rPr>
      </w:pPr>
      <w:r>
        <w:rPr>
          <w:rFonts w:hint="eastAsia" w:ascii="仿宋" w:hAnsi="仿宋" w:eastAsia="仿宋" w:cs="仿宋"/>
          <w:bCs/>
          <w:color w:val="auto"/>
          <w:kern w:val="1"/>
          <w:sz w:val="30"/>
          <w:szCs w:val="30"/>
        </w:rPr>
        <w:t>（1）密封报价。应</w:t>
      </w:r>
      <w:r>
        <w:rPr>
          <w:rFonts w:hint="eastAsia" w:ascii="仿宋" w:hAnsi="仿宋" w:eastAsia="仿宋" w:cs="仿宋"/>
          <w:bCs/>
          <w:sz w:val="30"/>
          <w:szCs w:val="30"/>
        </w:rPr>
        <w:t>将报价书及相关资料以标袋形式送达，标袋外包装必须用“封条”密封，封条“格式自定”，另需加盖公章、法人章，填写密封日期；在标袋封面上需注明“报价项目名称，报价方名称、地址、联系人、联系电话”等；</w:t>
      </w:r>
    </w:p>
    <w:p w14:paraId="5A536550">
      <w:pPr>
        <w:wordWrap w:val="0"/>
        <w:adjustRightInd w:val="0"/>
        <w:snapToGrid w:val="0"/>
        <w:spacing w:line="600" w:lineRule="exact"/>
        <w:ind w:firstLine="600" w:firstLineChars="200"/>
        <w:jc w:val="left"/>
        <w:rPr>
          <w:rFonts w:ascii="仿宋" w:hAnsi="仿宋" w:eastAsia="仿宋" w:cs="仿宋"/>
          <w:bCs/>
          <w:color w:val="auto"/>
          <w:kern w:val="1"/>
          <w:sz w:val="30"/>
          <w:szCs w:val="30"/>
        </w:rPr>
      </w:pPr>
      <w:r>
        <w:rPr>
          <w:rFonts w:hint="eastAsia" w:ascii="仿宋" w:hAnsi="仿宋" w:eastAsia="仿宋" w:cs="仿宋"/>
          <w:bCs/>
          <w:color w:val="auto"/>
          <w:sz w:val="30"/>
          <w:szCs w:val="30"/>
        </w:rPr>
        <w:t>（2）</w:t>
      </w:r>
      <w:r>
        <w:rPr>
          <w:rFonts w:hint="eastAsia" w:ascii="仿宋" w:hAnsi="仿宋" w:eastAsia="仿宋" w:cs="仿宋"/>
          <w:bCs/>
          <w:color w:val="auto"/>
          <w:kern w:val="1"/>
          <w:sz w:val="30"/>
          <w:szCs w:val="30"/>
        </w:rPr>
        <w:t>通过采购邮箱报价。应将报价报价盖章扫描发至公司招报价邮箱，邮件主题上应注明报价单位的名称+标的物的名称，以便于在开标时区分采购名称，防止误点误开，未注明清楚的报价由报价单位自行负责，</w:t>
      </w:r>
      <w:r>
        <w:rPr>
          <w:rFonts w:hint="eastAsia" w:ascii="仿宋" w:hAnsi="仿宋" w:eastAsia="仿宋" w:cs="仿宋"/>
          <w:b/>
          <w:bCs/>
          <w:color w:val="auto"/>
          <w:kern w:val="1"/>
          <w:sz w:val="30"/>
          <w:szCs w:val="30"/>
        </w:rPr>
        <w:t>此外通过邮箱报价的附件应进行文件加密，在开标时采购人会电话联系报价联系人，报价人将密码告知采购人进行解密，未对文件进行加密的报价文件导致的信息泄露采购方概不负责</w:t>
      </w:r>
      <w:r>
        <w:rPr>
          <w:rFonts w:hint="eastAsia" w:ascii="仿宋" w:hAnsi="仿宋" w:eastAsia="仿宋" w:cs="仿宋"/>
          <w:bCs/>
          <w:color w:val="auto"/>
          <w:kern w:val="1"/>
          <w:sz w:val="30"/>
          <w:szCs w:val="30"/>
        </w:rPr>
        <w:t>。以上两种线下报价方式要求在报价截止日之前送达，逾期将作为无效报价处理。</w:t>
      </w:r>
    </w:p>
    <w:p w14:paraId="6DD19E7E">
      <w:pPr>
        <w:wordWrap w:val="0"/>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（四）与本报价有关的一切往来通讯请密封寄：</w:t>
      </w:r>
    </w:p>
    <w:p w14:paraId="0180E538">
      <w:pPr>
        <w:wordWrap w:val="0"/>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公司：江苏索普赛瑞装备制造有限公司商务合作部</w:t>
      </w:r>
    </w:p>
    <w:p w14:paraId="1C5EB2A1">
      <w:pPr>
        <w:wordWrap w:val="0"/>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地址：江苏省镇江市京口区谏壁镇求索路18号</w:t>
      </w:r>
    </w:p>
    <w:p w14:paraId="7C9AE1BF">
      <w:pPr>
        <w:wordWrap w:val="0"/>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邮编：212006</w:t>
      </w:r>
    </w:p>
    <w:p w14:paraId="080444B4">
      <w:pPr>
        <w:wordWrap w:val="0"/>
        <w:adjustRightInd w:val="0"/>
        <w:snapToGrid w:val="0"/>
        <w:spacing w:line="600" w:lineRule="exact"/>
        <w:ind w:firstLine="600" w:firstLineChars="200"/>
        <w:jc w:val="left"/>
        <w:rPr>
          <w:rFonts w:hint="default" w:ascii="仿宋" w:hAnsi="仿宋" w:eastAsia="仿宋" w:cs="仿宋"/>
          <w:bCs/>
          <w:color w:val="auto"/>
          <w:kern w:val="1"/>
          <w:sz w:val="30"/>
          <w:szCs w:val="30"/>
          <w:lang w:val="en-US" w:eastAsia="zh-CN"/>
        </w:rPr>
      </w:pPr>
      <w:r>
        <w:rPr>
          <w:rFonts w:hint="eastAsia" w:ascii="仿宋" w:hAnsi="仿宋" w:eastAsia="仿宋" w:cs="仿宋"/>
          <w:bCs/>
          <w:color w:val="auto"/>
          <w:kern w:val="1"/>
          <w:sz w:val="30"/>
          <w:szCs w:val="30"/>
        </w:rPr>
        <w:t>联系人：</w:t>
      </w:r>
      <w:r>
        <w:rPr>
          <w:rFonts w:hint="eastAsia" w:ascii="仿宋" w:hAnsi="仿宋" w:eastAsia="仿宋" w:cs="仿宋"/>
          <w:bCs/>
          <w:color w:val="auto"/>
          <w:kern w:val="1"/>
          <w:sz w:val="30"/>
          <w:szCs w:val="30"/>
          <w:lang w:val="en-US" w:eastAsia="zh-CN"/>
        </w:rPr>
        <w:t>石晓庆</w:t>
      </w:r>
    </w:p>
    <w:p w14:paraId="175801C3">
      <w:pPr>
        <w:wordWrap w:val="0"/>
        <w:adjustRightInd w:val="0"/>
        <w:snapToGrid w:val="0"/>
        <w:spacing w:line="600" w:lineRule="exact"/>
        <w:ind w:firstLine="600" w:firstLineChars="200"/>
        <w:jc w:val="left"/>
        <w:rPr>
          <w:rFonts w:hint="eastAsia" w:ascii="仿宋" w:hAnsi="仿宋" w:eastAsia="仿宋" w:cs="仿宋"/>
          <w:bCs/>
          <w:color w:val="auto"/>
          <w:kern w:val="1"/>
          <w:sz w:val="30"/>
          <w:szCs w:val="30"/>
          <w:lang w:val="en-US" w:eastAsia="zh-CN"/>
        </w:rPr>
      </w:pPr>
      <w:r>
        <w:rPr>
          <w:rFonts w:hint="eastAsia" w:ascii="仿宋" w:hAnsi="仿宋" w:eastAsia="仿宋" w:cs="仿宋"/>
          <w:bCs/>
          <w:color w:val="auto"/>
          <w:kern w:val="1"/>
          <w:sz w:val="30"/>
          <w:szCs w:val="30"/>
        </w:rPr>
        <w:t>联系电话：</w:t>
      </w:r>
      <w:r>
        <w:rPr>
          <w:rFonts w:hint="eastAsia" w:ascii="仿宋" w:hAnsi="仿宋" w:eastAsia="仿宋" w:cs="仿宋"/>
          <w:bCs/>
          <w:color w:val="auto"/>
          <w:kern w:val="1"/>
          <w:sz w:val="30"/>
          <w:szCs w:val="30"/>
          <w:lang w:val="en-US" w:eastAsia="zh-CN"/>
        </w:rPr>
        <w:t>15952902110</w:t>
      </w:r>
    </w:p>
    <w:p w14:paraId="7B9715E5">
      <w:pPr>
        <w:wordWrap w:val="0"/>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（五）与本报价有关的收件邮箱有关信息：</w:t>
      </w:r>
    </w:p>
    <w:p w14:paraId="0AB29E00">
      <w:pPr>
        <w:wordWrap w:val="0"/>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收件地址：</w:t>
      </w:r>
      <w:r>
        <w:rPr>
          <w:rFonts w:hint="eastAsia" w:ascii="仿宋" w:hAnsi="仿宋" w:eastAsia="仿宋" w:cs="仿宋"/>
          <w:bCs/>
          <w:color w:val="auto"/>
          <w:kern w:val="1"/>
          <w:sz w:val="30"/>
          <w:szCs w:val="30"/>
        </w:rPr>
        <w:fldChar w:fldCharType="begin"/>
      </w:r>
      <w:r>
        <w:rPr>
          <w:rFonts w:hint="eastAsia" w:ascii="仿宋" w:hAnsi="仿宋" w:eastAsia="仿宋" w:cs="仿宋"/>
          <w:bCs/>
          <w:color w:val="auto"/>
          <w:kern w:val="1"/>
          <w:sz w:val="30"/>
          <w:szCs w:val="30"/>
        </w:rPr>
        <w:instrText xml:space="preserve"> HYPERLINK "mailto:cgzb@sopocere.com" </w:instrText>
      </w:r>
      <w:r>
        <w:rPr>
          <w:rFonts w:hint="eastAsia" w:ascii="仿宋" w:hAnsi="仿宋" w:eastAsia="仿宋" w:cs="仿宋"/>
          <w:bCs/>
          <w:color w:val="auto"/>
          <w:kern w:val="1"/>
          <w:sz w:val="30"/>
          <w:szCs w:val="30"/>
        </w:rPr>
        <w:fldChar w:fldCharType="separate"/>
      </w:r>
      <w:r>
        <w:rPr>
          <w:rFonts w:hint="eastAsia" w:ascii="仿宋" w:hAnsi="仿宋" w:eastAsia="仿宋" w:cs="仿宋"/>
          <w:bCs/>
          <w:color w:val="auto"/>
          <w:kern w:val="1"/>
          <w:sz w:val="30"/>
          <w:szCs w:val="30"/>
        </w:rPr>
        <w:t>cgzb@sopocere.com</w:t>
      </w:r>
      <w:r>
        <w:rPr>
          <w:rFonts w:hint="eastAsia" w:ascii="仿宋" w:hAnsi="仿宋" w:eastAsia="仿宋" w:cs="仿宋"/>
          <w:bCs/>
          <w:color w:val="auto"/>
          <w:kern w:val="1"/>
          <w:sz w:val="30"/>
          <w:szCs w:val="30"/>
        </w:rPr>
        <w:fldChar w:fldCharType="end"/>
      </w:r>
      <w:r>
        <w:rPr>
          <w:rFonts w:hint="eastAsia" w:ascii="仿宋" w:hAnsi="仿宋" w:eastAsia="仿宋" w:cs="仿宋"/>
          <w:bCs/>
          <w:color w:val="auto"/>
          <w:kern w:val="1"/>
          <w:sz w:val="30"/>
          <w:szCs w:val="30"/>
        </w:rPr>
        <w:t>（邮件主题上应注明报价单位的名称+标的物的名称，以便于在解密邮件时区分采购名称，防止误点误开，未注明清楚的报价由报价单位自行负责）</w:t>
      </w:r>
    </w:p>
    <w:p w14:paraId="3B88FBC2">
      <w:pPr>
        <w:adjustRightInd w:val="0"/>
        <w:snapToGrid w:val="0"/>
        <w:spacing w:line="600" w:lineRule="exact"/>
        <w:ind w:firstLine="602" w:firstLineChars="200"/>
        <w:jc w:val="left"/>
        <w:rPr>
          <w:rFonts w:hint="eastAsia" w:ascii="仿宋" w:hAnsi="仿宋" w:eastAsia="仿宋" w:cs="仿宋"/>
          <w:b/>
          <w:color w:val="auto"/>
          <w:kern w:val="1"/>
          <w:sz w:val="30"/>
          <w:szCs w:val="30"/>
        </w:rPr>
      </w:pPr>
      <w:r>
        <w:rPr>
          <w:rFonts w:hint="eastAsia" w:ascii="仿宋" w:hAnsi="仿宋" w:eastAsia="仿宋" w:cs="仿宋"/>
          <w:b/>
          <w:color w:val="auto"/>
          <w:kern w:val="1"/>
          <w:sz w:val="30"/>
          <w:szCs w:val="30"/>
        </w:rPr>
        <w:t>五、采购评审流程：</w:t>
      </w:r>
    </w:p>
    <w:p w14:paraId="20EE8BEC">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（一）解密</w:t>
      </w:r>
    </w:p>
    <w:p w14:paraId="090DF409">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本项目由采购人组织评审小组，确定合作单位。</w:t>
      </w:r>
    </w:p>
    <w:p w14:paraId="7CB5D7BB">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（二）评审</w:t>
      </w:r>
    </w:p>
    <w:p w14:paraId="17BA284E">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1、</w:t>
      </w:r>
      <w:r>
        <w:rPr>
          <w:rFonts w:hint="eastAsia" w:ascii="仿宋_GB2312" w:hAnsi="宋体" w:eastAsia="仿宋_GB2312" w:cs="‹ÎSå"/>
          <w:color w:val="auto"/>
          <w:kern w:val="1"/>
          <w:sz w:val="30"/>
          <w:szCs w:val="30"/>
        </w:rPr>
        <w:t>在能够满足采购人技术要求及供货期要求的报价人中选择总价最低的一家报价人作为合作候选人。</w:t>
      </w:r>
    </w:p>
    <w:p w14:paraId="422A195D">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2、请各报价人保持通讯畅通，便于</w:t>
      </w:r>
      <w:r>
        <w:rPr>
          <w:rFonts w:hint="eastAsia" w:ascii="仿宋_GB2312" w:hAnsi="宋体" w:eastAsia="仿宋_GB2312" w:cs="‹ÎSå"/>
          <w:color w:val="auto"/>
          <w:kern w:val="1"/>
          <w:sz w:val="30"/>
          <w:szCs w:val="30"/>
        </w:rPr>
        <w:t>评审小组在评审现场电话联系</w:t>
      </w:r>
      <w:r>
        <w:rPr>
          <w:rFonts w:hint="eastAsia" w:ascii="仿宋" w:hAnsi="仿宋" w:eastAsia="仿宋" w:cs="仿宋"/>
          <w:bCs/>
          <w:color w:val="auto"/>
          <w:kern w:val="1"/>
          <w:sz w:val="30"/>
          <w:szCs w:val="30"/>
        </w:rPr>
        <w:t>。</w:t>
      </w:r>
    </w:p>
    <w:p w14:paraId="12DEF16C">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 xml:space="preserve">3、评审小组不得泄露各报价人的报价。                                    </w:t>
      </w:r>
    </w:p>
    <w:p w14:paraId="2DC5487A">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（三）询价废止</w:t>
      </w:r>
    </w:p>
    <w:p w14:paraId="232AB0B1">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采购人如发现采购过程中有串通报价、陪同报价等扰乱采购人经营秩序的恶劣情况，经采购人评审小组评定可作询价废止处理，并可将相关报价方列入供应商负面清单，一年内不再接受参与报价工作。</w:t>
      </w:r>
    </w:p>
    <w:p w14:paraId="0BB87FB4">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（四）无效报价</w:t>
      </w:r>
    </w:p>
    <w:p w14:paraId="056A56DC">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1、凡报价人不具备生产经营资质的，或报价文件填写不完整、报价有空项的，或不符合技术要求条款的，或者存在其他不符合采购人有关要求的问题，经采购人评审小组评定，可作无效报价处理。</w:t>
      </w:r>
    </w:p>
    <w:p w14:paraId="4D64D669">
      <w:pPr>
        <w:adjustRightInd w:val="0"/>
        <w:snapToGrid w:val="0"/>
        <w:spacing w:line="600" w:lineRule="exact"/>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 xml:space="preserve">  </w:t>
      </w:r>
      <w:r>
        <w:rPr>
          <w:rFonts w:hint="eastAsia" w:ascii="仿宋" w:hAnsi="仿宋" w:eastAsia="仿宋" w:cs="仿宋"/>
          <w:bCs/>
          <w:color w:val="FF0000"/>
          <w:kern w:val="1"/>
          <w:sz w:val="30"/>
          <w:szCs w:val="30"/>
        </w:rPr>
        <w:t xml:space="preserve">  </w:t>
      </w:r>
      <w:r>
        <w:rPr>
          <w:rFonts w:hint="eastAsia" w:ascii="仿宋" w:hAnsi="仿宋" w:eastAsia="仿宋" w:cs="仿宋"/>
          <w:bCs/>
          <w:color w:val="auto"/>
          <w:kern w:val="1"/>
          <w:sz w:val="30"/>
          <w:szCs w:val="30"/>
        </w:rPr>
        <w:t>2、报价人应如实提供符合市场规律和自身成本的合理报价。如果报价人的报价与市场价格明显偏离并因此影响了采购活动的公正合理性，损害了采购人的正当利益，经采购人评审小组评定，可作无效报价处理。</w:t>
      </w:r>
    </w:p>
    <w:p w14:paraId="17878757">
      <w:pPr>
        <w:numPr>
          <w:ilvl w:val="0"/>
          <w:numId w:val="1"/>
        </w:numPr>
        <w:adjustRightInd w:val="0"/>
        <w:snapToGrid w:val="0"/>
        <w:spacing w:line="600" w:lineRule="exact"/>
        <w:ind w:firstLine="602" w:firstLineChars="200"/>
        <w:jc w:val="left"/>
        <w:rPr>
          <w:rFonts w:hint="eastAsia"/>
          <w:color w:val="auto"/>
          <w:sz w:val="30"/>
          <w:szCs w:val="30"/>
        </w:rPr>
      </w:pPr>
      <w:r>
        <w:rPr>
          <w:rFonts w:hint="eastAsia" w:ascii="仿宋" w:hAnsi="仿宋" w:eastAsia="仿宋" w:cs="仿宋"/>
          <w:b/>
          <w:color w:val="auto"/>
          <w:kern w:val="1"/>
          <w:sz w:val="30"/>
          <w:szCs w:val="30"/>
        </w:rPr>
        <w:t>其他注意事项：</w:t>
      </w:r>
      <w:r>
        <w:rPr>
          <w:rFonts w:hint="eastAsia"/>
          <w:color w:val="auto"/>
          <w:sz w:val="30"/>
          <w:szCs w:val="30"/>
        </w:rPr>
        <w:t>　　</w:t>
      </w:r>
    </w:p>
    <w:p w14:paraId="6AB9F064">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（一）违约责任：</w:t>
      </w:r>
    </w:p>
    <w:p w14:paraId="01365138">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1.如出卖人没有按照规定的时间交货或提供服务，出卖人须支付违约金，违约金从货款中扣除，迟交货物或未提供服务的违约金逾期每日按合同总金额的1%计收。迟交货物或未提供服务超过</w:t>
      </w:r>
      <w:r>
        <w:rPr>
          <w:rFonts w:ascii="仿宋" w:hAnsi="仿宋" w:eastAsia="仿宋" w:cs="仿宋"/>
          <w:bCs/>
          <w:color w:val="auto"/>
          <w:kern w:val="1"/>
          <w:sz w:val="30"/>
          <w:szCs w:val="30"/>
        </w:rPr>
        <w:t>7</w:t>
      </w:r>
      <w:r>
        <w:rPr>
          <w:rFonts w:hint="eastAsia" w:ascii="仿宋" w:hAnsi="仿宋" w:eastAsia="仿宋" w:cs="仿宋"/>
          <w:bCs/>
          <w:color w:val="auto"/>
          <w:kern w:val="1"/>
          <w:sz w:val="30"/>
          <w:szCs w:val="30"/>
        </w:rPr>
        <w:t>日，买受人有权解除合同,买受人可要求出卖人于五个工作日内返还买受人合同货款并按合同总额的</w:t>
      </w:r>
      <w:r>
        <w:rPr>
          <w:rFonts w:ascii="仿宋" w:hAnsi="仿宋" w:eastAsia="仿宋" w:cs="仿宋"/>
          <w:bCs/>
          <w:color w:val="auto"/>
          <w:kern w:val="1"/>
          <w:sz w:val="30"/>
          <w:szCs w:val="30"/>
        </w:rPr>
        <w:t>3</w:t>
      </w:r>
      <w:r>
        <w:rPr>
          <w:rFonts w:hint="eastAsia" w:ascii="仿宋" w:hAnsi="仿宋" w:eastAsia="仿宋" w:cs="仿宋"/>
          <w:bCs/>
          <w:color w:val="auto"/>
          <w:kern w:val="1"/>
          <w:sz w:val="30"/>
          <w:szCs w:val="30"/>
        </w:rPr>
        <w:t>0%承担违约责任。</w:t>
      </w:r>
    </w:p>
    <w:p w14:paraId="0B484E64">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2.出卖人交货后，如果货物经检验不合格的，买受人可选择以下处理方式：</w:t>
      </w:r>
    </w:p>
    <w:p w14:paraId="4E4292B6">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1）买受人选择换货的，换货所产生的费用由出卖人承担。经买受人同意出卖人换货的，需在买受人第一次验收不合格之日起30日内供货，逾期供货的，违约责任参照第1款执行。如果出现两次经检验不合格的情况，买受人有权解除合同，出卖人需在检验不合格之日起五个工作日内返还买受人合同货款，并赔偿合同总货款的</w:t>
      </w:r>
      <w:r>
        <w:rPr>
          <w:rFonts w:ascii="仿宋" w:hAnsi="仿宋" w:eastAsia="仿宋" w:cs="仿宋"/>
          <w:bCs/>
          <w:color w:val="auto"/>
          <w:kern w:val="1"/>
          <w:sz w:val="30"/>
          <w:szCs w:val="30"/>
        </w:rPr>
        <w:t>3</w:t>
      </w:r>
      <w:r>
        <w:rPr>
          <w:rFonts w:hint="eastAsia" w:ascii="仿宋" w:hAnsi="仿宋" w:eastAsia="仿宋" w:cs="仿宋"/>
          <w:bCs/>
          <w:color w:val="auto"/>
          <w:kern w:val="1"/>
          <w:sz w:val="30"/>
          <w:szCs w:val="30"/>
        </w:rPr>
        <w:t>0%违约金给买受人，买受人在出卖人返还货款之前，有权质押货物，质押期间如产生仓储费，该仓储费由出卖人承担。</w:t>
      </w:r>
    </w:p>
    <w:p w14:paraId="4DB296B5">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（2）买受人选择解除合同的，退货所产生的费用由出卖人承担。出卖人需在检验不合格之日起五个工作日内返还买受人合同货款，并赔偿合同总货款的</w:t>
      </w:r>
      <w:r>
        <w:rPr>
          <w:rFonts w:ascii="仿宋" w:hAnsi="仿宋" w:eastAsia="仿宋" w:cs="仿宋"/>
          <w:bCs/>
          <w:color w:val="auto"/>
          <w:kern w:val="1"/>
          <w:sz w:val="30"/>
          <w:szCs w:val="30"/>
        </w:rPr>
        <w:t>3</w:t>
      </w:r>
      <w:r>
        <w:rPr>
          <w:rFonts w:hint="eastAsia" w:ascii="仿宋" w:hAnsi="仿宋" w:eastAsia="仿宋" w:cs="仿宋"/>
          <w:bCs/>
          <w:color w:val="auto"/>
          <w:kern w:val="1"/>
          <w:sz w:val="30"/>
          <w:szCs w:val="30"/>
        </w:rPr>
        <w:t>0%违约金给买受人，买受人在出卖人返还货款之前，有权质押货物，质押期间如产生仓储费，仓储费由出卖人承担。</w:t>
      </w:r>
    </w:p>
    <w:p w14:paraId="529645E8">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二）合作候选人确定以后应严格按照采购文件约定与采购方签定供需合同，并按合同约定做好物资供应和服务工作。对合作候选人所有违背采购文件及合同约定的行为，采购人均可持续保留与合作候选人中止合作的一切权利。　</w:t>
      </w:r>
    </w:p>
    <w:p w14:paraId="660E595C">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三）对需检验的品种，经采购人检验部门检验合格后方能收货，否则做退、换货处理；长期合约的合作方如出现三次产品质量不合格的情况，视为合作方无能力保障产品质量，采购人有权终止此次采购合同的执行。</w:t>
      </w:r>
    </w:p>
    <w:p w14:paraId="6CA74B6B">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（四）对不合格货品采购人应及时通知合作方，如有异议双方可协商解决；协商期间合作方应保证采购人供应，不影响采购人正常生产运行。</w:t>
      </w:r>
    </w:p>
    <w:p w14:paraId="35E060F1">
      <w:pPr>
        <w:adjustRightInd w:val="0"/>
        <w:snapToGrid w:val="0"/>
        <w:spacing w:line="600" w:lineRule="exac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 xml:space="preserve">   （五）如报价人不能正常履约，对采购人生产经营活动造成影响的，根据《索普赛瑞供应商负面清单管理规定(2023年修订版)》（详见附件1），采购人有权对违反规定的报价人进行考核扣分，对列入负面清单的供应商，索普集团本部及各分子公司将不接受其报价，产生严重影响的，采购人将依法追究报价人法律责任。索普集团供应商负面清单的公示地址为：www.sopo.com.cn。</w:t>
      </w:r>
    </w:p>
    <w:p w14:paraId="73834FAE">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sz w:val="30"/>
          <w:szCs w:val="30"/>
        </w:rPr>
        <w:t>（六）报价人对所供产品所引起的知识产权方面的纠纷，由报价人承担一切后果，采购人不承担任何责任。</w:t>
      </w:r>
    </w:p>
    <w:p w14:paraId="6F9F448A">
      <w:pPr>
        <w:adjustRightInd w:val="0"/>
        <w:snapToGrid w:val="0"/>
        <w:spacing w:line="600" w:lineRule="exact"/>
        <w:ind w:firstLine="600" w:firstLineChars="200"/>
        <w:rPr>
          <w:rFonts w:ascii="仿宋" w:hAnsi="仿宋" w:eastAsia="仿宋" w:cs="仿宋"/>
          <w:bCs/>
          <w:color w:val="auto"/>
          <w:kern w:val="1"/>
          <w:sz w:val="30"/>
          <w:szCs w:val="30"/>
        </w:rPr>
      </w:pPr>
      <w:r>
        <w:rPr>
          <w:rFonts w:hint="eastAsia" w:ascii="仿宋" w:hAnsi="仿宋" w:eastAsia="仿宋" w:cs="仿宋"/>
          <w:bCs/>
          <w:color w:val="auto"/>
          <w:kern w:val="1"/>
          <w:sz w:val="30"/>
          <w:szCs w:val="30"/>
        </w:rPr>
        <w:t>（七）报价人应详细阅读本采购书，参与报价报价即视为对本采购书所列之条款均表示接受。</w:t>
      </w:r>
    </w:p>
    <w:p w14:paraId="50C0F7EC">
      <w:pPr>
        <w:pStyle w:val="3"/>
        <w:ind w:firstLine="567" w:firstLineChars="189"/>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（八）报价人不得将任何报价信息泄漏给第三方，一经发现有损采购人利益的可能，均视为无效报价。</w:t>
      </w:r>
    </w:p>
    <w:p w14:paraId="357368A5">
      <w:pPr>
        <w:adjustRightInd w:val="0"/>
        <w:snapToGrid w:val="0"/>
        <w:spacing w:line="600" w:lineRule="exact"/>
        <w:ind w:firstLine="600" w:firstLineChars="200"/>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（九）本次采购解释权归江苏索普赛瑞装备制造有限公司商务合作部所有</w:t>
      </w:r>
      <w:r>
        <w:rPr>
          <w:rFonts w:hint="eastAsia" w:ascii="仿宋" w:hAnsi="仿宋" w:eastAsia="仿宋" w:cs="仿宋"/>
          <w:bCs/>
          <w:color w:val="auto"/>
          <w:kern w:val="2"/>
          <w:sz w:val="30"/>
          <w:szCs w:val="30"/>
        </w:rPr>
        <w:t>。</w:t>
      </w:r>
    </w:p>
    <w:p w14:paraId="7975515F">
      <w:pPr>
        <w:adjustRightInd w:val="0"/>
        <w:snapToGrid w:val="0"/>
        <w:spacing w:line="600" w:lineRule="exact"/>
        <w:ind w:left="600" w:hanging="600" w:hanging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 xml:space="preserve">    （十）本次采购信息公示网址：</w:t>
      </w:r>
      <w:r>
        <w:rPr>
          <w:rFonts w:ascii="仿宋" w:hAnsi="仿宋" w:eastAsia="仿宋" w:cs="仿宋"/>
          <w:bCs/>
          <w:color w:val="auto"/>
          <w:kern w:val="1"/>
          <w:sz w:val="30"/>
          <w:szCs w:val="30"/>
        </w:rPr>
        <w:fldChar w:fldCharType="begin"/>
      </w:r>
      <w:r>
        <w:rPr>
          <w:rFonts w:ascii="仿宋" w:hAnsi="仿宋" w:eastAsia="仿宋" w:cs="仿宋"/>
          <w:bCs/>
          <w:color w:val="auto"/>
          <w:kern w:val="1"/>
          <w:sz w:val="30"/>
          <w:szCs w:val="30"/>
        </w:rPr>
        <w:instrText xml:space="preserve"> HYPERLINK "http://www.sopo.com.cn/list/91-93.html。" </w:instrText>
      </w:r>
      <w:r>
        <w:rPr>
          <w:rFonts w:ascii="仿宋" w:hAnsi="仿宋" w:eastAsia="仿宋" w:cs="仿宋"/>
          <w:bCs/>
          <w:color w:val="auto"/>
          <w:kern w:val="1"/>
          <w:sz w:val="30"/>
          <w:szCs w:val="30"/>
        </w:rPr>
        <w:fldChar w:fldCharType="separate"/>
      </w:r>
      <w:r>
        <w:rPr>
          <w:rStyle w:val="9"/>
          <w:rFonts w:ascii="仿宋" w:hAnsi="仿宋" w:eastAsia="仿宋" w:cs="仿宋"/>
          <w:bCs/>
          <w:color w:val="auto"/>
          <w:kern w:val="1"/>
          <w:sz w:val="30"/>
          <w:szCs w:val="30"/>
          <w:u w:val="none"/>
        </w:rPr>
        <w:t>http://www.sopo.com.cn/list/91-93.html</w:t>
      </w:r>
      <w:r>
        <w:rPr>
          <w:rStyle w:val="9"/>
          <w:rFonts w:hint="eastAsia" w:ascii="仿宋" w:hAnsi="仿宋" w:eastAsia="仿宋" w:cs="仿宋"/>
          <w:bCs/>
          <w:color w:val="auto"/>
          <w:kern w:val="1"/>
          <w:sz w:val="30"/>
          <w:szCs w:val="30"/>
          <w:u w:val="none"/>
        </w:rPr>
        <w:t>。</w:t>
      </w:r>
      <w:r>
        <w:rPr>
          <w:rFonts w:ascii="仿宋" w:hAnsi="仿宋" w:eastAsia="仿宋" w:cs="仿宋"/>
          <w:bCs/>
          <w:color w:val="auto"/>
          <w:kern w:val="1"/>
          <w:sz w:val="30"/>
          <w:szCs w:val="30"/>
        </w:rPr>
        <w:fldChar w:fldCharType="end"/>
      </w:r>
    </w:p>
    <w:p w14:paraId="697A0FD4">
      <w:pPr>
        <w:pStyle w:val="2"/>
        <w:rPr>
          <w:rFonts w:hint="eastAsia"/>
        </w:rPr>
        <w:sectPr>
          <w:footerReference r:id="rId3" w:type="default"/>
          <w:pgSz w:w="11906" w:h="16838"/>
          <w:pgMar w:top="1440" w:right="1800" w:bottom="1440" w:left="1800" w:header="851" w:footer="992" w:gutter="0"/>
          <w:cols w:space="720" w:num="1"/>
          <w:docGrid w:type="lines" w:linePitch="312" w:charSpace="0"/>
        </w:sectPr>
      </w:pPr>
    </w:p>
    <w:p w14:paraId="059F3A60">
      <w:pPr>
        <w:adjustRightInd w:val="0"/>
        <w:snapToGrid w:val="0"/>
        <w:spacing w:line="60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索普赛瑞供应商负面清单管理规定</w:t>
      </w:r>
    </w:p>
    <w:p w14:paraId="6F43F022">
      <w:pPr>
        <w:adjustRightInd w:val="0"/>
        <w:snapToGrid w:val="0"/>
        <w:spacing w:line="6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023</w:t>
      </w:r>
      <w:r>
        <w:rPr>
          <w:rFonts w:hint="eastAsia" w:ascii="仿宋_GB2312" w:hAnsi="仿宋_GB2312" w:eastAsia="仿宋_GB2312" w:cs="仿宋_GB2312"/>
          <w:sz w:val="32"/>
          <w:szCs w:val="32"/>
        </w:rPr>
        <w:t>年修订版）</w:t>
      </w:r>
    </w:p>
    <w:p w14:paraId="0A62DBB3">
      <w:pPr>
        <w:tabs>
          <w:tab w:val="left" w:pos="2565"/>
        </w:tabs>
        <w:spacing w:line="600" w:lineRule="exact"/>
        <w:ind w:firstLine="680" w:firstLineChars="200"/>
        <w:rPr>
          <w:rFonts w:ascii="仿宋_GB2312" w:hAnsi="仿宋" w:eastAsia="仿宋_GB2312"/>
          <w:sz w:val="34"/>
          <w:szCs w:val="34"/>
        </w:rPr>
      </w:pPr>
    </w:p>
    <w:p w14:paraId="5E12E3B1">
      <w:pPr>
        <w:adjustRightInd w:val="0"/>
        <w:snapToGrid w:val="0"/>
        <w:spacing w:line="600" w:lineRule="exact"/>
        <w:ind w:firstLine="2891" w:firstLineChars="900"/>
        <w:rPr>
          <w:rFonts w:ascii="黑体" w:hAnsi="黑体" w:eastAsia="黑体"/>
          <w:b/>
          <w:bCs/>
          <w:sz w:val="32"/>
          <w:szCs w:val="32"/>
        </w:rPr>
      </w:pPr>
      <w:r>
        <w:rPr>
          <w:rFonts w:hint="eastAsia" w:ascii="黑体" w:hAnsi="黑体" w:eastAsia="黑体" w:cs="黑体"/>
          <w:b/>
          <w:bCs/>
          <w:sz w:val="32"/>
          <w:szCs w:val="32"/>
        </w:rPr>
        <w:t>第一章 总则</w:t>
      </w:r>
    </w:p>
    <w:p w14:paraId="1E08F8BF">
      <w:pPr>
        <w:tabs>
          <w:tab w:val="left" w:pos="2565"/>
        </w:tabs>
        <w:spacing w:line="600" w:lineRule="exact"/>
        <w:ind w:firstLine="643" w:firstLineChars="200"/>
        <w:rPr>
          <w:rFonts w:ascii="仿宋_GB2312" w:hAnsi="仿宋_GB2312" w:eastAsia="仿宋_GB2312" w:cs="仿宋_GB2312"/>
          <w:sz w:val="34"/>
          <w:szCs w:val="34"/>
        </w:rPr>
      </w:pPr>
      <w:r>
        <w:rPr>
          <w:rFonts w:hint="eastAsia" w:ascii="仿宋_GB2312" w:hAnsi="黑体" w:eastAsia="仿宋_GB2312" w:cs="黑体"/>
          <w:b/>
          <w:bCs/>
          <w:sz w:val="32"/>
          <w:szCs w:val="32"/>
        </w:rPr>
        <w:t>第一条</w:t>
      </w:r>
      <w:r>
        <w:rPr>
          <w:rFonts w:hint="eastAsia" w:ascii="黑体" w:hAnsi="黑体" w:eastAsia="黑体" w:cs="黑体"/>
          <w:b/>
          <w:bCs/>
          <w:sz w:val="32"/>
          <w:szCs w:val="32"/>
        </w:rPr>
        <w:t xml:space="preserve"> </w:t>
      </w:r>
      <w:r>
        <w:rPr>
          <w:rFonts w:hint="eastAsia" w:ascii="仿宋_GB2312" w:hAnsi="仿宋_GB2312" w:eastAsia="仿宋_GB2312" w:cs="仿宋_GB2312"/>
          <w:sz w:val="34"/>
          <w:szCs w:val="34"/>
        </w:rPr>
        <w:t>凡按国家标准及相关准则或规定组织生产销售的物资供应商、服务提供商或施工承包商，只要资质证照齐全且满足我司采购要求（采购和外协加工受压元件的材料，需要经公司相关部门考察认定），均可参与我司组织的招报价、比价采购等商务活动。</w:t>
      </w:r>
    </w:p>
    <w:p w14:paraId="47D466FA">
      <w:pPr>
        <w:tabs>
          <w:tab w:val="left" w:pos="2565"/>
        </w:tabs>
        <w:spacing w:line="600" w:lineRule="exact"/>
        <w:ind w:firstLine="643" w:firstLineChars="200"/>
        <w:rPr>
          <w:rFonts w:ascii="仿宋_GB2312" w:hAnsi="仿宋_GB2312" w:eastAsia="仿宋_GB2312" w:cs="仿宋_GB2312"/>
          <w:sz w:val="34"/>
          <w:szCs w:val="34"/>
        </w:rPr>
      </w:pPr>
      <w:r>
        <w:rPr>
          <w:rFonts w:hint="eastAsia" w:ascii="仿宋_GB2312" w:hAnsi="黑体" w:eastAsia="仿宋_GB2312" w:cs="黑体"/>
          <w:b/>
          <w:bCs/>
          <w:sz w:val="32"/>
          <w:szCs w:val="32"/>
        </w:rPr>
        <w:t>第二条</w:t>
      </w:r>
      <w:r>
        <w:rPr>
          <w:rFonts w:hint="eastAsia" w:ascii="黑体" w:hAnsi="黑体" w:eastAsia="黑体" w:cs="黑体"/>
          <w:b/>
          <w:bCs/>
          <w:sz w:val="32"/>
          <w:szCs w:val="32"/>
        </w:rPr>
        <w:t xml:space="preserve"> </w:t>
      </w:r>
      <w:r>
        <w:rPr>
          <w:rFonts w:hint="eastAsia" w:ascii="仿宋_GB2312" w:hAnsi="仿宋_GB2312" w:eastAsia="仿宋_GB2312" w:cs="仿宋_GB2312"/>
          <w:sz w:val="34"/>
          <w:szCs w:val="34"/>
        </w:rPr>
        <w:t>本制度适用于索普赛瑞本部各部门。</w:t>
      </w:r>
    </w:p>
    <w:p w14:paraId="0DA77BD2">
      <w:pPr>
        <w:tabs>
          <w:tab w:val="left" w:pos="2565"/>
        </w:tabs>
        <w:spacing w:line="600" w:lineRule="exact"/>
        <w:ind w:firstLine="643" w:firstLineChars="200"/>
        <w:rPr>
          <w:rFonts w:ascii="仿宋_GB2312" w:hAnsi="仿宋_GB2312" w:eastAsia="仿宋_GB2312" w:cs="仿宋_GB2312"/>
          <w:sz w:val="34"/>
          <w:szCs w:val="34"/>
        </w:rPr>
      </w:pPr>
      <w:r>
        <w:rPr>
          <w:rFonts w:hint="eastAsia" w:ascii="仿宋_GB2312" w:hAnsi="黑体" w:eastAsia="仿宋_GB2312" w:cs="黑体"/>
          <w:b/>
          <w:bCs/>
          <w:sz w:val="32"/>
          <w:szCs w:val="32"/>
        </w:rPr>
        <w:t>第三条</w:t>
      </w:r>
      <w:r>
        <w:rPr>
          <w:rFonts w:hint="eastAsia" w:ascii="黑体" w:hAnsi="黑体" w:eastAsia="黑体" w:cs="黑体"/>
          <w:b/>
          <w:bCs/>
          <w:sz w:val="32"/>
          <w:szCs w:val="32"/>
        </w:rPr>
        <w:t xml:space="preserve"> </w:t>
      </w:r>
      <w:r>
        <w:rPr>
          <w:rFonts w:hint="eastAsia" w:ascii="仿宋_GB2312" w:hAnsi="仿宋_GB2312" w:eastAsia="仿宋_GB2312" w:cs="仿宋_GB2312"/>
          <w:sz w:val="34"/>
          <w:szCs w:val="34"/>
        </w:rPr>
        <w:t>责任部门职责分工</w:t>
      </w:r>
    </w:p>
    <w:p w14:paraId="48F0D861">
      <w:pPr>
        <w:tabs>
          <w:tab w:val="left" w:pos="2565"/>
        </w:tabs>
        <w:spacing w:line="600" w:lineRule="exact"/>
        <w:ind w:firstLine="680" w:firstLineChars="200"/>
        <w:rPr>
          <w:rFonts w:ascii="仿宋_GB2312" w:hAnsi="仿宋_GB2312" w:eastAsia="仿宋_GB2312" w:cs="仿宋_GB2312"/>
          <w:sz w:val="34"/>
          <w:szCs w:val="34"/>
        </w:rPr>
      </w:pPr>
      <w:r>
        <w:rPr>
          <w:rFonts w:hint="eastAsia" w:ascii="仿宋_GB2312" w:hAnsi="仿宋_GB2312" w:eastAsia="仿宋_GB2312" w:cs="仿宋_GB2312"/>
          <w:sz w:val="34"/>
          <w:szCs w:val="34"/>
        </w:rPr>
        <w:t>使用部门：负责提供技术参数或提出服务要求，对采购物资或服务的质量进行验收，对供应商所供货物在使用效果、产品质量、服务质量等方面进行评价。</w:t>
      </w:r>
    </w:p>
    <w:p w14:paraId="47044B11">
      <w:pPr>
        <w:tabs>
          <w:tab w:val="left" w:pos="2565"/>
        </w:tabs>
        <w:spacing w:line="600" w:lineRule="exact"/>
        <w:ind w:firstLine="680" w:firstLineChars="200"/>
        <w:rPr>
          <w:rFonts w:ascii="仿宋_GB2312" w:hAnsi="仿宋_GB2312" w:eastAsia="仿宋_GB2312" w:cs="仿宋_GB2312"/>
          <w:sz w:val="34"/>
          <w:szCs w:val="34"/>
        </w:rPr>
      </w:pPr>
      <w:r>
        <w:rPr>
          <w:rFonts w:hint="eastAsia" w:ascii="仿宋_GB2312" w:hAnsi="仿宋_GB2312" w:eastAsia="仿宋_GB2312" w:cs="仿宋_GB2312"/>
          <w:sz w:val="34"/>
          <w:szCs w:val="34"/>
        </w:rPr>
        <w:t>管理部门（质量控制部门或设备保障部等）：监管使用过程，负责对标的物样品或试供原料的质量进行检验，判定其是否符合公司所需的技术要求。</w:t>
      </w:r>
    </w:p>
    <w:p w14:paraId="5FDCE585">
      <w:pPr>
        <w:tabs>
          <w:tab w:val="left" w:pos="2565"/>
        </w:tabs>
        <w:spacing w:line="600" w:lineRule="exact"/>
        <w:ind w:firstLine="680" w:firstLineChars="200"/>
        <w:rPr>
          <w:rFonts w:ascii="仿宋_GB2312" w:hAnsi="仿宋_GB2312" w:eastAsia="仿宋_GB2312" w:cs="仿宋_GB2312"/>
          <w:sz w:val="34"/>
          <w:szCs w:val="34"/>
        </w:rPr>
      </w:pPr>
      <w:r>
        <w:rPr>
          <w:rFonts w:hint="eastAsia" w:ascii="仿宋_GB2312" w:hAnsi="仿宋_GB2312" w:eastAsia="仿宋_GB2312" w:cs="仿宋_GB2312"/>
          <w:sz w:val="34"/>
          <w:szCs w:val="34"/>
        </w:rPr>
        <w:t>采购部门：通过线上或线下途径不断开发有能力满足公司所需物资或服务的供应商。对目标供应商所提供的材料完整性、交货期、价格等作为筛选的依据进行资格初审，收集供应商资料并建立档案。</w:t>
      </w:r>
    </w:p>
    <w:p w14:paraId="34A1DBD8">
      <w:pPr>
        <w:tabs>
          <w:tab w:val="left" w:pos="2565"/>
        </w:tabs>
        <w:spacing w:line="600" w:lineRule="exact"/>
        <w:ind w:firstLine="680" w:firstLineChars="200"/>
        <w:rPr>
          <w:rFonts w:ascii="仿宋_GB2312" w:hAnsi="仿宋_GB2312" w:eastAsia="仿宋_GB2312" w:cs="仿宋_GB2312"/>
          <w:sz w:val="34"/>
          <w:szCs w:val="34"/>
        </w:rPr>
      </w:pPr>
      <w:r>
        <w:rPr>
          <w:rFonts w:hint="eastAsia" w:ascii="仿宋_GB2312" w:hAnsi="仿宋_GB2312" w:eastAsia="仿宋_GB2312" w:cs="仿宋_GB2312"/>
          <w:sz w:val="34"/>
          <w:szCs w:val="34"/>
        </w:rPr>
        <w:t>监管部门：负责对采购流程的合规性进行监督。</w:t>
      </w:r>
    </w:p>
    <w:p w14:paraId="01EE1C00">
      <w:pPr>
        <w:adjustRightInd w:val="0"/>
        <w:snapToGrid w:val="0"/>
        <w:spacing w:line="600" w:lineRule="exact"/>
        <w:jc w:val="center"/>
        <w:rPr>
          <w:rFonts w:ascii="黑体" w:hAnsi="黑体" w:eastAsia="黑体"/>
          <w:b/>
          <w:bCs/>
          <w:sz w:val="32"/>
          <w:szCs w:val="32"/>
        </w:rPr>
      </w:pPr>
      <w:r>
        <w:rPr>
          <w:rFonts w:hint="eastAsia" w:ascii="黑体" w:hAnsi="黑体" w:eastAsia="黑体" w:cs="黑体"/>
          <w:b/>
          <w:bCs/>
          <w:sz w:val="32"/>
          <w:szCs w:val="32"/>
        </w:rPr>
        <w:t>第二章 供应商负面清单确定流程</w:t>
      </w:r>
    </w:p>
    <w:p w14:paraId="35AD5052">
      <w:pPr>
        <w:tabs>
          <w:tab w:val="left" w:pos="2565"/>
        </w:tabs>
        <w:spacing w:line="600" w:lineRule="exact"/>
        <w:ind w:firstLine="643" w:firstLineChars="200"/>
        <w:rPr>
          <w:rFonts w:ascii="仿宋_GB2312" w:hAnsi="仿宋_GB2312" w:eastAsia="仿宋_GB2312" w:cs="仿宋_GB2312"/>
          <w:sz w:val="34"/>
          <w:szCs w:val="34"/>
        </w:rPr>
      </w:pPr>
      <w:r>
        <w:rPr>
          <w:rFonts w:ascii="仿宋_GB2312" w:hAnsi="黑体" w:eastAsia="仿宋_GB2312" w:cs="黑体"/>
          <w:b/>
          <w:bCs/>
          <w:sz w:val="32"/>
          <w:szCs w:val="32"/>
        </w:rPr>
        <w:drawing>
          <wp:anchor distT="0" distB="0" distL="114300" distR="114300" simplePos="0" relativeHeight="251659264" behindDoc="0" locked="0" layoutInCell="1" allowOverlap="1">
            <wp:simplePos x="0" y="0"/>
            <wp:positionH relativeFrom="margin">
              <wp:posOffset>337820</wp:posOffset>
            </wp:positionH>
            <wp:positionV relativeFrom="paragraph">
              <wp:posOffset>1164590</wp:posOffset>
            </wp:positionV>
            <wp:extent cx="5103495" cy="6125845"/>
            <wp:effectExtent l="0" t="0" r="1905" b="8255"/>
            <wp:wrapTopAndBottom/>
            <wp:docPr id="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
                    <pic:cNvPicPr>
                      <a:picLocks noChangeAspect="1"/>
                    </pic:cNvPicPr>
                  </pic:nvPicPr>
                  <pic:blipFill>
                    <a:blip r:embed="rId6"/>
                    <a:stretch>
                      <a:fillRect/>
                    </a:stretch>
                  </pic:blipFill>
                  <pic:spPr>
                    <a:xfrm>
                      <a:off x="0" y="0"/>
                      <a:ext cx="5103495" cy="6125845"/>
                    </a:xfrm>
                    <a:prstGeom prst="rect">
                      <a:avLst/>
                    </a:prstGeom>
                    <a:noFill/>
                    <a:ln>
                      <a:noFill/>
                    </a:ln>
                  </pic:spPr>
                </pic:pic>
              </a:graphicData>
            </a:graphic>
          </wp:anchor>
        </w:drawing>
      </w:r>
      <w:r>
        <w:rPr>
          <w:rFonts w:hint="eastAsia" w:ascii="仿宋_GB2312" w:hAnsi="黑体" w:eastAsia="仿宋_GB2312" w:cs="黑体"/>
          <w:b/>
          <w:bCs/>
          <w:sz w:val="32"/>
          <w:szCs w:val="32"/>
        </w:rPr>
        <w:t>第四条</w:t>
      </w:r>
      <w:r>
        <w:rPr>
          <w:rFonts w:hint="eastAsia" w:ascii="黑体" w:hAnsi="黑体" w:eastAsia="黑体" w:cs="黑体"/>
          <w:b/>
          <w:bCs/>
          <w:sz w:val="32"/>
          <w:szCs w:val="32"/>
        </w:rPr>
        <w:t xml:space="preserve"> </w:t>
      </w:r>
      <w:r>
        <w:rPr>
          <w:rFonts w:hint="eastAsia" w:ascii="仿宋_GB2312" w:hAnsi="仿宋_GB2312" w:eastAsia="仿宋_GB2312" w:cs="仿宋_GB2312"/>
          <w:sz w:val="34"/>
          <w:szCs w:val="34"/>
        </w:rPr>
        <w:t>供应商负面清单管理工作由商务合作部全面负责，其他职能部门在使用或监管过程中产生的供应商考核意见应报商务合作部统一汇总管理。具体确定流程：</w:t>
      </w:r>
    </w:p>
    <w:p w14:paraId="451BBD12">
      <w:pPr>
        <w:adjustRightInd w:val="0"/>
        <w:snapToGrid w:val="0"/>
        <w:spacing w:line="600" w:lineRule="exact"/>
        <w:jc w:val="center"/>
        <w:rPr>
          <w:rFonts w:ascii="黑体" w:hAnsi="黑体" w:eastAsia="黑体"/>
          <w:b/>
          <w:bCs/>
          <w:sz w:val="32"/>
          <w:szCs w:val="32"/>
        </w:rPr>
      </w:pPr>
      <w:r>
        <w:rPr>
          <w:rFonts w:hint="eastAsia" w:ascii="黑体" w:hAnsi="黑体" w:eastAsia="黑体" w:cs="黑体"/>
          <w:b/>
          <w:bCs/>
          <w:sz w:val="32"/>
          <w:szCs w:val="32"/>
        </w:rPr>
        <w:t>第三章 供应商积分考核和管理</w:t>
      </w:r>
    </w:p>
    <w:p w14:paraId="2503BADE">
      <w:pPr>
        <w:tabs>
          <w:tab w:val="left" w:pos="2565"/>
        </w:tabs>
        <w:spacing w:line="600" w:lineRule="exact"/>
        <w:ind w:firstLine="643" w:firstLineChars="200"/>
        <w:rPr>
          <w:rFonts w:ascii="仿宋_GB2312" w:hAnsi="仿宋_GB2312" w:eastAsia="仿宋_GB2312" w:cs="仿宋_GB2312"/>
          <w:sz w:val="34"/>
          <w:szCs w:val="34"/>
        </w:rPr>
      </w:pPr>
      <w:r>
        <w:rPr>
          <w:rFonts w:hint="eastAsia" w:ascii="仿宋_GB2312" w:hAnsi="黑体" w:eastAsia="仿宋_GB2312" w:cs="黑体"/>
          <w:b/>
          <w:bCs/>
          <w:sz w:val="32"/>
          <w:szCs w:val="32"/>
        </w:rPr>
        <w:t>第五条</w:t>
      </w:r>
      <w:r>
        <w:rPr>
          <w:rFonts w:hint="eastAsia" w:ascii="黑体" w:hAnsi="黑体" w:eastAsia="黑体" w:cs="黑体"/>
          <w:b/>
          <w:bCs/>
          <w:sz w:val="32"/>
          <w:szCs w:val="32"/>
        </w:rPr>
        <w:t xml:space="preserve"> </w:t>
      </w:r>
      <w:r>
        <w:rPr>
          <w:rFonts w:hint="eastAsia" w:ascii="仿宋_GB2312" w:hAnsi="仿宋_GB2312" w:eastAsia="仿宋_GB2312" w:cs="仿宋_GB2312"/>
          <w:sz w:val="34"/>
          <w:szCs w:val="34"/>
        </w:rPr>
        <w:t>供应商积分考核主要包括供货质量、交货周期、售后服务、资质信誉等方面，每项10分。使用部门、专业管理部门、采购部门均可书面提出考核意见。商务合作部负责对各相关部门提出的考核意见进行收集汇总，并根据综合扣分情况将供应商分为合格供应商或负面清单供应商。凡被列入负面清单的供应商，自被考核当日起一年内均不得与公司进行合作；凡未被列入负面清单的供应商一年后当年考核扣分自动清零。</w:t>
      </w:r>
    </w:p>
    <w:p w14:paraId="2BEF31D6">
      <w:pPr>
        <w:tabs>
          <w:tab w:val="left" w:pos="2565"/>
        </w:tabs>
        <w:spacing w:line="600" w:lineRule="exact"/>
        <w:ind w:firstLine="680" w:firstLineChars="200"/>
        <w:rPr>
          <w:rFonts w:ascii="仿宋_GB2312" w:hAnsi="仿宋_GB2312" w:eastAsia="仿宋_GB2312" w:cs="仿宋_GB2312"/>
          <w:sz w:val="34"/>
          <w:szCs w:val="34"/>
        </w:rPr>
      </w:pPr>
      <w:r>
        <w:rPr>
          <w:rFonts w:hint="eastAsia" w:ascii="仿宋_GB2312" w:hAnsi="仿宋_GB2312" w:eastAsia="仿宋_GB2312" w:cs="仿宋_GB2312"/>
          <w:sz w:val="34"/>
          <w:szCs w:val="34"/>
        </w:rPr>
        <w:t>1.合格供应商：供应商一年内累计考核扣分介于0-9分之间，可作为合格供应商继续开展合作。</w:t>
      </w:r>
    </w:p>
    <w:p w14:paraId="19E17D60">
      <w:pPr>
        <w:tabs>
          <w:tab w:val="left" w:pos="2565"/>
        </w:tabs>
        <w:spacing w:line="600" w:lineRule="exact"/>
        <w:ind w:firstLine="680" w:firstLineChars="200"/>
        <w:rPr>
          <w:rFonts w:ascii="仿宋_GB2312" w:hAnsi="仿宋_GB2312" w:eastAsia="仿宋_GB2312" w:cs="仿宋_GB2312"/>
          <w:sz w:val="34"/>
          <w:szCs w:val="34"/>
        </w:rPr>
      </w:pPr>
      <w:r>
        <w:rPr>
          <w:rFonts w:hint="eastAsia" w:ascii="仿宋_GB2312" w:hAnsi="仿宋_GB2312" w:eastAsia="仿宋_GB2312" w:cs="仿宋_GB2312"/>
          <w:sz w:val="34"/>
          <w:szCs w:val="34"/>
        </w:rPr>
        <w:t>2.负面清单供应商：供应商单次供应考核扣分或一年内累计考核扣分达到10分以上（含10分），须列入负面清单供应商，至少于一年内停止与其产生新的合作。</w:t>
      </w:r>
    </w:p>
    <w:p w14:paraId="32C33CA8">
      <w:pPr>
        <w:spacing w:line="600" w:lineRule="exact"/>
        <w:ind w:firstLine="643" w:firstLineChars="200"/>
        <w:rPr>
          <w:rFonts w:ascii="仿宋_GB2312" w:hAnsi="仿宋_GB2312" w:eastAsia="仿宋_GB2312" w:cs="仿宋_GB2312"/>
          <w:bCs/>
          <w:sz w:val="34"/>
          <w:szCs w:val="34"/>
        </w:rPr>
      </w:pPr>
      <w:r>
        <w:rPr>
          <w:rFonts w:hint="eastAsia" w:ascii="仿宋_GB2312" w:hAnsi="黑体" w:eastAsia="仿宋_GB2312" w:cs="黑体"/>
          <w:b/>
          <w:bCs/>
          <w:sz w:val="32"/>
          <w:szCs w:val="32"/>
        </w:rPr>
        <w:t>第六条</w:t>
      </w:r>
      <w:r>
        <w:rPr>
          <w:rFonts w:hint="eastAsia" w:ascii="黑体" w:hAnsi="黑体" w:eastAsia="黑体" w:cs="黑体"/>
          <w:b/>
          <w:bCs/>
          <w:sz w:val="32"/>
          <w:szCs w:val="32"/>
        </w:rPr>
        <w:t xml:space="preserve"> </w:t>
      </w:r>
      <w:r>
        <w:rPr>
          <w:rFonts w:hint="eastAsia" w:ascii="仿宋_GB2312" w:hAnsi="仿宋_GB2312" w:eastAsia="仿宋_GB2312" w:cs="仿宋_GB2312"/>
          <w:sz w:val="34"/>
          <w:szCs w:val="34"/>
        </w:rPr>
        <w:t>供应商考核方法</w:t>
      </w:r>
    </w:p>
    <w:p w14:paraId="57F9AA76">
      <w:pPr>
        <w:tabs>
          <w:tab w:val="left" w:pos="2565"/>
        </w:tabs>
        <w:spacing w:line="600" w:lineRule="exact"/>
        <w:ind w:firstLine="680" w:firstLineChars="200"/>
        <w:rPr>
          <w:rFonts w:ascii="仿宋_GB2312" w:hAnsi="仿宋_GB2312" w:eastAsia="仿宋_GB2312" w:cs="仿宋_GB2312"/>
          <w:sz w:val="34"/>
          <w:szCs w:val="34"/>
        </w:rPr>
      </w:pPr>
      <w:r>
        <w:rPr>
          <w:rFonts w:hint="eastAsia" w:ascii="仿宋_GB2312" w:hAnsi="仿宋_GB2312" w:eastAsia="仿宋_GB2312" w:cs="仿宋_GB2312"/>
          <w:sz w:val="34"/>
          <w:szCs w:val="34"/>
        </w:rPr>
        <w:t>1.质量方面</w:t>
      </w:r>
    </w:p>
    <w:p w14:paraId="23F7FB1E">
      <w:pPr>
        <w:tabs>
          <w:tab w:val="left" w:pos="2565"/>
        </w:tabs>
        <w:spacing w:line="600" w:lineRule="exact"/>
        <w:rPr>
          <w:rFonts w:ascii="仿宋_GB2312" w:hAnsi="仿宋_GB2312" w:eastAsia="仿宋_GB2312" w:cs="仿宋_GB2312"/>
          <w:sz w:val="34"/>
          <w:szCs w:val="34"/>
        </w:rPr>
      </w:pPr>
      <w:r>
        <w:rPr>
          <w:rFonts w:hint="eastAsia" w:ascii="仿宋_GB2312" w:hAnsi="仿宋_GB2312" w:eastAsia="仿宋_GB2312" w:cs="仿宋_GB2312"/>
          <w:sz w:val="34"/>
          <w:szCs w:val="34"/>
        </w:rPr>
        <w:t xml:space="preserve">   （1）所供产品出现质量问题，经调换未对公司造成影响，单次扣1-3分。</w:t>
      </w:r>
    </w:p>
    <w:p w14:paraId="3CB964D6">
      <w:pPr>
        <w:tabs>
          <w:tab w:val="left" w:pos="2565"/>
        </w:tabs>
        <w:spacing w:line="600" w:lineRule="exact"/>
        <w:rPr>
          <w:rFonts w:ascii="仿宋_GB2312" w:hAnsi="仿宋_GB2312" w:eastAsia="仿宋_GB2312" w:cs="仿宋_GB2312"/>
          <w:sz w:val="34"/>
          <w:szCs w:val="34"/>
        </w:rPr>
      </w:pPr>
      <w:r>
        <w:rPr>
          <w:rFonts w:hint="eastAsia" w:ascii="仿宋_GB2312" w:hAnsi="仿宋_GB2312" w:eastAsia="仿宋_GB2312" w:cs="仿宋_GB2312"/>
          <w:sz w:val="34"/>
          <w:szCs w:val="34"/>
        </w:rPr>
        <w:t xml:space="preserve">   （2）所供产品出现质量问题，对公司造成了一定影响，单次扣3-5分。</w:t>
      </w:r>
    </w:p>
    <w:p w14:paraId="653CECA1">
      <w:pPr>
        <w:tabs>
          <w:tab w:val="left" w:pos="2565"/>
        </w:tabs>
        <w:spacing w:line="600" w:lineRule="exact"/>
        <w:rPr>
          <w:rFonts w:ascii="仿宋_GB2312" w:hAnsi="仿宋_GB2312" w:eastAsia="仿宋_GB2312" w:cs="仿宋_GB2312"/>
          <w:sz w:val="34"/>
          <w:szCs w:val="34"/>
        </w:rPr>
      </w:pPr>
      <w:r>
        <w:rPr>
          <w:rFonts w:hint="eastAsia" w:ascii="仿宋_GB2312" w:hAnsi="仿宋_GB2312" w:eastAsia="仿宋_GB2312" w:cs="仿宋_GB2312"/>
          <w:sz w:val="34"/>
          <w:szCs w:val="34"/>
        </w:rPr>
        <w:t xml:space="preserve">   （3）所供产品出现质量问题，对公司造成了严重影响，单次扣5-10分。</w:t>
      </w:r>
    </w:p>
    <w:p w14:paraId="09A0585E">
      <w:pPr>
        <w:tabs>
          <w:tab w:val="left" w:pos="2565"/>
        </w:tabs>
        <w:spacing w:line="600" w:lineRule="exact"/>
        <w:ind w:firstLine="680" w:firstLineChars="200"/>
        <w:rPr>
          <w:rFonts w:ascii="仿宋_GB2312" w:hAnsi="仿宋_GB2312" w:eastAsia="仿宋_GB2312" w:cs="仿宋_GB2312"/>
          <w:sz w:val="34"/>
          <w:szCs w:val="34"/>
        </w:rPr>
      </w:pPr>
      <w:r>
        <w:rPr>
          <w:rFonts w:hint="eastAsia" w:ascii="仿宋_GB2312" w:hAnsi="仿宋_GB2312" w:eastAsia="仿宋_GB2312" w:cs="仿宋_GB2312"/>
          <w:sz w:val="34"/>
          <w:szCs w:val="34"/>
        </w:rPr>
        <w:t>2.交货方面</w:t>
      </w:r>
    </w:p>
    <w:p w14:paraId="077068E4">
      <w:pPr>
        <w:tabs>
          <w:tab w:val="left" w:pos="2565"/>
        </w:tabs>
        <w:spacing w:line="600" w:lineRule="exact"/>
        <w:rPr>
          <w:rFonts w:ascii="仿宋_GB2312" w:hAnsi="仿宋_GB2312" w:eastAsia="仿宋_GB2312" w:cs="仿宋_GB2312"/>
          <w:sz w:val="34"/>
          <w:szCs w:val="34"/>
        </w:rPr>
      </w:pPr>
      <w:r>
        <w:rPr>
          <w:rFonts w:hint="eastAsia" w:ascii="仿宋_GB2312" w:hAnsi="仿宋_GB2312" w:eastAsia="仿宋_GB2312" w:cs="仿宋_GB2312"/>
          <w:sz w:val="34"/>
          <w:szCs w:val="34"/>
        </w:rPr>
        <w:t xml:space="preserve">   （1）交货时无质检报告或合格证等必要资料的，单次扣1-3分。</w:t>
      </w:r>
    </w:p>
    <w:p w14:paraId="63CFB947">
      <w:pPr>
        <w:tabs>
          <w:tab w:val="left" w:pos="2565"/>
        </w:tabs>
        <w:spacing w:line="600" w:lineRule="exact"/>
        <w:rPr>
          <w:rFonts w:ascii="仿宋_GB2312" w:hAnsi="仿宋_GB2312" w:eastAsia="仿宋_GB2312" w:cs="仿宋_GB2312"/>
          <w:sz w:val="34"/>
          <w:szCs w:val="34"/>
        </w:rPr>
      </w:pPr>
      <w:r>
        <w:rPr>
          <w:rFonts w:hint="eastAsia" w:ascii="仿宋_GB2312" w:hAnsi="仿宋_GB2312" w:eastAsia="仿宋_GB2312" w:cs="仿宋_GB2312"/>
          <w:sz w:val="34"/>
          <w:szCs w:val="34"/>
        </w:rPr>
        <w:t xml:space="preserve">   （2）交货时未按规定包装的，单次扣1-3分。</w:t>
      </w:r>
    </w:p>
    <w:p w14:paraId="1190E1B4">
      <w:pPr>
        <w:tabs>
          <w:tab w:val="left" w:pos="2565"/>
        </w:tabs>
        <w:spacing w:line="600" w:lineRule="exact"/>
        <w:rPr>
          <w:rFonts w:ascii="仿宋_GB2312" w:hAnsi="仿宋_GB2312" w:eastAsia="仿宋_GB2312" w:cs="仿宋_GB2312"/>
          <w:sz w:val="34"/>
          <w:szCs w:val="34"/>
        </w:rPr>
      </w:pPr>
      <w:r>
        <w:rPr>
          <w:rFonts w:hint="eastAsia" w:ascii="仿宋_GB2312" w:hAnsi="仿宋_GB2312" w:eastAsia="仿宋_GB2312" w:cs="仿宋_GB2312"/>
          <w:sz w:val="34"/>
          <w:szCs w:val="34"/>
        </w:rPr>
        <w:t xml:space="preserve">   （3）延期交货，但未对公司造成影响，单次扣1-3分；造成一定影响，单次扣3-5分；造成严重影响，单次扣5-10分。</w:t>
      </w:r>
    </w:p>
    <w:p w14:paraId="58690384">
      <w:pPr>
        <w:tabs>
          <w:tab w:val="left" w:pos="2565"/>
        </w:tabs>
        <w:spacing w:line="600" w:lineRule="exact"/>
        <w:rPr>
          <w:rFonts w:ascii="仿宋_GB2312" w:hAnsi="仿宋_GB2312" w:eastAsia="仿宋_GB2312" w:cs="仿宋_GB2312"/>
          <w:sz w:val="34"/>
          <w:szCs w:val="34"/>
        </w:rPr>
      </w:pPr>
      <w:r>
        <w:rPr>
          <w:rFonts w:hint="eastAsia" w:ascii="仿宋_GB2312" w:hAnsi="仿宋_GB2312" w:eastAsia="仿宋_GB2312" w:cs="仿宋_GB2312"/>
          <w:sz w:val="34"/>
          <w:szCs w:val="34"/>
        </w:rPr>
        <w:t xml:space="preserve">   （4）交货过程中存在故意隐瞒质量缺陷或以次充好，单次扣5-10分。</w:t>
      </w:r>
    </w:p>
    <w:p w14:paraId="12AF3503">
      <w:pPr>
        <w:tabs>
          <w:tab w:val="left" w:pos="2565"/>
        </w:tabs>
        <w:spacing w:line="600" w:lineRule="exact"/>
        <w:rPr>
          <w:rFonts w:ascii="仿宋_GB2312" w:hAnsi="仿宋_GB2312" w:eastAsia="仿宋_GB2312" w:cs="仿宋_GB2312"/>
          <w:sz w:val="34"/>
          <w:szCs w:val="34"/>
        </w:rPr>
      </w:pPr>
      <w:r>
        <w:rPr>
          <w:rFonts w:hint="eastAsia" w:ascii="仿宋_GB2312" w:hAnsi="仿宋_GB2312" w:eastAsia="仿宋_GB2312" w:cs="仿宋_GB2312"/>
          <w:sz w:val="34"/>
          <w:szCs w:val="34"/>
        </w:rPr>
        <w:t xml:space="preserve">   （5）运输单位未能按要求完成运输任务，单次扣1-3分。</w:t>
      </w:r>
    </w:p>
    <w:p w14:paraId="4C041497">
      <w:pPr>
        <w:tabs>
          <w:tab w:val="left" w:pos="2565"/>
        </w:tabs>
        <w:spacing w:line="600" w:lineRule="exact"/>
        <w:rPr>
          <w:rFonts w:ascii="仿宋_GB2312" w:hAnsi="仿宋_GB2312" w:eastAsia="仿宋_GB2312" w:cs="仿宋_GB2312"/>
          <w:sz w:val="34"/>
          <w:szCs w:val="34"/>
        </w:rPr>
      </w:pPr>
      <w:r>
        <w:rPr>
          <w:rFonts w:hint="eastAsia" w:ascii="仿宋_GB2312" w:hAnsi="仿宋_GB2312" w:eastAsia="仿宋_GB2312" w:cs="仿宋_GB2312"/>
          <w:sz w:val="34"/>
          <w:szCs w:val="34"/>
        </w:rPr>
        <w:t xml:space="preserve">   （6）发生安全事故，并且供应商有责任的，单次扣5-10分。</w:t>
      </w:r>
    </w:p>
    <w:p w14:paraId="04187FBE">
      <w:pPr>
        <w:tabs>
          <w:tab w:val="left" w:pos="2565"/>
        </w:tabs>
        <w:spacing w:line="600" w:lineRule="exact"/>
        <w:ind w:left="420" w:leftChars="200"/>
        <w:rPr>
          <w:rFonts w:ascii="仿宋_GB2312" w:hAnsi="仿宋_GB2312" w:eastAsia="仿宋_GB2312" w:cs="仿宋_GB2312"/>
          <w:sz w:val="34"/>
          <w:szCs w:val="34"/>
        </w:rPr>
      </w:pPr>
      <w:r>
        <w:rPr>
          <w:rFonts w:hint="eastAsia" w:ascii="仿宋_GB2312" w:hAnsi="仿宋_GB2312" w:eastAsia="仿宋_GB2312" w:cs="仿宋_GB2312"/>
          <w:sz w:val="34"/>
          <w:szCs w:val="34"/>
        </w:rPr>
        <w:t xml:space="preserve"> 3.售后方面</w:t>
      </w:r>
    </w:p>
    <w:p w14:paraId="10D3E86D">
      <w:pPr>
        <w:tabs>
          <w:tab w:val="left" w:pos="2565"/>
        </w:tabs>
        <w:spacing w:line="600" w:lineRule="exact"/>
        <w:rPr>
          <w:rFonts w:ascii="仿宋_GB2312" w:hAnsi="仿宋_GB2312" w:eastAsia="仿宋_GB2312" w:cs="仿宋_GB2312"/>
          <w:sz w:val="34"/>
          <w:szCs w:val="34"/>
        </w:rPr>
      </w:pPr>
      <w:r>
        <w:rPr>
          <w:rFonts w:hint="eastAsia" w:ascii="仿宋_GB2312" w:hAnsi="仿宋_GB2312" w:eastAsia="仿宋_GB2312" w:cs="仿宋_GB2312"/>
          <w:sz w:val="34"/>
          <w:szCs w:val="34"/>
        </w:rPr>
        <w:t xml:space="preserve">   （1）对我公司的售后服务要求不能及时响应，单次扣1-3分；已造成一定影响，单次扣3-5分；造成严重影响，单次扣5-10分。</w:t>
      </w:r>
    </w:p>
    <w:p w14:paraId="42807D9B">
      <w:pPr>
        <w:tabs>
          <w:tab w:val="left" w:pos="2565"/>
        </w:tabs>
        <w:spacing w:line="600" w:lineRule="exact"/>
        <w:rPr>
          <w:rFonts w:ascii="仿宋_GB2312" w:hAnsi="仿宋_GB2312" w:eastAsia="仿宋_GB2312" w:cs="仿宋_GB2312"/>
          <w:sz w:val="34"/>
          <w:szCs w:val="34"/>
        </w:rPr>
      </w:pPr>
      <w:r>
        <w:rPr>
          <w:rFonts w:hint="eastAsia" w:ascii="仿宋_GB2312" w:hAnsi="仿宋_GB2312" w:eastAsia="仿宋_GB2312" w:cs="仿宋_GB2312"/>
          <w:sz w:val="34"/>
          <w:szCs w:val="34"/>
        </w:rPr>
        <w:t xml:space="preserve">   （2）售后人员不能及时解决问题，单次扣1-3分。</w:t>
      </w:r>
    </w:p>
    <w:p w14:paraId="51A5B45D">
      <w:pPr>
        <w:tabs>
          <w:tab w:val="left" w:pos="2565"/>
        </w:tabs>
        <w:spacing w:line="600" w:lineRule="exact"/>
        <w:rPr>
          <w:rFonts w:ascii="仿宋_GB2312" w:hAnsi="仿宋_GB2312" w:eastAsia="仿宋_GB2312" w:cs="仿宋_GB2312"/>
          <w:sz w:val="34"/>
          <w:szCs w:val="34"/>
        </w:rPr>
      </w:pPr>
      <w:r>
        <w:rPr>
          <w:rFonts w:hint="eastAsia" w:ascii="仿宋_GB2312" w:hAnsi="仿宋_GB2312" w:eastAsia="仿宋_GB2312" w:cs="仿宋_GB2312"/>
          <w:sz w:val="34"/>
          <w:szCs w:val="34"/>
        </w:rPr>
        <w:t xml:space="preserve">   （3）在质保期之内，拒绝按合同提供售后服务，单次扣5-10分。</w:t>
      </w:r>
    </w:p>
    <w:p w14:paraId="17C5BC13">
      <w:pPr>
        <w:tabs>
          <w:tab w:val="left" w:pos="2565"/>
        </w:tabs>
        <w:spacing w:line="600" w:lineRule="exact"/>
        <w:ind w:firstLine="680" w:firstLineChars="200"/>
        <w:rPr>
          <w:rFonts w:ascii="仿宋_GB2312" w:hAnsi="仿宋_GB2312" w:eastAsia="仿宋_GB2312" w:cs="仿宋_GB2312"/>
          <w:sz w:val="34"/>
          <w:szCs w:val="34"/>
        </w:rPr>
      </w:pPr>
      <w:r>
        <w:rPr>
          <w:rFonts w:hint="eastAsia" w:ascii="仿宋_GB2312" w:hAnsi="仿宋_GB2312" w:eastAsia="仿宋_GB2312" w:cs="仿宋_GB2312"/>
          <w:sz w:val="34"/>
          <w:szCs w:val="34"/>
        </w:rPr>
        <w:t>4.资信方面</w:t>
      </w:r>
    </w:p>
    <w:p w14:paraId="7D7D6460">
      <w:pPr>
        <w:tabs>
          <w:tab w:val="left" w:pos="2565"/>
        </w:tabs>
        <w:spacing w:line="600" w:lineRule="exact"/>
        <w:rPr>
          <w:rFonts w:ascii="仿宋_GB2312" w:hAnsi="仿宋_GB2312" w:eastAsia="仿宋_GB2312" w:cs="仿宋_GB2312"/>
          <w:sz w:val="34"/>
          <w:szCs w:val="34"/>
        </w:rPr>
      </w:pPr>
      <w:r>
        <w:rPr>
          <w:rFonts w:hint="eastAsia" w:ascii="仿宋_GB2312" w:hAnsi="仿宋_GB2312" w:eastAsia="仿宋_GB2312" w:cs="仿宋_GB2312"/>
          <w:sz w:val="34"/>
          <w:szCs w:val="34"/>
        </w:rPr>
        <w:t xml:space="preserve">   （1）确定合作单位之后因报价、参数错误等原因，经双方协商终止合同签订，单次扣1-3分。</w:t>
      </w:r>
    </w:p>
    <w:p w14:paraId="4D1A37C5">
      <w:pPr>
        <w:tabs>
          <w:tab w:val="left" w:pos="2565"/>
        </w:tabs>
        <w:spacing w:line="600" w:lineRule="exact"/>
        <w:rPr>
          <w:rFonts w:ascii="仿宋_GB2312" w:hAnsi="仿宋_GB2312" w:eastAsia="仿宋_GB2312" w:cs="仿宋_GB2312"/>
          <w:sz w:val="34"/>
          <w:szCs w:val="34"/>
        </w:rPr>
      </w:pPr>
      <w:r>
        <w:rPr>
          <w:rFonts w:hint="eastAsia" w:ascii="仿宋_GB2312" w:hAnsi="仿宋_GB2312" w:eastAsia="仿宋_GB2312" w:cs="仿宋_GB2312"/>
          <w:sz w:val="34"/>
          <w:szCs w:val="34"/>
        </w:rPr>
        <w:t xml:space="preserve">   （2）合作单位确定之后拒绝签订合同或拒绝履行合同，单次扣5-10分。</w:t>
      </w:r>
    </w:p>
    <w:p w14:paraId="43D2857B">
      <w:pPr>
        <w:tabs>
          <w:tab w:val="left" w:pos="2565"/>
        </w:tabs>
        <w:spacing w:line="600" w:lineRule="exact"/>
        <w:rPr>
          <w:rFonts w:ascii="仿宋_GB2312" w:hAnsi="仿宋_GB2312" w:eastAsia="仿宋_GB2312" w:cs="仿宋_GB2312"/>
          <w:sz w:val="34"/>
          <w:szCs w:val="34"/>
        </w:rPr>
      </w:pPr>
      <w:r>
        <w:rPr>
          <w:rFonts w:hint="eastAsia" w:ascii="仿宋_GB2312" w:hAnsi="仿宋_GB2312" w:eastAsia="仿宋_GB2312" w:cs="仿宋_GB2312"/>
          <w:sz w:val="34"/>
          <w:szCs w:val="34"/>
        </w:rPr>
        <w:t xml:space="preserve">   （3）无正当理由未及时开具发票给我方，单次扣1-3分。</w:t>
      </w:r>
    </w:p>
    <w:p w14:paraId="00AF3C84">
      <w:pPr>
        <w:tabs>
          <w:tab w:val="left" w:pos="2565"/>
        </w:tabs>
        <w:spacing w:line="600" w:lineRule="exact"/>
        <w:rPr>
          <w:rFonts w:ascii="仿宋_GB2312" w:hAnsi="仿宋_GB2312" w:eastAsia="仿宋_GB2312" w:cs="仿宋_GB2312"/>
          <w:sz w:val="34"/>
          <w:szCs w:val="34"/>
        </w:rPr>
      </w:pPr>
      <w:r>
        <w:rPr>
          <w:rFonts w:hint="eastAsia" w:ascii="仿宋_GB2312" w:hAnsi="仿宋_GB2312" w:eastAsia="仿宋_GB2312" w:cs="仿宋_GB2312"/>
          <w:sz w:val="34"/>
          <w:szCs w:val="34"/>
        </w:rPr>
        <w:t xml:space="preserve">   （4）未按合同约定价格开票，单次扣1-3分。</w:t>
      </w:r>
    </w:p>
    <w:p w14:paraId="6EB23D1A">
      <w:pPr>
        <w:tabs>
          <w:tab w:val="left" w:pos="2565"/>
        </w:tabs>
        <w:spacing w:line="600" w:lineRule="exact"/>
        <w:rPr>
          <w:rFonts w:ascii="仿宋_GB2312" w:hAnsi="仿宋_GB2312" w:eastAsia="仿宋_GB2312" w:cs="仿宋_GB2312"/>
          <w:sz w:val="34"/>
          <w:szCs w:val="34"/>
        </w:rPr>
      </w:pPr>
      <w:r>
        <w:rPr>
          <w:rFonts w:hint="eastAsia" w:ascii="仿宋_GB2312" w:hAnsi="仿宋_GB2312" w:eastAsia="仿宋_GB2312" w:cs="仿宋_GB2312"/>
          <w:sz w:val="34"/>
          <w:szCs w:val="34"/>
        </w:rPr>
        <w:t xml:space="preserve">   （5）注册信息及基本资质证书不属实，单次扣5-10分。</w:t>
      </w:r>
    </w:p>
    <w:p w14:paraId="414F812E">
      <w:pPr>
        <w:tabs>
          <w:tab w:val="left" w:pos="2565"/>
        </w:tabs>
        <w:spacing w:line="600" w:lineRule="exact"/>
        <w:rPr>
          <w:rFonts w:ascii="仿宋_GB2312" w:hAnsi="仿宋_GB2312" w:eastAsia="仿宋_GB2312" w:cs="仿宋_GB2312"/>
          <w:sz w:val="34"/>
          <w:szCs w:val="34"/>
        </w:rPr>
      </w:pPr>
      <w:r>
        <w:rPr>
          <w:rFonts w:hint="eastAsia" w:ascii="仿宋_GB2312" w:hAnsi="仿宋_GB2312" w:eastAsia="仿宋_GB2312" w:cs="仿宋_GB2312"/>
          <w:sz w:val="34"/>
          <w:szCs w:val="34"/>
        </w:rPr>
        <w:t xml:space="preserve">   （6）因知识产权引起纠纷，单次扣5-10分。</w:t>
      </w:r>
    </w:p>
    <w:p w14:paraId="3ECD4AD6">
      <w:pPr>
        <w:tabs>
          <w:tab w:val="left" w:pos="2565"/>
        </w:tabs>
        <w:spacing w:line="600" w:lineRule="exact"/>
        <w:rPr>
          <w:rFonts w:ascii="仿宋_GB2312" w:hAnsi="仿宋_GB2312" w:eastAsia="仿宋_GB2312" w:cs="仿宋_GB2312"/>
          <w:sz w:val="34"/>
          <w:szCs w:val="34"/>
        </w:rPr>
      </w:pPr>
      <w:r>
        <w:rPr>
          <w:rFonts w:hint="eastAsia" w:ascii="仿宋_GB2312" w:hAnsi="黑体" w:eastAsia="仿宋_GB2312" w:cs="黑体"/>
          <w:b/>
          <w:bCs/>
          <w:sz w:val="32"/>
          <w:szCs w:val="32"/>
        </w:rPr>
        <w:t xml:space="preserve">   第七条</w:t>
      </w:r>
      <w:r>
        <w:rPr>
          <w:rFonts w:ascii="仿宋_GB2312" w:hAnsi="仿宋" w:eastAsia="仿宋_GB2312"/>
          <w:sz w:val="32"/>
          <w:szCs w:val="32"/>
        </w:rPr>
        <w:t xml:space="preserve"> </w:t>
      </w:r>
      <w:r>
        <w:rPr>
          <w:rFonts w:hint="eastAsia" w:ascii="仿宋_GB2312" w:hAnsi="仿宋_GB2312" w:eastAsia="仿宋_GB2312" w:cs="仿宋_GB2312"/>
          <w:sz w:val="34"/>
          <w:szCs w:val="34"/>
        </w:rPr>
        <w:t>供应商发生以下情况，将直接列入负面清单，情节严重的，甚至可以直接用就行停止合作；</w:t>
      </w:r>
    </w:p>
    <w:p w14:paraId="0414E5DA">
      <w:pPr>
        <w:tabs>
          <w:tab w:val="left" w:pos="2565"/>
        </w:tabs>
        <w:spacing w:line="600" w:lineRule="exact"/>
        <w:rPr>
          <w:rFonts w:ascii="仿宋_GB2312" w:hAnsi="仿宋_GB2312" w:eastAsia="仿宋_GB2312" w:cs="仿宋_GB2312"/>
          <w:sz w:val="34"/>
          <w:szCs w:val="34"/>
        </w:rPr>
      </w:pPr>
      <w:r>
        <w:rPr>
          <w:rFonts w:hint="eastAsia" w:ascii="仿宋_GB2312" w:hAnsi="仿宋_GB2312" w:eastAsia="仿宋_GB2312" w:cs="仿宋_GB2312"/>
          <w:sz w:val="34"/>
          <w:szCs w:val="34"/>
        </w:rPr>
        <w:t xml:space="preserve">    1、涉及弄虚作假、欺诈、故意隐瞒、冒名顶替等行为的。</w:t>
      </w:r>
    </w:p>
    <w:p w14:paraId="32A75AD7">
      <w:pPr>
        <w:tabs>
          <w:tab w:val="left" w:pos="2565"/>
        </w:tabs>
        <w:spacing w:line="600" w:lineRule="exact"/>
        <w:rPr>
          <w:rFonts w:ascii="仿宋_GB2312" w:hAnsi="仿宋_GB2312" w:eastAsia="仿宋_GB2312" w:cs="仿宋_GB2312"/>
          <w:sz w:val="34"/>
          <w:szCs w:val="34"/>
        </w:rPr>
      </w:pPr>
      <w:r>
        <w:rPr>
          <w:rFonts w:hint="eastAsia" w:ascii="仿宋_GB2312" w:hAnsi="仿宋_GB2312" w:eastAsia="仿宋_GB2312" w:cs="仿宋_GB2312"/>
          <w:sz w:val="34"/>
          <w:szCs w:val="34"/>
        </w:rPr>
        <w:t xml:space="preserve">    2、出现串标、围标、陪标、或者以损害其他城市竞争者的利益谋求中标的。</w:t>
      </w:r>
    </w:p>
    <w:p w14:paraId="435EE77B">
      <w:pPr>
        <w:tabs>
          <w:tab w:val="left" w:pos="2565"/>
        </w:tabs>
        <w:spacing w:line="600" w:lineRule="exact"/>
        <w:rPr>
          <w:rFonts w:ascii="仿宋_GB2312" w:hAnsi="仿宋_GB2312" w:eastAsia="仿宋_GB2312" w:cs="仿宋_GB2312"/>
          <w:sz w:val="34"/>
          <w:szCs w:val="34"/>
        </w:rPr>
      </w:pPr>
      <w:r>
        <w:rPr>
          <w:rFonts w:hint="eastAsia" w:ascii="仿宋_GB2312" w:hAnsi="仿宋_GB2312" w:eastAsia="仿宋_GB2312" w:cs="仿宋_GB2312"/>
          <w:sz w:val="34"/>
          <w:szCs w:val="34"/>
        </w:rPr>
        <w:t xml:space="preserve">    3、供应商通过恶意法律诉讼起诉我公司最终被法院裁定为败诉的。</w:t>
      </w:r>
    </w:p>
    <w:p w14:paraId="57243B33">
      <w:pPr>
        <w:tabs>
          <w:tab w:val="left" w:pos="2565"/>
        </w:tabs>
        <w:spacing w:line="600" w:lineRule="exact"/>
        <w:rPr>
          <w:rFonts w:ascii="仿宋_GB2312" w:hAnsi="仿宋_GB2312" w:eastAsia="仿宋_GB2312" w:cs="仿宋_GB2312"/>
          <w:sz w:val="34"/>
          <w:szCs w:val="34"/>
        </w:rPr>
      </w:pPr>
      <w:r>
        <w:rPr>
          <w:rFonts w:hint="eastAsia" w:ascii="仿宋_GB2312" w:hAnsi="仿宋_GB2312" w:eastAsia="仿宋_GB2312" w:cs="仿宋_GB2312"/>
          <w:sz w:val="34"/>
          <w:szCs w:val="34"/>
        </w:rPr>
        <w:t xml:space="preserve">    4、违反廉政协议，滋生腐败现象的。</w:t>
      </w:r>
    </w:p>
    <w:p w14:paraId="7D514986">
      <w:pPr>
        <w:tabs>
          <w:tab w:val="left" w:pos="2565"/>
        </w:tabs>
        <w:spacing w:line="600" w:lineRule="exact"/>
        <w:rPr>
          <w:rFonts w:ascii="仿宋_GB2312" w:hAnsi="仿宋_GB2312" w:eastAsia="仿宋_GB2312" w:cs="仿宋_GB2312"/>
          <w:sz w:val="34"/>
          <w:szCs w:val="34"/>
        </w:rPr>
      </w:pPr>
      <w:r>
        <w:rPr>
          <w:rFonts w:hint="eastAsia" w:ascii="仿宋_GB2312" w:hAnsi="黑体" w:eastAsia="仿宋_GB2312" w:cs="黑体"/>
          <w:b/>
          <w:bCs/>
          <w:sz w:val="32"/>
          <w:szCs w:val="32"/>
        </w:rPr>
        <w:t xml:space="preserve">    第八条</w:t>
      </w:r>
      <w:r>
        <w:rPr>
          <w:rFonts w:hint="eastAsia" w:ascii="仿宋_GB2312" w:hAnsi="仿宋" w:eastAsia="仿宋_GB2312"/>
          <w:sz w:val="32"/>
          <w:szCs w:val="32"/>
        </w:rPr>
        <w:t xml:space="preserve"> </w:t>
      </w:r>
      <w:r>
        <w:rPr>
          <w:rFonts w:hint="eastAsia" w:ascii="仿宋_GB2312" w:hAnsi="仿宋_GB2312" w:eastAsia="仿宋_GB2312" w:cs="仿宋_GB2312"/>
          <w:sz w:val="34"/>
          <w:szCs w:val="34"/>
        </w:rPr>
        <w:t>关于无效投诉的处理办法</w:t>
      </w:r>
    </w:p>
    <w:p w14:paraId="01BDD67F">
      <w:pPr>
        <w:tabs>
          <w:tab w:val="left" w:pos="2565"/>
        </w:tabs>
        <w:spacing w:line="600" w:lineRule="exact"/>
        <w:rPr>
          <w:rFonts w:ascii="仿宋_GB2312" w:hAnsi="仿宋_GB2312" w:eastAsia="仿宋_GB2312" w:cs="仿宋_GB2312"/>
          <w:sz w:val="34"/>
          <w:szCs w:val="34"/>
        </w:rPr>
      </w:pPr>
      <w:r>
        <w:rPr>
          <w:rFonts w:hint="eastAsia" w:ascii="仿宋_GB2312" w:hAnsi="仿宋_GB2312" w:eastAsia="仿宋_GB2312" w:cs="仿宋_GB2312"/>
          <w:sz w:val="34"/>
          <w:szCs w:val="34"/>
        </w:rPr>
        <w:t>　　报价人如对报价结果存有异议，可向监管部门提起投诉。但为了维护采购工作的严肃性，报价人所提出的投诉一旦被公司认定为无效投诉，单次扣除投诉人3分；如果报价人仍不接受解释且采取重复投诉，甚至出现捏造事实、无理取闹、聚众围堵、恶意诽谤等严重扰乱公司生产经营秩序的违法行为，可再扣除投诉人5-10分;报价人对同一事件的无效投诉或一年内累计无效投诉的次数达到三次以上（含三次），均直接列入供应商负面清单，情节严重的，也可以永久性停止合作。</w:t>
      </w:r>
    </w:p>
    <w:p w14:paraId="1D65244B">
      <w:pPr>
        <w:adjustRightInd w:val="0"/>
        <w:snapToGrid w:val="0"/>
        <w:spacing w:line="600" w:lineRule="exact"/>
        <w:jc w:val="center"/>
        <w:rPr>
          <w:rFonts w:ascii="黑体" w:hAnsi="黑体" w:eastAsia="黑体"/>
          <w:b/>
          <w:bCs/>
          <w:sz w:val="32"/>
          <w:szCs w:val="32"/>
        </w:rPr>
      </w:pPr>
      <w:r>
        <w:rPr>
          <w:rFonts w:hint="eastAsia" w:ascii="黑体" w:hAnsi="黑体" w:eastAsia="黑体" w:cs="黑体"/>
          <w:b/>
          <w:bCs/>
          <w:sz w:val="32"/>
          <w:szCs w:val="32"/>
        </w:rPr>
        <w:t>第四章 从负面清单供应商的消除</w:t>
      </w:r>
    </w:p>
    <w:p w14:paraId="26A41C59">
      <w:pPr>
        <w:tabs>
          <w:tab w:val="left" w:pos="2565"/>
        </w:tabs>
        <w:spacing w:line="600" w:lineRule="exact"/>
        <w:rPr>
          <w:rFonts w:ascii="仿宋_GB2312" w:hAnsi="仿宋_GB2312" w:eastAsia="仿宋_GB2312" w:cs="仿宋_GB2312"/>
          <w:sz w:val="34"/>
          <w:szCs w:val="34"/>
        </w:rPr>
      </w:pPr>
      <w:r>
        <w:rPr>
          <w:rFonts w:hint="eastAsia" w:ascii="仿宋_GB2312" w:hAnsi="黑体" w:eastAsia="仿宋_GB2312" w:cs="黑体"/>
          <w:b/>
          <w:bCs/>
          <w:sz w:val="32"/>
          <w:szCs w:val="32"/>
        </w:rPr>
        <w:t xml:space="preserve">   第九条</w:t>
      </w:r>
      <w:r>
        <w:rPr>
          <w:rFonts w:hint="eastAsia" w:ascii="黑体" w:hAnsi="黑体" w:eastAsia="黑体" w:cs="黑体"/>
          <w:b/>
          <w:bCs/>
          <w:sz w:val="32"/>
          <w:szCs w:val="32"/>
        </w:rPr>
        <w:t xml:space="preserve"> </w:t>
      </w:r>
      <w:r>
        <w:rPr>
          <w:rFonts w:hint="eastAsia" w:ascii="仿宋_GB2312" w:hAnsi="仿宋_GB2312" w:eastAsia="仿宋_GB2312" w:cs="仿宋_GB2312"/>
          <w:sz w:val="34"/>
          <w:szCs w:val="34"/>
        </w:rPr>
        <w:t>已被列入的负面清单供应商通过自身完善、整改等措施，其产品或服务质量满足公司要求，原则上自考核满一年以后，供应商可提出书面申请，经供应商能力确认流程鉴定后方可从负面清单中消除。具体流程如下：</w:t>
      </w:r>
    </w:p>
    <w:p w14:paraId="24130ED7">
      <w:pPr>
        <w:tabs>
          <w:tab w:val="left" w:pos="2565"/>
        </w:tabs>
        <w:spacing w:line="600" w:lineRule="exact"/>
        <w:rPr>
          <w:rFonts w:ascii="仿宋_GB2312" w:hAnsi="仿宋_GB2312" w:eastAsia="仿宋_GB2312" w:cs="仿宋_GB2312"/>
          <w:sz w:val="34"/>
          <w:szCs w:val="34"/>
        </w:rPr>
      </w:pPr>
      <w:r>
        <w:rPr>
          <w:rFonts w:hint="eastAsia" w:ascii="仿宋_GB2312" w:hAnsi="仿宋_GB2312" w:eastAsia="仿宋_GB2312" w:cs="仿宋_GB2312"/>
          <w:sz w:val="34"/>
          <w:szCs w:val="34"/>
        </w:rPr>
        <w:t xml:space="preserve">    1.供应商提出负面清单消除的书面申请以及针对考核项的整改措施、效果等相关文件材料；</w:t>
      </w:r>
    </w:p>
    <w:p w14:paraId="00FC290B">
      <w:pPr>
        <w:tabs>
          <w:tab w:val="left" w:pos="2565"/>
        </w:tabs>
        <w:spacing w:line="600" w:lineRule="exact"/>
        <w:rPr>
          <w:rFonts w:ascii="仿宋_GB2312" w:hAnsi="仿宋_GB2312" w:eastAsia="仿宋_GB2312" w:cs="仿宋_GB2312"/>
          <w:sz w:val="34"/>
          <w:szCs w:val="34"/>
        </w:rPr>
      </w:pPr>
      <w:r>
        <w:rPr>
          <w:rFonts w:hint="eastAsia" w:ascii="仿宋_GB2312" w:hAnsi="仿宋_GB2312" w:eastAsia="仿宋_GB2312" w:cs="仿宋_GB2312"/>
          <w:sz w:val="34"/>
          <w:szCs w:val="34"/>
        </w:rPr>
        <w:t>　　2.商务合作部牵头组织相关部门对供应商提供的文件材料进行确认，必要时组织现场考察；</w:t>
      </w:r>
    </w:p>
    <w:p w14:paraId="27A7BC8F">
      <w:pPr>
        <w:tabs>
          <w:tab w:val="left" w:pos="2565"/>
        </w:tabs>
        <w:spacing w:line="600" w:lineRule="exact"/>
        <w:rPr>
          <w:rFonts w:ascii="仿宋_GB2312" w:hAnsi="仿宋_GB2312" w:eastAsia="仿宋_GB2312" w:cs="仿宋_GB2312"/>
          <w:sz w:val="34"/>
          <w:szCs w:val="34"/>
        </w:rPr>
      </w:pPr>
      <w:r>
        <w:rPr>
          <w:rFonts w:hint="eastAsia" w:ascii="仿宋_GB2312" w:hAnsi="仿宋_GB2312" w:eastAsia="仿宋_GB2312" w:cs="仿宋_GB2312"/>
          <w:sz w:val="34"/>
          <w:szCs w:val="34"/>
        </w:rPr>
        <w:t>　　3.商务合作部根据材料确认及考察情况提出建议，经相关部门会签再报公司分管领导、总经理、董事长批准以后方可完成负面清单供应商的消除工作。</w:t>
      </w:r>
    </w:p>
    <w:p w14:paraId="276D29E3">
      <w:pPr>
        <w:adjustRightInd w:val="0"/>
        <w:snapToGrid w:val="0"/>
        <w:spacing w:line="600" w:lineRule="exact"/>
        <w:jc w:val="center"/>
        <w:rPr>
          <w:rFonts w:ascii="黑体" w:hAnsi="黑体" w:eastAsia="黑体"/>
          <w:b/>
          <w:bCs/>
          <w:sz w:val="32"/>
          <w:szCs w:val="32"/>
        </w:rPr>
      </w:pPr>
      <w:r>
        <w:rPr>
          <w:rFonts w:hint="eastAsia" w:ascii="黑体" w:hAnsi="黑体" w:eastAsia="黑体" w:cs="黑体"/>
          <w:b/>
          <w:bCs/>
          <w:sz w:val="32"/>
          <w:szCs w:val="32"/>
        </w:rPr>
        <w:t>第五章 附则</w:t>
      </w:r>
    </w:p>
    <w:p w14:paraId="45A8ADCC">
      <w:pPr>
        <w:spacing w:line="600" w:lineRule="exact"/>
        <w:ind w:firstLine="643" w:firstLineChars="200"/>
        <w:rPr>
          <w:rFonts w:ascii="仿宋_GB2312" w:hAnsi="仿宋_GB2312" w:eastAsia="仿宋_GB2312" w:cs="仿宋_GB2312"/>
          <w:sz w:val="34"/>
          <w:szCs w:val="34"/>
        </w:rPr>
      </w:pPr>
      <w:r>
        <w:rPr>
          <w:rFonts w:hint="eastAsia" w:ascii="仿宋_GB2312" w:hAnsi="楷体" w:eastAsia="仿宋_GB2312"/>
          <w:b/>
          <w:sz w:val="32"/>
          <w:szCs w:val="32"/>
        </w:rPr>
        <w:t>第</w:t>
      </w:r>
      <w:r>
        <w:rPr>
          <w:rFonts w:hint="eastAsia" w:ascii="仿宋_GB2312" w:hAnsi="黑体" w:eastAsia="仿宋_GB2312" w:cs="黑体"/>
          <w:b/>
          <w:bCs/>
          <w:sz w:val="32"/>
          <w:szCs w:val="32"/>
        </w:rPr>
        <w:t>十条</w:t>
      </w:r>
      <w:r>
        <w:rPr>
          <w:rFonts w:hint="eastAsia" w:ascii="仿宋_GB2312" w:hAnsi="楷体" w:eastAsia="仿宋_GB2312"/>
          <w:b/>
          <w:sz w:val="32"/>
          <w:szCs w:val="32"/>
        </w:rPr>
        <w:t xml:space="preserve"> </w:t>
      </w:r>
      <w:r>
        <w:rPr>
          <w:rFonts w:hint="eastAsia" w:ascii="仿宋_GB2312" w:hAnsi="仿宋_GB2312" w:eastAsia="仿宋_GB2312" w:cs="仿宋_GB2312"/>
          <w:sz w:val="34"/>
          <w:szCs w:val="34"/>
        </w:rPr>
        <w:t>各部门应按照公开公平公正的原则，做好供应商负面清单的考核和管理工作。</w:t>
      </w:r>
    </w:p>
    <w:p w14:paraId="0B1B377B">
      <w:pPr>
        <w:spacing w:line="600" w:lineRule="exact"/>
        <w:ind w:firstLine="643" w:firstLineChars="200"/>
        <w:rPr>
          <w:rFonts w:ascii="仿宋_GB2312" w:hAnsi="仿宋_GB2312" w:eastAsia="仿宋_GB2312" w:cs="仿宋_GB2312"/>
          <w:sz w:val="34"/>
          <w:szCs w:val="34"/>
        </w:rPr>
      </w:pPr>
      <w:r>
        <w:rPr>
          <w:rFonts w:hint="eastAsia" w:ascii="仿宋_GB2312" w:hAnsi="仿宋" w:eastAsia="仿宋_GB2312"/>
          <w:b/>
          <w:bCs/>
          <w:sz w:val="32"/>
          <w:szCs w:val="32"/>
        </w:rPr>
        <w:t xml:space="preserve">第十一条 </w:t>
      </w:r>
      <w:r>
        <w:rPr>
          <w:rFonts w:hint="eastAsia" w:ascii="仿宋_GB2312" w:hAnsi="仿宋_GB2312" w:eastAsia="仿宋_GB2312" w:cs="仿宋_GB2312"/>
          <w:sz w:val="34"/>
          <w:szCs w:val="34"/>
        </w:rPr>
        <w:t>供应商负面清单的加入和消除总体采取谁加入谁消除的独立自主处置原则，不同直属单位对同一供应商一年内的考核扣分累计达到15分以上，由集团商务合作部将其列为负面清单供应商。</w:t>
      </w:r>
    </w:p>
    <w:p w14:paraId="51192F5F">
      <w:pPr>
        <w:spacing w:line="600" w:lineRule="exact"/>
        <w:ind w:firstLine="643" w:firstLineChars="200"/>
        <w:rPr>
          <w:rFonts w:ascii="仿宋_GB2312" w:hAnsi="仿宋_GB2312" w:eastAsia="仿宋_GB2312" w:cs="仿宋_GB2312"/>
          <w:sz w:val="34"/>
          <w:szCs w:val="34"/>
        </w:rPr>
      </w:pPr>
      <w:r>
        <w:rPr>
          <w:rFonts w:hint="eastAsia" w:ascii="仿宋_GB2312" w:hAnsi="楷体" w:eastAsia="仿宋_GB2312"/>
          <w:b/>
          <w:sz w:val="32"/>
          <w:szCs w:val="32"/>
        </w:rPr>
        <w:t xml:space="preserve">第十二条 </w:t>
      </w:r>
      <w:r>
        <w:rPr>
          <w:rFonts w:hint="eastAsia" w:ascii="仿宋_GB2312" w:hAnsi="仿宋_GB2312" w:eastAsia="仿宋_GB2312" w:cs="仿宋_GB2312"/>
          <w:sz w:val="34"/>
          <w:szCs w:val="34"/>
        </w:rPr>
        <w:t>各部门对负面清单供应商的加入和消除均应在第一时间报送集团商务合作部，并由集团商务合作部统一在公司指定公告栏中进行公示。对已被某一单位列入负面清单的供应商，其他单位在同一时期一律不得再与其开展新的合作；对所有已被累计两次加入负面清单的供应商，原则上永久性停止与该供应商的合作。</w:t>
      </w:r>
    </w:p>
    <w:p w14:paraId="28479E45">
      <w:pPr>
        <w:spacing w:line="600" w:lineRule="exact"/>
        <w:ind w:firstLine="643" w:firstLineChars="200"/>
        <w:rPr>
          <w:rFonts w:ascii="仿宋_GB2312" w:hAnsi="仿宋_GB2312" w:eastAsia="仿宋_GB2312" w:cs="仿宋_GB2312"/>
          <w:sz w:val="34"/>
          <w:szCs w:val="34"/>
        </w:rPr>
      </w:pPr>
      <w:r>
        <w:rPr>
          <w:rFonts w:hint="eastAsia" w:ascii="仿宋_GB2312" w:hAnsi="楷体" w:eastAsia="仿宋_GB2312"/>
          <w:b/>
          <w:sz w:val="32"/>
          <w:szCs w:val="32"/>
        </w:rPr>
        <w:t xml:space="preserve">第十三条 </w:t>
      </w:r>
      <w:r>
        <w:rPr>
          <w:rFonts w:hint="eastAsia" w:ascii="仿宋_GB2312" w:hAnsi="仿宋_GB2312" w:eastAsia="仿宋_GB2312" w:cs="仿宋_GB2312"/>
          <w:sz w:val="34"/>
          <w:szCs w:val="34"/>
        </w:rPr>
        <w:t>本规定自颁发之日起生效，由商务合作部负责解释，原《索普赛瑞供应商负面清单管理规定（试行）》（苏索瑞企字[2022]22号）同时废止。</w:t>
      </w:r>
    </w:p>
    <w:p w14:paraId="04AA2ABA">
      <w:pPr>
        <w:spacing w:line="600" w:lineRule="exact"/>
        <w:ind w:firstLine="680" w:firstLineChars="200"/>
        <w:rPr>
          <w:rFonts w:ascii="仿宋_GB2312" w:hAnsi="仿宋_GB2312" w:eastAsia="仿宋_GB2312" w:cs="仿宋_GB2312"/>
          <w:sz w:val="34"/>
          <w:szCs w:val="34"/>
        </w:rPr>
      </w:pPr>
      <w:r>
        <w:rPr>
          <w:rFonts w:hint="eastAsia" w:ascii="仿宋_GB2312" w:hAnsi="仿宋_GB2312" w:eastAsia="仿宋_GB2312" w:cs="仿宋_GB2312"/>
          <w:sz w:val="34"/>
          <w:szCs w:val="34"/>
        </w:rPr>
        <w:t>本制度由商务合作部负责解释。</w:t>
      </w:r>
    </w:p>
    <w:p w14:paraId="762C8481">
      <w:pPr>
        <w:spacing w:line="600" w:lineRule="exact"/>
        <w:ind w:firstLine="680" w:firstLineChars="200"/>
        <w:rPr>
          <w:rFonts w:ascii="仿宋_GB2312" w:hAnsi="仿宋_GB2312" w:eastAsia="仿宋_GB2312" w:cs="仿宋_GB2312"/>
          <w:sz w:val="34"/>
          <w:szCs w:val="34"/>
        </w:rPr>
      </w:pPr>
    </w:p>
    <w:p w14:paraId="76E1F4AB">
      <w:pPr>
        <w:spacing w:line="600" w:lineRule="exact"/>
        <w:ind w:firstLine="680" w:firstLineChars="200"/>
        <w:rPr>
          <w:rFonts w:ascii="仿宋_GB2312" w:hAnsi="仿宋_GB2312" w:eastAsia="仿宋_GB2312" w:cs="仿宋_GB2312"/>
          <w:sz w:val="34"/>
          <w:szCs w:val="34"/>
        </w:rPr>
      </w:pPr>
    </w:p>
    <w:p w14:paraId="34D40B50">
      <w:pPr>
        <w:spacing w:line="600" w:lineRule="exact"/>
        <w:ind w:firstLine="680" w:firstLineChars="200"/>
        <w:rPr>
          <w:rFonts w:ascii="仿宋_GB2312" w:hAnsi="仿宋_GB2312" w:eastAsia="仿宋_GB2312" w:cs="仿宋_GB2312"/>
          <w:sz w:val="34"/>
          <w:szCs w:val="34"/>
        </w:rPr>
      </w:pPr>
    </w:p>
    <w:p w14:paraId="03A99DAB">
      <w:pPr>
        <w:spacing w:line="600" w:lineRule="exact"/>
        <w:ind w:firstLine="680" w:firstLineChars="200"/>
        <w:jc w:val="right"/>
        <w:rPr>
          <w:rFonts w:ascii="仿宋_GB2312" w:hAnsi="仿宋_GB2312" w:eastAsia="仿宋_GB2312" w:cs="仿宋_GB2312"/>
          <w:sz w:val="34"/>
          <w:szCs w:val="34"/>
        </w:rPr>
      </w:pPr>
      <w:r>
        <w:rPr>
          <w:rFonts w:hint="eastAsia" w:ascii="仿宋_GB2312" w:hAnsi="仿宋_GB2312" w:eastAsia="仿宋_GB2312" w:cs="仿宋_GB2312"/>
          <w:sz w:val="34"/>
          <w:szCs w:val="34"/>
        </w:rPr>
        <w:t>江苏索普赛瑞装备制造有限公司</w:t>
      </w:r>
    </w:p>
    <w:p w14:paraId="45747DF2">
      <w:pPr>
        <w:rPr>
          <w:rFonts w:hint="eastAsia" w:ascii="仿宋_GB2312" w:hAnsi="仿宋_GB2312" w:eastAsia="仿宋_GB2312" w:cs="仿宋_GB2312"/>
          <w:sz w:val="34"/>
          <w:szCs w:val="34"/>
        </w:rPr>
        <w:sectPr>
          <w:footerReference r:id="rId4" w:type="default"/>
          <w:pgSz w:w="11906" w:h="16838"/>
          <w:pgMar w:top="1440" w:right="1800" w:bottom="1440" w:left="1800" w:header="851" w:footer="992" w:gutter="0"/>
          <w:cols w:space="425" w:num="1"/>
          <w:docGrid w:type="lines" w:linePitch="312" w:charSpace="0"/>
        </w:sectPr>
      </w:pPr>
      <w:r>
        <w:rPr>
          <w:rFonts w:hint="eastAsia" w:ascii="仿宋_GB2312" w:hAnsi="仿宋_GB2312" w:eastAsia="仿宋_GB2312" w:cs="仿宋_GB2312"/>
          <w:sz w:val="34"/>
          <w:szCs w:val="34"/>
        </w:rPr>
        <w:t xml:space="preserve">                </w:t>
      </w: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2023年8月15日</w:t>
      </w:r>
    </w:p>
    <w:tbl>
      <w:tblPr>
        <w:tblStyle w:val="7"/>
        <w:tblpPr w:leftFromText="180" w:rightFromText="180" w:vertAnchor="text" w:horzAnchor="page" w:tblpX="1066" w:tblpY="256"/>
        <w:tblOverlap w:val="never"/>
        <w:tblW w:w="15781" w:type="dxa"/>
        <w:tblInd w:w="0" w:type="dxa"/>
        <w:tblLayout w:type="fixed"/>
        <w:tblCellMar>
          <w:top w:w="15" w:type="dxa"/>
          <w:left w:w="15" w:type="dxa"/>
          <w:bottom w:w="15" w:type="dxa"/>
          <w:right w:w="15" w:type="dxa"/>
        </w:tblCellMar>
      </w:tblPr>
      <w:tblGrid>
        <w:gridCol w:w="2812"/>
        <w:gridCol w:w="1016"/>
        <w:gridCol w:w="981"/>
        <w:gridCol w:w="1016"/>
        <w:gridCol w:w="1003"/>
        <w:gridCol w:w="993"/>
        <w:gridCol w:w="1003"/>
        <w:gridCol w:w="944"/>
        <w:gridCol w:w="969"/>
        <w:gridCol w:w="944"/>
        <w:gridCol w:w="956"/>
        <w:gridCol w:w="993"/>
        <w:gridCol w:w="1076"/>
        <w:gridCol w:w="1075"/>
      </w:tblGrid>
      <w:tr w14:paraId="47CA71B3">
        <w:tblPrEx>
          <w:tblCellMar>
            <w:top w:w="15" w:type="dxa"/>
            <w:left w:w="15" w:type="dxa"/>
            <w:bottom w:w="15" w:type="dxa"/>
            <w:right w:w="15" w:type="dxa"/>
          </w:tblCellMar>
        </w:tblPrEx>
        <w:trPr>
          <w:trHeight w:val="228" w:hRule="atLeast"/>
        </w:trPr>
        <w:tc>
          <w:tcPr>
            <w:tcW w:w="2812" w:type="dxa"/>
            <w:noWrap w:val="0"/>
            <w:vAlign w:val="bottom"/>
          </w:tcPr>
          <w:p w14:paraId="43D8772F">
            <w:pPr>
              <w:rPr>
                <w:rFonts w:ascii="宋体" w:hAnsi="宋体" w:cs="宋体"/>
                <w:sz w:val="24"/>
              </w:rPr>
            </w:pPr>
            <w:r>
              <w:rPr>
                <w:rFonts w:hint="eastAsia" w:ascii="黑体" w:hAnsi="黑体" w:eastAsia="黑体" w:cs="黑体"/>
                <w:sz w:val="36"/>
                <w:szCs w:val="36"/>
              </w:rPr>
              <w:t>附件</w:t>
            </w:r>
            <w:r>
              <w:rPr>
                <w:rFonts w:ascii="黑体" w:hAnsi="黑体" w:eastAsia="黑体" w:cs="黑体"/>
                <w:sz w:val="36"/>
                <w:szCs w:val="36"/>
              </w:rPr>
              <w:t>1</w:t>
            </w:r>
          </w:p>
        </w:tc>
        <w:tc>
          <w:tcPr>
            <w:tcW w:w="1016" w:type="dxa"/>
            <w:noWrap w:val="0"/>
            <w:vAlign w:val="bottom"/>
          </w:tcPr>
          <w:p w14:paraId="75B5D3A9">
            <w:pPr>
              <w:rPr>
                <w:rFonts w:ascii="宋体" w:hAnsi="宋体" w:cs="宋体"/>
                <w:sz w:val="24"/>
              </w:rPr>
            </w:pPr>
          </w:p>
        </w:tc>
        <w:tc>
          <w:tcPr>
            <w:tcW w:w="981" w:type="dxa"/>
            <w:noWrap w:val="0"/>
            <w:vAlign w:val="bottom"/>
          </w:tcPr>
          <w:p w14:paraId="427D8CB1">
            <w:pPr>
              <w:rPr>
                <w:rFonts w:ascii="宋体" w:hAnsi="宋体" w:cs="宋体"/>
                <w:sz w:val="24"/>
              </w:rPr>
            </w:pPr>
          </w:p>
        </w:tc>
        <w:tc>
          <w:tcPr>
            <w:tcW w:w="1016" w:type="dxa"/>
            <w:noWrap w:val="0"/>
            <w:vAlign w:val="bottom"/>
          </w:tcPr>
          <w:p w14:paraId="572A998F">
            <w:pPr>
              <w:rPr>
                <w:rFonts w:ascii="宋体" w:hAnsi="宋体" w:cs="宋体"/>
                <w:sz w:val="24"/>
              </w:rPr>
            </w:pPr>
          </w:p>
        </w:tc>
        <w:tc>
          <w:tcPr>
            <w:tcW w:w="1003" w:type="dxa"/>
            <w:noWrap w:val="0"/>
            <w:vAlign w:val="bottom"/>
          </w:tcPr>
          <w:p w14:paraId="735E05CB">
            <w:pPr>
              <w:rPr>
                <w:rFonts w:ascii="宋体" w:hAnsi="宋体" w:cs="宋体"/>
                <w:sz w:val="24"/>
              </w:rPr>
            </w:pPr>
          </w:p>
        </w:tc>
        <w:tc>
          <w:tcPr>
            <w:tcW w:w="993" w:type="dxa"/>
            <w:noWrap w:val="0"/>
            <w:vAlign w:val="bottom"/>
          </w:tcPr>
          <w:p w14:paraId="2E5AB1B5">
            <w:pPr>
              <w:rPr>
                <w:rFonts w:ascii="宋体" w:hAnsi="宋体" w:cs="宋体"/>
                <w:sz w:val="24"/>
              </w:rPr>
            </w:pPr>
          </w:p>
        </w:tc>
        <w:tc>
          <w:tcPr>
            <w:tcW w:w="1003" w:type="dxa"/>
            <w:noWrap w:val="0"/>
            <w:vAlign w:val="bottom"/>
          </w:tcPr>
          <w:p w14:paraId="690792CC">
            <w:pPr>
              <w:rPr>
                <w:rFonts w:ascii="宋体" w:hAnsi="宋体" w:cs="宋体"/>
                <w:sz w:val="24"/>
              </w:rPr>
            </w:pPr>
          </w:p>
        </w:tc>
        <w:tc>
          <w:tcPr>
            <w:tcW w:w="944" w:type="dxa"/>
            <w:noWrap w:val="0"/>
            <w:vAlign w:val="bottom"/>
          </w:tcPr>
          <w:p w14:paraId="777B1BDE">
            <w:pPr>
              <w:rPr>
                <w:rFonts w:ascii="宋体" w:hAnsi="宋体" w:cs="宋体"/>
                <w:sz w:val="24"/>
              </w:rPr>
            </w:pPr>
          </w:p>
        </w:tc>
        <w:tc>
          <w:tcPr>
            <w:tcW w:w="969" w:type="dxa"/>
            <w:noWrap w:val="0"/>
            <w:vAlign w:val="bottom"/>
          </w:tcPr>
          <w:p w14:paraId="12917FD5">
            <w:pPr>
              <w:rPr>
                <w:rFonts w:ascii="宋体" w:hAnsi="宋体" w:cs="宋体"/>
                <w:sz w:val="24"/>
              </w:rPr>
            </w:pPr>
          </w:p>
        </w:tc>
        <w:tc>
          <w:tcPr>
            <w:tcW w:w="944" w:type="dxa"/>
            <w:noWrap w:val="0"/>
            <w:vAlign w:val="bottom"/>
          </w:tcPr>
          <w:p w14:paraId="2ADCBFD1">
            <w:pPr>
              <w:rPr>
                <w:rFonts w:ascii="宋体" w:hAnsi="宋体" w:cs="宋体"/>
                <w:sz w:val="24"/>
              </w:rPr>
            </w:pPr>
          </w:p>
        </w:tc>
        <w:tc>
          <w:tcPr>
            <w:tcW w:w="956" w:type="dxa"/>
            <w:noWrap w:val="0"/>
            <w:vAlign w:val="bottom"/>
          </w:tcPr>
          <w:p w14:paraId="6D68842A">
            <w:pPr>
              <w:rPr>
                <w:rFonts w:ascii="宋体" w:hAnsi="宋体" w:cs="宋体"/>
                <w:sz w:val="24"/>
              </w:rPr>
            </w:pPr>
          </w:p>
        </w:tc>
        <w:tc>
          <w:tcPr>
            <w:tcW w:w="993" w:type="dxa"/>
            <w:noWrap w:val="0"/>
            <w:vAlign w:val="bottom"/>
          </w:tcPr>
          <w:p w14:paraId="12F31FD7">
            <w:pPr>
              <w:rPr>
                <w:rFonts w:ascii="宋体" w:hAnsi="宋体" w:cs="宋体"/>
                <w:sz w:val="24"/>
              </w:rPr>
            </w:pPr>
          </w:p>
        </w:tc>
        <w:tc>
          <w:tcPr>
            <w:tcW w:w="1076" w:type="dxa"/>
            <w:noWrap w:val="0"/>
            <w:vAlign w:val="bottom"/>
          </w:tcPr>
          <w:p w14:paraId="65717CBD">
            <w:pPr>
              <w:rPr>
                <w:rFonts w:ascii="宋体" w:hAnsi="宋体" w:cs="宋体"/>
                <w:sz w:val="24"/>
              </w:rPr>
            </w:pPr>
          </w:p>
        </w:tc>
        <w:tc>
          <w:tcPr>
            <w:tcW w:w="1075" w:type="dxa"/>
            <w:noWrap w:val="0"/>
            <w:vAlign w:val="bottom"/>
          </w:tcPr>
          <w:p w14:paraId="38FCD9A7">
            <w:pPr>
              <w:rPr>
                <w:rFonts w:ascii="宋体" w:hAnsi="宋体" w:cs="宋体"/>
                <w:sz w:val="24"/>
              </w:rPr>
            </w:pPr>
          </w:p>
        </w:tc>
      </w:tr>
    </w:tbl>
    <w:p w14:paraId="0284D1D8">
      <w:pPr>
        <w:rPr>
          <w:vanish/>
        </w:rPr>
      </w:pPr>
    </w:p>
    <w:tbl>
      <w:tblPr>
        <w:tblStyle w:val="7"/>
        <w:tblW w:w="12939" w:type="dxa"/>
        <w:tblInd w:w="-108" w:type="dxa"/>
        <w:tblLayout w:type="fixed"/>
        <w:tblCellMar>
          <w:top w:w="0" w:type="dxa"/>
          <w:left w:w="108" w:type="dxa"/>
          <w:bottom w:w="0" w:type="dxa"/>
          <w:right w:w="108" w:type="dxa"/>
        </w:tblCellMar>
      </w:tblPr>
      <w:tblGrid>
        <w:gridCol w:w="705"/>
        <w:gridCol w:w="1685"/>
        <w:gridCol w:w="1328"/>
        <w:gridCol w:w="908"/>
        <w:gridCol w:w="788"/>
        <w:gridCol w:w="824"/>
        <w:gridCol w:w="703"/>
        <w:gridCol w:w="753"/>
        <w:gridCol w:w="806"/>
        <w:gridCol w:w="925"/>
        <w:gridCol w:w="871"/>
        <w:gridCol w:w="1157"/>
        <w:gridCol w:w="200"/>
        <w:gridCol w:w="487"/>
        <w:gridCol w:w="799"/>
      </w:tblGrid>
      <w:tr w14:paraId="4B5D354F">
        <w:tblPrEx>
          <w:tblCellMar>
            <w:top w:w="0" w:type="dxa"/>
            <w:left w:w="108" w:type="dxa"/>
            <w:bottom w:w="0" w:type="dxa"/>
            <w:right w:w="108" w:type="dxa"/>
          </w:tblCellMar>
        </w:tblPrEx>
        <w:trPr>
          <w:trHeight w:val="375" w:hRule="atLeast"/>
        </w:trPr>
        <w:tc>
          <w:tcPr>
            <w:tcW w:w="11653" w:type="dxa"/>
            <w:gridSpan w:val="13"/>
            <w:tcBorders>
              <w:top w:val="nil"/>
              <w:left w:val="nil"/>
              <w:bottom w:val="nil"/>
              <w:right w:val="nil"/>
            </w:tcBorders>
            <w:noWrap w:val="0"/>
            <w:vAlign w:val="center"/>
          </w:tcPr>
          <w:p w14:paraId="0F14FB91">
            <w:pPr>
              <w:widowControl/>
              <w:jc w:val="center"/>
              <w:rPr>
                <w:rFonts w:ascii="方正小标宋简体" w:hAnsi="宋体" w:eastAsia="方正小标宋简体" w:cs="宋体"/>
                <w:bCs/>
                <w:sz w:val="44"/>
                <w:szCs w:val="44"/>
              </w:rPr>
            </w:pPr>
            <w:r>
              <w:rPr>
                <w:rFonts w:hint="eastAsia" w:ascii="方正小标宋简体" w:hAnsi="宋体" w:eastAsia="方正小标宋简体" w:cs="宋体"/>
                <w:bCs/>
                <w:sz w:val="44"/>
                <w:szCs w:val="44"/>
              </w:rPr>
              <w:t>供应商考核表</w:t>
            </w:r>
          </w:p>
        </w:tc>
        <w:tc>
          <w:tcPr>
            <w:tcW w:w="1286" w:type="dxa"/>
            <w:gridSpan w:val="2"/>
            <w:tcBorders>
              <w:top w:val="nil"/>
              <w:left w:val="nil"/>
              <w:bottom w:val="nil"/>
              <w:right w:val="nil"/>
            </w:tcBorders>
            <w:noWrap w:val="0"/>
            <w:vAlign w:val="center"/>
          </w:tcPr>
          <w:p w14:paraId="10B8BFE0">
            <w:pPr>
              <w:widowControl/>
              <w:jc w:val="center"/>
              <w:rPr>
                <w:rFonts w:ascii="方正小标宋简体" w:hAnsi="宋体" w:eastAsia="方正小标宋简体" w:cs="宋体"/>
                <w:bCs/>
                <w:sz w:val="44"/>
                <w:szCs w:val="44"/>
              </w:rPr>
            </w:pPr>
          </w:p>
        </w:tc>
      </w:tr>
      <w:tr w14:paraId="663A48E8">
        <w:tblPrEx>
          <w:tblCellMar>
            <w:top w:w="0" w:type="dxa"/>
            <w:left w:w="108" w:type="dxa"/>
            <w:bottom w:w="0" w:type="dxa"/>
            <w:right w:w="108" w:type="dxa"/>
          </w:tblCellMar>
        </w:tblPrEx>
        <w:trPr>
          <w:trHeight w:val="285" w:hRule="atLeast"/>
        </w:trPr>
        <w:tc>
          <w:tcPr>
            <w:tcW w:w="11653" w:type="dxa"/>
            <w:gridSpan w:val="13"/>
            <w:tcBorders>
              <w:top w:val="nil"/>
              <w:left w:val="nil"/>
              <w:bottom w:val="nil"/>
              <w:right w:val="nil"/>
            </w:tcBorders>
            <w:noWrap w:val="0"/>
            <w:vAlign w:val="center"/>
          </w:tcPr>
          <w:p w14:paraId="0D0E2150">
            <w:pPr>
              <w:widowControl/>
              <w:jc w:val="left"/>
              <w:rPr>
                <w:rFonts w:ascii="宋体" w:hAnsi="宋体" w:cs="宋体"/>
                <w:sz w:val="24"/>
              </w:rPr>
            </w:pPr>
            <w:r>
              <w:rPr>
                <w:rFonts w:hint="eastAsia" w:ascii="宋体" w:hAnsi="宋体" w:cs="宋体"/>
                <w:sz w:val="24"/>
              </w:rPr>
              <w:t xml:space="preserve">                                                                      　 时间：    年   月   日                                                           </w:t>
            </w:r>
          </w:p>
        </w:tc>
        <w:tc>
          <w:tcPr>
            <w:tcW w:w="1286" w:type="dxa"/>
            <w:gridSpan w:val="2"/>
            <w:tcBorders>
              <w:top w:val="nil"/>
              <w:left w:val="nil"/>
              <w:bottom w:val="nil"/>
              <w:right w:val="nil"/>
            </w:tcBorders>
            <w:noWrap w:val="0"/>
            <w:vAlign w:val="center"/>
          </w:tcPr>
          <w:p w14:paraId="6F85C811">
            <w:pPr>
              <w:widowControl/>
              <w:jc w:val="left"/>
              <w:rPr>
                <w:rFonts w:ascii="宋体" w:hAnsi="宋体" w:cs="宋体"/>
                <w:sz w:val="24"/>
              </w:rPr>
            </w:pPr>
          </w:p>
        </w:tc>
      </w:tr>
      <w:tr w14:paraId="07E332D5">
        <w:tblPrEx>
          <w:tblCellMar>
            <w:top w:w="0" w:type="dxa"/>
            <w:left w:w="108" w:type="dxa"/>
            <w:bottom w:w="0" w:type="dxa"/>
            <w:right w:w="108" w:type="dxa"/>
          </w:tblCellMar>
        </w:tblPrEx>
        <w:trPr>
          <w:gridAfter w:val="1"/>
          <w:wAfter w:w="799" w:type="dxa"/>
          <w:trHeight w:val="498" w:hRule="atLeast"/>
        </w:trPr>
        <w:tc>
          <w:tcPr>
            <w:tcW w:w="705" w:type="dxa"/>
            <w:vMerge w:val="restart"/>
            <w:tcBorders>
              <w:top w:val="single" w:color="auto" w:sz="4" w:space="0"/>
              <w:left w:val="single" w:color="auto" w:sz="4" w:space="0"/>
              <w:right w:val="single" w:color="auto" w:sz="4" w:space="0"/>
            </w:tcBorders>
            <w:noWrap w:val="0"/>
            <w:vAlign w:val="center"/>
          </w:tcPr>
          <w:p w14:paraId="123F7A43">
            <w:pPr>
              <w:widowControl/>
              <w:jc w:val="center"/>
              <w:rPr>
                <w:rFonts w:ascii="宋体" w:hAnsi="宋体" w:cs="宋体"/>
                <w:b/>
                <w:sz w:val="24"/>
              </w:rPr>
            </w:pPr>
            <w:r>
              <w:rPr>
                <w:rFonts w:hint="eastAsia" w:ascii="宋体" w:hAnsi="宋体" w:cs="宋体"/>
                <w:b/>
                <w:sz w:val="24"/>
              </w:rPr>
              <w:t>序号</w:t>
            </w:r>
          </w:p>
        </w:tc>
        <w:tc>
          <w:tcPr>
            <w:tcW w:w="1685" w:type="dxa"/>
            <w:vMerge w:val="restart"/>
            <w:tcBorders>
              <w:top w:val="single" w:color="auto" w:sz="4" w:space="0"/>
              <w:left w:val="single" w:color="auto" w:sz="4" w:space="0"/>
              <w:right w:val="single" w:color="auto" w:sz="4" w:space="0"/>
            </w:tcBorders>
            <w:noWrap w:val="0"/>
            <w:vAlign w:val="center"/>
          </w:tcPr>
          <w:p w14:paraId="0DE55BD5">
            <w:pPr>
              <w:widowControl/>
              <w:jc w:val="center"/>
              <w:rPr>
                <w:rFonts w:ascii="宋体" w:hAnsi="宋体" w:cs="宋体"/>
                <w:b/>
                <w:sz w:val="24"/>
              </w:rPr>
            </w:pPr>
            <w:r>
              <w:rPr>
                <w:rFonts w:hint="eastAsia" w:ascii="宋体" w:hAnsi="宋体" w:cs="宋体"/>
                <w:b/>
                <w:sz w:val="24"/>
              </w:rPr>
              <w:t>企业名称</w:t>
            </w:r>
          </w:p>
        </w:tc>
        <w:tc>
          <w:tcPr>
            <w:tcW w:w="1328" w:type="dxa"/>
            <w:vMerge w:val="restart"/>
            <w:tcBorders>
              <w:top w:val="single" w:color="auto" w:sz="4" w:space="0"/>
              <w:left w:val="single" w:color="auto" w:sz="4" w:space="0"/>
              <w:right w:val="single" w:color="auto" w:sz="4" w:space="0"/>
            </w:tcBorders>
            <w:noWrap w:val="0"/>
            <w:vAlign w:val="center"/>
          </w:tcPr>
          <w:p w14:paraId="7AEF8882">
            <w:pPr>
              <w:widowControl/>
              <w:jc w:val="center"/>
              <w:rPr>
                <w:rFonts w:ascii="宋体" w:hAnsi="宋体" w:cs="宋体"/>
                <w:b/>
                <w:sz w:val="24"/>
              </w:rPr>
            </w:pPr>
            <w:r>
              <w:rPr>
                <w:rFonts w:hint="eastAsia" w:ascii="宋体" w:hAnsi="宋体" w:cs="宋体"/>
                <w:b/>
                <w:sz w:val="24"/>
              </w:rPr>
              <w:t>供货产品</w:t>
            </w:r>
          </w:p>
        </w:tc>
        <w:tc>
          <w:tcPr>
            <w:tcW w:w="4782" w:type="dxa"/>
            <w:gridSpan w:val="6"/>
            <w:tcBorders>
              <w:top w:val="single" w:color="auto" w:sz="4" w:space="0"/>
              <w:left w:val="single" w:color="auto" w:sz="4" w:space="0"/>
              <w:bottom w:val="single" w:color="auto" w:sz="4" w:space="0"/>
              <w:right w:val="single" w:color="auto" w:sz="4" w:space="0"/>
            </w:tcBorders>
            <w:noWrap w:val="0"/>
            <w:vAlign w:val="center"/>
          </w:tcPr>
          <w:p w14:paraId="4D6371C3">
            <w:pPr>
              <w:widowControl/>
              <w:jc w:val="center"/>
              <w:rPr>
                <w:rFonts w:ascii="宋体" w:hAnsi="宋体" w:cs="宋体"/>
                <w:b/>
                <w:sz w:val="24"/>
              </w:rPr>
            </w:pPr>
            <w:r>
              <w:rPr>
                <w:rFonts w:hint="eastAsia" w:ascii="宋体" w:hAnsi="宋体" w:cs="宋体"/>
                <w:b/>
                <w:sz w:val="24"/>
              </w:rPr>
              <w:t>考核扣分</w:t>
            </w:r>
          </w:p>
        </w:tc>
        <w:tc>
          <w:tcPr>
            <w:tcW w:w="925" w:type="dxa"/>
            <w:vMerge w:val="restart"/>
            <w:tcBorders>
              <w:top w:val="single" w:color="auto" w:sz="4" w:space="0"/>
              <w:left w:val="single" w:color="auto" w:sz="4" w:space="0"/>
              <w:bottom w:val="single" w:color="auto" w:sz="4" w:space="0"/>
              <w:right w:val="single" w:color="auto" w:sz="4" w:space="0"/>
            </w:tcBorders>
            <w:noWrap w:val="0"/>
            <w:vAlign w:val="center"/>
          </w:tcPr>
          <w:p w14:paraId="0CB3F637">
            <w:pPr>
              <w:widowControl/>
              <w:jc w:val="center"/>
              <w:rPr>
                <w:rFonts w:ascii="宋体" w:hAnsi="宋体" w:cs="宋体"/>
                <w:b/>
                <w:sz w:val="24"/>
              </w:rPr>
            </w:pPr>
            <w:r>
              <w:rPr>
                <w:rFonts w:hint="eastAsia" w:ascii="宋体" w:hAnsi="宋体" w:cs="宋体"/>
                <w:b/>
                <w:sz w:val="24"/>
              </w:rPr>
              <w:t>扣分时间</w:t>
            </w:r>
          </w:p>
        </w:tc>
        <w:tc>
          <w:tcPr>
            <w:tcW w:w="2028" w:type="dxa"/>
            <w:gridSpan w:val="2"/>
            <w:tcBorders>
              <w:top w:val="single" w:color="auto" w:sz="4" w:space="0"/>
              <w:left w:val="single" w:color="auto" w:sz="4" w:space="0"/>
              <w:bottom w:val="single" w:color="auto" w:sz="4" w:space="0"/>
              <w:right w:val="single" w:color="auto" w:sz="4" w:space="0"/>
            </w:tcBorders>
            <w:noWrap w:val="0"/>
            <w:vAlign w:val="center"/>
          </w:tcPr>
          <w:p w14:paraId="463759DD">
            <w:pPr>
              <w:widowControl/>
              <w:jc w:val="center"/>
              <w:rPr>
                <w:rFonts w:ascii="宋体" w:hAnsi="宋体" w:cs="宋体"/>
                <w:b/>
                <w:sz w:val="24"/>
              </w:rPr>
            </w:pPr>
            <w:r>
              <w:rPr>
                <w:rFonts w:hint="eastAsia" w:ascii="宋体" w:hAnsi="宋体" w:cs="宋体"/>
                <w:b/>
                <w:sz w:val="24"/>
              </w:rPr>
              <w:t>总体评估</w:t>
            </w:r>
          </w:p>
        </w:tc>
        <w:tc>
          <w:tcPr>
            <w:tcW w:w="687"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54F91394">
            <w:pPr>
              <w:widowControl/>
              <w:jc w:val="center"/>
              <w:rPr>
                <w:rFonts w:ascii="宋体" w:hAnsi="宋体" w:cs="宋体"/>
                <w:b/>
                <w:sz w:val="24"/>
              </w:rPr>
            </w:pPr>
            <w:r>
              <w:rPr>
                <w:rFonts w:hint="eastAsia" w:ascii="宋体" w:hAnsi="宋体" w:cs="宋体"/>
                <w:b/>
                <w:sz w:val="24"/>
              </w:rPr>
              <w:t>备注</w:t>
            </w:r>
          </w:p>
        </w:tc>
      </w:tr>
      <w:tr w14:paraId="0F86C125">
        <w:tblPrEx>
          <w:tblCellMar>
            <w:top w:w="0" w:type="dxa"/>
            <w:left w:w="108" w:type="dxa"/>
            <w:bottom w:w="0" w:type="dxa"/>
            <w:right w:w="108" w:type="dxa"/>
          </w:tblCellMar>
        </w:tblPrEx>
        <w:trPr>
          <w:gridAfter w:val="1"/>
          <w:wAfter w:w="799" w:type="dxa"/>
          <w:trHeight w:val="534" w:hRule="atLeast"/>
        </w:trPr>
        <w:tc>
          <w:tcPr>
            <w:tcW w:w="705" w:type="dxa"/>
            <w:vMerge w:val="continue"/>
            <w:tcBorders>
              <w:left w:val="single" w:color="auto" w:sz="4" w:space="0"/>
              <w:bottom w:val="single" w:color="auto" w:sz="4" w:space="0"/>
              <w:right w:val="single" w:color="auto" w:sz="4" w:space="0"/>
            </w:tcBorders>
            <w:noWrap w:val="0"/>
            <w:vAlign w:val="center"/>
          </w:tcPr>
          <w:p w14:paraId="403CD4B2">
            <w:pPr>
              <w:widowControl/>
              <w:jc w:val="center"/>
              <w:rPr>
                <w:rFonts w:ascii="宋体" w:hAnsi="宋体" w:cs="宋体"/>
                <w:b/>
                <w:sz w:val="24"/>
              </w:rPr>
            </w:pPr>
          </w:p>
        </w:tc>
        <w:tc>
          <w:tcPr>
            <w:tcW w:w="1685" w:type="dxa"/>
            <w:vMerge w:val="continue"/>
            <w:tcBorders>
              <w:left w:val="single" w:color="auto" w:sz="4" w:space="0"/>
              <w:bottom w:val="single" w:color="auto" w:sz="4" w:space="0"/>
              <w:right w:val="single" w:color="auto" w:sz="4" w:space="0"/>
            </w:tcBorders>
            <w:noWrap w:val="0"/>
            <w:vAlign w:val="center"/>
          </w:tcPr>
          <w:p w14:paraId="3727084D">
            <w:pPr>
              <w:widowControl/>
              <w:jc w:val="center"/>
              <w:rPr>
                <w:rFonts w:ascii="宋体" w:hAnsi="宋体" w:cs="宋体"/>
                <w:b/>
                <w:sz w:val="24"/>
              </w:rPr>
            </w:pPr>
          </w:p>
        </w:tc>
        <w:tc>
          <w:tcPr>
            <w:tcW w:w="1328" w:type="dxa"/>
            <w:vMerge w:val="continue"/>
            <w:tcBorders>
              <w:left w:val="single" w:color="auto" w:sz="4" w:space="0"/>
              <w:bottom w:val="single" w:color="auto" w:sz="4" w:space="0"/>
              <w:right w:val="single" w:color="auto" w:sz="4" w:space="0"/>
            </w:tcBorders>
            <w:noWrap w:val="0"/>
            <w:vAlign w:val="center"/>
          </w:tcPr>
          <w:p w14:paraId="0825C6D3">
            <w:pPr>
              <w:widowControl/>
              <w:jc w:val="center"/>
              <w:rPr>
                <w:rFonts w:ascii="宋体" w:hAnsi="宋体" w:cs="宋体"/>
                <w:b/>
                <w:sz w:val="24"/>
              </w:rPr>
            </w:pPr>
          </w:p>
        </w:tc>
        <w:tc>
          <w:tcPr>
            <w:tcW w:w="908" w:type="dxa"/>
            <w:tcBorders>
              <w:top w:val="single" w:color="auto" w:sz="4" w:space="0"/>
              <w:left w:val="nil"/>
              <w:bottom w:val="single" w:color="auto" w:sz="4" w:space="0"/>
              <w:right w:val="single" w:color="auto" w:sz="4" w:space="0"/>
            </w:tcBorders>
            <w:noWrap w:val="0"/>
            <w:vAlign w:val="center"/>
          </w:tcPr>
          <w:p w14:paraId="52EC07CA">
            <w:pPr>
              <w:widowControl/>
              <w:jc w:val="center"/>
              <w:rPr>
                <w:rFonts w:ascii="宋体" w:hAnsi="宋体" w:cs="宋体"/>
                <w:b/>
                <w:sz w:val="24"/>
              </w:rPr>
            </w:pPr>
            <w:r>
              <w:rPr>
                <w:rFonts w:hint="eastAsia" w:ascii="宋体" w:hAnsi="宋体" w:cs="宋体"/>
                <w:b/>
                <w:sz w:val="24"/>
              </w:rPr>
              <w:t>质量</w:t>
            </w:r>
          </w:p>
        </w:tc>
        <w:tc>
          <w:tcPr>
            <w:tcW w:w="788" w:type="dxa"/>
            <w:tcBorders>
              <w:top w:val="single" w:color="auto" w:sz="4" w:space="0"/>
              <w:left w:val="nil"/>
              <w:bottom w:val="single" w:color="auto" w:sz="4" w:space="0"/>
              <w:right w:val="single" w:color="auto" w:sz="4" w:space="0"/>
            </w:tcBorders>
            <w:noWrap w:val="0"/>
            <w:vAlign w:val="center"/>
          </w:tcPr>
          <w:p w14:paraId="2C0E0C33">
            <w:pPr>
              <w:widowControl/>
              <w:jc w:val="center"/>
              <w:rPr>
                <w:rFonts w:ascii="宋体" w:hAnsi="宋体" w:cs="宋体"/>
                <w:b/>
                <w:sz w:val="24"/>
              </w:rPr>
            </w:pPr>
            <w:r>
              <w:rPr>
                <w:rFonts w:hint="eastAsia" w:ascii="宋体" w:hAnsi="宋体" w:cs="宋体"/>
                <w:b/>
                <w:sz w:val="24"/>
              </w:rPr>
              <w:t>交货</w:t>
            </w:r>
          </w:p>
        </w:tc>
        <w:tc>
          <w:tcPr>
            <w:tcW w:w="824" w:type="dxa"/>
            <w:tcBorders>
              <w:top w:val="single" w:color="auto" w:sz="4" w:space="0"/>
              <w:left w:val="nil"/>
              <w:bottom w:val="single" w:color="auto" w:sz="4" w:space="0"/>
              <w:right w:val="single" w:color="auto" w:sz="4" w:space="0"/>
            </w:tcBorders>
            <w:noWrap w:val="0"/>
            <w:vAlign w:val="center"/>
          </w:tcPr>
          <w:p w14:paraId="2DD4101C">
            <w:pPr>
              <w:widowControl/>
              <w:jc w:val="center"/>
              <w:rPr>
                <w:rFonts w:ascii="宋体" w:hAnsi="宋体" w:cs="宋体"/>
                <w:b/>
                <w:sz w:val="24"/>
              </w:rPr>
            </w:pPr>
            <w:r>
              <w:rPr>
                <w:rFonts w:hint="eastAsia" w:ascii="宋体" w:hAnsi="宋体" w:cs="宋体"/>
                <w:b/>
                <w:sz w:val="24"/>
              </w:rPr>
              <w:t>售后</w:t>
            </w:r>
          </w:p>
        </w:tc>
        <w:tc>
          <w:tcPr>
            <w:tcW w:w="703" w:type="dxa"/>
            <w:tcBorders>
              <w:top w:val="single" w:color="auto" w:sz="4" w:space="0"/>
              <w:left w:val="nil"/>
              <w:bottom w:val="single" w:color="auto" w:sz="4" w:space="0"/>
              <w:right w:val="single" w:color="auto" w:sz="4" w:space="0"/>
            </w:tcBorders>
            <w:noWrap w:val="0"/>
            <w:vAlign w:val="center"/>
          </w:tcPr>
          <w:p w14:paraId="315613D6">
            <w:pPr>
              <w:widowControl/>
              <w:jc w:val="center"/>
              <w:rPr>
                <w:rFonts w:ascii="宋体" w:hAnsi="宋体" w:cs="宋体"/>
                <w:b/>
                <w:sz w:val="24"/>
              </w:rPr>
            </w:pPr>
            <w:r>
              <w:rPr>
                <w:rFonts w:hint="eastAsia" w:ascii="宋体" w:hAnsi="宋体" w:cs="宋体"/>
                <w:b/>
                <w:sz w:val="24"/>
              </w:rPr>
              <w:t>资信</w:t>
            </w:r>
          </w:p>
        </w:tc>
        <w:tc>
          <w:tcPr>
            <w:tcW w:w="753" w:type="dxa"/>
            <w:tcBorders>
              <w:top w:val="single" w:color="auto" w:sz="4" w:space="0"/>
              <w:left w:val="nil"/>
              <w:bottom w:val="single" w:color="auto" w:sz="4" w:space="0"/>
              <w:right w:val="single" w:color="auto" w:sz="4" w:space="0"/>
            </w:tcBorders>
            <w:noWrap w:val="0"/>
            <w:vAlign w:val="center"/>
          </w:tcPr>
          <w:p w14:paraId="77A9F1F5">
            <w:pPr>
              <w:widowControl/>
              <w:jc w:val="center"/>
              <w:rPr>
                <w:rFonts w:ascii="宋体" w:hAnsi="宋体" w:cs="宋体"/>
                <w:b/>
                <w:sz w:val="24"/>
              </w:rPr>
            </w:pPr>
            <w:r>
              <w:rPr>
                <w:rFonts w:hint="eastAsia" w:ascii="宋体" w:hAnsi="宋体" w:cs="宋体"/>
                <w:b/>
                <w:sz w:val="24"/>
              </w:rPr>
              <w:t>其他</w:t>
            </w:r>
          </w:p>
        </w:tc>
        <w:tc>
          <w:tcPr>
            <w:tcW w:w="806" w:type="dxa"/>
            <w:tcBorders>
              <w:top w:val="single" w:color="auto" w:sz="4" w:space="0"/>
              <w:left w:val="nil"/>
              <w:bottom w:val="single" w:color="auto" w:sz="4" w:space="0"/>
              <w:right w:val="single" w:color="auto" w:sz="4" w:space="0"/>
            </w:tcBorders>
            <w:noWrap w:val="0"/>
            <w:vAlign w:val="center"/>
          </w:tcPr>
          <w:p w14:paraId="74087D87">
            <w:pPr>
              <w:widowControl/>
              <w:jc w:val="center"/>
              <w:rPr>
                <w:rFonts w:ascii="宋体" w:hAnsi="宋体" w:cs="宋体"/>
                <w:b/>
                <w:sz w:val="24"/>
              </w:rPr>
            </w:pPr>
            <w:r>
              <w:rPr>
                <w:rFonts w:hint="eastAsia" w:ascii="宋体" w:hAnsi="宋体" w:cs="宋体"/>
                <w:b/>
                <w:sz w:val="24"/>
              </w:rPr>
              <w:t>累计</w:t>
            </w:r>
          </w:p>
        </w:tc>
        <w:tc>
          <w:tcPr>
            <w:tcW w:w="925" w:type="dxa"/>
            <w:vMerge w:val="continue"/>
            <w:tcBorders>
              <w:top w:val="single" w:color="auto" w:sz="4" w:space="0"/>
              <w:left w:val="nil"/>
              <w:bottom w:val="single" w:color="auto" w:sz="4" w:space="0"/>
              <w:right w:val="single" w:color="auto" w:sz="4" w:space="0"/>
            </w:tcBorders>
            <w:noWrap w:val="0"/>
            <w:vAlign w:val="center"/>
          </w:tcPr>
          <w:p w14:paraId="4EDE6E46">
            <w:pPr>
              <w:widowControl/>
              <w:jc w:val="center"/>
              <w:rPr>
                <w:rFonts w:ascii="宋体" w:hAnsi="宋体" w:cs="宋体"/>
                <w:b/>
                <w:sz w:val="24"/>
              </w:rPr>
            </w:pPr>
          </w:p>
        </w:tc>
        <w:tc>
          <w:tcPr>
            <w:tcW w:w="871" w:type="dxa"/>
            <w:tcBorders>
              <w:top w:val="single" w:color="auto" w:sz="4" w:space="0"/>
              <w:left w:val="single" w:color="auto" w:sz="4" w:space="0"/>
              <w:bottom w:val="single" w:color="auto" w:sz="4" w:space="0"/>
              <w:right w:val="single" w:color="auto" w:sz="4" w:space="0"/>
            </w:tcBorders>
            <w:noWrap w:val="0"/>
            <w:vAlign w:val="center"/>
          </w:tcPr>
          <w:p w14:paraId="419503C7">
            <w:pPr>
              <w:widowControl/>
              <w:jc w:val="center"/>
              <w:rPr>
                <w:rFonts w:ascii="宋体" w:hAnsi="宋体" w:cs="宋体"/>
                <w:b/>
                <w:sz w:val="24"/>
              </w:rPr>
            </w:pPr>
            <w:r>
              <w:rPr>
                <w:rFonts w:hint="eastAsia" w:ascii="宋体" w:hAnsi="宋体" w:cs="宋体"/>
                <w:b/>
                <w:sz w:val="24"/>
              </w:rPr>
              <w:t>继续合作</w:t>
            </w:r>
          </w:p>
        </w:tc>
        <w:tc>
          <w:tcPr>
            <w:tcW w:w="1157" w:type="dxa"/>
            <w:tcBorders>
              <w:top w:val="single" w:color="auto" w:sz="4" w:space="0"/>
              <w:left w:val="single" w:color="auto" w:sz="4" w:space="0"/>
              <w:bottom w:val="single" w:color="auto" w:sz="4" w:space="0"/>
              <w:right w:val="single" w:color="auto" w:sz="4" w:space="0"/>
            </w:tcBorders>
            <w:noWrap w:val="0"/>
            <w:vAlign w:val="center"/>
          </w:tcPr>
          <w:p w14:paraId="2D511333">
            <w:pPr>
              <w:widowControl/>
              <w:jc w:val="center"/>
              <w:rPr>
                <w:rFonts w:ascii="宋体" w:hAnsi="宋体" w:cs="宋体"/>
                <w:b/>
                <w:sz w:val="24"/>
              </w:rPr>
            </w:pPr>
            <w:r>
              <w:rPr>
                <w:rFonts w:hint="eastAsia" w:ascii="宋体" w:hAnsi="宋体" w:cs="宋体"/>
                <w:b/>
                <w:sz w:val="24"/>
              </w:rPr>
              <w:t>列入负面清单</w:t>
            </w:r>
          </w:p>
        </w:tc>
        <w:tc>
          <w:tcPr>
            <w:tcW w:w="687" w:type="dxa"/>
            <w:gridSpan w:val="2"/>
            <w:vMerge w:val="continue"/>
            <w:tcBorders>
              <w:top w:val="single" w:color="auto" w:sz="4" w:space="0"/>
              <w:left w:val="nil"/>
              <w:bottom w:val="single" w:color="auto" w:sz="4" w:space="0"/>
              <w:right w:val="single" w:color="auto" w:sz="4" w:space="0"/>
            </w:tcBorders>
            <w:noWrap w:val="0"/>
            <w:vAlign w:val="center"/>
          </w:tcPr>
          <w:p w14:paraId="2B49DFA0">
            <w:pPr>
              <w:widowControl/>
              <w:jc w:val="center"/>
              <w:rPr>
                <w:rFonts w:ascii="宋体" w:hAnsi="宋体" w:cs="宋体"/>
                <w:b/>
                <w:sz w:val="24"/>
              </w:rPr>
            </w:pPr>
          </w:p>
        </w:tc>
      </w:tr>
      <w:tr w14:paraId="15A7C0ED">
        <w:tblPrEx>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14:paraId="53FDBC0F">
            <w:pPr>
              <w:widowControl/>
              <w:jc w:val="center"/>
              <w:rPr>
                <w:rFonts w:ascii="Arial" w:hAnsi="Arial" w:cs="Arial"/>
                <w:sz w:val="24"/>
              </w:rPr>
            </w:pPr>
          </w:p>
        </w:tc>
        <w:tc>
          <w:tcPr>
            <w:tcW w:w="1685" w:type="dxa"/>
            <w:tcBorders>
              <w:top w:val="nil"/>
              <w:left w:val="nil"/>
              <w:bottom w:val="single" w:color="auto" w:sz="4" w:space="0"/>
              <w:right w:val="single" w:color="auto" w:sz="4" w:space="0"/>
            </w:tcBorders>
            <w:noWrap w:val="0"/>
            <w:vAlign w:val="center"/>
          </w:tcPr>
          <w:p w14:paraId="2B022EE2">
            <w:pPr>
              <w:widowControl/>
              <w:jc w:val="center"/>
              <w:rPr>
                <w:rFonts w:ascii="Arial" w:hAnsi="Arial" w:cs="Arial"/>
                <w:sz w:val="24"/>
              </w:rPr>
            </w:pPr>
          </w:p>
        </w:tc>
        <w:tc>
          <w:tcPr>
            <w:tcW w:w="1328" w:type="dxa"/>
            <w:tcBorders>
              <w:top w:val="nil"/>
              <w:left w:val="nil"/>
              <w:bottom w:val="single" w:color="auto" w:sz="4" w:space="0"/>
              <w:right w:val="single" w:color="auto" w:sz="4" w:space="0"/>
            </w:tcBorders>
            <w:noWrap w:val="0"/>
            <w:vAlign w:val="center"/>
          </w:tcPr>
          <w:p w14:paraId="1B6F0B6E">
            <w:pPr>
              <w:widowControl/>
              <w:jc w:val="center"/>
              <w:rPr>
                <w:rFonts w:ascii="Calibri" w:hAnsi="Calibri" w:cs="宋体"/>
                <w:sz w:val="24"/>
              </w:rPr>
            </w:pPr>
          </w:p>
        </w:tc>
        <w:tc>
          <w:tcPr>
            <w:tcW w:w="908" w:type="dxa"/>
            <w:tcBorders>
              <w:top w:val="nil"/>
              <w:left w:val="nil"/>
              <w:bottom w:val="single" w:color="auto" w:sz="4" w:space="0"/>
              <w:right w:val="single" w:color="auto" w:sz="4" w:space="0"/>
            </w:tcBorders>
            <w:noWrap w:val="0"/>
            <w:vAlign w:val="center"/>
          </w:tcPr>
          <w:p w14:paraId="67C78BEC">
            <w:pPr>
              <w:widowControl/>
              <w:jc w:val="center"/>
              <w:rPr>
                <w:rFonts w:ascii="Calibri" w:hAnsi="Calibri" w:cs="宋体"/>
                <w:sz w:val="24"/>
              </w:rPr>
            </w:pPr>
          </w:p>
        </w:tc>
        <w:tc>
          <w:tcPr>
            <w:tcW w:w="788" w:type="dxa"/>
            <w:tcBorders>
              <w:top w:val="nil"/>
              <w:left w:val="nil"/>
              <w:bottom w:val="single" w:color="auto" w:sz="4" w:space="0"/>
              <w:right w:val="single" w:color="auto" w:sz="4" w:space="0"/>
            </w:tcBorders>
            <w:noWrap w:val="0"/>
            <w:vAlign w:val="center"/>
          </w:tcPr>
          <w:p w14:paraId="67FB511B">
            <w:pPr>
              <w:widowControl/>
              <w:jc w:val="center"/>
              <w:rPr>
                <w:rFonts w:ascii="Calibri" w:hAnsi="Calibri" w:cs="宋体"/>
                <w:sz w:val="24"/>
              </w:rPr>
            </w:pPr>
          </w:p>
        </w:tc>
        <w:tc>
          <w:tcPr>
            <w:tcW w:w="824" w:type="dxa"/>
            <w:tcBorders>
              <w:top w:val="nil"/>
              <w:left w:val="nil"/>
              <w:bottom w:val="single" w:color="auto" w:sz="4" w:space="0"/>
              <w:right w:val="single" w:color="auto" w:sz="4" w:space="0"/>
            </w:tcBorders>
            <w:noWrap w:val="0"/>
            <w:vAlign w:val="center"/>
          </w:tcPr>
          <w:p w14:paraId="5251754E">
            <w:pPr>
              <w:widowControl/>
              <w:jc w:val="center"/>
              <w:rPr>
                <w:rFonts w:ascii="Calibri" w:hAnsi="Calibri" w:cs="宋体"/>
                <w:sz w:val="24"/>
              </w:rPr>
            </w:pPr>
          </w:p>
        </w:tc>
        <w:tc>
          <w:tcPr>
            <w:tcW w:w="703" w:type="dxa"/>
            <w:tcBorders>
              <w:top w:val="nil"/>
              <w:left w:val="nil"/>
              <w:bottom w:val="single" w:color="auto" w:sz="4" w:space="0"/>
              <w:right w:val="single" w:color="auto" w:sz="4" w:space="0"/>
            </w:tcBorders>
            <w:noWrap w:val="0"/>
            <w:vAlign w:val="center"/>
          </w:tcPr>
          <w:p w14:paraId="2E66A158">
            <w:pPr>
              <w:widowControl/>
              <w:jc w:val="center"/>
              <w:rPr>
                <w:rFonts w:ascii="Calibri" w:hAnsi="Calibri" w:cs="宋体"/>
                <w:sz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14:paraId="2A0831F0">
            <w:pPr>
              <w:widowControl/>
              <w:jc w:val="center"/>
              <w:rPr>
                <w:rFonts w:ascii="Calibri" w:hAnsi="Calibri" w:cs="宋体"/>
                <w:sz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14:paraId="2C33DEBA">
            <w:pPr>
              <w:widowControl/>
              <w:jc w:val="center"/>
              <w:rPr>
                <w:rFonts w:ascii="Calibri" w:hAnsi="Calibri" w:cs="宋体"/>
                <w:sz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14:paraId="11889E55">
            <w:pPr>
              <w:widowControl/>
              <w:jc w:val="center"/>
              <w:rPr>
                <w:rFonts w:ascii="宋体" w:hAnsi="宋体" w:cs="宋体"/>
                <w:b/>
                <w:sz w:val="24"/>
              </w:rPr>
            </w:pPr>
          </w:p>
        </w:tc>
        <w:tc>
          <w:tcPr>
            <w:tcW w:w="871" w:type="dxa"/>
            <w:tcBorders>
              <w:top w:val="single" w:color="auto" w:sz="4" w:space="0"/>
              <w:left w:val="nil"/>
              <w:bottom w:val="single" w:color="auto" w:sz="4" w:space="0"/>
              <w:right w:val="single" w:color="auto" w:sz="4" w:space="0"/>
            </w:tcBorders>
            <w:noWrap w:val="0"/>
            <w:vAlign w:val="center"/>
          </w:tcPr>
          <w:p w14:paraId="68FC4D34">
            <w:pPr>
              <w:widowControl/>
              <w:jc w:val="center"/>
              <w:rPr>
                <w:rFonts w:ascii="Calibri" w:hAnsi="Calibri" w:cs="宋体"/>
                <w:sz w:val="24"/>
              </w:rPr>
            </w:pPr>
          </w:p>
        </w:tc>
        <w:tc>
          <w:tcPr>
            <w:tcW w:w="1157" w:type="dxa"/>
            <w:tcBorders>
              <w:top w:val="single" w:color="auto" w:sz="4" w:space="0"/>
              <w:left w:val="nil"/>
              <w:bottom w:val="single" w:color="auto" w:sz="4" w:space="0"/>
              <w:right w:val="single" w:color="auto" w:sz="4" w:space="0"/>
            </w:tcBorders>
            <w:noWrap w:val="0"/>
            <w:vAlign w:val="center"/>
          </w:tcPr>
          <w:p w14:paraId="77992A4A">
            <w:pPr>
              <w:widowControl/>
              <w:jc w:val="center"/>
              <w:rPr>
                <w:rFonts w:ascii="Calibri" w:hAnsi="Calibri" w:cs="宋体"/>
                <w:sz w:val="24"/>
              </w:rPr>
            </w:pPr>
          </w:p>
        </w:tc>
        <w:tc>
          <w:tcPr>
            <w:tcW w:w="687" w:type="dxa"/>
            <w:gridSpan w:val="2"/>
            <w:tcBorders>
              <w:top w:val="nil"/>
              <w:left w:val="nil"/>
              <w:bottom w:val="single" w:color="auto" w:sz="4" w:space="0"/>
              <w:right w:val="single" w:color="auto" w:sz="4" w:space="0"/>
            </w:tcBorders>
            <w:noWrap w:val="0"/>
            <w:vAlign w:val="center"/>
          </w:tcPr>
          <w:p w14:paraId="7A4327CF">
            <w:pPr>
              <w:widowControl/>
              <w:jc w:val="center"/>
              <w:rPr>
                <w:rFonts w:ascii="Calibri" w:hAnsi="Calibri" w:cs="宋体"/>
                <w:sz w:val="24"/>
              </w:rPr>
            </w:pPr>
          </w:p>
        </w:tc>
      </w:tr>
      <w:tr w14:paraId="47764B24">
        <w:tblPrEx>
          <w:tblCellMar>
            <w:top w:w="0" w:type="dxa"/>
            <w:left w:w="108" w:type="dxa"/>
            <w:bottom w:w="0" w:type="dxa"/>
            <w:right w:w="108" w:type="dxa"/>
          </w:tblCellMar>
        </w:tblPrEx>
        <w:trPr>
          <w:gridAfter w:val="1"/>
          <w:wAfter w:w="799" w:type="dxa"/>
          <w:trHeight w:val="343" w:hRule="atLeast"/>
        </w:trPr>
        <w:tc>
          <w:tcPr>
            <w:tcW w:w="705" w:type="dxa"/>
            <w:tcBorders>
              <w:top w:val="nil"/>
              <w:left w:val="single" w:color="auto" w:sz="4" w:space="0"/>
              <w:bottom w:val="single" w:color="auto" w:sz="4" w:space="0"/>
              <w:right w:val="single" w:color="auto" w:sz="4" w:space="0"/>
            </w:tcBorders>
            <w:noWrap w:val="0"/>
            <w:vAlign w:val="center"/>
          </w:tcPr>
          <w:p w14:paraId="71FE3934">
            <w:pPr>
              <w:widowControl/>
              <w:jc w:val="center"/>
              <w:rPr>
                <w:rFonts w:ascii="Arial" w:hAnsi="Arial" w:cs="Arial"/>
                <w:sz w:val="24"/>
              </w:rPr>
            </w:pPr>
          </w:p>
        </w:tc>
        <w:tc>
          <w:tcPr>
            <w:tcW w:w="1685" w:type="dxa"/>
            <w:tcBorders>
              <w:top w:val="nil"/>
              <w:left w:val="nil"/>
              <w:bottom w:val="single" w:color="auto" w:sz="4" w:space="0"/>
              <w:right w:val="single" w:color="auto" w:sz="4" w:space="0"/>
            </w:tcBorders>
            <w:noWrap w:val="0"/>
            <w:vAlign w:val="center"/>
          </w:tcPr>
          <w:p w14:paraId="2D81F626">
            <w:pPr>
              <w:widowControl/>
              <w:jc w:val="center"/>
              <w:rPr>
                <w:rFonts w:ascii="Arial" w:hAnsi="Arial" w:cs="Arial"/>
                <w:sz w:val="24"/>
              </w:rPr>
            </w:pPr>
          </w:p>
        </w:tc>
        <w:tc>
          <w:tcPr>
            <w:tcW w:w="1328" w:type="dxa"/>
            <w:tcBorders>
              <w:top w:val="nil"/>
              <w:left w:val="nil"/>
              <w:bottom w:val="single" w:color="auto" w:sz="4" w:space="0"/>
              <w:right w:val="single" w:color="auto" w:sz="4" w:space="0"/>
            </w:tcBorders>
            <w:noWrap w:val="0"/>
            <w:vAlign w:val="center"/>
          </w:tcPr>
          <w:p w14:paraId="6DE30B29">
            <w:pPr>
              <w:widowControl/>
              <w:jc w:val="center"/>
              <w:rPr>
                <w:rFonts w:ascii="Calibri" w:hAnsi="Calibri" w:cs="宋体"/>
                <w:sz w:val="24"/>
              </w:rPr>
            </w:pPr>
          </w:p>
        </w:tc>
        <w:tc>
          <w:tcPr>
            <w:tcW w:w="908" w:type="dxa"/>
            <w:tcBorders>
              <w:top w:val="nil"/>
              <w:left w:val="nil"/>
              <w:bottom w:val="single" w:color="auto" w:sz="4" w:space="0"/>
              <w:right w:val="single" w:color="auto" w:sz="4" w:space="0"/>
            </w:tcBorders>
            <w:noWrap w:val="0"/>
            <w:vAlign w:val="center"/>
          </w:tcPr>
          <w:p w14:paraId="314FCCE8">
            <w:pPr>
              <w:widowControl/>
              <w:jc w:val="center"/>
              <w:rPr>
                <w:rFonts w:ascii="Calibri" w:hAnsi="Calibri" w:cs="宋体"/>
                <w:sz w:val="24"/>
              </w:rPr>
            </w:pPr>
          </w:p>
        </w:tc>
        <w:tc>
          <w:tcPr>
            <w:tcW w:w="788" w:type="dxa"/>
            <w:tcBorders>
              <w:top w:val="nil"/>
              <w:left w:val="nil"/>
              <w:bottom w:val="single" w:color="auto" w:sz="4" w:space="0"/>
              <w:right w:val="single" w:color="auto" w:sz="4" w:space="0"/>
            </w:tcBorders>
            <w:noWrap w:val="0"/>
            <w:vAlign w:val="center"/>
          </w:tcPr>
          <w:p w14:paraId="051686D0">
            <w:pPr>
              <w:widowControl/>
              <w:jc w:val="center"/>
              <w:rPr>
                <w:rFonts w:ascii="Calibri" w:hAnsi="Calibri" w:cs="宋体"/>
                <w:sz w:val="24"/>
              </w:rPr>
            </w:pPr>
          </w:p>
        </w:tc>
        <w:tc>
          <w:tcPr>
            <w:tcW w:w="824" w:type="dxa"/>
            <w:tcBorders>
              <w:top w:val="nil"/>
              <w:left w:val="nil"/>
              <w:bottom w:val="single" w:color="auto" w:sz="4" w:space="0"/>
              <w:right w:val="single" w:color="auto" w:sz="4" w:space="0"/>
            </w:tcBorders>
            <w:noWrap w:val="0"/>
            <w:vAlign w:val="center"/>
          </w:tcPr>
          <w:p w14:paraId="6DE53A9C">
            <w:pPr>
              <w:widowControl/>
              <w:jc w:val="center"/>
              <w:rPr>
                <w:rFonts w:ascii="Calibri" w:hAnsi="Calibri" w:cs="宋体"/>
                <w:sz w:val="24"/>
              </w:rPr>
            </w:pPr>
          </w:p>
        </w:tc>
        <w:tc>
          <w:tcPr>
            <w:tcW w:w="703" w:type="dxa"/>
            <w:tcBorders>
              <w:top w:val="nil"/>
              <w:left w:val="nil"/>
              <w:bottom w:val="single" w:color="auto" w:sz="4" w:space="0"/>
              <w:right w:val="single" w:color="auto" w:sz="4" w:space="0"/>
            </w:tcBorders>
            <w:noWrap w:val="0"/>
            <w:vAlign w:val="center"/>
          </w:tcPr>
          <w:p w14:paraId="0D505E16">
            <w:pPr>
              <w:widowControl/>
              <w:jc w:val="center"/>
              <w:rPr>
                <w:rFonts w:ascii="Calibri" w:hAnsi="Calibri" w:cs="宋体"/>
                <w:sz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14:paraId="6A35F45E">
            <w:pPr>
              <w:widowControl/>
              <w:jc w:val="center"/>
              <w:rPr>
                <w:rFonts w:ascii="Calibri" w:hAnsi="Calibri" w:cs="宋体"/>
                <w:sz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14:paraId="50AF0E4A">
            <w:pPr>
              <w:widowControl/>
              <w:jc w:val="center"/>
              <w:rPr>
                <w:rFonts w:ascii="Calibri" w:hAnsi="Calibri" w:cs="宋体"/>
                <w:sz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14:paraId="2B64EB13">
            <w:pPr>
              <w:widowControl/>
              <w:jc w:val="center"/>
              <w:rPr>
                <w:rFonts w:ascii="宋体" w:hAnsi="宋体" w:cs="宋体"/>
                <w:b/>
                <w:sz w:val="24"/>
              </w:rPr>
            </w:pPr>
          </w:p>
        </w:tc>
        <w:tc>
          <w:tcPr>
            <w:tcW w:w="871" w:type="dxa"/>
            <w:tcBorders>
              <w:top w:val="nil"/>
              <w:left w:val="nil"/>
              <w:bottom w:val="single" w:color="auto" w:sz="4" w:space="0"/>
              <w:right w:val="single" w:color="auto" w:sz="4" w:space="0"/>
            </w:tcBorders>
            <w:noWrap w:val="0"/>
            <w:vAlign w:val="center"/>
          </w:tcPr>
          <w:p w14:paraId="148647BA">
            <w:pPr>
              <w:widowControl/>
              <w:jc w:val="center"/>
              <w:rPr>
                <w:rFonts w:ascii="Calibri" w:hAnsi="Calibri" w:cs="宋体"/>
                <w:sz w:val="24"/>
              </w:rPr>
            </w:pPr>
          </w:p>
        </w:tc>
        <w:tc>
          <w:tcPr>
            <w:tcW w:w="1157" w:type="dxa"/>
            <w:tcBorders>
              <w:top w:val="nil"/>
              <w:left w:val="nil"/>
              <w:bottom w:val="single" w:color="auto" w:sz="4" w:space="0"/>
              <w:right w:val="single" w:color="auto" w:sz="4" w:space="0"/>
            </w:tcBorders>
            <w:noWrap w:val="0"/>
            <w:vAlign w:val="center"/>
          </w:tcPr>
          <w:p w14:paraId="6144EF51">
            <w:pPr>
              <w:widowControl/>
              <w:jc w:val="center"/>
              <w:rPr>
                <w:rFonts w:ascii="Calibri" w:hAnsi="Calibri" w:cs="宋体"/>
                <w:sz w:val="24"/>
              </w:rPr>
            </w:pPr>
          </w:p>
        </w:tc>
        <w:tc>
          <w:tcPr>
            <w:tcW w:w="687" w:type="dxa"/>
            <w:gridSpan w:val="2"/>
            <w:tcBorders>
              <w:top w:val="nil"/>
              <w:left w:val="nil"/>
              <w:bottom w:val="single" w:color="auto" w:sz="4" w:space="0"/>
              <w:right w:val="single" w:color="auto" w:sz="4" w:space="0"/>
            </w:tcBorders>
            <w:noWrap w:val="0"/>
            <w:vAlign w:val="center"/>
          </w:tcPr>
          <w:p w14:paraId="760AF59D">
            <w:pPr>
              <w:widowControl/>
              <w:jc w:val="center"/>
              <w:rPr>
                <w:rFonts w:ascii="Calibri" w:hAnsi="Calibri" w:cs="宋体"/>
                <w:sz w:val="24"/>
              </w:rPr>
            </w:pPr>
          </w:p>
        </w:tc>
      </w:tr>
      <w:tr w14:paraId="27BA932D">
        <w:tblPrEx>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14:paraId="45B051D3">
            <w:pPr>
              <w:widowControl/>
              <w:jc w:val="center"/>
              <w:rPr>
                <w:rFonts w:ascii="Arial" w:hAnsi="Arial" w:cs="Arial"/>
                <w:sz w:val="24"/>
              </w:rPr>
            </w:pPr>
          </w:p>
        </w:tc>
        <w:tc>
          <w:tcPr>
            <w:tcW w:w="1685" w:type="dxa"/>
            <w:tcBorders>
              <w:top w:val="nil"/>
              <w:left w:val="nil"/>
              <w:bottom w:val="single" w:color="auto" w:sz="4" w:space="0"/>
              <w:right w:val="single" w:color="auto" w:sz="4" w:space="0"/>
            </w:tcBorders>
            <w:noWrap w:val="0"/>
            <w:vAlign w:val="center"/>
          </w:tcPr>
          <w:p w14:paraId="06E8E2FB">
            <w:pPr>
              <w:widowControl/>
              <w:jc w:val="center"/>
              <w:rPr>
                <w:rFonts w:ascii="Arial" w:hAnsi="Arial" w:cs="Arial"/>
                <w:sz w:val="24"/>
              </w:rPr>
            </w:pPr>
          </w:p>
        </w:tc>
        <w:tc>
          <w:tcPr>
            <w:tcW w:w="1328" w:type="dxa"/>
            <w:tcBorders>
              <w:top w:val="nil"/>
              <w:left w:val="nil"/>
              <w:bottom w:val="single" w:color="auto" w:sz="4" w:space="0"/>
              <w:right w:val="single" w:color="auto" w:sz="4" w:space="0"/>
            </w:tcBorders>
            <w:noWrap w:val="0"/>
            <w:vAlign w:val="center"/>
          </w:tcPr>
          <w:p w14:paraId="25EE82F6">
            <w:pPr>
              <w:widowControl/>
              <w:jc w:val="center"/>
              <w:rPr>
                <w:rFonts w:ascii="Calibri" w:hAnsi="Calibri" w:cs="宋体"/>
                <w:sz w:val="24"/>
              </w:rPr>
            </w:pPr>
          </w:p>
        </w:tc>
        <w:tc>
          <w:tcPr>
            <w:tcW w:w="908" w:type="dxa"/>
            <w:tcBorders>
              <w:top w:val="nil"/>
              <w:left w:val="nil"/>
              <w:bottom w:val="single" w:color="auto" w:sz="4" w:space="0"/>
              <w:right w:val="single" w:color="auto" w:sz="4" w:space="0"/>
            </w:tcBorders>
            <w:noWrap w:val="0"/>
            <w:vAlign w:val="center"/>
          </w:tcPr>
          <w:p w14:paraId="76D9A571">
            <w:pPr>
              <w:widowControl/>
              <w:jc w:val="center"/>
              <w:rPr>
                <w:rFonts w:ascii="Calibri" w:hAnsi="Calibri" w:cs="宋体"/>
                <w:sz w:val="24"/>
              </w:rPr>
            </w:pPr>
          </w:p>
        </w:tc>
        <w:tc>
          <w:tcPr>
            <w:tcW w:w="788" w:type="dxa"/>
            <w:tcBorders>
              <w:top w:val="nil"/>
              <w:left w:val="nil"/>
              <w:bottom w:val="single" w:color="auto" w:sz="4" w:space="0"/>
              <w:right w:val="single" w:color="auto" w:sz="4" w:space="0"/>
            </w:tcBorders>
            <w:noWrap w:val="0"/>
            <w:vAlign w:val="center"/>
          </w:tcPr>
          <w:p w14:paraId="363D0099">
            <w:pPr>
              <w:widowControl/>
              <w:jc w:val="center"/>
              <w:rPr>
                <w:rFonts w:ascii="Calibri" w:hAnsi="Calibri" w:cs="宋体"/>
                <w:sz w:val="24"/>
              </w:rPr>
            </w:pPr>
          </w:p>
        </w:tc>
        <w:tc>
          <w:tcPr>
            <w:tcW w:w="824" w:type="dxa"/>
            <w:tcBorders>
              <w:top w:val="nil"/>
              <w:left w:val="nil"/>
              <w:bottom w:val="single" w:color="auto" w:sz="4" w:space="0"/>
              <w:right w:val="single" w:color="auto" w:sz="4" w:space="0"/>
            </w:tcBorders>
            <w:noWrap w:val="0"/>
            <w:vAlign w:val="center"/>
          </w:tcPr>
          <w:p w14:paraId="1363FE20">
            <w:pPr>
              <w:widowControl/>
              <w:jc w:val="center"/>
              <w:rPr>
                <w:rFonts w:ascii="Calibri" w:hAnsi="Calibri" w:cs="宋体"/>
                <w:sz w:val="24"/>
              </w:rPr>
            </w:pPr>
          </w:p>
        </w:tc>
        <w:tc>
          <w:tcPr>
            <w:tcW w:w="703" w:type="dxa"/>
            <w:tcBorders>
              <w:top w:val="nil"/>
              <w:left w:val="nil"/>
              <w:bottom w:val="single" w:color="auto" w:sz="4" w:space="0"/>
              <w:right w:val="single" w:color="auto" w:sz="4" w:space="0"/>
            </w:tcBorders>
            <w:noWrap w:val="0"/>
            <w:vAlign w:val="center"/>
          </w:tcPr>
          <w:p w14:paraId="47CF7CC0">
            <w:pPr>
              <w:widowControl/>
              <w:jc w:val="center"/>
              <w:rPr>
                <w:rFonts w:ascii="Calibri" w:hAnsi="Calibri" w:cs="宋体"/>
                <w:sz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14:paraId="40DE5562">
            <w:pPr>
              <w:widowControl/>
              <w:jc w:val="center"/>
              <w:rPr>
                <w:rFonts w:ascii="Calibri" w:hAnsi="Calibri" w:cs="宋体"/>
                <w:sz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14:paraId="02D4F9E8">
            <w:pPr>
              <w:widowControl/>
              <w:jc w:val="center"/>
              <w:rPr>
                <w:rFonts w:ascii="Calibri" w:hAnsi="Calibri" w:cs="宋体"/>
                <w:sz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14:paraId="436797FC">
            <w:pPr>
              <w:widowControl/>
              <w:jc w:val="center"/>
              <w:rPr>
                <w:rFonts w:ascii="宋体" w:hAnsi="宋体" w:cs="宋体"/>
                <w:b/>
                <w:sz w:val="24"/>
              </w:rPr>
            </w:pPr>
          </w:p>
        </w:tc>
        <w:tc>
          <w:tcPr>
            <w:tcW w:w="871" w:type="dxa"/>
            <w:tcBorders>
              <w:top w:val="nil"/>
              <w:left w:val="nil"/>
              <w:bottom w:val="single" w:color="auto" w:sz="4" w:space="0"/>
              <w:right w:val="single" w:color="auto" w:sz="4" w:space="0"/>
            </w:tcBorders>
            <w:noWrap w:val="0"/>
            <w:vAlign w:val="center"/>
          </w:tcPr>
          <w:p w14:paraId="1B79DE3D">
            <w:pPr>
              <w:widowControl/>
              <w:jc w:val="center"/>
              <w:rPr>
                <w:rFonts w:ascii="Calibri" w:hAnsi="Calibri" w:cs="宋体"/>
                <w:sz w:val="24"/>
              </w:rPr>
            </w:pPr>
          </w:p>
        </w:tc>
        <w:tc>
          <w:tcPr>
            <w:tcW w:w="1157" w:type="dxa"/>
            <w:tcBorders>
              <w:top w:val="nil"/>
              <w:left w:val="nil"/>
              <w:bottom w:val="single" w:color="auto" w:sz="4" w:space="0"/>
              <w:right w:val="single" w:color="auto" w:sz="4" w:space="0"/>
            </w:tcBorders>
            <w:noWrap w:val="0"/>
            <w:vAlign w:val="center"/>
          </w:tcPr>
          <w:p w14:paraId="0256A012">
            <w:pPr>
              <w:widowControl/>
              <w:jc w:val="center"/>
              <w:rPr>
                <w:rFonts w:ascii="Calibri" w:hAnsi="Calibri" w:cs="宋体"/>
                <w:sz w:val="24"/>
              </w:rPr>
            </w:pPr>
          </w:p>
        </w:tc>
        <w:tc>
          <w:tcPr>
            <w:tcW w:w="687" w:type="dxa"/>
            <w:gridSpan w:val="2"/>
            <w:tcBorders>
              <w:top w:val="nil"/>
              <w:left w:val="nil"/>
              <w:bottom w:val="single" w:color="auto" w:sz="4" w:space="0"/>
              <w:right w:val="single" w:color="auto" w:sz="4" w:space="0"/>
            </w:tcBorders>
            <w:noWrap w:val="0"/>
            <w:vAlign w:val="center"/>
          </w:tcPr>
          <w:p w14:paraId="3AD88847">
            <w:pPr>
              <w:widowControl/>
              <w:jc w:val="center"/>
              <w:rPr>
                <w:rFonts w:ascii="Calibri" w:hAnsi="Calibri" w:cs="宋体"/>
                <w:sz w:val="24"/>
              </w:rPr>
            </w:pPr>
          </w:p>
        </w:tc>
      </w:tr>
      <w:tr w14:paraId="05CECDBC">
        <w:tblPrEx>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14:paraId="1607D6E9">
            <w:pPr>
              <w:widowControl/>
              <w:jc w:val="center"/>
              <w:rPr>
                <w:rFonts w:ascii="Arial" w:hAnsi="Arial" w:cs="Arial"/>
                <w:sz w:val="24"/>
              </w:rPr>
            </w:pPr>
          </w:p>
        </w:tc>
        <w:tc>
          <w:tcPr>
            <w:tcW w:w="1685" w:type="dxa"/>
            <w:tcBorders>
              <w:top w:val="nil"/>
              <w:left w:val="nil"/>
              <w:bottom w:val="single" w:color="auto" w:sz="4" w:space="0"/>
              <w:right w:val="single" w:color="auto" w:sz="4" w:space="0"/>
            </w:tcBorders>
            <w:noWrap w:val="0"/>
            <w:vAlign w:val="center"/>
          </w:tcPr>
          <w:p w14:paraId="6B5FEABC">
            <w:pPr>
              <w:widowControl/>
              <w:jc w:val="center"/>
              <w:rPr>
                <w:rFonts w:ascii="Arial" w:hAnsi="Arial" w:cs="Arial"/>
                <w:sz w:val="24"/>
              </w:rPr>
            </w:pPr>
          </w:p>
        </w:tc>
        <w:tc>
          <w:tcPr>
            <w:tcW w:w="1328" w:type="dxa"/>
            <w:tcBorders>
              <w:top w:val="nil"/>
              <w:left w:val="nil"/>
              <w:bottom w:val="single" w:color="auto" w:sz="4" w:space="0"/>
              <w:right w:val="single" w:color="auto" w:sz="4" w:space="0"/>
            </w:tcBorders>
            <w:noWrap w:val="0"/>
            <w:vAlign w:val="center"/>
          </w:tcPr>
          <w:p w14:paraId="51B65EBE">
            <w:pPr>
              <w:widowControl/>
              <w:jc w:val="center"/>
              <w:rPr>
                <w:rFonts w:ascii="Calibri" w:hAnsi="Calibri" w:cs="宋体"/>
                <w:sz w:val="24"/>
              </w:rPr>
            </w:pPr>
          </w:p>
        </w:tc>
        <w:tc>
          <w:tcPr>
            <w:tcW w:w="908" w:type="dxa"/>
            <w:tcBorders>
              <w:top w:val="nil"/>
              <w:left w:val="nil"/>
              <w:bottom w:val="single" w:color="auto" w:sz="4" w:space="0"/>
              <w:right w:val="single" w:color="auto" w:sz="4" w:space="0"/>
            </w:tcBorders>
            <w:noWrap w:val="0"/>
            <w:vAlign w:val="center"/>
          </w:tcPr>
          <w:p w14:paraId="75A277E0">
            <w:pPr>
              <w:widowControl/>
              <w:jc w:val="center"/>
              <w:rPr>
                <w:rFonts w:ascii="Calibri" w:hAnsi="Calibri" w:cs="宋体"/>
                <w:sz w:val="24"/>
              </w:rPr>
            </w:pPr>
          </w:p>
        </w:tc>
        <w:tc>
          <w:tcPr>
            <w:tcW w:w="788" w:type="dxa"/>
            <w:tcBorders>
              <w:top w:val="nil"/>
              <w:left w:val="nil"/>
              <w:bottom w:val="single" w:color="auto" w:sz="4" w:space="0"/>
              <w:right w:val="single" w:color="auto" w:sz="4" w:space="0"/>
            </w:tcBorders>
            <w:noWrap w:val="0"/>
            <w:vAlign w:val="center"/>
          </w:tcPr>
          <w:p w14:paraId="1F173A01">
            <w:pPr>
              <w:widowControl/>
              <w:jc w:val="center"/>
              <w:rPr>
                <w:rFonts w:ascii="Calibri" w:hAnsi="Calibri" w:cs="宋体"/>
                <w:sz w:val="24"/>
              </w:rPr>
            </w:pPr>
          </w:p>
        </w:tc>
        <w:tc>
          <w:tcPr>
            <w:tcW w:w="824" w:type="dxa"/>
            <w:tcBorders>
              <w:top w:val="nil"/>
              <w:left w:val="nil"/>
              <w:bottom w:val="single" w:color="auto" w:sz="4" w:space="0"/>
              <w:right w:val="single" w:color="auto" w:sz="4" w:space="0"/>
            </w:tcBorders>
            <w:noWrap w:val="0"/>
            <w:vAlign w:val="center"/>
          </w:tcPr>
          <w:p w14:paraId="3566840D">
            <w:pPr>
              <w:widowControl/>
              <w:jc w:val="center"/>
              <w:rPr>
                <w:rFonts w:ascii="Calibri" w:hAnsi="Calibri" w:cs="宋体"/>
                <w:sz w:val="24"/>
              </w:rPr>
            </w:pPr>
          </w:p>
        </w:tc>
        <w:tc>
          <w:tcPr>
            <w:tcW w:w="703" w:type="dxa"/>
            <w:tcBorders>
              <w:top w:val="nil"/>
              <w:left w:val="nil"/>
              <w:bottom w:val="single" w:color="auto" w:sz="4" w:space="0"/>
              <w:right w:val="single" w:color="auto" w:sz="4" w:space="0"/>
            </w:tcBorders>
            <w:noWrap w:val="0"/>
            <w:vAlign w:val="center"/>
          </w:tcPr>
          <w:p w14:paraId="1BEE1364">
            <w:pPr>
              <w:widowControl/>
              <w:jc w:val="center"/>
              <w:rPr>
                <w:rFonts w:ascii="Calibri" w:hAnsi="Calibri" w:cs="宋体"/>
                <w:sz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14:paraId="54335682">
            <w:pPr>
              <w:widowControl/>
              <w:jc w:val="center"/>
              <w:rPr>
                <w:rFonts w:ascii="Calibri" w:hAnsi="Calibri" w:cs="宋体"/>
                <w:sz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14:paraId="291FC8F3">
            <w:pPr>
              <w:widowControl/>
              <w:jc w:val="center"/>
              <w:rPr>
                <w:rFonts w:ascii="Calibri" w:hAnsi="Calibri" w:cs="宋体"/>
                <w:sz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14:paraId="2109AF95">
            <w:pPr>
              <w:widowControl/>
              <w:jc w:val="center"/>
              <w:rPr>
                <w:rFonts w:ascii="宋体" w:hAnsi="宋体" w:cs="宋体"/>
                <w:b/>
                <w:sz w:val="24"/>
              </w:rPr>
            </w:pPr>
          </w:p>
        </w:tc>
        <w:tc>
          <w:tcPr>
            <w:tcW w:w="871" w:type="dxa"/>
            <w:tcBorders>
              <w:top w:val="nil"/>
              <w:left w:val="nil"/>
              <w:bottom w:val="single" w:color="auto" w:sz="4" w:space="0"/>
              <w:right w:val="single" w:color="auto" w:sz="4" w:space="0"/>
            </w:tcBorders>
            <w:noWrap w:val="0"/>
            <w:vAlign w:val="center"/>
          </w:tcPr>
          <w:p w14:paraId="4364F5AA">
            <w:pPr>
              <w:widowControl/>
              <w:jc w:val="center"/>
              <w:rPr>
                <w:rFonts w:ascii="Calibri" w:hAnsi="Calibri" w:cs="宋体"/>
                <w:sz w:val="24"/>
              </w:rPr>
            </w:pPr>
          </w:p>
        </w:tc>
        <w:tc>
          <w:tcPr>
            <w:tcW w:w="1157" w:type="dxa"/>
            <w:tcBorders>
              <w:top w:val="nil"/>
              <w:left w:val="nil"/>
              <w:bottom w:val="single" w:color="auto" w:sz="4" w:space="0"/>
              <w:right w:val="single" w:color="auto" w:sz="4" w:space="0"/>
            </w:tcBorders>
            <w:noWrap w:val="0"/>
            <w:vAlign w:val="center"/>
          </w:tcPr>
          <w:p w14:paraId="5BDAB22D">
            <w:pPr>
              <w:widowControl/>
              <w:jc w:val="center"/>
              <w:rPr>
                <w:rFonts w:ascii="Calibri" w:hAnsi="Calibri" w:cs="宋体"/>
                <w:sz w:val="24"/>
              </w:rPr>
            </w:pPr>
          </w:p>
        </w:tc>
        <w:tc>
          <w:tcPr>
            <w:tcW w:w="687" w:type="dxa"/>
            <w:gridSpan w:val="2"/>
            <w:tcBorders>
              <w:top w:val="nil"/>
              <w:left w:val="nil"/>
              <w:bottom w:val="single" w:color="auto" w:sz="4" w:space="0"/>
              <w:right w:val="single" w:color="auto" w:sz="4" w:space="0"/>
            </w:tcBorders>
            <w:noWrap w:val="0"/>
            <w:vAlign w:val="center"/>
          </w:tcPr>
          <w:p w14:paraId="0E213512">
            <w:pPr>
              <w:widowControl/>
              <w:jc w:val="center"/>
              <w:rPr>
                <w:rFonts w:ascii="Calibri" w:hAnsi="Calibri" w:cs="宋体"/>
                <w:sz w:val="24"/>
              </w:rPr>
            </w:pPr>
          </w:p>
        </w:tc>
      </w:tr>
      <w:tr w14:paraId="46DDE5AD">
        <w:tblPrEx>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14:paraId="5B1F98A8">
            <w:pPr>
              <w:widowControl/>
              <w:jc w:val="center"/>
              <w:rPr>
                <w:rFonts w:ascii="Arial" w:hAnsi="Arial" w:cs="Arial"/>
                <w:sz w:val="24"/>
              </w:rPr>
            </w:pPr>
          </w:p>
        </w:tc>
        <w:tc>
          <w:tcPr>
            <w:tcW w:w="1685" w:type="dxa"/>
            <w:tcBorders>
              <w:top w:val="nil"/>
              <w:left w:val="nil"/>
              <w:bottom w:val="single" w:color="auto" w:sz="4" w:space="0"/>
              <w:right w:val="single" w:color="auto" w:sz="4" w:space="0"/>
            </w:tcBorders>
            <w:noWrap w:val="0"/>
            <w:vAlign w:val="center"/>
          </w:tcPr>
          <w:p w14:paraId="7B198753">
            <w:pPr>
              <w:widowControl/>
              <w:jc w:val="center"/>
              <w:rPr>
                <w:rFonts w:ascii="Arial" w:hAnsi="Arial" w:cs="Arial"/>
                <w:sz w:val="24"/>
              </w:rPr>
            </w:pPr>
          </w:p>
        </w:tc>
        <w:tc>
          <w:tcPr>
            <w:tcW w:w="1328" w:type="dxa"/>
            <w:tcBorders>
              <w:top w:val="nil"/>
              <w:left w:val="nil"/>
              <w:bottom w:val="single" w:color="auto" w:sz="4" w:space="0"/>
              <w:right w:val="single" w:color="auto" w:sz="4" w:space="0"/>
            </w:tcBorders>
            <w:noWrap w:val="0"/>
            <w:vAlign w:val="center"/>
          </w:tcPr>
          <w:p w14:paraId="059483CB">
            <w:pPr>
              <w:widowControl/>
              <w:jc w:val="center"/>
              <w:rPr>
                <w:rFonts w:ascii="Calibri" w:hAnsi="Calibri" w:cs="宋体"/>
                <w:sz w:val="24"/>
              </w:rPr>
            </w:pPr>
          </w:p>
        </w:tc>
        <w:tc>
          <w:tcPr>
            <w:tcW w:w="908" w:type="dxa"/>
            <w:tcBorders>
              <w:top w:val="nil"/>
              <w:left w:val="nil"/>
              <w:bottom w:val="single" w:color="auto" w:sz="4" w:space="0"/>
              <w:right w:val="single" w:color="auto" w:sz="4" w:space="0"/>
            </w:tcBorders>
            <w:noWrap w:val="0"/>
            <w:vAlign w:val="center"/>
          </w:tcPr>
          <w:p w14:paraId="2970F1B0">
            <w:pPr>
              <w:widowControl/>
              <w:jc w:val="center"/>
              <w:rPr>
                <w:rFonts w:ascii="Calibri" w:hAnsi="Calibri" w:cs="宋体"/>
                <w:sz w:val="24"/>
              </w:rPr>
            </w:pPr>
          </w:p>
        </w:tc>
        <w:tc>
          <w:tcPr>
            <w:tcW w:w="788" w:type="dxa"/>
            <w:tcBorders>
              <w:top w:val="nil"/>
              <w:left w:val="nil"/>
              <w:bottom w:val="single" w:color="auto" w:sz="4" w:space="0"/>
              <w:right w:val="single" w:color="auto" w:sz="4" w:space="0"/>
            </w:tcBorders>
            <w:noWrap w:val="0"/>
            <w:vAlign w:val="center"/>
          </w:tcPr>
          <w:p w14:paraId="1DF8FCEE">
            <w:pPr>
              <w:widowControl/>
              <w:jc w:val="center"/>
              <w:rPr>
                <w:rFonts w:ascii="Calibri" w:hAnsi="Calibri" w:cs="宋体"/>
                <w:sz w:val="24"/>
              </w:rPr>
            </w:pPr>
          </w:p>
        </w:tc>
        <w:tc>
          <w:tcPr>
            <w:tcW w:w="824" w:type="dxa"/>
            <w:tcBorders>
              <w:top w:val="nil"/>
              <w:left w:val="nil"/>
              <w:bottom w:val="single" w:color="auto" w:sz="4" w:space="0"/>
              <w:right w:val="single" w:color="auto" w:sz="4" w:space="0"/>
            </w:tcBorders>
            <w:noWrap w:val="0"/>
            <w:vAlign w:val="center"/>
          </w:tcPr>
          <w:p w14:paraId="686FCFE9">
            <w:pPr>
              <w:widowControl/>
              <w:jc w:val="center"/>
              <w:rPr>
                <w:rFonts w:ascii="Calibri" w:hAnsi="Calibri" w:cs="宋体"/>
                <w:sz w:val="24"/>
              </w:rPr>
            </w:pPr>
          </w:p>
        </w:tc>
        <w:tc>
          <w:tcPr>
            <w:tcW w:w="703" w:type="dxa"/>
            <w:tcBorders>
              <w:top w:val="nil"/>
              <w:left w:val="nil"/>
              <w:bottom w:val="single" w:color="auto" w:sz="4" w:space="0"/>
              <w:right w:val="single" w:color="auto" w:sz="4" w:space="0"/>
            </w:tcBorders>
            <w:noWrap w:val="0"/>
            <w:vAlign w:val="center"/>
          </w:tcPr>
          <w:p w14:paraId="6C8FAAB8">
            <w:pPr>
              <w:widowControl/>
              <w:jc w:val="center"/>
              <w:rPr>
                <w:rFonts w:ascii="Calibri" w:hAnsi="Calibri" w:cs="宋体"/>
                <w:sz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14:paraId="14B6A61A">
            <w:pPr>
              <w:widowControl/>
              <w:jc w:val="center"/>
              <w:rPr>
                <w:rFonts w:ascii="Calibri" w:hAnsi="Calibri" w:cs="宋体"/>
                <w:sz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14:paraId="63FC5646">
            <w:pPr>
              <w:widowControl/>
              <w:jc w:val="center"/>
              <w:rPr>
                <w:rFonts w:ascii="Calibri" w:hAnsi="Calibri" w:cs="宋体"/>
                <w:sz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14:paraId="093FDAF9">
            <w:pPr>
              <w:widowControl/>
              <w:jc w:val="center"/>
              <w:rPr>
                <w:rFonts w:ascii="宋体" w:hAnsi="宋体" w:cs="宋体"/>
                <w:b/>
                <w:sz w:val="24"/>
              </w:rPr>
            </w:pPr>
          </w:p>
        </w:tc>
        <w:tc>
          <w:tcPr>
            <w:tcW w:w="871" w:type="dxa"/>
            <w:tcBorders>
              <w:top w:val="nil"/>
              <w:left w:val="nil"/>
              <w:bottom w:val="single" w:color="auto" w:sz="4" w:space="0"/>
              <w:right w:val="single" w:color="auto" w:sz="4" w:space="0"/>
            </w:tcBorders>
            <w:noWrap w:val="0"/>
            <w:vAlign w:val="center"/>
          </w:tcPr>
          <w:p w14:paraId="2BA20D59">
            <w:pPr>
              <w:widowControl/>
              <w:jc w:val="center"/>
              <w:rPr>
                <w:rFonts w:ascii="Calibri" w:hAnsi="Calibri" w:cs="宋体"/>
                <w:sz w:val="24"/>
              </w:rPr>
            </w:pPr>
          </w:p>
        </w:tc>
        <w:tc>
          <w:tcPr>
            <w:tcW w:w="1157" w:type="dxa"/>
            <w:tcBorders>
              <w:top w:val="nil"/>
              <w:left w:val="nil"/>
              <w:bottom w:val="single" w:color="auto" w:sz="4" w:space="0"/>
              <w:right w:val="single" w:color="auto" w:sz="4" w:space="0"/>
            </w:tcBorders>
            <w:noWrap w:val="0"/>
            <w:vAlign w:val="center"/>
          </w:tcPr>
          <w:p w14:paraId="1C00DA33">
            <w:pPr>
              <w:widowControl/>
              <w:jc w:val="center"/>
              <w:rPr>
                <w:rFonts w:ascii="Calibri" w:hAnsi="Calibri" w:cs="宋体"/>
                <w:sz w:val="24"/>
              </w:rPr>
            </w:pPr>
          </w:p>
        </w:tc>
        <w:tc>
          <w:tcPr>
            <w:tcW w:w="687" w:type="dxa"/>
            <w:gridSpan w:val="2"/>
            <w:tcBorders>
              <w:top w:val="nil"/>
              <w:left w:val="nil"/>
              <w:bottom w:val="single" w:color="auto" w:sz="4" w:space="0"/>
              <w:right w:val="single" w:color="auto" w:sz="4" w:space="0"/>
            </w:tcBorders>
            <w:noWrap w:val="0"/>
            <w:vAlign w:val="center"/>
          </w:tcPr>
          <w:p w14:paraId="31D32922">
            <w:pPr>
              <w:widowControl/>
              <w:jc w:val="center"/>
              <w:rPr>
                <w:rFonts w:ascii="Calibri" w:hAnsi="Calibri" w:cs="宋体"/>
                <w:sz w:val="24"/>
              </w:rPr>
            </w:pPr>
          </w:p>
        </w:tc>
      </w:tr>
      <w:tr w14:paraId="01D4BB6C">
        <w:tblPrEx>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14:paraId="43D5E9B4">
            <w:pPr>
              <w:widowControl/>
              <w:jc w:val="center"/>
              <w:rPr>
                <w:rFonts w:ascii="Arial" w:hAnsi="Arial" w:cs="Arial"/>
                <w:sz w:val="24"/>
              </w:rPr>
            </w:pPr>
          </w:p>
        </w:tc>
        <w:tc>
          <w:tcPr>
            <w:tcW w:w="1685" w:type="dxa"/>
            <w:tcBorders>
              <w:top w:val="nil"/>
              <w:left w:val="nil"/>
              <w:bottom w:val="single" w:color="auto" w:sz="4" w:space="0"/>
              <w:right w:val="single" w:color="auto" w:sz="4" w:space="0"/>
            </w:tcBorders>
            <w:noWrap w:val="0"/>
            <w:vAlign w:val="center"/>
          </w:tcPr>
          <w:p w14:paraId="47764AC2">
            <w:pPr>
              <w:widowControl/>
              <w:jc w:val="center"/>
              <w:rPr>
                <w:rFonts w:ascii="Arial" w:hAnsi="Arial" w:cs="Arial"/>
                <w:sz w:val="24"/>
              </w:rPr>
            </w:pPr>
          </w:p>
        </w:tc>
        <w:tc>
          <w:tcPr>
            <w:tcW w:w="1328" w:type="dxa"/>
            <w:tcBorders>
              <w:top w:val="nil"/>
              <w:left w:val="nil"/>
              <w:bottom w:val="single" w:color="auto" w:sz="4" w:space="0"/>
              <w:right w:val="single" w:color="auto" w:sz="4" w:space="0"/>
            </w:tcBorders>
            <w:noWrap w:val="0"/>
            <w:vAlign w:val="center"/>
          </w:tcPr>
          <w:p w14:paraId="27FFA225">
            <w:pPr>
              <w:widowControl/>
              <w:jc w:val="center"/>
              <w:rPr>
                <w:rFonts w:ascii="Calibri" w:hAnsi="Calibri" w:cs="宋体"/>
                <w:sz w:val="24"/>
              </w:rPr>
            </w:pPr>
          </w:p>
        </w:tc>
        <w:tc>
          <w:tcPr>
            <w:tcW w:w="908" w:type="dxa"/>
            <w:tcBorders>
              <w:top w:val="nil"/>
              <w:left w:val="nil"/>
              <w:bottom w:val="single" w:color="auto" w:sz="4" w:space="0"/>
              <w:right w:val="single" w:color="auto" w:sz="4" w:space="0"/>
            </w:tcBorders>
            <w:noWrap w:val="0"/>
            <w:vAlign w:val="center"/>
          </w:tcPr>
          <w:p w14:paraId="27E4EE9F">
            <w:pPr>
              <w:widowControl/>
              <w:jc w:val="center"/>
              <w:rPr>
                <w:rFonts w:ascii="Calibri" w:hAnsi="Calibri" w:cs="宋体"/>
                <w:sz w:val="24"/>
              </w:rPr>
            </w:pPr>
          </w:p>
        </w:tc>
        <w:tc>
          <w:tcPr>
            <w:tcW w:w="788" w:type="dxa"/>
            <w:tcBorders>
              <w:top w:val="nil"/>
              <w:left w:val="nil"/>
              <w:bottom w:val="single" w:color="auto" w:sz="4" w:space="0"/>
              <w:right w:val="single" w:color="auto" w:sz="4" w:space="0"/>
            </w:tcBorders>
            <w:noWrap w:val="0"/>
            <w:vAlign w:val="center"/>
          </w:tcPr>
          <w:p w14:paraId="05B07012">
            <w:pPr>
              <w:widowControl/>
              <w:jc w:val="center"/>
              <w:rPr>
                <w:rFonts w:ascii="Calibri" w:hAnsi="Calibri" w:cs="宋体"/>
                <w:sz w:val="24"/>
              </w:rPr>
            </w:pPr>
          </w:p>
        </w:tc>
        <w:tc>
          <w:tcPr>
            <w:tcW w:w="824" w:type="dxa"/>
            <w:tcBorders>
              <w:top w:val="nil"/>
              <w:left w:val="nil"/>
              <w:bottom w:val="single" w:color="auto" w:sz="4" w:space="0"/>
              <w:right w:val="single" w:color="auto" w:sz="4" w:space="0"/>
            </w:tcBorders>
            <w:noWrap w:val="0"/>
            <w:vAlign w:val="center"/>
          </w:tcPr>
          <w:p w14:paraId="3346B55C">
            <w:pPr>
              <w:widowControl/>
              <w:jc w:val="center"/>
              <w:rPr>
                <w:rFonts w:ascii="Calibri" w:hAnsi="Calibri" w:cs="宋体"/>
                <w:sz w:val="24"/>
              </w:rPr>
            </w:pPr>
          </w:p>
        </w:tc>
        <w:tc>
          <w:tcPr>
            <w:tcW w:w="703" w:type="dxa"/>
            <w:tcBorders>
              <w:top w:val="nil"/>
              <w:left w:val="nil"/>
              <w:bottom w:val="single" w:color="auto" w:sz="4" w:space="0"/>
              <w:right w:val="single" w:color="auto" w:sz="4" w:space="0"/>
            </w:tcBorders>
            <w:noWrap w:val="0"/>
            <w:vAlign w:val="center"/>
          </w:tcPr>
          <w:p w14:paraId="665A9CC8">
            <w:pPr>
              <w:widowControl/>
              <w:jc w:val="center"/>
              <w:rPr>
                <w:rFonts w:ascii="Calibri" w:hAnsi="Calibri" w:cs="宋体"/>
                <w:sz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14:paraId="6F392343">
            <w:pPr>
              <w:widowControl/>
              <w:jc w:val="center"/>
              <w:rPr>
                <w:rFonts w:ascii="Calibri" w:hAnsi="Calibri" w:cs="宋体"/>
                <w:sz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14:paraId="0957B8FB">
            <w:pPr>
              <w:widowControl/>
              <w:jc w:val="center"/>
              <w:rPr>
                <w:rFonts w:ascii="Calibri" w:hAnsi="Calibri" w:cs="宋体"/>
                <w:sz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14:paraId="3F113A2F">
            <w:pPr>
              <w:widowControl/>
              <w:jc w:val="center"/>
              <w:rPr>
                <w:rFonts w:ascii="宋体" w:hAnsi="宋体" w:cs="宋体"/>
                <w:b/>
                <w:sz w:val="24"/>
              </w:rPr>
            </w:pPr>
          </w:p>
        </w:tc>
        <w:tc>
          <w:tcPr>
            <w:tcW w:w="871" w:type="dxa"/>
            <w:tcBorders>
              <w:top w:val="nil"/>
              <w:left w:val="nil"/>
              <w:bottom w:val="single" w:color="auto" w:sz="4" w:space="0"/>
              <w:right w:val="single" w:color="auto" w:sz="4" w:space="0"/>
            </w:tcBorders>
            <w:noWrap w:val="0"/>
            <w:vAlign w:val="center"/>
          </w:tcPr>
          <w:p w14:paraId="3729F5B6">
            <w:pPr>
              <w:widowControl/>
              <w:jc w:val="center"/>
              <w:rPr>
                <w:rFonts w:ascii="Calibri" w:hAnsi="Calibri" w:cs="宋体"/>
                <w:sz w:val="24"/>
              </w:rPr>
            </w:pPr>
          </w:p>
        </w:tc>
        <w:tc>
          <w:tcPr>
            <w:tcW w:w="1157" w:type="dxa"/>
            <w:tcBorders>
              <w:top w:val="nil"/>
              <w:left w:val="nil"/>
              <w:bottom w:val="single" w:color="auto" w:sz="4" w:space="0"/>
              <w:right w:val="single" w:color="auto" w:sz="4" w:space="0"/>
            </w:tcBorders>
            <w:noWrap w:val="0"/>
            <w:vAlign w:val="center"/>
          </w:tcPr>
          <w:p w14:paraId="47BC0ECF">
            <w:pPr>
              <w:widowControl/>
              <w:jc w:val="center"/>
              <w:rPr>
                <w:rFonts w:ascii="Calibri" w:hAnsi="Calibri" w:cs="宋体"/>
                <w:sz w:val="24"/>
              </w:rPr>
            </w:pPr>
          </w:p>
        </w:tc>
        <w:tc>
          <w:tcPr>
            <w:tcW w:w="687" w:type="dxa"/>
            <w:gridSpan w:val="2"/>
            <w:tcBorders>
              <w:top w:val="nil"/>
              <w:left w:val="nil"/>
              <w:bottom w:val="single" w:color="auto" w:sz="4" w:space="0"/>
              <w:right w:val="single" w:color="auto" w:sz="4" w:space="0"/>
            </w:tcBorders>
            <w:noWrap w:val="0"/>
            <w:vAlign w:val="center"/>
          </w:tcPr>
          <w:p w14:paraId="23364011">
            <w:pPr>
              <w:widowControl/>
              <w:jc w:val="center"/>
              <w:rPr>
                <w:rFonts w:ascii="Calibri" w:hAnsi="Calibri" w:cs="宋体"/>
                <w:sz w:val="24"/>
              </w:rPr>
            </w:pPr>
          </w:p>
        </w:tc>
      </w:tr>
      <w:tr w14:paraId="358CDE8C">
        <w:tblPrEx>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14:paraId="3B4E9D02">
            <w:pPr>
              <w:widowControl/>
              <w:jc w:val="center"/>
              <w:rPr>
                <w:rFonts w:ascii="Arial" w:hAnsi="Arial" w:cs="Arial"/>
                <w:sz w:val="24"/>
              </w:rPr>
            </w:pPr>
          </w:p>
        </w:tc>
        <w:tc>
          <w:tcPr>
            <w:tcW w:w="1685" w:type="dxa"/>
            <w:tcBorders>
              <w:top w:val="nil"/>
              <w:left w:val="nil"/>
              <w:bottom w:val="single" w:color="auto" w:sz="4" w:space="0"/>
              <w:right w:val="single" w:color="auto" w:sz="4" w:space="0"/>
            </w:tcBorders>
            <w:noWrap w:val="0"/>
            <w:vAlign w:val="center"/>
          </w:tcPr>
          <w:p w14:paraId="0EA434AB">
            <w:pPr>
              <w:widowControl/>
              <w:jc w:val="center"/>
              <w:rPr>
                <w:rFonts w:ascii="Arial" w:hAnsi="Arial" w:cs="Arial"/>
                <w:sz w:val="24"/>
              </w:rPr>
            </w:pPr>
          </w:p>
        </w:tc>
        <w:tc>
          <w:tcPr>
            <w:tcW w:w="1328" w:type="dxa"/>
            <w:tcBorders>
              <w:top w:val="nil"/>
              <w:left w:val="nil"/>
              <w:bottom w:val="single" w:color="auto" w:sz="4" w:space="0"/>
              <w:right w:val="single" w:color="auto" w:sz="4" w:space="0"/>
            </w:tcBorders>
            <w:noWrap w:val="0"/>
            <w:vAlign w:val="center"/>
          </w:tcPr>
          <w:p w14:paraId="2C8A836A">
            <w:pPr>
              <w:widowControl/>
              <w:jc w:val="center"/>
              <w:rPr>
                <w:rFonts w:ascii="Calibri" w:hAnsi="Calibri" w:cs="宋体"/>
                <w:sz w:val="24"/>
              </w:rPr>
            </w:pPr>
          </w:p>
        </w:tc>
        <w:tc>
          <w:tcPr>
            <w:tcW w:w="908" w:type="dxa"/>
            <w:tcBorders>
              <w:top w:val="nil"/>
              <w:left w:val="nil"/>
              <w:bottom w:val="single" w:color="auto" w:sz="4" w:space="0"/>
              <w:right w:val="single" w:color="auto" w:sz="4" w:space="0"/>
            </w:tcBorders>
            <w:noWrap w:val="0"/>
            <w:vAlign w:val="center"/>
          </w:tcPr>
          <w:p w14:paraId="5937E302">
            <w:pPr>
              <w:widowControl/>
              <w:jc w:val="center"/>
              <w:rPr>
                <w:rFonts w:ascii="Calibri" w:hAnsi="Calibri" w:cs="宋体"/>
                <w:sz w:val="24"/>
              </w:rPr>
            </w:pPr>
          </w:p>
        </w:tc>
        <w:tc>
          <w:tcPr>
            <w:tcW w:w="788" w:type="dxa"/>
            <w:tcBorders>
              <w:top w:val="nil"/>
              <w:left w:val="nil"/>
              <w:bottom w:val="single" w:color="auto" w:sz="4" w:space="0"/>
              <w:right w:val="single" w:color="auto" w:sz="4" w:space="0"/>
            </w:tcBorders>
            <w:noWrap w:val="0"/>
            <w:vAlign w:val="center"/>
          </w:tcPr>
          <w:p w14:paraId="40B9A80E">
            <w:pPr>
              <w:widowControl/>
              <w:jc w:val="center"/>
              <w:rPr>
                <w:rFonts w:ascii="Calibri" w:hAnsi="Calibri" w:cs="宋体"/>
                <w:sz w:val="24"/>
              </w:rPr>
            </w:pPr>
          </w:p>
        </w:tc>
        <w:tc>
          <w:tcPr>
            <w:tcW w:w="824" w:type="dxa"/>
            <w:tcBorders>
              <w:top w:val="nil"/>
              <w:left w:val="nil"/>
              <w:bottom w:val="single" w:color="auto" w:sz="4" w:space="0"/>
              <w:right w:val="single" w:color="auto" w:sz="4" w:space="0"/>
            </w:tcBorders>
            <w:noWrap w:val="0"/>
            <w:vAlign w:val="center"/>
          </w:tcPr>
          <w:p w14:paraId="3F90716F">
            <w:pPr>
              <w:widowControl/>
              <w:jc w:val="center"/>
              <w:rPr>
                <w:rFonts w:ascii="Calibri" w:hAnsi="Calibri" w:cs="宋体"/>
                <w:sz w:val="24"/>
              </w:rPr>
            </w:pPr>
          </w:p>
        </w:tc>
        <w:tc>
          <w:tcPr>
            <w:tcW w:w="703" w:type="dxa"/>
            <w:tcBorders>
              <w:top w:val="nil"/>
              <w:left w:val="nil"/>
              <w:bottom w:val="single" w:color="auto" w:sz="4" w:space="0"/>
              <w:right w:val="single" w:color="auto" w:sz="4" w:space="0"/>
            </w:tcBorders>
            <w:noWrap w:val="0"/>
            <w:vAlign w:val="center"/>
          </w:tcPr>
          <w:p w14:paraId="5FD7E250">
            <w:pPr>
              <w:widowControl/>
              <w:jc w:val="center"/>
              <w:rPr>
                <w:rFonts w:ascii="Calibri" w:hAnsi="Calibri" w:cs="宋体"/>
                <w:sz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14:paraId="4D4FFC98">
            <w:pPr>
              <w:widowControl/>
              <w:jc w:val="center"/>
              <w:rPr>
                <w:rFonts w:ascii="Calibri" w:hAnsi="Calibri" w:cs="宋体"/>
                <w:sz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14:paraId="4DDAD2D1">
            <w:pPr>
              <w:widowControl/>
              <w:jc w:val="center"/>
              <w:rPr>
                <w:rFonts w:ascii="Calibri" w:hAnsi="Calibri" w:cs="宋体"/>
                <w:sz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14:paraId="1209F4AF">
            <w:pPr>
              <w:widowControl/>
              <w:jc w:val="center"/>
              <w:rPr>
                <w:rFonts w:ascii="宋体" w:hAnsi="宋体" w:cs="宋体"/>
                <w:b/>
                <w:sz w:val="24"/>
              </w:rPr>
            </w:pPr>
          </w:p>
        </w:tc>
        <w:tc>
          <w:tcPr>
            <w:tcW w:w="871" w:type="dxa"/>
            <w:tcBorders>
              <w:top w:val="nil"/>
              <w:left w:val="nil"/>
              <w:bottom w:val="single" w:color="auto" w:sz="4" w:space="0"/>
              <w:right w:val="single" w:color="auto" w:sz="4" w:space="0"/>
            </w:tcBorders>
            <w:noWrap w:val="0"/>
            <w:vAlign w:val="center"/>
          </w:tcPr>
          <w:p w14:paraId="68819C68">
            <w:pPr>
              <w:widowControl/>
              <w:jc w:val="center"/>
              <w:rPr>
                <w:rFonts w:ascii="Calibri" w:hAnsi="Calibri" w:cs="宋体"/>
                <w:sz w:val="24"/>
              </w:rPr>
            </w:pPr>
          </w:p>
        </w:tc>
        <w:tc>
          <w:tcPr>
            <w:tcW w:w="1157" w:type="dxa"/>
            <w:tcBorders>
              <w:top w:val="nil"/>
              <w:left w:val="nil"/>
              <w:bottom w:val="single" w:color="auto" w:sz="4" w:space="0"/>
              <w:right w:val="single" w:color="auto" w:sz="4" w:space="0"/>
            </w:tcBorders>
            <w:noWrap w:val="0"/>
            <w:vAlign w:val="center"/>
          </w:tcPr>
          <w:p w14:paraId="7EA596EB">
            <w:pPr>
              <w:widowControl/>
              <w:jc w:val="center"/>
              <w:rPr>
                <w:rFonts w:ascii="Calibri" w:hAnsi="Calibri" w:cs="宋体"/>
                <w:sz w:val="24"/>
              </w:rPr>
            </w:pPr>
          </w:p>
        </w:tc>
        <w:tc>
          <w:tcPr>
            <w:tcW w:w="687" w:type="dxa"/>
            <w:gridSpan w:val="2"/>
            <w:tcBorders>
              <w:top w:val="nil"/>
              <w:left w:val="nil"/>
              <w:bottom w:val="single" w:color="auto" w:sz="4" w:space="0"/>
              <w:right w:val="single" w:color="auto" w:sz="4" w:space="0"/>
            </w:tcBorders>
            <w:noWrap w:val="0"/>
            <w:vAlign w:val="center"/>
          </w:tcPr>
          <w:p w14:paraId="49F16859">
            <w:pPr>
              <w:widowControl/>
              <w:jc w:val="center"/>
              <w:rPr>
                <w:rFonts w:ascii="Calibri" w:hAnsi="Calibri" w:cs="宋体"/>
                <w:sz w:val="24"/>
              </w:rPr>
            </w:pPr>
          </w:p>
        </w:tc>
      </w:tr>
      <w:tr w14:paraId="55ECEA98">
        <w:tblPrEx>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14:paraId="23463A70">
            <w:pPr>
              <w:widowControl/>
              <w:jc w:val="center"/>
              <w:rPr>
                <w:rFonts w:ascii="Arial" w:hAnsi="Arial" w:cs="Arial"/>
                <w:sz w:val="24"/>
              </w:rPr>
            </w:pPr>
          </w:p>
        </w:tc>
        <w:tc>
          <w:tcPr>
            <w:tcW w:w="1685" w:type="dxa"/>
            <w:tcBorders>
              <w:top w:val="nil"/>
              <w:left w:val="nil"/>
              <w:bottom w:val="single" w:color="auto" w:sz="4" w:space="0"/>
              <w:right w:val="single" w:color="auto" w:sz="4" w:space="0"/>
            </w:tcBorders>
            <w:noWrap w:val="0"/>
            <w:vAlign w:val="center"/>
          </w:tcPr>
          <w:p w14:paraId="69800333">
            <w:pPr>
              <w:widowControl/>
              <w:jc w:val="center"/>
              <w:rPr>
                <w:rFonts w:ascii="Arial" w:hAnsi="Arial" w:cs="Arial"/>
                <w:sz w:val="24"/>
              </w:rPr>
            </w:pPr>
          </w:p>
        </w:tc>
        <w:tc>
          <w:tcPr>
            <w:tcW w:w="1328" w:type="dxa"/>
            <w:tcBorders>
              <w:top w:val="nil"/>
              <w:left w:val="nil"/>
              <w:bottom w:val="single" w:color="auto" w:sz="4" w:space="0"/>
              <w:right w:val="single" w:color="auto" w:sz="4" w:space="0"/>
            </w:tcBorders>
            <w:noWrap w:val="0"/>
            <w:vAlign w:val="center"/>
          </w:tcPr>
          <w:p w14:paraId="6EBCDD65">
            <w:pPr>
              <w:widowControl/>
              <w:jc w:val="center"/>
              <w:rPr>
                <w:rFonts w:ascii="Calibri" w:hAnsi="Calibri" w:cs="宋体"/>
                <w:sz w:val="24"/>
              </w:rPr>
            </w:pPr>
          </w:p>
        </w:tc>
        <w:tc>
          <w:tcPr>
            <w:tcW w:w="908" w:type="dxa"/>
            <w:tcBorders>
              <w:top w:val="nil"/>
              <w:left w:val="nil"/>
              <w:bottom w:val="single" w:color="auto" w:sz="4" w:space="0"/>
              <w:right w:val="single" w:color="auto" w:sz="4" w:space="0"/>
            </w:tcBorders>
            <w:noWrap w:val="0"/>
            <w:vAlign w:val="center"/>
          </w:tcPr>
          <w:p w14:paraId="062187BB">
            <w:pPr>
              <w:widowControl/>
              <w:jc w:val="center"/>
              <w:rPr>
                <w:rFonts w:ascii="Calibri" w:hAnsi="Calibri" w:cs="宋体"/>
                <w:sz w:val="24"/>
              </w:rPr>
            </w:pPr>
          </w:p>
        </w:tc>
        <w:tc>
          <w:tcPr>
            <w:tcW w:w="788" w:type="dxa"/>
            <w:tcBorders>
              <w:top w:val="nil"/>
              <w:left w:val="nil"/>
              <w:bottom w:val="single" w:color="auto" w:sz="4" w:space="0"/>
              <w:right w:val="single" w:color="auto" w:sz="4" w:space="0"/>
            </w:tcBorders>
            <w:noWrap w:val="0"/>
            <w:vAlign w:val="center"/>
          </w:tcPr>
          <w:p w14:paraId="22CDBADF">
            <w:pPr>
              <w:widowControl/>
              <w:jc w:val="center"/>
              <w:rPr>
                <w:rFonts w:ascii="Calibri" w:hAnsi="Calibri" w:cs="宋体"/>
                <w:sz w:val="24"/>
              </w:rPr>
            </w:pPr>
          </w:p>
        </w:tc>
        <w:tc>
          <w:tcPr>
            <w:tcW w:w="824" w:type="dxa"/>
            <w:tcBorders>
              <w:top w:val="nil"/>
              <w:left w:val="nil"/>
              <w:bottom w:val="single" w:color="auto" w:sz="4" w:space="0"/>
              <w:right w:val="single" w:color="auto" w:sz="4" w:space="0"/>
            </w:tcBorders>
            <w:noWrap w:val="0"/>
            <w:vAlign w:val="center"/>
          </w:tcPr>
          <w:p w14:paraId="40802D3B">
            <w:pPr>
              <w:widowControl/>
              <w:jc w:val="center"/>
              <w:rPr>
                <w:rFonts w:ascii="Calibri" w:hAnsi="Calibri" w:cs="宋体"/>
                <w:sz w:val="24"/>
              </w:rPr>
            </w:pPr>
          </w:p>
        </w:tc>
        <w:tc>
          <w:tcPr>
            <w:tcW w:w="703" w:type="dxa"/>
            <w:tcBorders>
              <w:top w:val="nil"/>
              <w:left w:val="nil"/>
              <w:bottom w:val="single" w:color="auto" w:sz="4" w:space="0"/>
              <w:right w:val="single" w:color="auto" w:sz="4" w:space="0"/>
            </w:tcBorders>
            <w:noWrap w:val="0"/>
            <w:vAlign w:val="center"/>
          </w:tcPr>
          <w:p w14:paraId="7BBB58F0">
            <w:pPr>
              <w:widowControl/>
              <w:jc w:val="center"/>
              <w:rPr>
                <w:rFonts w:ascii="Calibri" w:hAnsi="Calibri" w:cs="宋体"/>
                <w:sz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14:paraId="63037BE8">
            <w:pPr>
              <w:widowControl/>
              <w:jc w:val="center"/>
              <w:rPr>
                <w:rFonts w:ascii="Calibri" w:hAnsi="Calibri" w:cs="宋体"/>
                <w:sz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14:paraId="6CFF884F">
            <w:pPr>
              <w:widowControl/>
              <w:jc w:val="center"/>
              <w:rPr>
                <w:rFonts w:ascii="Calibri" w:hAnsi="Calibri" w:cs="宋体"/>
                <w:sz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14:paraId="45FB002D">
            <w:pPr>
              <w:widowControl/>
              <w:jc w:val="center"/>
              <w:rPr>
                <w:rFonts w:ascii="宋体" w:hAnsi="宋体" w:cs="宋体"/>
                <w:b/>
                <w:sz w:val="24"/>
              </w:rPr>
            </w:pPr>
          </w:p>
        </w:tc>
        <w:tc>
          <w:tcPr>
            <w:tcW w:w="871" w:type="dxa"/>
            <w:tcBorders>
              <w:top w:val="nil"/>
              <w:left w:val="nil"/>
              <w:bottom w:val="single" w:color="auto" w:sz="4" w:space="0"/>
              <w:right w:val="single" w:color="auto" w:sz="4" w:space="0"/>
            </w:tcBorders>
            <w:noWrap w:val="0"/>
            <w:vAlign w:val="center"/>
          </w:tcPr>
          <w:p w14:paraId="59D77394">
            <w:pPr>
              <w:widowControl/>
              <w:jc w:val="center"/>
              <w:rPr>
                <w:rFonts w:ascii="Calibri" w:hAnsi="Calibri" w:cs="宋体"/>
                <w:sz w:val="24"/>
              </w:rPr>
            </w:pPr>
          </w:p>
        </w:tc>
        <w:tc>
          <w:tcPr>
            <w:tcW w:w="1157" w:type="dxa"/>
            <w:tcBorders>
              <w:top w:val="nil"/>
              <w:left w:val="nil"/>
              <w:bottom w:val="single" w:color="auto" w:sz="4" w:space="0"/>
              <w:right w:val="single" w:color="auto" w:sz="4" w:space="0"/>
            </w:tcBorders>
            <w:noWrap w:val="0"/>
            <w:vAlign w:val="center"/>
          </w:tcPr>
          <w:p w14:paraId="45ECFF6F">
            <w:pPr>
              <w:widowControl/>
              <w:jc w:val="center"/>
              <w:rPr>
                <w:rFonts w:ascii="Calibri" w:hAnsi="Calibri" w:cs="宋体"/>
                <w:sz w:val="24"/>
              </w:rPr>
            </w:pPr>
          </w:p>
        </w:tc>
        <w:tc>
          <w:tcPr>
            <w:tcW w:w="687" w:type="dxa"/>
            <w:gridSpan w:val="2"/>
            <w:tcBorders>
              <w:top w:val="nil"/>
              <w:left w:val="nil"/>
              <w:bottom w:val="single" w:color="auto" w:sz="4" w:space="0"/>
              <w:right w:val="single" w:color="auto" w:sz="4" w:space="0"/>
            </w:tcBorders>
            <w:noWrap w:val="0"/>
            <w:vAlign w:val="center"/>
          </w:tcPr>
          <w:p w14:paraId="33C5B45E">
            <w:pPr>
              <w:widowControl/>
              <w:jc w:val="center"/>
              <w:rPr>
                <w:rFonts w:ascii="Calibri" w:hAnsi="Calibri" w:cs="宋体"/>
                <w:sz w:val="24"/>
              </w:rPr>
            </w:pPr>
          </w:p>
        </w:tc>
      </w:tr>
      <w:tr w14:paraId="7F8068DA">
        <w:tblPrEx>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14:paraId="5A2C1B60">
            <w:pPr>
              <w:widowControl/>
              <w:jc w:val="center"/>
              <w:rPr>
                <w:rFonts w:ascii="Arial" w:hAnsi="Arial" w:cs="Arial"/>
                <w:sz w:val="24"/>
              </w:rPr>
            </w:pPr>
          </w:p>
        </w:tc>
        <w:tc>
          <w:tcPr>
            <w:tcW w:w="1685" w:type="dxa"/>
            <w:tcBorders>
              <w:top w:val="nil"/>
              <w:left w:val="nil"/>
              <w:bottom w:val="single" w:color="auto" w:sz="4" w:space="0"/>
              <w:right w:val="single" w:color="auto" w:sz="4" w:space="0"/>
            </w:tcBorders>
            <w:noWrap w:val="0"/>
            <w:vAlign w:val="center"/>
          </w:tcPr>
          <w:p w14:paraId="452813B1">
            <w:pPr>
              <w:widowControl/>
              <w:jc w:val="center"/>
              <w:rPr>
                <w:rFonts w:ascii="Arial" w:hAnsi="Arial" w:cs="Arial"/>
                <w:sz w:val="24"/>
              </w:rPr>
            </w:pPr>
          </w:p>
        </w:tc>
        <w:tc>
          <w:tcPr>
            <w:tcW w:w="1328" w:type="dxa"/>
            <w:tcBorders>
              <w:top w:val="nil"/>
              <w:left w:val="nil"/>
              <w:bottom w:val="single" w:color="auto" w:sz="4" w:space="0"/>
              <w:right w:val="single" w:color="auto" w:sz="4" w:space="0"/>
            </w:tcBorders>
            <w:noWrap w:val="0"/>
            <w:vAlign w:val="center"/>
          </w:tcPr>
          <w:p w14:paraId="25FBDB4F">
            <w:pPr>
              <w:widowControl/>
              <w:jc w:val="center"/>
              <w:rPr>
                <w:rFonts w:ascii="Calibri" w:hAnsi="Calibri" w:cs="宋体"/>
                <w:sz w:val="24"/>
              </w:rPr>
            </w:pPr>
          </w:p>
        </w:tc>
        <w:tc>
          <w:tcPr>
            <w:tcW w:w="908" w:type="dxa"/>
            <w:tcBorders>
              <w:top w:val="nil"/>
              <w:left w:val="nil"/>
              <w:bottom w:val="single" w:color="auto" w:sz="4" w:space="0"/>
              <w:right w:val="single" w:color="auto" w:sz="4" w:space="0"/>
            </w:tcBorders>
            <w:noWrap w:val="0"/>
            <w:vAlign w:val="center"/>
          </w:tcPr>
          <w:p w14:paraId="1ACD5715">
            <w:pPr>
              <w:widowControl/>
              <w:jc w:val="center"/>
              <w:rPr>
                <w:rFonts w:ascii="Calibri" w:hAnsi="Calibri" w:cs="宋体"/>
                <w:sz w:val="24"/>
              </w:rPr>
            </w:pPr>
          </w:p>
        </w:tc>
        <w:tc>
          <w:tcPr>
            <w:tcW w:w="788" w:type="dxa"/>
            <w:tcBorders>
              <w:top w:val="nil"/>
              <w:left w:val="nil"/>
              <w:bottom w:val="single" w:color="auto" w:sz="4" w:space="0"/>
              <w:right w:val="single" w:color="auto" w:sz="4" w:space="0"/>
            </w:tcBorders>
            <w:noWrap w:val="0"/>
            <w:vAlign w:val="center"/>
          </w:tcPr>
          <w:p w14:paraId="135757B9">
            <w:pPr>
              <w:widowControl/>
              <w:jc w:val="center"/>
              <w:rPr>
                <w:rFonts w:ascii="Calibri" w:hAnsi="Calibri" w:cs="宋体"/>
                <w:sz w:val="24"/>
              </w:rPr>
            </w:pPr>
          </w:p>
        </w:tc>
        <w:tc>
          <w:tcPr>
            <w:tcW w:w="824" w:type="dxa"/>
            <w:tcBorders>
              <w:top w:val="nil"/>
              <w:left w:val="nil"/>
              <w:bottom w:val="single" w:color="auto" w:sz="4" w:space="0"/>
              <w:right w:val="single" w:color="auto" w:sz="4" w:space="0"/>
            </w:tcBorders>
            <w:noWrap w:val="0"/>
            <w:vAlign w:val="center"/>
          </w:tcPr>
          <w:p w14:paraId="741B8151">
            <w:pPr>
              <w:widowControl/>
              <w:jc w:val="center"/>
              <w:rPr>
                <w:rFonts w:ascii="Calibri" w:hAnsi="Calibri" w:cs="宋体"/>
                <w:sz w:val="24"/>
              </w:rPr>
            </w:pPr>
          </w:p>
        </w:tc>
        <w:tc>
          <w:tcPr>
            <w:tcW w:w="703" w:type="dxa"/>
            <w:tcBorders>
              <w:top w:val="nil"/>
              <w:left w:val="nil"/>
              <w:bottom w:val="single" w:color="auto" w:sz="4" w:space="0"/>
              <w:right w:val="single" w:color="auto" w:sz="4" w:space="0"/>
            </w:tcBorders>
            <w:noWrap w:val="0"/>
            <w:vAlign w:val="center"/>
          </w:tcPr>
          <w:p w14:paraId="4ACA214E">
            <w:pPr>
              <w:widowControl/>
              <w:jc w:val="center"/>
              <w:rPr>
                <w:rFonts w:ascii="Calibri" w:hAnsi="Calibri" w:cs="宋体"/>
                <w:sz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14:paraId="4B01A3D1">
            <w:pPr>
              <w:widowControl/>
              <w:jc w:val="center"/>
              <w:rPr>
                <w:rFonts w:ascii="Calibri" w:hAnsi="Calibri" w:cs="宋体"/>
                <w:sz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14:paraId="4C1FF693">
            <w:pPr>
              <w:widowControl/>
              <w:jc w:val="center"/>
              <w:rPr>
                <w:rFonts w:ascii="Calibri" w:hAnsi="Calibri" w:cs="宋体"/>
                <w:sz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14:paraId="497CF060">
            <w:pPr>
              <w:widowControl/>
              <w:jc w:val="center"/>
              <w:rPr>
                <w:rFonts w:ascii="宋体" w:hAnsi="宋体" w:cs="宋体"/>
                <w:b/>
                <w:sz w:val="24"/>
              </w:rPr>
            </w:pPr>
          </w:p>
        </w:tc>
        <w:tc>
          <w:tcPr>
            <w:tcW w:w="871" w:type="dxa"/>
            <w:tcBorders>
              <w:top w:val="nil"/>
              <w:left w:val="nil"/>
              <w:bottom w:val="single" w:color="auto" w:sz="4" w:space="0"/>
              <w:right w:val="single" w:color="auto" w:sz="4" w:space="0"/>
            </w:tcBorders>
            <w:noWrap w:val="0"/>
            <w:vAlign w:val="center"/>
          </w:tcPr>
          <w:p w14:paraId="6AA46C64">
            <w:pPr>
              <w:widowControl/>
              <w:jc w:val="center"/>
              <w:rPr>
                <w:rFonts w:ascii="Calibri" w:hAnsi="Calibri" w:cs="宋体"/>
                <w:sz w:val="24"/>
              </w:rPr>
            </w:pPr>
          </w:p>
        </w:tc>
        <w:tc>
          <w:tcPr>
            <w:tcW w:w="1157" w:type="dxa"/>
            <w:tcBorders>
              <w:top w:val="nil"/>
              <w:left w:val="nil"/>
              <w:bottom w:val="single" w:color="auto" w:sz="4" w:space="0"/>
              <w:right w:val="single" w:color="auto" w:sz="4" w:space="0"/>
            </w:tcBorders>
            <w:noWrap w:val="0"/>
            <w:vAlign w:val="center"/>
          </w:tcPr>
          <w:p w14:paraId="58858765">
            <w:pPr>
              <w:widowControl/>
              <w:jc w:val="center"/>
              <w:rPr>
                <w:rFonts w:ascii="Calibri" w:hAnsi="Calibri" w:cs="宋体"/>
                <w:sz w:val="24"/>
              </w:rPr>
            </w:pPr>
          </w:p>
        </w:tc>
        <w:tc>
          <w:tcPr>
            <w:tcW w:w="687" w:type="dxa"/>
            <w:gridSpan w:val="2"/>
            <w:tcBorders>
              <w:top w:val="nil"/>
              <w:left w:val="nil"/>
              <w:bottom w:val="single" w:color="auto" w:sz="4" w:space="0"/>
              <w:right w:val="single" w:color="auto" w:sz="4" w:space="0"/>
            </w:tcBorders>
            <w:noWrap w:val="0"/>
            <w:vAlign w:val="center"/>
          </w:tcPr>
          <w:p w14:paraId="2CF3ACC5">
            <w:pPr>
              <w:widowControl/>
              <w:jc w:val="center"/>
              <w:rPr>
                <w:rFonts w:ascii="Calibri" w:hAnsi="Calibri" w:cs="宋体"/>
                <w:sz w:val="24"/>
              </w:rPr>
            </w:pPr>
          </w:p>
        </w:tc>
      </w:tr>
      <w:tr w14:paraId="767BF33E">
        <w:tblPrEx>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14:paraId="0643A177">
            <w:pPr>
              <w:widowControl/>
              <w:jc w:val="center"/>
              <w:rPr>
                <w:rFonts w:ascii="Arial" w:hAnsi="Arial" w:cs="Arial"/>
                <w:sz w:val="24"/>
              </w:rPr>
            </w:pPr>
          </w:p>
        </w:tc>
        <w:tc>
          <w:tcPr>
            <w:tcW w:w="1685" w:type="dxa"/>
            <w:tcBorders>
              <w:top w:val="nil"/>
              <w:left w:val="nil"/>
              <w:bottom w:val="single" w:color="auto" w:sz="4" w:space="0"/>
              <w:right w:val="single" w:color="auto" w:sz="4" w:space="0"/>
            </w:tcBorders>
            <w:noWrap w:val="0"/>
            <w:vAlign w:val="center"/>
          </w:tcPr>
          <w:p w14:paraId="50B38E6C">
            <w:pPr>
              <w:widowControl/>
              <w:jc w:val="center"/>
              <w:rPr>
                <w:rFonts w:ascii="Arial" w:hAnsi="Arial" w:cs="Arial"/>
                <w:sz w:val="24"/>
              </w:rPr>
            </w:pPr>
          </w:p>
        </w:tc>
        <w:tc>
          <w:tcPr>
            <w:tcW w:w="1328" w:type="dxa"/>
            <w:tcBorders>
              <w:top w:val="nil"/>
              <w:left w:val="nil"/>
              <w:bottom w:val="single" w:color="auto" w:sz="4" w:space="0"/>
              <w:right w:val="single" w:color="auto" w:sz="4" w:space="0"/>
            </w:tcBorders>
            <w:noWrap w:val="0"/>
            <w:vAlign w:val="center"/>
          </w:tcPr>
          <w:p w14:paraId="09E2474E">
            <w:pPr>
              <w:widowControl/>
              <w:jc w:val="center"/>
              <w:rPr>
                <w:rFonts w:ascii="Calibri" w:hAnsi="Calibri" w:cs="宋体"/>
                <w:sz w:val="24"/>
              </w:rPr>
            </w:pPr>
          </w:p>
        </w:tc>
        <w:tc>
          <w:tcPr>
            <w:tcW w:w="908" w:type="dxa"/>
            <w:tcBorders>
              <w:top w:val="nil"/>
              <w:left w:val="nil"/>
              <w:bottom w:val="single" w:color="auto" w:sz="4" w:space="0"/>
              <w:right w:val="single" w:color="auto" w:sz="4" w:space="0"/>
            </w:tcBorders>
            <w:noWrap w:val="0"/>
            <w:vAlign w:val="center"/>
          </w:tcPr>
          <w:p w14:paraId="1A9C8575">
            <w:pPr>
              <w:widowControl/>
              <w:jc w:val="center"/>
              <w:rPr>
                <w:rFonts w:ascii="Calibri" w:hAnsi="Calibri" w:cs="宋体"/>
                <w:sz w:val="24"/>
              </w:rPr>
            </w:pPr>
          </w:p>
        </w:tc>
        <w:tc>
          <w:tcPr>
            <w:tcW w:w="788" w:type="dxa"/>
            <w:tcBorders>
              <w:top w:val="nil"/>
              <w:left w:val="nil"/>
              <w:bottom w:val="single" w:color="auto" w:sz="4" w:space="0"/>
              <w:right w:val="single" w:color="auto" w:sz="4" w:space="0"/>
            </w:tcBorders>
            <w:noWrap w:val="0"/>
            <w:vAlign w:val="center"/>
          </w:tcPr>
          <w:p w14:paraId="2238CA5A">
            <w:pPr>
              <w:widowControl/>
              <w:jc w:val="center"/>
              <w:rPr>
                <w:rFonts w:ascii="Calibri" w:hAnsi="Calibri" w:cs="宋体"/>
                <w:sz w:val="24"/>
              </w:rPr>
            </w:pPr>
          </w:p>
        </w:tc>
        <w:tc>
          <w:tcPr>
            <w:tcW w:w="824" w:type="dxa"/>
            <w:tcBorders>
              <w:top w:val="nil"/>
              <w:left w:val="nil"/>
              <w:bottom w:val="single" w:color="auto" w:sz="4" w:space="0"/>
              <w:right w:val="single" w:color="auto" w:sz="4" w:space="0"/>
            </w:tcBorders>
            <w:noWrap w:val="0"/>
            <w:vAlign w:val="center"/>
          </w:tcPr>
          <w:p w14:paraId="6139C464">
            <w:pPr>
              <w:widowControl/>
              <w:jc w:val="center"/>
              <w:rPr>
                <w:rFonts w:ascii="Calibri" w:hAnsi="Calibri" w:cs="宋体"/>
                <w:sz w:val="24"/>
              </w:rPr>
            </w:pPr>
          </w:p>
        </w:tc>
        <w:tc>
          <w:tcPr>
            <w:tcW w:w="703" w:type="dxa"/>
            <w:tcBorders>
              <w:top w:val="nil"/>
              <w:left w:val="nil"/>
              <w:bottom w:val="single" w:color="auto" w:sz="4" w:space="0"/>
              <w:right w:val="single" w:color="auto" w:sz="4" w:space="0"/>
            </w:tcBorders>
            <w:noWrap w:val="0"/>
            <w:vAlign w:val="center"/>
          </w:tcPr>
          <w:p w14:paraId="72915505">
            <w:pPr>
              <w:widowControl/>
              <w:jc w:val="center"/>
              <w:rPr>
                <w:rFonts w:ascii="Calibri" w:hAnsi="Calibri" w:cs="宋体"/>
                <w:sz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14:paraId="10F1FD8B">
            <w:pPr>
              <w:widowControl/>
              <w:jc w:val="center"/>
              <w:rPr>
                <w:rFonts w:ascii="Calibri" w:hAnsi="Calibri" w:cs="宋体"/>
                <w:sz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14:paraId="4C465A71">
            <w:pPr>
              <w:widowControl/>
              <w:jc w:val="center"/>
              <w:rPr>
                <w:rFonts w:ascii="Calibri" w:hAnsi="Calibri" w:cs="宋体"/>
                <w:sz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14:paraId="73C576C4">
            <w:pPr>
              <w:widowControl/>
              <w:jc w:val="center"/>
              <w:rPr>
                <w:rFonts w:ascii="宋体" w:hAnsi="宋体" w:cs="宋体"/>
                <w:b/>
                <w:sz w:val="24"/>
              </w:rPr>
            </w:pPr>
          </w:p>
        </w:tc>
        <w:tc>
          <w:tcPr>
            <w:tcW w:w="871" w:type="dxa"/>
            <w:tcBorders>
              <w:top w:val="nil"/>
              <w:left w:val="nil"/>
              <w:bottom w:val="single" w:color="auto" w:sz="4" w:space="0"/>
              <w:right w:val="single" w:color="auto" w:sz="4" w:space="0"/>
            </w:tcBorders>
            <w:noWrap w:val="0"/>
            <w:vAlign w:val="center"/>
          </w:tcPr>
          <w:p w14:paraId="346F4B93">
            <w:pPr>
              <w:widowControl/>
              <w:jc w:val="center"/>
              <w:rPr>
                <w:rFonts w:ascii="Calibri" w:hAnsi="Calibri" w:cs="宋体"/>
                <w:sz w:val="24"/>
              </w:rPr>
            </w:pPr>
          </w:p>
        </w:tc>
        <w:tc>
          <w:tcPr>
            <w:tcW w:w="1157" w:type="dxa"/>
            <w:tcBorders>
              <w:top w:val="nil"/>
              <w:left w:val="nil"/>
              <w:bottom w:val="single" w:color="auto" w:sz="4" w:space="0"/>
              <w:right w:val="single" w:color="auto" w:sz="4" w:space="0"/>
            </w:tcBorders>
            <w:noWrap w:val="0"/>
            <w:vAlign w:val="center"/>
          </w:tcPr>
          <w:p w14:paraId="5C3CB51A">
            <w:pPr>
              <w:widowControl/>
              <w:jc w:val="center"/>
              <w:rPr>
                <w:rFonts w:ascii="Calibri" w:hAnsi="Calibri" w:cs="宋体"/>
                <w:sz w:val="24"/>
              </w:rPr>
            </w:pPr>
          </w:p>
        </w:tc>
        <w:tc>
          <w:tcPr>
            <w:tcW w:w="687" w:type="dxa"/>
            <w:gridSpan w:val="2"/>
            <w:tcBorders>
              <w:top w:val="nil"/>
              <w:left w:val="nil"/>
              <w:bottom w:val="single" w:color="auto" w:sz="4" w:space="0"/>
              <w:right w:val="single" w:color="auto" w:sz="4" w:space="0"/>
            </w:tcBorders>
            <w:noWrap w:val="0"/>
            <w:vAlign w:val="center"/>
          </w:tcPr>
          <w:p w14:paraId="07F6A95A">
            <w:pPr>
              <w:widowControl/>
              <w:jc w:val="center"/>
              <w:rPr>
                <w:rFonts w:ascii="Calibri" w:hAnsi="Calibri" w:cs="宋体"/>
                <w:sz w:val="24"/>
              </w:rPr>
            </w:pPr>
          </w:p>
        </w:tc>
      </w:tr>
    </w:tbl>
    <w:p w14:paraId="6B005CA6">
      <w:pPr>
        <w:pStyle w:val="2"/>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ÎSå">
    <w:altName w:val="Arial"/>
    <w:panose1 w:val="00000000000000000000"/>
    <w:charset w:val="00"/>
    <w:family w:val="auto"/>
    <w:pitch w:val="default"/>
    <w:sig w:usb0="00000000" w:usb1="00000000" w:usb2="00000000"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2CBC0B">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60325" cy="154940"/>
              <wp:effectExtent l="0" t="0" r="0" b="0"/>
              <wp:wrapNone/>
              <wp:docPr id="1" name="矩形 1"/>
              <wp:cNvGraphicFramePr/>
              <a:graphic xmlns:a="http://schemas.openxmlformats.org/drawingml/2006/main">
                <a:graphicData uri="http://schemas.microsoft.com/office/word/2010/wordprocessingShape">
                  <wps:wsp>
                    <wps:cNvSpPr/>
                    <wps:spPr>
                      <a:xfrm>
                        <a:off x="0" y="0"/>
                        <a:ext cx="60325" cy="154940"/>
                      </a:xfrm>
                      <a:prstGeom prst="rect">
                        <a:avLst/>
                      </a:prstGeom>
                      <a:noFill/>
                      <a:ln>
                        <a:noFill/>
                      </a:ln>
                    </wps:spPr>
                    <wps:txbx>
                      <w:txbxContent>
                        <w:p w14:paraId="1EB7701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12</w:t>
                          </w:r>
                          <w:r>
                            <w:rPr>
                              <w:rFonts w:hint="eastAsia"/>
                              <w:sz w:val="18"/>
                            </w:rPr>
                            <w:fldChar w:fldCharType="end"/>
                          </w:r>
                        </w:p>
                      </w:txbxContent>
                    </wps:txbx>
                    <wps:bodyPr wrap="none" lIns="0" tIns="0" rIns="0" bIns="0" upright="1">
                      <a:spAutoFit/>
                    </wps:bodyPr>
                  </wps:wsp>
                </a:graphicData>
              </a:graphic>
            </wp:anchor>
          </w:drawing>
        </mc:Choice>
        <mc:Fallback>
          <w:pict>
            <v:rect id="_x0000_s1026" o:spid="_x0000_s1026" o:spt="1" style="position:absolute;left:0pt;margin-top:0pt;height:12.2pt;width:4.75pt;mso-position-horizontal:center;mso-position-horizontal-relative:margin;mso-wrap-style:none;z-index:251659264;mso-width-relative:page;mso-height-relative:page;" filled="f" stroked="f" coordsize="21600,21600" o:gfxdata="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IBDF2tEAAAACAQAADwAAAAAAAAABACAAAAAiAAAAZHJzL2Rvd25yZXYueG1sUEsB&#10;AhQAFAAAAAgAh07iQKta3ALDAQAAiQMAAA4AAAAAAAAAAQAgAAAAIAEAAGRycy9lMm9Eb2MueG1s&#10;UEsFBgAAAAAGAAYAWQEAAFUFAAAAAA==&#10;">
              <v:fill on="f" focussize="0,0"/>
              <v:stroke on="f"/>
              <v:imagedata o:title=""/>
              <o:lock v:ext="edit" aspectratio="f"/>
              <v:textbox inset="0mm,0mm,0mm,0mm" style="mso-fit-shape-to-text:t;">
                <w:txbxContent>
                  <w:p w14:paraId="1EB7701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12</w:t>
                    </w:r>
                    <w:r>
                      <w:rPr>
                        <w:rFonts w:hint="eastAsia"/>
                        <w:sz w:val="18"/>
                      </w:rP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C5B99F">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60325" cy="154940"/>
              <wp:effectExtent l="0" t="0" r="0" b="0"/>
              <wp:wrapNone/>
              <wp:docPr id="6" name="矩形 6"/>
              <wp:cNvGraphicFramePr/>
              <a:graphic xmlns:a="http://schemas.openxmlformats.org/drawingml/2006/main">
                <a:graphicData uri="http://schemas.microsoft.com/office/word/2010/wordprocessingShape">
                  <wps:wsp>
                    <wps:cNvSpPr/>
                    <wps:spPr>
                      <a:xfrm>
                        <a:off x="0" y="0"/>
                        <a:ext cx="60325" cy="154940"/>
                      </a:xfrm>
                      <a:prstGeom prst="rect">
                        <a:avLst/>
                      </a:prstGeom>
                      <a:noFill/>
                      <a:ln>
                        <a:noFill/>
                      </a:ln>
                    </wps:spPr>
                    <wps:txbx>
                      <w:txbxContent>
                        <w:p w14:paraId="232D548D">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12</w:t>
                          </w:r>
                          <w:r>
                            <w:rPr>
                              <w:rFonts w:hint="eastAsia"/>
                              <w:sz w:val="18"/>
                            </w:rPr>
                            <w:fldChar w:fldCharType="end"/>
                          </w:r>
                        </w:p>
                      </w:txbxContent>
                    </wps:txbx>
                    <wps:bodyPr wrap="none" lIns="0" tIns="0" rIns="0" bIns="0" upright="1">
                      <a:spAutoFit/>
                    </wps:bodyPr>
                  </wps:wsp>
                </a:graphicData>
              </a:graphic>
            </wp:anchor>
          </w:drawing>
        </mc:Choice>
        <mc:Fallback>
          <w:pict>
            <v:rect id="_x0000_s1026" o:spid="_x0000_s1026" o:spt="1" style="position:absolute;left:0pt;margin-top:0pt;height:12.2pt;width:4.75pt;mso-position-horizontal:center;mso-position-horizontal-relative:margin;mso-wrap-style:none;z-index:251659264;mso-width-relative:page;mso-height-relative:page;" filled="f" stroked="f" coordsize="21600,21600" o:gfxdata="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CAQxdrRAAAAAgEAAA8AAAAAAAAAAQAgAAAAIgAAAGRycy9kb3ducmV2LnhtbFBL&#10;AQIUABQAAAAIAIdO4kBumjSWxAEAAIkDAAAOAAAAAAAAAAEAIAAAACABAABkcnMvZTJvRG9jLnht&#10;bFBLBQYAAAAABgAGAFkBAABWBQAAAAA=&#10;">
              <v:fill on="f" focussize="0,0"/>
              <v:stroke on="f"/>
              <v:imagedata o:title=""/>
              <o:lock v:ext="edit" aspectratio="f"/>
              <v:textbox inset="0mm,0mm,0mm,0mm" style="mso-fit-shape-to-text:t;">
                <w:txbxContent>
                  <w:p w14:paraId="232D548D">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12</w:t>
                    </w:r>
                    <w:r>
                      <w:rPr>
                        <w:rFonts w:hint="eastAsia"/>
                        <w:sz w:val="18"/>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D2F910"/>
    <w:multiLevelType w:val="singleLevel"/>
    <w:tmpl w:val="BCD2F910"/>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RlYjVlZmVlOTMyZmVjNDI4ZDczYTZmOTg3ZWQzMjMifQ=="/>
  </w:docVars>
  <w:rsids>
    <w:rsidRoot w:val="236744F9"/>
    <w:rsid w:val="01B33BDE"/>
    <w:rsid w:val="0451447E"/>
    <w:rsid w:val="05850883"/>
    <w:rsid w:val="07043A2A"/>
    <w:rsid w:val="08E27D9B"/>
    <w:rsid w:val="09493EF5"/>
    <w:rsid w:val="09FC4E8C"/>
    <w:rsid w:val="0E1053AA"/>
    <w:rsid w:val="11501A29"/>
    <w:rsid w:val="11B23ACE"/>
    <w:rsid w:val="12DD787F"/>
    <w:rsid w:val="16201F02"/>
    <w:rsid w:val="169F72CB"/>
    <w:rsid w:val="18D63184"/>
    <w:rsid w:val="191209F4"/>
    <w:rsid w:val="1B2B3823"/>
    <w:rsid w:val="1B7156DA"/>
    <w:rsid w:val="1D7768AC"/>
    <w:rsid w:val="1E9A4F48"/>
    <w:rsid w:val="20DE6C42"/>
    <w:rsid w:val="21336F8E"/>
    <w:rsid w:val="21A8172A"/>
    <w:rsid w:val="229677D4"/>
    <w:rsid w:val="236744F9"/>
    <w:rsid w:val="241C01AD"/>
    <w:rsid w:val="25B828F2"/>
    <w:rsid w:val="26B312FC"/>
    <w:rsid w:val="28AD3164"/>
    <w:rsid w:val="28FD63A4"/>
    <w:rsid w:val="294A3F71"/>
    <w:rsid w:val="2FDE0A0C"/>
    <w:rsid w:val="30316D8E"/>
    <w:rsid w:val="31AB7E8D"/>
    <w:rsid w:val="32584AA6"/>
    <w:rsid w:val="32BD2B5B"/>
    <w:rsid w:val="349B6ECC"/>
    <w:rsid w:val="37B26A07"/>
    <w:rsid w:val="392C27E9"/>
    <w:rsid w:val="3B286FE0"/>
    <w:rsid w:val="3D98429A"/>
    <w:rsid w:val="3EB0460D"/>
    <w:rsid w:val="3F281CA4"/>
    <w:rsid w:val="40316936"/>
    <w:rsid w:val="436C6603"/>
    <w:rsid w:val="43DE0B83"/>
    <w:rsid w:val="44055F4E"/>
    <w:rsid w:val="440A1978"/>
    <w:rsid w:val="453C3DB3"/>
    <w:rsid w:val="45DA1AAD"/>
    <w:rsid w:val="483224C7"/>
    <w:rsid w:val="48B325DE"/>
    <w:rsid w:val="49BF6D61"/>
    <w:rsid w:val="4B16190E"/>
    <w:rsid w:val="4D322AED"/>
    <w:rsid w:val="4D4952BF"/>
    <w:rsid w:val="4E236E3C"/>
    <w:rsid w:val="4E281379"/>
    <w:rsid w:val="4E4A12EF"/>
    <w:rsid w:val="4EAD7AD0"/>
    <w:rsid w:val="4EDC23B3"/>
    <w:rsid w:val="51915487"/>
    <w:rsid w:val="52384E5F"/>
    <w:rsid w:val="52B551A5"/>
    <w:rsid w:val="570D55B0"/>
    <w:rsid w:val="58762279"/>
    <w:rsid w:val="59F120A0"/>
    <w:rsid w:val="5B616123"/>
    <w:rsid w:val="5F08615D"/>
    <w:rsid w:val="5FAB3BB8"/>
    <w:rsid w:val="62157A0E"/>
    <w:rsid w:val="624A76B8"/>
    <w:rsid w:val="658729D1"/>
    <w:rsid w:val="66A65A88"/>
    <w:rsid w:val="6C3A079D"/>
    <w:rsid w:val="6C5037F8"/>
    <w:rsid w:val="6DB620A5"/>
    <w:rsid w:val="70D673C9"/>
    <w:rsid w:val="71184E25"/>
    <w:rsid w:val="73CD639B"/>
    <w:rsid w:val="74510D7A"/>
    <w:rsid w:val="75672ACE"/>
    <w:rsid w:val="795B041E"/>
    <w:rsid w:val="7A044199"/>
    <w:rsid w:val="7A4F18B8"/>
    <w:rsid w:val="7AE2097E"/>
    <w:rsid w:val="7BB120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qFormat/>
    <w:uiPriority w:val="9"/>
    <w:pPr>
      <w:spacing w:beforeAutospacing="1" w:afterAutospacing="1"/>
      <w:jc w:val="left"/>
      <w:outlineLvl w:val="1"/>
    </w:pPr>
    <w:rPr>
      <w:rFonts w:hint="eastAsia" w:ascii="宋体" w:hAnsi="宋体" w:eastAsia="宋体" w:cs="Times New Roman"/>
      <w:b/>
      <w:kern w:val="0"/>
      <w:sz w:val="36"/>
      <w:szCs w:val="36"/>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spacing w:after="120"/>
    </w:pPr>
    <w:rPr>
      <w:rFonts w:ascii="Times New Roman" w:hAnsi="Times New Roman" w:eastAsia="宋体" w:cs="Times New Roman"/>
    </w:rPr>
  </w:style>
  <w:style w:type="paragraph" w:styleId="4">
    <w:name w:val="Plain Text"/>
    <w:basedOn w:val="1"/>
    <w:qFormat/>
    <w:uiPriority w:val="0"/>
    <w:rPr>
      <w:rFonts w:ascii="宋体" w:hAnsi="Courier New" w:eastAsia="宋体" w:cs="Times New Roman"/>
      <w:kern w:val="0"/>
      <w:sz w:val="20"/>
      <w:szCs w:val="20"/>
    </w:rPr>
  </w:style>
  <w:style w:type="paragraph" w:styleId="5">
    <w:name w:val="footer"/>
    <w:basedOn w:val="1"/>
    <w:unhideWhenUsed/>
    <w:qFormat/>
    <w:uiPriority w:val="0"/>
    <w:pPr>
      <w:tabs>
        <w:tab w:val="center" w:pos="4153"/>
        <w:tab w:val="right" w:pos="8306"/>
      </w:tabs>
      <w:snapToGrid w:val="0"/>
      <w:jc w:val="left"/>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styleId="9">
    <w:name w:val="Hyperlink"/>
    <w:unhideWhenUsed/>
    <w:qFormat/>
    <w:uiPriority w:val="99"/>
    <w:rPr>
      <w:color w:val="0000FF"/>
      <w:u w:val="single"/>
    </w:rPr>
  </w:style>
  <w:style w:type="paragraph" w:customStyle="1" w:styleId="10">
    <w:name w:val="列出段落1"/>
    <w:basedOn w:val="1"/>
    <w:qFormat/>
    <w:uiPriority w:val="34"/>
    <w:pPr>
      <w:ind w:firstLine="420" w:firstLineChars="200"/>
    </w:pPr>
  </w:style>
  <w:style w:type="character" w:customStyle="1" w:styleId="11">
    <w:name w:val="font01"/>
    <w:basedOn w:val="8"/>
    <w:qFormat/>
    <w:uiPriority w:val="0"/>
    <w:rPr>
      <w:rFonts w:hint="eastAsia" w:ascii="宋体" w:hAnsi="宋体" w:eastAsia="宋体" w:cs="宋体"/>
      <w:color w:val="000000"/>
      <w:sz w:val="16"/>
      <w:szCs w:val="16"/>
      <w:u w:val="none"/>
    </w:rPr>
  </w:style>
  <w:style w:type="character" w:customStyle="1" w:styleId="12">
    <w:name w:val="font11"/>
    <w:basedOn w:val="8"/>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3840</Words>
  <Characters>4003</Characters>
  <Lines>0</Lines>
  <Paragraphs>0</Paragraphs>
  <TotalTime>21</TotalTime>
  <ScaleCrop>false</ScaleCrop>
  <LinksUpToDate>false</LinksUpToDate>
  <CharactersWithSpaces>4099</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2024-10-10T00:44:00Z</dcterms:created>
  <dc:creator>君问羽</dc:creator>
  <cp:lastModifiedBy>远方</cp:lastModifiedBy>
  <dcterms:modified xsi:type="dcterms:W3CDTF">2024-11-21T00:49:44Z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9785C889D2044B3EA95B4A529222A51A_13</vt:lpwstr>
  </property>
</Properties>
</file>