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420" w:firstLine="602"/>
        <w:jc w:val="center"/>
        <w:rPr>
          <w:b/>
          <w:sz w:val="30"/>
        </w:rPr>
      </w:pPr>
      <w:r>
        <w:rPr>
          <w:rFonts w:hint="eastAsia"/>
          <w:b/>
          <w:sz w:val="30"/>
        </w:rPr>
        <w:t>产品加工合同</w:t>
      </w:r>
    </w:p>
    <w:p>
      <w:pPr>
        <w:ind w:left="-420" w:firstLine="602"/>
        <w:jc w:val="center"/>
        <w:rPr>
          <w:b/>
          <w:sz w:val="30"/>
        </w:rPr>
      </w:pPr>
    </w:p>
    <w:p>
      <w:pPr>
        <w:spacing w:line="400" w:lineRule="exact"/>
        <w:rPr>
          <w:rFonts w:hint="default" w:eastAsia="宋体"/>
          <w:lang w:val="en-US" w:eastAsia="zh-CN"/>
        </w:rPr>
      </w:pPr>
      <w:r>
        <w:rPr>
          <w:rFonts w:hint="eastAsia"/>
        </w:rPr>
        <w:t>委托人（以下简称“甲方”）：江苏索普赛瑞装备制造有限公司   合同编号：SOPOCERE-WX-2023-</w:t>
      </w:r>
      <w:r>
        <w:rPr>
          <w:rFonts w:hint="eastAsia"/>
          <w:lang w:val="en-US" w:eastAsia="zh-CN"/>
        </w:rPr>
        <w:t>00</w:t>
      </w:r>
    </w:p>
    <w:p>
      <w:pPr>
        <w:spacing w:line="400" w:lineRule="exact"/>
      </w:pPr>
      <w:r>
        <w:rPr>
          <w:rFonts w:hint="eastAsia"/>
        </w:rPr>
        <w:t>加工人（以下简称“乙方”）：</w:t>
      </w:r>
      <w:r>
        <w:rPr>
          <w:rFonts w:hint="eastAsia"/>
          <w:lang w:val="en-US" w:eastAsia="zh-CN"/>
        </w:rPr>
        <w:t xml:space="preserve">                              </w:t>
      </w:r>
      <w:r>
        <w:rPr>
          <w:rFonts w:hint="eastAsia"/>
        </w:rPr>
        <w:t xml:space="preserve">签订地点：镇江市京口区象山镇长岗 </w:t>
      </w:r>
    </w:p>
    <w:p>
      <w:pPr>
        <w:spacing w:line="400" w:lineRule="exact"/>
      </w:pPr>
      <w:r>
        <w:rPr>
          <w:rFonts w:hint="eastAsia"/>
        </w:rPr>
        <w:t xml:space="preserve">第一条  标的物、数量、单价及交货时间                      </w:t>
      </w:r>
      <w:r>
        <w:t xml:space="preserve"> </w:t>
      </w:r>
      <w:r>
        <w:rPr>
          <w:rFonts w:hint="eastAsia"/>
          <w:lang w:val="en-US" w:eastAsia="zh-CN"/>
        </w:rPr>
        <w:t xml:space="preserve"> </w:t>
      </w:r>
      <w:r>
        <w:rPr>
          <w:rFonts w:hint="eastAsia"/>
        </w:rPr>
        <w:t>签订时间：2023年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bl>
      <w:tblPr>
        <w:tblStyle w:val="29"/>
        <w:tblW w:w="9933" w:type="dxa"/>
        <w:jc w:val="center"/>
        <w:tblLayout w:type="fixed"/>
        <w:tblCellMar>
          <w:top w:w="0" w:type="dxa"/>
          <w:left w:w="108" w:type="dxa"/>
          <w:bottom w:w="0" w:type="dxa"/>
          <w:right w:w="108" w:type="dxa"/>
        </w:tblCellMar>
      </w:tblPr>
      <w:tblGrid>
        <w:gridCol w:w="1397"/>
        <w:gridCol w:w="1696"/>
        <w:gridCol w:w="650"/>
        <w:gridCol w:w="978"/>
        <w:gridCol w:w="1592"/>
        <w:gridCol w:w="1144"/>
        <w:gridCol w:w="1364"/>
        <w:gridCol w:w="1112"/>
      </w:tblGrid>
      <w:tr>
        <w:tblPrEx>
          <w:tblCellMar>
            <w:top w:w="0" w:type="dxa"/>
            <w:left w:w="108" w:type="dxa"/>
            <w:bottom w:w="0" w:type="dxa"/>
            <w:right w:w="108" w:type="dxa"/>
          </w:tblCellMar>
        </w:tblPrEx>
        <w:trPr>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标的物名称</w:t>
            </w:r>
          </w:p>
        </w:tc>
        <w:tc>
          <w:tcPr>
            <w:tcW w:w="16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规格型号,mm</w:t>
            </w:r>
          </w:p>
        </w:tc>
        <w:tc>
          <w:tcPr>
            <w:tcW w:w="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单位</w:t>
            </w:r>
          </w:p>
        </w:tc>
        <w:tc>
          <w:tcPr>
            <w:tcW w:w="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数量</w:t>
            </w:r>
          </w:p>
        </w:tc>
        <w:tc>
          <w:tcPr>
            <w:tcW w:w="15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ind w:firstLine="105"/>
              <w:jc w:val="center"/>
              <w:rPr>
                <w:b/>
                <w:bCs/>
              </w:rPr>
            </w:pPr>
            <w:r>
              <w:rPr>
                <w:rFonts w:hint="eastAsia"/>
                <w:b/>
                <w:bCs/>
              </w:rPr>
              <w:t>含税单价</w:t>
            </w:r>
          </w:p>
          <w:p>
            <w:pPr>
              <w:spacing w:line="400" w:lineRule="exact"/>
              <w:ind w:firstLine="105"/>
              <w:jc w:val="center"/>
              <w:rPr>
                <w:b/>
                <w:bCs/>
              </w:rPr>
            </w:pPr>
            <w:r>
              <w:rPr>
                <w:rFonts w:hint="eastAsia"/>
                <w:b/>
                <w:bCs/>
              </w:rPr>
              <w:t>(¥：元/</w:t>
            </w:r>
            <w:r>
              <w:rPr>
                <w:rFonts w:hint="eastAsia"/>
                <w:b/>
                <w:bCs/>
                <w:lang w:val="en-US" w:eastAsia="zh-CN"/>
              </w:rPr>
              <w:t>米</w:t>
            </w:r>
            <w:r>
              <w:rPr>
                <w:rFonts w:hint="eastAsia"/>
                <w:b/>
                <w:bCs/>
              </w:rPr>
              <w:t>)</w:t>
            </w:r>
          </w:p>
        </w:tc>
        <w:tc>
          <w:tcPr>
            <w:tcW w:w="1144"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含税总额</w:t>
            </w:r>
          </w:p>
          <w:p>
            <w:pPr>
              <w:spacing w:line="400" w:lineRule="exact"/>
              <w:jc w:val="center"/>
              <w:rPr>
                <w:b/>
                <w:bCs/>
              </w:rPr>
            </w:pPr>
            <w:r>
              <w:rPr>
                <w:rFonts w:hint="eastAsia"/>
                <w:b/>
                <w:bCs/>
              </w:rPr>
              <w:t>（¥：元）</w:t>
            </w:r>
          </w:p>
        </w:tc>
        <w:tc>
          <w:tcPr>
            <w:tcW w:w="1364"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项目名称</w:t>
            </w:r>
          </w:p>
        </w:tc>
        <w:tc>
          <w:tcPr>
            <w:tcW w:w="1112"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备注</w:t>
            </w:r>
          </w:p>
        </w:tc>
      </w:tr>
      <w:tr>
        <w:tblPrEx>
          <w:tblCellMar>
            <w:top w:w="0" w:type="dxa"/>
            <w:left w:w="108" w:type="dxa"/>
            <w:bottom w:w="0" w:type="dxa"/>
            <w:right w:w="108" w:type="dxa"/>
          </w:tblCellMar>
        </w:tblPrEx>
        <w:trPr>
          <w:trHeight w:val="549"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328" w:hRule="atLeast"/>
          <w:jc w:val="center"/>
        </w:trPr>
        <w:tc>
          <w:tcPr>
            <w:tcW w:w="631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ind w:firstLine="2400" w:firstLineChars="1200"/>
              <w:jc w:val="left"/>
              <w:rPr>
                <w:sz w:val="20"/>
              </w:rPr>
            </w:pPr>
            <w:r>
              <w:rPr>
                <w:rFonts w:hint="eastAsia"/>
                <w:sz w:val="20"/>
              </w:rPr>
              <w:t>合计</w:t>
            </w:r>
          </w:p>
        </w:tc>
        <w:tc>
          <w:tcPr>
            <w:tcW w:w="1144"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hint="default" w:eastAsia="宋体"/>
                <w:lang w:val="en-US" w:eastAsia="zh-CN"/>
              </w:rPr>
            </w:pPr>
          </w:p>
        </w:tc>
        <w:tc>
          <w:tcPr>
            <w:tcW w:w="1364"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left"/>
            </w:pPr>
          </w:p>
        </w:tc>
        <w:tc>
          <w:tcPr>
            <w:tcW w:w="1112"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pPr>
          </w:p>
        </w:tc>
      </w:tr>
      <w:tr>
        <w:tblPrEx>
          <w:tblCellMar>
            <w:top w:w="0" w:type="dxa"/>
            <w:left w:w="108" w:type="dxa"/>
            <w:bottom w:w="0" w:type="dxa"/>
            <w:right w:w="108" w:type="dxa"/>
          </w:tblCellMar>
        </w:tblPrEx>
        <w:trPr>
          <w:trHeight w:val="408" w:hRule="atLeast"/>
          <w:jc w:val="center"/>
        </w:trPr>
        <w:tc>
          <w:tcPr>
            <w:tcW w:w="9933"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jc w:val="left"/>
            </w:pPr>
            <w:r>
              <w:rPr>
                <w:rFonts w:hint="eastAsia"/>
              </w:rPr>
              <w:t>合计人民币金额（大写）：元整（含税率为</w:t>
            </w:r>
            <w:r>
              <w:rPr>
                <w:rFonts w:hint="eastAsia"/>
                <w:lang w:val="en-US" w:eastAsia="zh-CN"/>
              </w:rPr>
              <w:t>6</w:t>
            </w:r>
            <w:r>
              <w:rPr>
                <w:rFonts w:hint="eastAsia"/>
              </w:rPr>
              <w:t xml:space="preserve">%的增值税专用发票） </w:t>
            </w:r>
          </w:p>
        </w:tc>
      </w:tr>
      <w:tr>
        <w:tblPrEx>
          <w:tblCellMar>
            <w:top w:w="0" w:type="dxa"/>
            <w:left w:w="108" w:type="dxa"/>
            <w:bottom w:w="0" w:type="dxa"/>
            <w:right w:w="108" w:type="dxa"/>
          </w:tblCellMar>
        </w:tblPrEx>
        <w:trPr>
          <w:trHeight w:val="408" w:hRule="atLeast"/>
          <w:jc w:val="center"/>
        </w:trPr>
        <w:tc>
          <w:tcPr>
            <w:tcW w:w="9933"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jc w:val="left"/>
            </w:pPr>
            <w:r>
              <w:rPr>
                <w:rFonts w:hint="eastAsia"/>
              </w:rPr>
              <w:t>其中人民币不含税金额（小写）：</w:t>
            </w:r>
            <w:r>
              <w:rPr>
                <w:rFonts w:hint="eastAsia"/>
                <w:lang w:val="en-US" w:eastAsia="zh-CN"/>
              </w:rPr>
              <w:t xml:space="preserve"> </w:t>
            </w:r>
            <w:r>
              <w:t>元，增值税税金金额（小写）：元</w:t>
            </w:r>
          </w:p>
        </w:tc>
      </w:tr>
      <w:tr>
        <w:tblPrEx>
          <w:tblCellMar>
            <w:top w:w="0" w:type="dxa"/>
            <w:left w:w="108" w:type="dxa"/>
            <w:bottom w:w="0" w:type="dxa"/>
            <w:right w:w="108" w:type="dxa"/>
          </w:tblCellMar>
        </w:tblPrEx>
        <w:trPr>
          <w:trHeight w:val="285"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pPr>
            <w:r>
              <w:rPr>
                <w:rFonts w:hint="eastAsia"/>
              </w:rPr>
              <w:t>交货时间</w:t>
            </w:r>
          </w:p>
        </w:tc>
        <w:tc>
          <w:tcPr>
            <w:tcW w:w="8536"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jc w:val="left"/>
            </w:pPr>
            <w:r>
              <w:rPr>
                <w:rFonts w:hint="eastAsia"/>
                <w:lang w:val="en-US" w:eastAsia="zh-CN"/>
              </w:rPr>
              <w:t xml:space="preserve">乙方进厂检测，   </w:t>
            </w:r>
            <w:r>
              <w:rPr>
                <w:rFonts w:hint="eastAsia"/>
              </w:rPr>
              <w:t>天内</w:t>
            </w:r>
            <w:r>
              <w:rPr>
                <w:rFonts w:hint="eastAsia"/>
                <w:lang w:val="en-US" w:eastAsia="zh-CN"/>
              </w:rPr>
              <w:t>检测</w:t>
            </w:r>
            <w:r>
              <w:rPr>
                <w:rFonts w:hint="eastAsia"/>
              </w:rPr>
              <w:t>完成。</w:t>
            </w:r>
          </w:p>
        </w:tc>
      </w:tr>
    </w:tbl>
    <w:p>
      <w:pPr>
        <w:tabs>
          <w:tab w:val="left" w:pos="360"/>
          <w:tab w:val="left" w:pos="709"/>
        </w:tabs>
        <w:spacing w:line="400" w:lineRule="exact"/>
        <w:ind w:left="840" w:hanging="840" w:hangingChars="400"/>
      </w:pPr>
      <w:r>
        <w:rPr>
          <w:rFonts w:hint="eastAsia"/>
        </w:rPr>
        <w:t xml:space="preserve">第二条  </w:t>
      </w:r>
      <w:r>
        <w:rPr>
          <w:rFonts w:ascii="Calibri" w:hAnsi="宋体"/>
          <w:szCs w:val="21"/>
        </w:rPr>
        <w:t>质量要求及技术标准：按照</w:t>
      </w:r>
      <w:r>
        <w:rPr>
          <w:rFonts w:hint="eastAsia" w:hAnsi="宋体"/>
          <w:szCs w:val="21"/>
          <w:lang w:val="en-US" w:eastAsia="zh-CN"/>
        </w:rPr>
        <w:t>标准进行检测</w:t>
      </w:r>
      <w:r>
        <w:rPr>
          <w:rFonts w:hint="eastAsia" w:ascii="Calibri" w:hAnsi="宋体"/>
          <w:szCs w:val="21"/>
        </w:rPr>
        <w:t>， 乙方应以自己的设备、技术、劳力完成本合同项下所指加工工作（包括主要工作与辅助工作），未经甲方书面同意，乙方不得转让本合同项下的任何一项权利和义务，或将本合同项下的权利、义务部分或全部转让给任意第三人，否则视为违约，应承担违约责任。现场检测时必须严格遵守</w:t>
      </w:r>
      <w:r>
        <w:rPr>
          <w:rFonts w:hint="eastAsia" w:ascii="Calibri" w:hAnsi="宋体"/>
          <w:szCs w:val="21"/>
          <w:lang w:eastAsia="zh-CN"/>
        </w:rPr>
        <w:t>甲方</w:t>
      </w:r>
      <w:r>
        <w:rPr>
          <w:rFonts w:hint="eastAsia" w:ascii="Calibri" w:hAnsi="宋体"/>
          <w:szCs w:val="21"/>
        </w:rPr>
        <w:t>厂规厂纪，若在检测期间发生工伤事故，</w:t>
      </w:r>
      <w:r>
        <w:rPr>
          <w:rFonts w:hint="eastAsia" w:ascii="Calibri" w:hAnsi="宋体"/>
          <w:szCs w:val="21"/>
          <w:lang w:eastAsia="zh-CN"/>
        </w:rPr>
        <w:t>乙方</w:t>
      </w:r>
      <w:r>
        <w:rPr>
          <w:rFonts w:hint="eastAsia" w:ascii="Calibri" w:hAnsi="宋体"/>
          <w:szCs w:val="21"/>
        </w:rPr>
        <w:t>承担全部的经济责任。</w:t>
      </w:r>
      <w:r>
        <w:rPr>
          <w:rFonts w:hint="eastAsia" w:ascii="Calibri" w:hAnsi="宋体"/>
          <w:szCs w:val="21"/>
          <w:lang w:eastAsia="zh-CN"/>
        </w:rPr>
        <w:t>乙方</w:t>
      </w:r>
      <w:r>
        <w:rPr>
          <w:rFonts w:hint="eastAsia" w:ascii="Calibri" w:hAnsi="宋体"/>
          <w:szCs w:val="21"/>
        </w:rPr>
        <w:t>对检测服务质量（曲线或报告）负全责，</w:t>
      </w:r>
      <w:r>
        <w:rPr>
          <w:rFonts w:hint="eastAsia" w:ascii="Calibri" w:hAnsi="宋体"/>
          <w:szCs w:val="21"/>
          <w:lang w:eastAsia="zh-CN"/>
        </w:rPr>
        <w:t>乙方</w:t>
      </w:r>
      <w:r>
        <w:rPr>
          <w:rFonts w:hint="eastAsia" w:ascii="Calibri" w:hAnsi="宋体"/>
          <w:szCs w:val="21"/>
        </w:rPr>
        <w:t>按</w:t>
      </w:r>
      <w:r>
        <w:rPr>
          <w:rFonts w:hint="eastAsia" w:ascii="Calibri" w:hAnsi="宋体"/>
          <w:szCs w:val="21"/>
          <w:lang w:eastAsia="zh-CN"/>
        </w:rPr>
        <w:t>甲方</w:t>
      </w:r>
      <w:r>
        <w:rPr>
          <w:rFonts w:hint="eastAsia" w:ascii="Calibri" w:hAnsi="宋体"/>
          <w:szCs w:val="21"/>
        </w:rPr>
        <w:t>生产进度要求的时间节点完成无损检测服务，满足</w:t>
      </w:r>
      <w:r>
        <w:rPr>
          <w:rFonts w:hint="eastAsia" w:ascii="Calibri" w:hAnsi="宋体"/>
          <w:szCs w:val="21"/>
          <w:lang w:eastAsia="zh-CN"/>
        </w:rPr>
        <w:t>甲方</w:t>
      </w:r>
      <w:r>
        <w:rPr>
          <w:rFonts w:hint="eastAsia" w:ascii="Calibri" w:hAnsi="宋体"/>
          <w:szCs w:val="21"/>
        </w:rPr>
        <w:t>现场制作需要，不得耽搁</w:t>
      </w:r>
      <w:r>
        <w:rPr>
          <w:rFonts w:hint="eastAsia" w:ascii="Calibri" w:hAnsi="宋体"/>
          <w:szCs w:val="21"/>
          <w:lang w:eastAsia="zh-CN"/>
        </w:rPr>
        <w:t>甲方</w:t>
      </w:r>
      <w:r>
        <w:rPr>
          <w:rFonts w:hint="eastAsia" w:ascii="Calibri" w:hAnsi="宋体"/>
          <w:szCs w:val="21"/>
        </w:rPr>
        <w:t>现场制作工序流转。特别是检测工作量较为集中时，生产计划安排工期较短节点，</w:t>
      </w:r>
      <w:r>
        <w:rPr>
          <w:rFonts w:hint="eastAsia" w:ascii="Calibri" w:hAnsi="宋体"/>
          <w:szCs w:val="21"/>
          <w:lang w:eastAsia="zh-CN"/>
        </w:rPr>
        <w:t>乙方</w:t>
      </w:r>
      <w:r>
        <w:rPr>
          <w:rFonts w:hint="eastAsia" w:ascii="Calibri" w:hAnsi="宋体"/>
          <w:szCs w:val="21"/>
        </w:rPr>
        <w:t>需安排充足人员及时完成对应检测任务，不能因人员不足影响设备制作进度。</w:t>
      </w:r>
    </w:p>
    <w:p>
      <w:pPr>
        <w:tabs>
          <w:tab w:val="left" w:pos="709"/>
        </w:tabs>
        <w:spacing w:line="400" w:lineRule="exact"/>
        <w:ind w:left="855" w:hanging="855"/>
        <w:rPr>
          <w:rFonts w:ascii="宋体" w:hAnsi="宋体"/>
        </w:rPr>
      </w:pPr>
      <w:r>
        <w:rPr>
          <w:rFonts w:ascii="宋体" w:hAnsi="宋体"/>
        </w:rPr>
        <w:t>第</w:t>
      </w:r>
      <w:r>
        <w:rPr>
          <w:rFonts w:hint="eastAsia" w:ascii="宋体" w:hAnsi="宋体"/>
        </w:rPr>
        <w:t>三</w:t>
      </w:r>
      <w:r>
        <w:rPr>
          <w:rFonts w:ascii="宋体" w:hAnsi="宋体"/>
        </w:rPr>
        <w:t>条</w:t>
      </w:r>
      <w:r>
        <w:rPr>
          <w:rFonts w:ascii="宋体" w:hAnsi="宋体"/>
        </w:rPr>
        <w:tab/>
      </w:r>
      <w:r>
        <w:rPr>
          <w:rFonts w:hint="eastAsia" w:ascii="宋体" w:hAnsi="宋体"/>
        </w:rPr>
        <w:t xml:space="preserve"> 乙方对质量负责的条件及期限：质保期壹年，质保期内如出现质量问题，乙方无偿进行返修。</w:t>
      </w:r>
    </w:p>
    <w:p>
      <w:pPr>
        <w:tabs>
          <w:tab w:val="left" w:pos="709"/>
        </w:tabs>
        <w:spacing w:line="400" w:lineRule="exact"/>
        <w:ind w:left="855" w:hanging="855"/>
        <w:rPr>
          <w:rFonts w:hint="default" w:ascii="宋体" w:hAnsi="宋体" w:eastAsia="宋体"/>
          <w:lang w:val="en-US" w:eastAsia="zh-CN"/>
        </w:rPr>
      </w:pPr>
      <w:r>
        <w:rPr>
          <w:rFonts w:ascii="宋体" w:hAnsi="宋体"/>
        </w:rPr>
        <w:t>第</w:t>
      </w:r>
      <w:r>
        <w:rPr>
          <w:rFonts w:hint="eastAsia" w:ascii="宋体" w:hAnsi="宋体"/>
        </w:rPr>
        <w:t>四</w:t>
      </w:r>
      <w:r>
        <w:rPr>
          <w:rFonts w:ascii="宋体" w:hAnsi="宋体"/>
        </w:rPr>
        <w:t>条</w:t>
      </w:r>
      <w:r>
        <w:rPr>
          <w:rFonts w:ascii="宋体" w:hAnsi="宋体"/>
        </w:rPr>
        <w:tab/>
      </w:r>
      <w:r>
        <w:rPr>
          <w:rFonts w:hint="eastAsia" w:ascii="宋体" w:hAnsi="宋体"/>
        </w:rPr>
        <w:t xml:space="preserve"> 合理损耗标准及计算方法：按合同固定单价及实际</w:t>
      </w:r>
      <w:r>
        <w:rPr>
          <w:rFonts w:hint="eastAsia" w:ascii="宋体" w:hAnsi="宋体"/>
          <w:lang w:val="en-US" w:eastAsia="zh-CN"/>
        </w:rPr>
        <w:t>检测</w:t>
      </w:r>
      <w:r>
        <w:rPr>
          <w:rFonts w:hint="eastAsia" w:ascii="宋体" w:hAnsi="宋体"/>
        </w:rPr>
        <w:t>数量结算。</w:t>
      </w:r>
      <w:r>
        <w:rPr>
          <w:rFonts w:hint="eastAsia" w:ascii="宋体" w:hAnsi="宋体"/>
          <w:lang w:val="en-US" w:eastAsia="zh-CN"/>
        </w:rPr>
        <w:t>最终以集团审计部出具的审定单为准。</w:t>
      </w:r>
    </w:p>
    <w:p>
      <w:pPr>
        <w:spacing w:line="400" w:lineRule="exact"/>
        <w:ind w:left="840" w:hanging="840" w:hangingChars="400"/>
        <w:rPr>
          <w:rFonts w:ascii="宋体" w:hAnsi="宋体"/>
        </w:rPr>
      </w:pPr>
      <w:r>
        <w:rPr>
          <w:rFonts w:hint="eastAsia" w:ascii="宋体" w:hAnsi="宋体"/>
        </w:rPr>
        <w:t>第五条  甲方提供的</w:t>
      </w:r>
      <w:r>
        <w:rPr>
          <w:rFonts w:hint="eastAsia" w:ascii="宋体" w:hAnsi="宋体"/>
          <w:lang w:val="en-US" w:eastAsia="zh-CN"/>
        </w:rPr>
        <w:t>设备</w:t>
      </w:r>
      <w:r>
        <w:rPr>
          <w:rFonts w:hint="eastAsia" w:ascii="宋体" w:hAnsi="宋体"/>
        </w:rPr>
        <w:t>归甲方所有，</w:t>
      </w:r>
      <w:r>
        <w:rPr>
          <w:rFonts w:hint="eastAsia" w:ascii="宋体" w:hAnsi="宋体"/>
          <w:lang w:val="en-US" w:eastAsia="zh-CN"/>
        </w:rPr>
        <w:t>检测</w:t>
      </w:r>
      <w:r>
        <w:rPr>
          <w:rFonts w:hint="eastAsia" w:ascii="宋体" w:hAnsi="宋体"/>
        </w:rPr>
        <w:t>期间的</w:t>
      </w:r>
      <w:r>
        <w:rPr>
          <w:rFonts w:hint="eastAsia" w:ascii="宋体" w:hAnsi="宋体"/>
          <w:lang w:val="en-US" w:eastAsia="zh-CN"/>
        </w:rPr>
        <w:t>检测</w:t>
      </w:r>
      <w:r>
        <w:rPr>
          <w:rFonts w:hint="eastAsia" w:ascii="宋体" w:hAnsi="宋体"/>
        </w:rPr>
        <w:t>风险由乙方承担，乙方承诺，无论甲方是否结清费用，乙方均不得将标的物另行出售、出租、出借、赠与或以其他方式交予任意第三人。</w:t>
      </w:r>
    </w:p>
    <w:p>
      <w:pPr>
        <w:spacing w:line="400" w:lineRule="exact"/>
        <w:ind w:left="825" w:hanging="825"/>
        <w:rPr>
          <w:rFonts w:ascii="宋体" w:hAnsi="宋体"/>
        </w:rPr>
      </w:pPr>
      <w:r>
        <w:rPr>
          <w:rFonts w:hint="eastAsia" w:ascii="宋体" w:hAnsi="宋体"/>
        </w:rPr>
        <w:t>第六条  交货方式、交货地点及运费承担：由乙方</w:t>
      </w:r>
      <w:r>
        <w:rPr>
          <w:rFonts w:hint="eastAsia" w:ascii="宋体" w:hAnsi="宋体"/>
          <w:lang w:val="en-US" w:eastAsia="zh-CN"/>
        </w:rPr>
        <w:t>上门检测</w:t>
      </w:r>
      <w:r>
        <w:rPr>
          <w:rFonts w:hint="eastAsia" w:ascii="宋体" w:hAnsi="宋体"/>
        </w:rPr>
        <w:t>，</w:t>
      </w:r>
      <w:r>
        <w:rPr>
          <w:rFonts w:hint="eastAsia" w:ascii="宋体" w:hAnsi="宋体"/>
          <w:lang w:val="en-US" w:eastAsia="zh-CN"/>
        </w:rPr>
        <w:t>检测</w:t>
      </w:r>
      <w:r>
        <w:rPr>
          <w:rFonts w:hint="eastAsia" w:ascii="宋体" w:hAnsi="宋体"/>
        </w:rPr>
        <w:t>地点：江苏省镇江市京口区求索路18号，</w:t>
      </w:r>
      <w:r>
        <w:rPr>
          <w:rFonts w:hint="eastAsia" w:ascii="宋体" w:hAnsi="宋体"/>
          <w:szCs w:val="22"/>
        </w:rPr>
        <w:t>联系人：王琦 ，联系电话：13812468489。</w:t>
      </w:r>
    </w:p>
    <w:p>
      <w:pPr>
        <w:spacing w:line="400" w:lineRule="exact"/>
        <w:ind w:left="840" w:hanging="840"/>
        <w:rPr>
          <w:rFonts w:ascii="宋体" w:hAnsi="宋体"/>
        </w:rPr>
      </w:pPr>
      <w:r>
        <w:rPr>
          <w:rFonts w:hint="eastAsia" w:ascii="宋体" w:hAnsi="宋体"/>
        </w:rPr>
        <w:t>第七条  检验标准、方法、地点及期限：按照本合同第二条约定进行验收。</w:t>
      </w:r>
      <w:r>
        <w:rPr>
          <w:rFonts w:hint="eastAsia" w:ascii="Calibri" w:hAnsi="宋体"/>
          <w:szCs w:val="21"/>
        </w:rPr>
        <w:t>曲线或报告</w:t>
      </w:r>
      <w:r>
        <w:rPr>
          <w:rFonts w:hint="eastAsia" w:ascii="宋体" w:hAnsi="宋体"/>
        </w:rPr>
        <w:t>提出异议期限为收货之日起1个月内；</w:t>
      </w:r>
      <w:r>
        <w:rPr>
          <w:rFonts w:hint="eastAsia" w:ascii="Calibri" w:hAnsi="宋体"/>
          <w:szCs w:val="21"/>
        </w:rPr>
        <w:t>曲线或报告</w:t>
      </w:r>
      <w:r>
        <w:rPr>
          <w:rFonts w:hint="eastAsia" w:ascii="宋体" w:hAnsi="宋体"/>
        </w:rPr>
        <w:t>提出异议期限</w:t>
      </w:r>
      <w:ins w:id="0" w:author="朱 寒峰" w:date="2023-04-13T21:13:00Z">
        <w:r>
          <w:rPr>
            <w:rFonts w:hint="eastAsia" w:ascii="宋体" w:hAnsi="宋体"/>
          </w:rPr>
          <w:t>同质保期（合同第三条）</w:t>
        </w:r>
      </w:ins>
      <w:r>
        <w:rPr>
          <w:rFonts w:hint="eastAsia" w:ascii="宋体" w:hAnsi="宋体"/>
        </w:rPr>
        <w:t>，若验收不合格，</w:t>
      </w:r>
      <w:r>
        <w:rPr>
          <w:rFonts w:hint="eastAsia"/>
        </w:rPr>
        <w:t>乙方</w:t>
      </w:r>
      <w:r>
        <w:rPr>
          <w:rFonts w:hint="eastAsia" w:ascii="宋体" w:hAnsi="宋体"/>
        </w:rPr>
        <w:t>负责</w:t>
      </w:r>
      <w:r>
        <w:rPr>
          <w:rFonts w:hint="eastAsia" w:ascii="宋体" w:hAnsi="宋体"/>
          <w:lang w:val="en-US" w:eastAsia="zh-CN"/>
        </w:rPr>
        <w:t>重新检测</w:t>
      </w:r>
      <w:r>
        <w:rPr>
          <w:rFonts w:hint="eastAsia" w:ascii="宋体" w:hAnsi="宋体"/>
        </w:rPr>
        <w:t xml:space="preserve">，并承担由此产生的所有费用。  </w:t>
      </w:r>
    </w:p>
    <w:p>
      <w:pPr>
        <w:spacing w:line="500" w:lineRule="exact"/>
        <w:ind w:left="840" w:hanging="840" w:hangingChars="400"/>
        <w:rPr>
          <w:rFonts w:ascii="仿宋_GB2312" w:hAnsi="仿宋_GB2312" w:eastAsia="仿宋_GB2312"/>
          <w:color w:val="FF0000"/>
          <w:sz w:val="24"/>
          <w:szCs w:val="24"/>
        </w:rPr>
      </w:pPr>
      <w:r>
        <w:rPr>
          <w:rFonts w:hint="eastAsia" w:ascii="宋体" w:hAnsi="宋体"/>
        </w:rPr>
        <w:t>第八条  结算方式及时间：现汇结算，</w:t>
      </w:r>
      <w:r>
        <w:rPr>
          <w:rFonts w:hint="eastAsia" w:ascii="宋体" w:hAnsi="宋体"/>
          <w:lang w:val="en-US" w:eastAsia="zh-CN"/>
        </w:rPr>
        <w:t>曲线或报告</w:t>
      </w:r>
      <w:r>
        <w:rPr>
          <w:rFonts w:hint="eastAsia" w:ascii="宋体" w:hAnsi="宋体"/>
        </w:rPr>
        <w:t>验收合格、发票到后支付货款。当月25日前受托方提供结算依据或送审资料，经委托方确认并送审，由集团审计部出具审定单。</w:t>
      </w:r>
    </w:p>
    <w:p>
      <w:pPr>
        <w:spacing w:line="400" w:lineRule="exact"/>
        <w:ind w:left="840" w:hanging="840"/>
        <w:rPr>
          <w:rFonts w:ascii="宋体" w:hAnsi="宋体"/>
        </w:rPr>
      </w:pPr>
      <w:r>
        <w:rPr>
          <w:rFonts w:hint="eastAsia" w:ascii="宋体" w:hAnsi="宋体"/>
        </w:rPr>
        <w:t xml:space="preserve">第九条  </w:t>
      </w:r>
      <w:r>
        <w:rPr>
          <w:rFonts w:hint="eastAsia" w:ascii="宋体" w:hAnsi="宋体" w:cs="仿宋_GB2312"/>
          <w:szCs w:val="21"/>
        </w:rPr>
        <w:t>违约责任：</w:t>
      </w:r>
      <w:bookmarkStart w:id="0" w:name="_Hlk512512960"/>
      <w:r>
        <w:rPr>
          <w:rFonts w:hint="eastAsia" w:ascii="宋体" w:hAnsi="宋体" w:cs="仿宋_GB2312"/>
          <w:szCs w:val="21"/>
        </w:rPr>
        <w:t>如乙方延迟交货，每迟延一天，承担合同总额1%的违约金，如仍不足以弥补甲方因此遭受的全部直接与间接损失的，乙方应予以全额赔偿</w:t>
      </w:r>
      <w:bookmarkEnd w:id="0"/>
      <w:r>
        <w:rPr>
          <w:rFonts w:hint="eastAsia" w:ascii="宋体" w:hAnsi="宋体" w:cs="仿宋_GB2312"/>
          <w:szCs w:val="21"/>
        </w:rPr>
        <w:t>；如延期交货超过</w:t>
      </w:r>
      <w:ins w:id="1" w:author="wangshaojie" w:date="2021-07-06T21:26:00Z">
        <w:r>
          <w:rPr>
            <w:rFonts w:hint="eastAsia" w:ascii="宋体" w:hAnsi="宋体" w:cs="仿宋_GB2312"/>
            <w:szCs w:val="21"/>
          </w:rPr>
          <w:t>15</w:t>
        </w:r>
      </w:ins>
      <w:r>
        <w:rPr>
          <w:rFonts w:hint="eastAsia" w:ascii="宋体" w:hAnsi="宋体" w:cs="仿宋_GB2312"/>
          <w:szCs w:val="21"/>
        </w:rPr>
        <w:t>天，甲方有权解除合同，另找第三方完成，由此产生的费用及甲方提供的加工材料损失由乙方承担，乙方还应在3日内将甲方之前所支付的加工款全部返还甲方，如逾期未返还，自应当返还之日起每天承担合同总额1%的违约金。此外，乙方还应向甲方支付相当于本合同总金额3</w:t>
      </w:r>
      <w:r>
        <w:rPr>
          <w:rFonts w:ascii="宋体" w:hAnsi="宋体" w:cs="仿宋_GB2312"/>
          <w:szCs w:val="21"/>
        </w:rPr>
        <w:t>0</w:t>
      </w:r>
      <w:r>
        <w:rPr>
          <w:rFonts w:hint="eastAsia" w:ascii="宋体" w:hAnsi="宋体" w:cs="仿宋_GB2312"/>
          <w:szCs w:val="21"/>
        </w:rPr>
        <w:t>%的违约金</w:t>
      </w:r>
      <w:r>
        <w:rPr>
          <w:rFonts w:ascii="宋体" w:hAnsi="宋体"/>
          <w:szCs w:val="21"/>
        </w:rPr>
        <w:t>。</w:t>
      </w:r>
      <w:r>
        <w:rPr>
          <w:rFonts w:hint="eastAsia" w:ascii="宋体" w:hAnsi="宋体"/>
          <w:szCs w:val="21"/>
        </w:rPr>
        <w:t>乙方如有其它违约行为的，参照本条约定承担违约责任。</w:t>
      </w:r>
    </w:p>
    <w:p>
      <w:pPr>
        <w:spacing w:line="400" w:lineRule="exact"/>
        <w:ind w:left="840" w:hanging="840"/>
        <w:rPr>
          <w:rFonts w:ascii="宋体" w:hAnsi="宋体"/>
          <w:color w:val="000000"/>
          <w:spacing w:val="-10"/>
        </w:rPr>
      </w:pPr>
      <w:r>
        <w:rPr>
          <w:rFonts w:hint="eastAsia" w:ascii="宋体" w:hAnsi="宋体"/>
        </w:rPr>
        <w:t>第十条  合同争议解决方式：本合同在履行过程中发生的争议，由双方当事人协商解决，协商不成的，双方均有权依法向镇江市京口区人民法院起诉，因</w:t>
      </w:r>
      <w:r>
        <w:rPr>
          <w:rFonts w:hint="eastAsia" w:ascii="宋体" w:hAnsi="宋体"/>
          <w:lang w:eastAsia="zh-CN"/>
        </w:rPr>
        <w:t>加工</w:t>
      </w:r>
      <w:r>
        <w:rPr>
          <w:rFonts w:hint="eastAsia" w:ascii="宋体" w:hAnsi="宋体"/>
        </w:rPr>
        <w:t>人违约引发的诉讼，</w:t>
      </w:r>
      <w:r>
        <w:rPr>
          <w:rFonts w:hint="eastAsia" w:ascii="宋体" w:hAnsi="宋体"/>
          <w:lang w:eastAsia="zh-CN"/>
        </w:rPr>
        <w:t>加工</w:t>
      </w:r>
      <w:r>
        <w:rPr>
          <w:rFonts w:hint="eastAsia" w:ascii="宋体" w:hAnsi="宋体"/>
        </w:rPr>
        <w:t>人除应承担依法履行相关裁判外，还应承担</w:t>
      </w:r>
      <w:r>
        <w:rPr>
          <w:rFonts w:hint="eastAsia" w:ascii="宋体" w:hAnsi="宋体"/>
          <w:lang w:eastAsia="zh-CN"/>
        </w:rPr>
        <w:t>委托</w:t>
      </w:r>
      <w:r>
        <w:rPr>
          <w:rFonts w:hint="eastAsia" w:ascii="宋体" w:hAnsi="宋体"/>
        </w:rPr>
        <w:t>人因聘请律师的费用（认可律师费按备案标准支付）、调查取证的费用及产生的其他合理费用。</w:t>
      </w:r>
    </w:p>
    <w:p>
      <w:pPr>
        <w:spacing w:line="400" w:lineRule="exact"/>
        <w:ind w:left="840" w:hanging="840"/>
        <w:rPr>
          <w:rFonts w:ascii="宋体" w:hAnsi="宋体"/>
        </w:rPr>
      </w:pPr>
      <w:r>
        <w:rPr>
          <w:rFonts w:hint="eastAsia" w:ascii="宋体" w:hAnsi="宋体"/>
        </w:rPr>
        <w:t>第十一条 乙方应自行负责自己一方人员的人身、财产安全。如在履行本合同过程中发生安全事故，乙方应自行承担相应的法律责任，若因此导致甲方损失的，乙方应予以全额赔偿。</w:t>
      </w:r>
    </w:p>
    <w:p>
      <w:pPr>
        <w:spacing w:line="280" w:lineRule="exact"/>
        <w:ind w:left="840" w:hanging="840" w:hangingChars="400"/>
        <w:rPr>
          <w:rFonts w:ascii="宋体" w:hAnsi="宋体" w:cs="仿宋_GB2312"/>
          <w:szCs w:val="21"/>
        </w:rPr>
      </w:pPr>
      <w:r>
        <w:rPr>
          <w:rFonts w:hint="eastAsia" w:ascii="宋体" w:hAnsi="宋体"/>
        </w:rPr>
        <w:t>第十二条 乙方应对所加工产品享有完全知识产权,若因乙方原因引起知识产权纠纷,甲方不承担任何责任。如因乙方导致甲方受第三方追索，</w:t>
      </w:r>
      <w:r>
        <w:rPr>
          <w:rFonts w:hint="eastAsia" w:ascii="宋体" w:hAnsi="宋体" w:cs="仿宋_GB2312"/>
          <w:szCs w:val="21"/>
        </w:rPr>
        <w:t>乙方应积极配合协助甲方解决，所发生的费用包括侵权赔偿、律师费、诉讼费、差旅费等均由乙方承担。</w:t>
      </w:r>
    </w:p>
    <w:p>
      <w:pPr>
        <w:spacing w:line="400" w:lineRule="exact"/>
        <w:ind w:left="840" w:hanging="840"/>
        <w:rPr>
          <w:rFonts w:ascii="宋体" w:hAnsi="宋体"/>
        </w:rPr>
      </w:pPr>
      <w:r>
        <w:rPr>
          <w:rFonts w:hint="eastAsia" w:ascii="宋体" w:hAnsi="宋体"/>
        </w:rPr>
        <w:t>第十三条 乙方承诺，放弃对甲方提供的材料和加工完成的产品享有的留置权，无论出现何种情形，乙方保证不行使留置权。</w:t>
      </w:r>
    </w:p>
    <w:p>
      <w:pPr>
        <w:spacing w:line="400" w:lineRule="exact"/>
        <w:ind w:left="1050" w:hanging="1050" w:hangingChars="500"/>
        <w:rPr>
          <w:rFonts w:ascii="宋体" w:hAnsi="宋体"/>
        </w:rPr>
      </w:pPr>
      <w:r>
        <w:rPr>
          <w:rFonts w:hint="eastAsia" w:ascii="宋体" w:hAnsi="宋体"/>
        </w:rPr>
        <w:t>第十四条 其他未尽事宜，双方协商解决，并签订补充协议，合同清单作为合同附件与本合同具有同等法律效力。</w:t>
      </w:r>
    </w:p>
    <w:p>
      <w:pPr>
        <w:spacing w:line="400" w:lineRule="exact"/>
        <w:rPr>
          <w:rFonts w:ascii="宋体" w:hAnsi="宋体"/>
        </w:rPr>
      </w:pPr>
      <w:r>
        <w:rPr>
          <w:rFonts w:hint="eastAsia" w:ascii="宋体" w:hAnsi="宋体"/>
        </w:rPr>
        <w:t>第十五条 其它约定事项：技术协议、图纸作为合同附件与本合同具有同等法律效力。</w:t>
      </w:r>
    </w:p>
    <w:p>
      <w:pPr>
        <w:spacing w:line="400" w:lineRule="exact"/>
        <w:ind w:left="840" w:hanging="840" w:hangingChars="400"/>
        <w:rPr>
          <w:rFonts w:ascii="宋体" w:hAnsi="宋体"/>
          <w:szCs w:val="22"/>
        </w:rPr>
      </w:pPr>
      <w:r>
        <w:rPr>
          <w:rFonts w:hint="eastAsia" w:ascii="宋体" w:hAnsi="宋体"/>
        </w:rPr>
        <w:t>第十六条 本合同一式肆份，双方各执贰份，自双方签章之日起生效（双方确认一方在合同上签章后以传真或扫描件形式传输给对方，对方接收后在该传真或扫描件上签章后再以传真或扫描件形式回传对方也视为合同生效，双方约定通过本合同签署栏列明的传真号或电子邮箱账号互传合同传真件或扫描件）。</w:t>
      </w:r>
    </w:p>
    <w:tbl>
      <w:tblPr>
        <w:tblStyle w:val="29"/>
        <w:tblW w:w="0" w:type="auto"/>
        <w:tblInd w:w="0" w:type="dxa"/>
        <w:tblLayout w:type="fixed"/>
        <w:tblCellMar>
          <w:top w:w="0" w:type="dxa"/>
          <w:left w:w="108" w:type="dxa"/>
          <w:bottom w:w="0" w:type="dxa"/>
          <w:right w:w="108" w:type="dxa"/>
        </w:tblCellMar>
      </w:tblPr>
      <w:tblGrid>
        <w:gridCol w:w="5143"/>
        <w:gridCol w:w="5161"/>
      </w:tblGrid>
      <w:tr>
        <w:tblPrEx>
          <w:tblCellMar>
            <w:top w:w="0" w:type="dxa"/>
            <w:left w:w="108" w:type="dxa"/>
            <w:bottom w:w="0" w:type="dxa"/>
            <w:right w:w="108" w:type="dxa"/>
          </w:tblCellMar>
        </w:tblPrEx>
        <w:trPr>
          <w:trHeight w:val="3667" w:hRule="atLeast"/>
        </w:trPr>
        <w:tc>
          <w:tcPr>
            <w:tcW w:w="51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rPr>
                <w:rFonts w:ascii="Calibri" w:hAnsi="宋体"/>
                <w:szCs w:val="21"/>
              </w:rPr>
            </w:pPr>
            <w:r>
              <w:rPr>
                <w:rFonts w:hint="eastAsia" w:ascii="Calibri" w:hAnsi="宋体"/>
                <w:szCs w:val="21"/>
              </w:rPr>
              <w:t xml:space="preserve">甲方（盖章）：江苏索普赛瑞装备制造有限公司                    </w:t>
            </w:r>
          </w:p>
          <w:p>
            <w:pPr>
              <w:spacing w:line="400" w:lineRule="exact"/>
              <w:rPr>
                <w:rFonts w:ascii="Calibri" w:hAnsi="宋体"/>
                <w:szCs w:val="21"/>
              </w:rPr>
            </w:pPr>
            <w:r>
              <w:rPr>
                <w:rFonts w:hint="eastAsia" w:ascii="Calibri" w:hAnsi="宋体"/>
                <w:szCs w:val="21"/>
              </w:rPr>
              <w:t>约定送达地址：镇江市京口区求索路18号</w:t>
            </w:r>
          </w:p>
          <w:p>
            <w:pPr>
              <w:spacing w:line="400" w:lineRule="exact"/>
              <w:rPr>
                <w:rFonts w:hint="eastAsia" w:ascii="Calibri" w:hAnsi="宋体" w:eastAsia="宋体"/>
                <w:szCs w:val="21"/>
                <w:lang w:val="en-US" w:eastAsia="zh-CN"/>
              </w:rPr>
            </w:pPr>
            <w:r>
              <w:rPr>
                <w:rFonts w:hint="eastAsia" w:ascii="Calibri" w:hAnsi="宋体"/>
                <w:szCs w:val="21"/>
              </w:rPr>
              <w:t>经办人（签名）：</w:t>
            </w:r>
            <w:r>
              <w:rPr>
                <w:rFonts w:hint="eastAsia" w:ascii="Calibri" w:hAnsi="宋体"/>
                <w:szCs w:val="21"/>
                <w:lang w:val="en-US" w:eastAsia="zh-CN"/>
              </w:rPr>
              <w:t>王琦</w:t>
            </w:r>
          </w:p>
          <w:p>
            <w:pPr>
              <w:spacing w:line="400" w:lineRule="exact"/>
              <w:rPr>
                <w:rFonts w:ascii="Calibri" w:hAnsi="宋体"/>
                <w:szCs w:val="21"/>
              </w:rPr>
            </w:pPr>
            <w:r>
              <w:rPr>
                <w:rFonts w:hint="eastAsia" w:ascii="Calibri" w:hAnsi="宋体"/>
                <w:szCs w:val="21"/>
              </w:rPr>
              <w:t>电话：</w:t>
            </w:r>
            <w:r>
              <w:rPr>
                <w:rFonts w:hint="eastAsia" w:ascii="Calibri" w:hAnsi="宋体"/>
                <w:szCs w:val="21"/>
                <w:lang w:val="en-US" w:eastAsia="zh-CN"/>
              </w:rPr>
              <w:t>13812468489</w:t>
            </w:r>
            <w:r>
              <w:rPr>
                <w:rFonts w:hint="eastAsia" w:ascii="Calibri" w:hAnsi="宋体"/>
                <w:szCs w:val="21"/>
              </w:rPr>
              <w:t xml:space="preserve"> </w:t>
            </w:r>
            <w:r>
              <w:rPr>
                <w:rFonts w:ascii="Calibri" w:hAnsi="宋体"/>
                <w:szCs w:val="21"/>
              </w:rPr>
              <w:t xml:space="preserve">          </w:t>
            </w:r>
            <w:r>
              <w:rPr>
                <w:rFonts w:hint="eastAsia" w:ascii="Calibri" w:hAnsi="宋体"/>
                <w:szCs w:val="21"/>
              </w:rPr>
              <w:t>传真：</w:t>
            </w:r>
          </w:p>
          <w:p>
            <w:pPr>
              <w:spacing w:line="400" w:lineRule="exact"/>
              <w:rPr>
                <w:rFonts w:ascii="Calibri" w:hAnsi="宋体"/>
                <w:szCs w:val="21"/>
              </w:rPr>
            </w:pPr>
            <w:r>
              <w:rPr>
                <w:rFonts w:hint="eastAsia" w:ascii="Calibri" w:hAnsi="宋体"/>
                <w:szCs w:val="21"/>
              </w:rPr>
              <w:t>电子邮箱：wangqi@sopocere.com</w:t>
            </w:r>
          </w:p>
          <w:p>
            <w:pPr>
              <w:spacing w:line="400" w:lineRule="exact"/>
              <w:rPr>
                <w:rFonts w:ascii="Calibri" w:hAnsi="宋体"/>
                <w:szCs w:val="21"/>
              </w:rPr>
            </w:pPr>
            <w:r>
              <w:rPr>
                <w:rFonts w:hint="eastAsia" w:ascii="Calibri" w:hAnsi="宋体"/>
                <w:szCs w:val="21"/>
              </w:rPr>
              <w:t>开户银行：中国银行股份有限公司镇江谏壁支行</w:t>
            </w:r>
          </w:p>
          <w:p>
            <w:pPr>
              <w:spacing w:line="400" w:lineRule="exact"/>
              <w:rPr>
                <w:rFonts w:ascii="Calibri" w:hAnsi="宋体"/>
                <w:szCs w:val="21"/>
              </w:rPr>
            </w:pPr>
            <w:r>
              <w:rPr>
                <w:rFonts w:hint="eastAsia" w:ascii="Calibri" w:hAnsi="宋体"/>
                <w:szCs w:val="21"/>
              </w:rPr>
              <w:t>帐号：467670912646</w:t>
            </w:r>
          </w:p>
          <w:p>
            <w:pPr>
              <w:spacing w:line="400" w:lineRule="exact"/>
              <w:rPr>
                <w:rFonts w:ascii="Calibri" w:hAnsi="宋体"/>
                <w:szCs w:val="21"/>
              </w:rPr>
            </w:pPr>
            <w:r>
              <w:rPr>
                <w:rFonts w:hint="eastAsia" w:ascii="Calibri" w:hAnsi="宋体"/>
                <w:szCs w:val="21"/>
              </w:rPr>
              <w:t>税号：91321102MA1T4PGE1C</w:t>
            </w:r>
          </w:p>
          <w:p>
            <w:pPr>
              <w:spacing w:line="400" w:lineRule="exact"/>
            </w:pPr>
            <w:r>
              <w:rPr>
                <w:rFonts w:hint="eastAsia" w:ascii="Calibri" w:hAnsi="宋体"/>
                <w:szCs w:val="21"/>
              </w:rPr>
              <w:t>邮政编码：212006</w:t>
            </w:r>
          </w:p>
        </w:tc>
        <w:tc>
          <w:tcPr>
            <w:tcW w:w="5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E/>
              <w:autoSpaceDN/>
              <w:spacing w:before="0" w:after="0" w:line="400" w:lineRule="exact"/>
              <w:ind w:left="0" w:firstLine="0"/>
              <w:rPr>
                <w:rFonts w:hint="default" w:ascii="Calibri" w:hAnsi="宋体" w:eastAsia="宋体"/>
                <w:szCs w:val="21"/>
                <w:lang w:val="en-US" w:eastAsia="zh-CN"/>
              </w:rPr>
            </w:pPr>
            <w:r>
              <w:rPr>
                <w:rFonts w:hint="eastAsia" w:ascii="Calibri" w:hAnsi="宋体"/>
                <w:szCs w:val="21"/>
              </w:rPr>
              <w:t>乙方（盖章）：</w:t>
            </w:r>
          </w:p>
          <w:p>
            <w:pPr>
              <w:autoSpaceDE/>
              <w:autoSpaceDN/>
              <w:spacing w:before="0" w:after="0" w:line="400" w:lineRule="exact"/>
              <w:ind w:left="0" w:firstLine="0"/>
              <w:rPr>
                <w:rFonts w:hint="eastAsia" w:ascii="Calibri" w:hAnsi="宋体"/>
                <w:szCs w:val="21"/>
              </w:rPr>
            </w:pPr>
            <w:r>
              <w:rPr>
                <w:rFonts w:hint="eastAsia" w:ascii="Calibri" w:hAnsi="宋体"/>
                <w:szCs w:val="21"/>
              </w:rPr>
              <w:t>约定送达地址：</w:t>
            </w:r>
          </w:p>
          <w:p>
            <w:pPr>
              <w:autoSpaceDE/>
              <w:autoSpaceDN/>
              <w:spacing w:before="0" w:after="0" w:line="400" w:lineRule="exact"/>
              <w:ind w:left="0" w:firstLine="0"/>
              <w:rPr>
                <w:rFonts w:hint="eastAsia" w:ascii="Calibri" w:hAnsi="宋体"/>
                <w:szCs w:val="21"/>
              </w:rPr>
            </w:pPr>
            <w:r>
              <w:rPr>
                <w:rFonts w:hint="eastAsia" w:ascii="Calibri" w:hAnsi="宋体"/>
                <w:szCs w:val="21"/>
              </w:rPr>
              <w:t xml:space="preserve">经办人（签名）： </w:t>
            </w:r>
          </w:p>
          <w:p>
            <w:pPr>
              <w:autoSpaceDE/>
              <w:autoSpaceDN/>
              <w:spacing w:before="0" w:after="0" w:line="400" w:lineRule="exact"/>
              <w:ind w:left="0" w:firstLine="0"/>
              <w:rPr>
                <w:rFonts w:hint="eastAsia" w:ascii="Calibri" w:hAnsi="宋体"/>
                <w:szCs w:val="21"/>
              </w:rPr>
            </w:pPr>
            <w:r>
              <w:rPr>
                <w:rFonts w:hint="eastAsia" w:ascii="Calibri" w:hAnsi="宋体"/>
                <w:szCs w:val="21"/>
              </w:rPr>
              <w:t>电话：</w:t>
            </w:r>
            <w:r>
              <w:rPr>
                <w:rFonts w:hint="eastAsia" w:ascii="Calibri" w:hAnsi="宋体"/>
                <w:szCs w:val="21"/>
                <w:lang w:val="en-US" w:eastAsia="zh-CN"/>
              </w:rPr>
              <w:t xml:space="preserve">  </w:t>
            </w:r>
            <w:r>
              <w:rPr>
                <w:rFonts w:ascii="Calibri" w:hAnsi="宋体"/>
                <w:szCs w:val="21"/>
              </w:rPr>
              <w:t xml:space="preserve">    </w:t>
            </w:r>
            <w:r>
              <w:rPr>
                <w:rFonts w:hint="eastAsia" w:ascii="Calibri" w:hAnsi="宋体"/>
                <w:szCs w:val="21"/>
              </w:rPr>
              <w:t>传真：</w:t>
            </w:r>
          </w:p>
          <w:p>
            <w:pPr>
              <w:autoSpaceDE/>
              <w:autoSpaceDN/>
              <w:spacing w:before="0" w:after="0" w:line="400" w:lineRule="exact"/>
              <w:ind w:left="0" w:firstLine="0"/>
              <w:rPr>
                <w:rFonts w:hint="eastAsia" w:ascii="Calibri" w:hAnsi="宋体" w:eastAsia="宋体"/>
                <w:szCs w:val="21"/>
                <w:lang w:eastAsia="zh-CN"/>
              </w:rPr>
            </w:pPr>
            <w:r>
              <w:rPr>
                <w:rFonts w:hint="eastAsia" w:ascii="Calibri" w:hAnsi="宋体"/>
                <w:szCs w:val="21"/>
              </w:rPr>
              <w:t>电子邮箱：</w:t>
            </w:r>
            <w:r>
              <w:rPr>
                <w:rFonts w:hint="eastAsia" w:ascii="Arial" w:hAnsi="Arial" w:cs="Arial"/>
                <w:i w:val="0"/>
                <w:iCs w:val="0"/>
                <w:caps w:val="0"/>
                <w:color w:val="000000"/>
                <w:spacing w:val="0"/>
                <w:sz w:val="21"/>
                <w:szCs w:val="21"/>
                <w:lang w:val="en-US" w:eastAsia="zh-CN"/>
              </w:rPr>
              <w:t xml:space="preserve"> </w:t>
            </w:r>
          </w:p>
          <w:p>
            <w:pPr>
              <w:autoSpaceDE/>
              <w:autoSpaceDN/>
              <w:spacing w:before="0" w:after="0" w:line="280" w:lineRule="exact"/>
              <w:ind w:left="0" w:firstLine="0"/>
              <w:rPr>
                <w:rFonts w:hint="default" w:ascii="Calibri" w:hAnsi="宋体" w:eastAsia="宋体"/>
                <w:szCs w:val="21"/>
                <w:lang w:val="en-US" w:eastAsia="zh-CN"/>
              </w:rPr>
            </w:pPr>
            <w:r>
              <w:rPr>
                <w:rFonts w:hint="eastAsia" w:ascii="Calibri" w:hAnsi="宋体"/>
                <w:szCs w:val="21"/>
              </w:rPr>
              <w:t>开户银行</w:t>
            </w:r>
            <w:r>
              <w:rPr>
                <w:rFonts w:hint="eastAsia" w:ascii="Calibri" w:hAnsi="宋体"/>
                <w:szCs w:val="21"/>
                <w:lang w:val="en-US" w:eastAsia="zh-CN"/>
              </w:rPr>
              <w:t xml:space="preserve">: </w:t>
            </w:r>
          </w:p>
          <w:p>
            <w:pPr>
              <w:autoSpaceDE/>
              <w:autoSpaceDN/>
              <w:spacing w:before="0" w:after="0" w:line="400" w:lineRule="exact"/>
              <w:ind w:left="0" w:firstLine="0"/>
              <w:rPr>
                <w:rFonts w:hint="eastAsia" w:ascii="Calibri" w:hAnsi="宋体"/>
                <w:szCs w:val="21"/>
                <w:lang w:val="en-US" w:eastAsia="zh-CN"/>
              </w:rPr>
            </w:pPr>
            <w:r>
              <w:rPr>
                <w:rFonts w:hint="eastAsia" w:ascii="Calibri" w:hAnsi="宋体"/>
                <w:szCs w:val="21"/>
              </w:rPr>
              <w:t>帐号：</w:t>
            </w:r>
            <w:r>
              <w:rPr>
                <w:rFonts w:hint="eastAsia" w:ascii="Calibri" w:hAnsi="宋体"/>
                <w:szCs w:val="21"/>
                <w:lang w:val="en-US" w:eastAsia="zh-CN"/>
              </w:rPr>
              <w:t xml:space="preserve"> </w:t>
            </w:r>
          </w:p>
          <w:p>
            <w:pPr>
              <w:autoSpaceDE/>
              <w:autoSpaceDN/>
              <w:spacing w:before="0" w:after="0" w:line="400" w:lineRule="exact"/>
              <w:ind w:left="0" w:firstLine="0"/>
              <w:rPr>
                <w:rFonts w:hint="default" w:ascii="Calibri" w:hAnsi="宋体"/>
                <w:b/>
                <w:bCs/>
                <w:szCs w:val="21"/>
                <w:lang w:val="en-US" w:eastAsia="zh-CN"/>
              </w:rPr>
            </w:pPr>
            <w:r>
              <w:rPr>
                <w:rFonts w:hint="eastAsia" w:ascii="Calibri" w:hAnsi="宋体"/>
                <w:szCs w:val="21"/>
                <w:lang w:val="en-US" w:eastAsia="zh-CN"/>
              </w:rPr>
              <w:t>行号：</w:t>
            </w:r>
          </w:p>
          <w:p>
            <w:pPr>
              <w:autoSpaceDE/>
              <w:autoSpaceDN/>
              <w:spacing w:before="0" w:after="0" w:line="400" w:lineRule="exact"/>
              <w:ind w:left="0" w:firstLine="0"/>
              <w:rPr>
                <w:rFonts w:hint="default" w:ascii="Calibri" w:hAnsi="宋体" w:eastAsia="宋体"/>
                <w:szCs w:val="21"/>
                <w:lang w:val="en-US" w:eastAsia="zh-CN"/>
              </w:rPr>
            </w:pPr>
            <w:r>
              <w:rPr>
                <w:rFonts w:hint="eastAsia" w:ascii="Calibri" w:hAnsi="宋体"/>
                <w:szCs w:val="21"/>
              </w:rPr>
              <w:t>税号：</w:t>
            </w:r>
          </w:p>
          <w:p>
            <w:pPr>
              <w:spacing w:line="400" w:lineRule="exact"/>
              <w:rPr>
                <w:rFonts w:hint="default" w:eastAsia="宋体"/>
                <w:lang w:val="en-US" w:eastAsia="zh-CN"/>
              </w:rPr>
            </w:pPr>
            <w:r>
              <w:rPr>
                <w:rFonts w:hint="eastAsia" w:ascii="Calibri" w:hAnsi="宋体"/>
                <w:szCs w:val="21"/>
              </w:rPr>
              <w:t>邮政编码：</w:t>
            </w:r>
          </w:p>
        </w:tc>
      </w:tr>
    </w:tbl>
    <w:p>
      <w:pPr>
        <w:spacing w:line="280" w:lineRule="exact"/>
        <w:rPr>
          <w:rFonts w:ascii="宋体" w:hAnsi="宋体"/>
        </w:rPr>
      </w:pPr>
      <w:r>
        <w:rPr>
          <w:rFonts w:hint="eastAsia" w:ascii="宋体" w:hAnsi="宋体"/>
        </w:rPr>
        <w:t xml:space="preserve">              </w:t>
      </w:r>
    </w:p>
    <w:p>
      <w:pPr>
        <w:spacing w:line="280" w:lineRule="exact"/>
        <w:rPr>
          <w:rFonts w:ascii="宋体" w:hAnsi="宋体"/>
        </w:rPr>
      </w:pPr>
    </w:p>
    <w:p>
      <w:pPr>
        <w:spacing w:line="280" w:lineRule="exact"/>
        <w:rPr>
          <w:rFonts w:ascii="宋体" w:hAnsi="宋体"/>
          <w:sz w:val="20"/>
        </w:rPr>
      </w:pPr>
      <w:bookmarkStart w:id="1" w:name="_GoBack"/>
      <w:bookmarkEnd w:id="1"/>
    </w:p>
    <w:sectPr>
      <w:pgSz w:w="11906" w:h="16838"/>
      <w:pgMar w:top="473" w:right="1069" w:bottom="405" w:left="117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 寒峰">
    <w15:presenceInfo w15:providerId="Windows Live" w15:userId="63bb2fb12221921b"/>
  </w15:person>
  <w15:person w15:author="wangshaojie">
    <w15:presenceInfo w15:providerId="None" w15:userId="wangshao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A772AF"/>
    <w:rsid w:val="00002038"/>
    <w:rsid w:val="00052973"/>
    <w:rsid w:val="00147177"/>
    <w:rsid w:val="0018491D"/>
    <w:rsid w:val="00191D54"/>
    <w:rsid w:val="001E0B71"/>
    <w:rsid w:val="001E646D"/>
    <w:rsid w:val="002071D5"/>
    <w:rsid w:val="00230718"/>
    <w:rsid w:val="002F357C"/>
    <w:rsid w:val="00311B3F"/>
    <w:rsid w:val="00392A07"/>
    <w:rsid w:val="00397782"/>
    <w:rsid w:val="003B4F06"/>
    <w:rsid w:val="00416CFD"/>
    <w:rsid w:val="00432F32"/>
    <w:rsid w:val="004417A1"/>
    <w:rsid w:val="00477709"/>
    <w:rsid w:val="004B77D9"/>
    <w:rsid w:val="0050016D"/>
    <w:rsid w:val="00565B5F"/>
    <w:rsid w:val="005E0772"/>
    <w:rsid w:val="006363D4"/>
    <w:rsid w:val="0066278A"/>
    <w:rsid w:val="0072335C"/>
    <w:rsid w:val="007826AF"/>
    <w:rsid w:val="00795736"/>
    <w:rsid w:val="007B59E7"/>
    <w:rsid w:val="0088581D"/>
    <w:rsid w:val="008926A1"/>
    <w:rsid w:val="008E31D1"/>
    <w:rsid w:val="00975FDA"/>
    <w:rsid w:val="00993DC9"/>
    <w:rsid w:val="009F02FF"/>
    <w:rsid w:val="00A45854"/>
    <w:rsid w:val="00A5008A"/>
    <w:rsid w:val="00A75FC8"/>
    <w:rsid w:val="00A772AF"/>
    <w:rsid w:val="00AD4413"/>
    <w:rsid w:val="00BA77E5"/>
    <w:rsid w:val="00CB5E7B"/>
    <w:rsid w:val="00D076DE"/>
    <w:rsid w:val="00D636E0"/>
    <w:rsid w:val="00E10F03"/>
    <w:rsid w:val="00E724B6"/>
    <w:rsid w:val="00F14E5E"/>
    <w:rsid w:val="00F85F46"/>
    <w:rsid w:val="00FA3AB6"/>
    <w:rsid w:val="00FE0EA6"/>
    <w:rsid w:val="01A31822"/>
    <w:rsid w:val="020C0BBC"/>
    <w:rsid w:val="024F7E1E"/>
    <w:rsid w:val="02DB25C8"/>
    <w:rsid w:val="03161CF4"/>
    <w:rsid w:val="03692CF7"/>
    <w:rsid w:val="03841AE7"/>
    <w:rsid w:val="03F01CF3"/>
    <w:rsid w:val="0411488B"/>
    <w:rsid w:val="04922062"/>
    <w:rsid w:val="049B0007"/>
    <w:rsid w:val="04F64789"/>
    <w:rsid w:val="05321CD1"/>
    <w:rsid w:val="054E7B90"/>
    <w:rsid w:val="05BA6FAB"/>
    <w:rsid w:val="0616025A"/>
    <w:rsid w:val="062955CB"/>
    <w:rsid w:val="062E5328"/>
    <w:rsid w:val="065A0B94"/>
    <w:rsid w:val="06BC0010"/>
    <w:rsid w:val="06C83876"/>
    <w:rsid w:val="07452EC6"/>
    <w:rsid w:val="07A62ADC"/>
    <w:rsid w:val="07BA1627"/>
    <w:rsid w:val="083F0160"/>
    <w:rsid w:val="08555A39"/>
    <w:rsid w:val="08C4095B"/>
    <w:rsid w:val="08E1613C"/>
    <w:rsid w:val="092E5AF0"/>
    <w:rsid w:val="09317497"/>
    <w:rsid w:val="0955254E"/>
    <w:rsid w:val="09B439DB"/>
    <w:rsid w:val="09D93927"/>
    <w:rsid w:val="0A2A6F4B"/>
    <w:rsid w:val="0A7C3A01"/>
    <w:rsid w:val="0AE1236E"/>
    <w:rsid w:val="0B9C3229"/>
    <w:rsid w:val="0B9F4E48"/>
    <w:rsid w:val="0BD71097"/>
    <w:rsid w:val="0C147001"/>
    <w:rsid w:val="0C29203B"/>
    <w:rsid w:val="0C2E135C"/>
    <w:rsid w:val="0CDD126A"/>
    <w:rsid w:val="0D226035"/>
    <w:rsid w:val="0D300D0A"/>
    <w:rsid w:val="0D445413"/>
    <w:rsid w:val="0DFA47DD"/>
    <w:rsid w:val="0F065C17"/>
    <w:rsid w:val="0F144016"/>
    <w:rsid w:val="10301A53"/>
    <w:rsid w:val="107C3BB7"/>
    <w:rsid w:val="109068F9"/>
    <w:rsid w:val="10D2621C"/>
    <w:rsid w:val="111D2C13"/>
    <w:rsid w:val="11597F63"/>
    <w:rsid w:val="11857859"/>
    <w:rsid w:val="11E815F9"/>
    <w:rsid w:val="11FF38EA"/>
    <w:rsid w:val="12F670D1"/>
    <w:rsid w:val="136432BC"/>
    <w:rsid w:val="136E025A"/>
    <w:rsid w:val="137D4C9D"/>
    <w:rsid w:val="138B18D6"/>
    <w:rsid w:val="13AD314B"/>
    <w:rsid w:val="142B6C2D"/>
    <w:rsid w:val="147471EB"/>
    <w:rsid w:val="14884CF9"/>
    <w:rsid w:val="14C90DA6"/>
    <w:rsid w:val="14D02F9A"/>
    <w:rsid w:val="15754481"/>
    <w:rsid w:val="15972B19"/>
    <w:rsid w:val="15F74C35"/>
    <w:rsid w:val="167575C7"/>
    <w:rsid w:val="177901BB"/>
    <w:rsid w:val="185166AE"/>
    <w:rsid w:val="18980E87"/>
    <w:rsid w:val="18CB04DA"/>
    <w:rsid w:val="190B3289"/>
    <w:rsid w:val="196A5046"/>
    <w:rsid w:val="19C57B33"/>
    <w:rsid w:val="1A997D2F"/>
    <w:rsid w:val="1ACA00C4"/>
    <w:rsid w:val="1B932ED8"/>
    <w:rsid w:val="1C106E37"/>
    <w:rsid w:val="1C1B78A6"/>
    <w:rsid w:val="1C8B72BD"/>
    <w:rsid w:val="1C8E1FD9"/>
    <w:rsid w:val="1CD50CF5"/>
    <w:rsid w:val="1D632610"/>
    <w:rsid w:val="1D770F67"/>
    <w:rsid w:val="1D847277"/>
    <w:rsid w:val="1E00613F"/>
    <w:rsid w:val="1E4E1CC3"/>
    <w:rsid w:val="1EFE6EC2"/>
    <w:rsid w:val="1F1100C8"/>
    <w:rsid w:val="1F242E4C"/>
    <w:rsid w:val="1F352948"/>
    <w:rsid w:val="1F5B3E1F"/>
    <w:rsid w:val="1FD42371"/>
    <w:rsid w:val="1FDC5679"/>
    <w:rsid w:val="1FE2447F"/>
    <w:rsid w:val="1FF87A31"/>
    <w:rsid w:val="2060363B"/>
    <w:rsid w:val="210A3209"/>
    <w:rsid w:val="21463BF2"/>
    <w:rsid w:val="21872BAC"/>
    <w:rsid w:val="21922209"/>
    <w:rsid w:val="220F501B"/>
    <w:rsid w:val="22891A47"/>
    <w:rsid w:val="22A700C4"/>
    <w:rsid w:val="22CD2A22"/>
    <w:rsid w:val="233C5C93"/>
    <w:rsid w:val="240553CB"/>
    <w:rsid w:val="24DF420E"/>
    <w:rsid w:val="24F17F59"/>
    <w:rsid w:val="25111795"/>
    <w:rsid w:val="25B374A6"/>
    <w:rsid w:val="25FD1B8D"/>
    <w:rsid w:val="261B3C56"/>
    <w:rsid w:val="272029D8"/>
    <w:rsid w:val="272F2985"/>
    <w:rsid w:val="27603995"/>
    <w:rsid w:val="27810C4A"/>
    <w:rsid w:val="27AE21B9"/>
    <w:rsid w:val="27E0133F"/>
    <w:rsid w:val="28006DA7"/>
    <w:rsid w:val="28475020"/>
    <w:rsid w:val="284E75BA"/>
    <w:rsid w:val="28647655"/>
    <w:rsid w:val="28794AE5"/>
    <w:rsid w:val="296D46D5"/>
    <w:rsid w:val="29711162"/>
    <w:rsid w:val="297C1848"/>
    <w:rsid w:val="297F02E9"/>
    <w:rsid w:val="29CD3949"/>
    <w:rsid w:val="29F0048D"/>
    <w:rsid w:val="29FC0D9E"/>
    <w:rsid w:val="2ACF54D7"/>
    <w:rsid w:val="2ADC6B15"/>
    <w:rsid w:val="2B2D6DA0"/>
    <w:rsid w:val="2B7F2C0B"/>
    <w:rsid w:val="2B8F3601"/>
    <w:rsid w:val="2BC35ACF"/>
    <w:rsid w:val="2C5E09D9"/>
    <w:rsid w:val="2CA72F85"/>
    <w:rsid w:val="2CF95CE5"/>
    <w:rsid w:val="2D0C22CD"/>
    <w:rsid w:val="2D347E0B"/>
    <w:rsid w:val="2D4C31F6"/>
    <w:rsid w:val="2D712CF2"/>
    <w:rsid w:val="2D8113F2"/>
    <w:rsid w:val="2DDA5C66"/>
    <w:rsid w:val="2E013621"/>
    <w:rsid w:val="2E037B02"/>
    <w:rsid w:val="2E5D0ADE"/>
    <w:rsid w:val="2E777183"/>
    <w:rsid w:val="2EA3434D"/>
    <w:rsid w:val="2F272BCD"/>
    <w:rsid w:val="2F515C37"/>
    <w:rsid w:val="2F7274E7"/>
    <w:rsid w:val="301320B0"/>
    <w:rsid w:val="30200B2E"/>
    <w:rsid w:val="30255165"/>
    <w:rsid w:val="303A5EDA"/>
    <w:rsid w:val="307D3383"/>
    <w:rsid w:val="308A6F02"/>
    <w:rsid w:val="309F03D3"/>
    <w:rsid w:val="30AF3DFC"/>
    <w:rsid w:val="310616C7"/>
    <w:rsid w:val="31604F37"/>
    <w:rsid w:val="31F32EC8"/>
    <w:rsid w:val="322B3A17"/>
    <w:rsid w:val="329603BA"/>
    <w:rsid w:val="32A31A85"/>
    <w:rsid w:val="32A91286"/>
    <w:rsid w:val="32B90CFD"/>
    <w:rsid w:val="32E26E65"/>
    <w:rsid w:val="332601CF"/>
    <w:rsid w:val="334E3686"/>
    <w:rsid w:val="33D33325"/>
    <w:rsid w:val="33FE1663"/>
    <w:rsid w:val="342D4C46"/>
    <w:rsid w:val="34373E64"/>
    <w:rsid w:val="34853266"/>
    <w:rsid w:val="34B52726"/>
    <w:rsid w:val="34D41372"/>
    <w:rsid w:val="359927B1"/>
    <w:rsid w:val="35AC5711"/>
    <w:rsid w:val="35C42E5E"/>
    <w:rsid w:val="36671923"/>
    <w:rsid w:val="369861E7"/>
    <w:rsid w:val="369E61B4"/>
    <w:rsid w:val="36C84658"/>
    <w:rsid w:val="370720C1"/>
    <w:rsid w:val="37172CA1"/>
    <w:rsid w:val="37CB3754"/>
    <w:rsid w:val="37FE4B42"/>
    <w:rsid w:val="384E26C1"/>
    <w:rsid w:val="389129D9"/>
    <w:rsid w:val="39045A81"/>
    <w:rsid w:val="39763708"/>
    <w:rsid w:val="397B00BF"/>
    <w:rsid w:val="39A64646"/>
    <w:rsid w:val="39C31A87"/>
    <w:rsid w:val="39DE1268"/>
    <w:rsid w:val="3A0275FB"/>
    <w:rsid w:val="3A8E643E"/>
    <w:rsid w:val="3B3D6017"/>
    <w:rsid w:val="3BBC1190"/>
    <w:rsid w:val="3BC51CBA"/>
    <w:rsid w:val="3BCE4260"/>
    <w:rsid w:val="3BD148E1"/>
    <w:rsid w:val="3BE07A14"/>
    <w:rsid w:val="3C7C3B0E"/>
    <w:rsid w:val="3C7D65FB"/>
    <w:rsid w:val="3C9D51E8"/>
    <w:rsid w:val="3CB20990"/>
    <w:rsid w:val="3CF56026"/>
    <w:rsid w:val="3E2E410C"/>
    <w:rsid w:val="3ECE3669"/>
    <w:rsid w:val="3F2A28B0"/>
    <w:rsid w:val="3F2C676A"/>
    <w:rsid w:val="3F610276"/>
    <w:rsid w:val="3F66590E"/>
    <w:rsid w:val="3FA70926"/>
    <w:rsid w:val="3FA72BC9"/>
    <w:rsid w:val="3FDF65A1"/>
    <w:rsid w:val="40663DC4"/>
    <w:rsid w:val="40717C66"/>
    <w:rsid w:val="407D11A2"/>
    <w:rsid w:val="40853B42"/>
    <w:rsid w:val="408965E0"/>
    <w:rsid w:val="409A6109"/>
    <w:rsid w:val="41665D9A"/>
    <w:rsid w:val="41DC24CA"/>
    <w:rsid w:val="41E87732"/>
    <w:rsid w:val="4347249C"/>
    <w:rsid w:val="437C1C99"/>
    <w:rsid w:val="438A5E41"/>
    <w:rsid w:val="43916F7C"/>
    <w:rsid w:val="43A26F32"/>
    <w:rsid w:val="4405057D"/>
    <w:rsid w:val="44AD00B0"/>
    <w:rsid w:val="45495246"/>
    <w:rsid w:val="459F2ED7"/>
    <w:rsid w:val="45AA38B3"/>
    <w:rsid w:val="46720777"/>
    <w:rsid w:val="46B50A6E"/>
    <w:rsid w:val="46E04435"/>
    <w:rsid w:val="4731310A"/>
    <w:rsid w:val="480F39CF"/>
    <w:rsid w:val="489575CF"/>
    <w:rsid w:val="48D032CA"/>
    <w:rsid w:val="4993361E"/>
    <w:rsid w:val="499A70F6"/>
    <w:rsid w:val="49CC235E"/>
    <w:rsid w:val="4A122506"/>
    <w:rsid w:val="4A7D3723"/>
    <w:rsid w:val="4AD430A7"/>
    <w:rsid w:val="4B0A6608"/>
    <w:rsid w:val="4B334BC2"/>
    <w:rsid w:val="4B42394A"/>
    <w:rsid w:val="4B717D00"/>
    <w:rsid w:val="4B84634C"/>
    <w:rsid w:val="4BB85238"/>
    <w:rsid w:val="4BDE268D"/>
    <w:rsid w:val="4C0D7CA0"/>
    <w:rsid w:val="4C560108"/>
    <w:rsid w:val="4C763C2B"/>
    <w:rsid w:val="4C930718"/>
    <w:rsid w:val="4CB93FCB"/>
    <w:rsid w:val="4CBC28C7"/>
    <w:rsid w:val="4CBD6E45"/>
    <w:rsid w:val="4D1C2508"/>
    <w:rsid w:val="4D9E77E7"/>
    <w:rsid w:val="4DD860FE"/>
    <w:rsid w:val="4DF53D19"/>
    <w:rsid w:val="4DFB6E86"/>
    <w:rsid w:val="4E0D79F9"/>
    <w:rsid w:val="4E476A3E"/>
    <w:rsid w:val="4E59034A"/>
    <w:rsid w:val="4FB1342A"/>
    <w:rsid w:val="4FC51D44"/>
    <w:rsid w:val="4FFB3CF2"/>
    <w:rsid w:val="5007575F"/>
    <w:rsid w:val="50742F1E"/>
    <w:rsid w:val="50802404"/>
    <w:rsid w:val="5139520D"/>
    <w:rsid w:val="51697DC4"/>
    <w:rsid w:val="51920C3F"/>
    <w:rsid w:val="520452D6"/>
    <w:rsid w:val="52F733A7"/>
    <w:rsid w:val="536A734F"/>
    <w:rsid w:val="53BF225B"/>
    <w:rsid w:val="53C527AF"/>
    <w:rsid w:val="53C76490"/>
    <w:rsid w:val="54B2785E"/>
    <w:rsid w:val="552B14D2"/>
    <w:rsid w:val="55593789"/>
    <w:rsid w:val="55C659C3"/>
    <w:rsid w:val="55DE6CD3"/>
    <w:rsid w:val="56752A92"/>
    <w:rsid w:val="56E84AF7"/>
    <w:rsid w:val="57D23C45"/>
    <w:rsid w:val="58147830"/>
    <w:rsid w:val="58B04D94"/>
    <w:rsid w:val="59943F9F"/>
    <w:rsid w:val="59CD4E71"/>
    <w:rsid w:val="59F826C8"/>
    <w:rsid w:val="5A3727AD"/>
    <w:rsid w:val="5A54705A"/>
    <w:rsid w:val="5A9D5A9B"/>
    <w:rsid w:val="5B3540AE"/>
    <w:rsid w:val="5B3B64DF"/>
    <w:rsid w:val="5B3D5C14"/>
    <w:rsid w:val="5B513FE4"/>
    <w:rsid w:val="5B753728"/>
    <w:rsid w:val="5B7B1854"/>
    <w:rsid w:val="5BB440B4"/>
    <w:rsid w:val="5BF24958"/>
    <w:rsid w:val="5C59629D"/>
    <w:rsid w:val="5CE83122"/>
    <w:rsid w:val="5D285A12"/>
    <w:rsid w:val="5D37598E"/>
    <w:rsid w:val="5DB23055"/>
    <w:rsid w:val="5DBE7324"/>
    <w:rsid w:val="5DC36897"/>
    <w:rsid w:val="5DFF366B"/>
    <w:rsid w:val="5E5B0DCB"/>
    <w:rsid w:val="5EF61B64"/>
    <w:rsid w:val="5F84559B"/>
    <w:rsid w:val="5FD17929"/>
    <w:rsid w:val="5FD7562E"/>
    <w:rsid w:val="60477505"/>
    <w:rsid w:val="608E0F9D"/>
    <w:rsid w:val="60904C88"/>
    <w:rsid w:val="614112AB"/>
    <w:rsid w:val="61535A59"/>
    <w:rsid w:val="61AD2F29"/>
    <w:rsid w:val="61EA2EF8"/>
    <w:rsid w:val="61F5341F"/>
    <w:rsid w:val="62162064"/>
    <w:rsid w:val="621F49F2"/>
    <w:rsid w:val="623A3BB7"/>
    <w:rsid w:val="62F97F4C"/>
    <w:rsid w:val="631C4217"/>
    <w:rsid w:val="64076120"/>
    <w:rsid w:val="645A132F"/>
    <w:rsid w:val="64C9799C"/>
    <w:rsid w:val="64CE1C40"/>
    <w:rsid w:val="6525031F"/>
    <w:rsid w:val="65BB2C1F"/>
    <w:rsid w:val="65E148E3"/>
    <w:rsid w:val="6658462F"/>
    <w:rsid w:val="66EC6C6D"/>
    <w:rsid w:val="672D03C3"/>
    <w:rsid w:val="67F21BB6"/>
    <w:rsid w:val="68046BFD"/>
    <w:rsid w:val="68490521"/>
    <w:rsid w:val="68831A7D"/>
    <w:rsid w:val="68B67CB9"/>
    <w:rsid w:val="68CF0C1F"/>
    <w:rsid w:val="68DD50E7"/>
    <w:rsid w:val="69042D4B"/>
    <w:rsid w:val="694B37F2"/>
    <w:rsid w:val="696F1AEF"/>
    <w:rsid w:val="69851F45"/>
    <w:rsid w:val="6A292C60"/>
    <w:rsid w:val="6A33198A"/>
    <w:rsid w:val="6A6A2F93"/>
    <w:rsid w:val="6AB8500E"/>
    <w:rsid w:val="6AF66F29"/>
    <w:rsid w:val="6B837A7F"/>
    <w:rsid w:val="6B8805AB"/>
    <w:rsid w:val="6BE64567"/>
    <w:rsid w:val="6C1C5275"/>
    <w:rsid w:val="6C5A2D0C"/>
    <w:rsid w:val="6C770CD9"/>
    <w:rsid w:val="6CA82731"/>
    <w:rsid w:val="6D321B08"/>
    <w:rsid w:val="6DA922E5"/>
    <w:rsid w:val="6E46283B"/>
    <w:rsid w:val="6E81096C"/>
    <w:rsid w:val="6F2F6CA2"/>
    <w:rsid w:val="6F302247"/>
    <w:rsid w:val="6F5D362A"/>
    <w:rsid w:val="6F615769"/>
    <w:rsid w:val="700E4023"/>
    <w:rsid w:val="7037042D"/>
    <w:rsid w:val="70632305"/>
    <w:rsid w:val="70EB32A8"/>
    <w:rsid w:val="70F97C17"/>
    <w:rsid w:val="71413452"/>
    <w:rsid w:val="71A11C3A"/>
    <w:rsid w:val="71BE59CD"/>
    <w:rsid w:val="71E37F0A"/>
    <w:rsid w:val="72384E48"/>
    <w:rsid w:val="728A3983"/>
    <w:rsid w:val="72E014AF"/>
    <w:rsid w:val="72F06DE0"/>
    <w:rsid w:val="73706D11"/>
    <w:rsid w:val="73725E91"/>
    <w:rsid w:val="73AA4133"/>
    <w:rsid w:val="74054B0E"/>
    <w:rsid w:val="74224E33"/>
    <w:rsid w:val="74B414DA"/>
    <w:rsid w:val="774C4C58"/>
    <w:rsid w:val="77E30E96"/>
    <w:rsid w:val="796009CF"/>
    <w:rsid w:val="79C82C82"/>
    <w:rsid w:val="79D34DD5"/>
    <w:rsid w:val="79D627D0"/>
    <w:rsid w:val="7A7C4FE4"/>
    <w:rsid w:val="7AA55280"/>
    <w:rsid w:val="7AD3554C"/>
    <w:rsid w:val="7B1936A0"/>
    <w:rsid w:val="7B8C78B6"/>
    <w:rsid w:val="7BF75174"/>
    <w:rsid w:val="7BF80D06"/>
    <w:rsid w:val="7D412547"/>
    <w:rsid w:val="7E0825BA"/>
    <w:rsid w:val="7E140BE7"/>
    <w:rsid w:val="7E4A6287"/>
    <w:rsid w:val="7E9B4B6E"/>
    <w:rsid w:val="7ED848EE"/>
    <w:rsid w:val="7F1325A8"/>
    <w:rsid w:val="7F71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next w:val="1"/>
    <w:link w:val="110"/>
    <w:qFormat/>
    <w:uiPriority w:val="0"/>
    <w:pPr>
      <w:wordWrap w:val="0"/>
      <w:spacing w:after="160"/>
      <w:jc w:val="both"/>
      <w:outlineLvl w:val="0"/>
    </w:pPr>
    <w:rPr>
      <w:rFonts w:ascii="Times New Roman" w:hAnsi="Times New Roman" w:eastAsia="宋体" w:cs="Times New Roman"/>
      <w:sz w:val="28"/>
      <w:lang w:val="en-US" w:eastAsia="zh-CN" w:bidi="ar-SA"/>
    </w:rPr>
  </w:style>
  <w:style w:type="paragraph" w:styleId="3">
    <w:name w:val="heading 2"/>
    <w:next w:val="1"/>
    <w:qFormat/>
    <w:uiPriority w:val="0"/>
    <w:pPr>
      <w:wordWrap w:val="0"/>
      <w:spacing w:after="160"/>
      <w:jc w:val="both"/>
      <w:outlineLvl w:val="1"/>
    </w:pPr>
    <w:rPr>
      <w:rFonts w:ascii="Times New Roman" w:hAnsi="Times New Roman" w:eastAsia="宋体" w:cs="Times New Roman"/>
      <w:sz w:val="21"/>
      <w:lang w:val="en-US" w:eastAsia="zh-CN" w:bidi="ar-SA"/>
    </w:rPr>
  </w:style>
  <w:style w:type="paragraph" w:styleId="4">
    <w:name w:val="heading 3"/>
    <w:next w:val="1"/>
    <w:qFormat/>
    <w:uiPriority w:val="0"/>
    <w:pPr>
      <w:wordWrap w:val="0"/>
      <w:spacing w:after="160"/>
      <w:ind w:left="1400" w:hanging="400"/>
      <w:jc w:val="both"/>
      <w:outlineLvl w:val="2"/>
    </w:pPr>
    <w:rPr>
      <w:rFonts w:ascii="Times New Roman" w:hAnsi="Times New Roman" w:eastAsia="宋体" w:cs="Times New Roman"/>
      <w:sz w:val="21"/>
      <w:lang w:val="en-US" w:eastAsia="zh-CN" w:bidi="ar-SA"/>
    </w:rPr>
  </w:style>
  <w:style w:type="paragraph" w:styleId="5">
    <w:name w:val="heading 4"/>
    <w:next w:val="1"/>
    <w:qFormat/>
    <w:uiPriority w:val="0"/>
    <w:pPr>
      <w:wordWrap w:val="0"/>
      <w:spacing w:after="160"/>
      <w:ind w:left="1600" w:hanging="400"/>
      <w:jc w:val="both"/>
      <w:outlineLvl w:val="3"/>
    </w:pPr>
    <w:rPr>
      <w:rFonts w:ascii="Times New Roman" w:hAnsi="Times New Roman" w:eastAsia="宋体" w:cs="Times New Roman"/>
      <w:b/>
      <w:sz w:val="21"/>
      <w:lang w:val="en-US" w:eastAsia="zh-CN" w:bidi="ar-SA"/>
    </w:rPr>
  </w:style>
  <w:style w:type="paragraph" w:styleId="6">
    <w:name w:val="heading 5"/>
    <w:next w:val="1"/>
    <w:qFormat/>
    <w:uiPriority w:val="0"/>
    <w:pPr>
      <w:wordWrap w:val="0"/>
      <w:spacing w:after="160"/>
      <w:ind w:left="1800" w:hanging="400"/>
      <w:jc w:val="both"/>
      <w:outlineLvl w:val="4"/>
    </w:pPr>
    <w:rPr>
      <w:rFonts w:ascii="Times New Roman" w:hAnsi="Times New Roman" w:eastAsia="宋体" w:cs="Times New Roman"/>
      <w:sz w:val="21"/>
      <w:lang w:val="en-US" w:eastAsia="zh-CN" w:bidi="ar-SA"/>
    </w:rPr>
  </w:style>
  <w:style w:type="paragraph" w:styleId="7">
    <w:name w:val="heading 6"/>
    <w:next w:val="1"/>
    <w:qFormat/>
    <w:uiPriority w:val="0"/>
    <w:pPr>
      <w:wordWrap w:val="0"/>
      <w:spacing w:after="160"/>
      <w:ind w:left="2000" w:hanging="400"/>
      <w:jc w:val="both"/>
      <w:outlineLvl w:val="5"/>
    </w:pPr>
    <w:rPr>
      <w:rFonts w:ascii="Times New Roman" w:hAnsi="Times New Roman" w:eastAsia="宋体" w:cs="Times New Roman"/>
      <w:b/>
      <w:sz w:val="21"/>
      <w:lang w:val="en-US" w:eastAsia="zh-CN" w:bidi="ar-SA"/>
    </w:rPr>
  </w:style>
  <w:style w:type="paragraph" w:styleId="8">
    <w:name w:val="heading 7"/>
    <w:next w:val="1"/>
    <w:qFormat/>
    <w:uiPriority w:val="0"/>
    <w:pPr>
      <w:wordWrap w:val="0"/>
      <w:spacing w:after="160"/>
      <w:ind w:left="2200" w:hanging="400"/>
      <w:jc w:val="both"/>
      <w:outlineLvl w:val="6"/>
    </w:pPr>
    <w:rPr>
      <w:rFonts w:ascii="Times New Roman" w:hAnsi="Times New Roman" w:eastAsia="宋体" w:cs="Times New Roman"/>
      <w:sz w:val="21"/>
      <w:lang w:val="en-US" w:eastAsia="zh-CN" w:bidi="ar-SA"/>
    </w:rPr>
  </w:style>
  <w:style w:type="paragraph" w:styleId="9">
    <w:name w:val="heading 8"/>
    <w:next w:val="1"/>
    <w:qFormat/>
    <w:uiPriority w:val="0"/>
    <w:pPr>
      <w:wordWrap w:val="0"/>
      <w:spacing w:after="160"/>
      <w:ind w:left="2400" w:hanging="400"/>
      <w:jc w:val="both"/>
      <w:outlineLvl w:val="7"/>
    </w:pPr>
    <w:rPr>
      <w:rFonts w:ascii="Times New Roman" w:hAnsi="Times New Roman" w:eastAsia="宋体" w:cs="Times New Roman"/>
      <w:sz w:val="21"/>
      <w:lang w:val="en-US" w:eastAsia="zh-CN" w:bidi="ar-SA"/>
    </w:rPr>
  </w:style>
  <w:style w:type="paragraph" w:styleId="10">
    <w:name w:val="heading 9"/>
    <w:next w:val="1"/>
    <w:qFormat/>
    <w:uiPriority w:val="0"/>
    <w:pPr>
      <w:wordWrap w:val="0"/>
      <w:spacing w:after="160"/>
      <w:ind w:left="2600" w:hanging="400"/>
      <w:jc w:val="both"/>
      <w:outlineLvl w:val="8"/>
    </w:pPr>
    <w:rPr>
      <w:rFonts w:ascii="Times New Roman" w:hAnsi="Times New Roman" w:eastAsia="宋体" w:cs="Times New Roman"/>
      <w:sz w:val="21"/>
      <w:lang w:val="en-US" w:eastAsia="zh-CN" w:bidi="ar-SA"/>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next w:val="1"/>
    <w:qFormat/>
    <w:uiPriority w:val="0"/>
    <w:pPr>
      <w:wordWrap w:val="0"/>
      <w:ind w:left="2125"/>
      <w:jc w:val="both"/>
    </w:pPr>
    <w:rPr>
      <w:rFonts w:ascii="Times New Roman" w:hAnsi="Times New Roman" w:eastAsia="宋体" w:cs="Times New Roman"/>
      <w:sz w:val="21"/>
      <w:lang w:val="en-US" w:eastAsia="zh-CN" w:bidi="ar-SA"/>
    </w:rPr>
  </w:style>
  <w:style w:type="paragraph" w:styleId="12">
    <w:name w:val="Normal Indent"/>
    <w:next w:val="1"/>
    <w:qFormat/>
    <w:uiPriority w:val="0"/>
    <w:pPr>
      <w:wordWrap w:val="0"/>
      <w:ind w:left="3400"/>
      <w:jc w:val="both"/>
    </w:pPr>
    <w:rPr>
      <w:rFonts w:ascii="Times New Roman" w:hAnsi="Times New Roman" w:eastAsia="宋体" w:cs="Times New Roman"/>
      <w:sz w:val="21"/>
      <w:lang w:val="en-US" w:eastAsia="zh-CN" w:bidi="ar-SA"/>
    </w:rPr>
  </w:style>
  <w:style w:type="paragraph" w:styleId="13">
    <w:name w:val="annotation text"/>
    <w:basedOn w:val="1"/>
    <w:next w:val="1"/>
    <w:qFormat/>
    <w:uiPriority w:val="0"/>
  </w:style>
  <w:style w:type="paragraph" w:styleId="14">
    <w:name w:val="toc 5"/>
    <w:next w:val="1"/>
    <w:qFormat/>
    <w:uiPriority w:val="0"/>
    <w:pPr>
      <w:wordWrap w:val="0"/>
      <w:ind w:left="1275"/>
      <w:jc w:val="both"/>
    </w:pPr>
    <w:rPr>
      <w:rFonts w:ascii="Times New Roman" w:hAnsi="Times New Roman" w:eastAsia="宋体" w:cs="Times New Roman"/>
      <w:sz w:val="21"/>
      <w:lang w:val="en-US" w:eastAsia="zh-CN" w:bidi="ar-SA"/>
    </w:rPr>
  </w:style>
  <w:style w:type="paragraph" w:styleId="15">
    <w:name w:val="toc 3"/>
    <w:next w:val="1"/>
    <w:qFormat/>
    <w:uiPriority w:val="0"/>
    <w:pPr>
      <w:wordWrap w:val="0"/>
      <w:ind w:left="425"/>
      <w:jc w:val="both"/>
    </w:pPr>
    <w:rPr>
      <w:rFonts w:ascii="Times New Roman" w:hAnsi="Times New Roman" w:eastAsia="宋体" w:cs="Times New Roman"/>
      <w:sz w:val="21"/>
      <w:lang w:val="en-US" w:eastAsia="zh-CN" w:bidi="ar-SA"/>
    </w:rPr>
  </w:style>
  <w:style w:type="paragraph" w:styleId="16">
    <w:name w:val="Plain Text"/>
    <w:basedOn w:val="1"/>
    <w:next w:val="17"/>
    <w:qFormat/>
    <w:uiPriority w:val="0"/>
    <w:rPr>
      <w:rFonts w:ascii="宋体"/>
    </w:rPr>
  </w:style>
  <w:style w:type="paragraph" w:styleId="17">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8">
    <w:name w:val="toc 8"/>
    <w:next w:val="1"/>
    <w:qFormat/>
    <w:uiPriority w:val="0"/>
    <w:pPr>
      <w:wordWrap w:val="0"/>
      <w:ind w:left="2550"/>
      <w:jc w:val="both"/>
    </w:pPr>
    <w:rPr>
      <w:rFonts w:ascii="Times New Roman" w:hAnsi="Times New Roman" w:eastAsia="宋体" w:cs="Times New Roman"/>
      <w:sz w:val="21"/>
      <w:lang w:val="en-US" w:eastAsia="zh-CN" w:bidi="ar-SA"/>
    </w:rPr>
  </w:style>
  <w:style w:type="paragraph" w:styleId="19">
    <w:name w:val="Balloon Text"/>
    <w:basedOn w:val="1"/>
    <w:next w:val="1"/>
    <w:qFormat/>
    <w:uiPriority w:val="0"/>
    <w:rPr>
      <w:sz w:val="18"/>
    </w:rPr>
  </w:style>
  <w:style w:type="paragraph" w:styleId="20">
    <w:name w:val="footer"/>
    <w:basedOn w:val="1"/>
    <w:next w:val="21"/>
    <w:qFormat/>
    <w:uiPriority w:val="0"/>
    <w:rPr>
      <w:sz w:val="18"/>
    </w:rPr>
  </w:style>
  <w:style w:type="paragraph" w:styleId="2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2">
    <w:name w:val="header"/>
    <w:basedOn w:val="1"/>
    <w:next w:val="1"/>
    <w:qFormat/>
    <w:uiPriority w:val="0"/>
    <w:pPr>
      <w:jc w:val="center"/>
    </w:pPr>
    <w:rPr>
      <w:sz w:val="18"/>
    </w:rPr>
  </w:style>
  <w:style w:type="paragraph" w:styleId="23">
    <w:name w:val="toc 4"/>
    <w:next w:val="1"/>
    <w:qFormat/>
    <w:uiPriority w:val="0"/>
    <w:pPr>
      <w:wordWrap w:val="0"/>
      <w:ind w:left="850"/>
      <w:jc w:val="both"/>
    </w:pPr>
    <w:rPr>
      <w:rFonts w:ascii="Times New Roman" w:hAnsi="Times New Roman" w:eastAsia="宋体" w:cs="Times New Roman"/>
      <w:sz w:val="21"/>
      <w:lang w:val="en-US" w:eastAsia="zh-CN" w:bidi="ar-SA"/>
    </w:rPr>
  </w:style>
  <w:style w:type="paragraph" w:styleId="24">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25">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26">
    <w:name w:val="toc 2"/>
    <w:next w:val="1"/>
    <w:qFormat/>
    <w:uiPriority w:val="0"/>
    <w:pPr>
      <w:wordWrap w:val="0"/>
      <w:jc w:val="both"/>
    </w:pPr>
    <w:rPr>
      <w:rFonts w:ascii="Times New Roman" w:hAnsi="Times New Roman" w:eastAsia="宋体" w:cs="Times New Roman"/>
      <w:sz w:val="21"/>
      <w:lang w:val="en-US" w:eastAsia="zh-CN" w:bidi="ar-SA"/>
    </w:rPr>
  </w:style>
  <w:style w:type="paragraph" w:styleId="27">
    <w:name w:val="toc 9"/>
    <w:next w:val="1"/>
    <w:qFormat/>
    <w:uiPriority w:val="0"/>
    <w:pPr>
      <w:wordWrap w:val="0"/>
      <w:ind w:left="2975"/>
      <w:jc w:val="both"/>
    </w:pPr>
    <w:rPr>
      <w:rFonts w:ascii="Times New Roman" w:hAnsi="Times New Roman" w:eastAsia="宋体" w:cs="Times New Roman"/>
      <w:sz w:val="21"/>
      <w:lang w:val="en-US" w:eastAsia="zh-CN" w:bidi="ar-SA"/>
    </w:rPr>
  </w:style>
  <w:style w:type="paragraph" w:styleId="28">
    <w:name w:val="annotation subject"/>
    <w:next w:val="1"/>
    <w:semiHidden/>
    <w:qFormat/>
    <w:uiPriority w:val="0"/>
    <w:pPr>
      <w:widowControl w:val="0"/>
    </w:pPr>
    <w:rPr>
      <w:rFonts w:ascii="Times New Roman" w:hAnsi="Times New Roman" w:eastAsia="宋体" w:cs="Times New Roman"/>
      <w:b/>
      <w:sz w:val="21"/>
      <w:lang w:val="en-US" w:eastAsia="zh-CN" w:bidi="ar-SA"/>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sz w:val="20"/>
    </w:rPr>
  </w:style>
  <w:style w:type="character" w:styleId="33">
    <w:name w:val="Emphasis"/>
    <w:qFormat/>
    <w:uiPriority w:val="0"/>
    <w:rPr>
      <w:i/>
      <w:sz w:val="20"/>
    </w:rPr>
  </w:style>
  <w:style w:type="character" w:styleId="34">
    <w:name w:val="Hyperlink"/>
    <w:qFormat/>
    <w:uiPriority w:val="0"/>
    <w:rPr>
      <w:color w:val="0563C1"/>
      <w:sz w:val="20"/>
      <w:u w:val="single"/>
    </w:rPr>
  </w:style>
  <w:style w:type="character" w:styleId="35">
    <w:name w:val="annotation reference"/>
    <w:qFormat/>
    <w:uiPriority w:val="0"/>
    <w:rPr>
      <w:sz w:val="20"/>
    </w:rPr>
  </w:style>
  <w:style w:type="character" w:customStyle="1" w:styleId="36">
    <w:name w:val="font11"/>
    <w:qFormat/>
    <w:uiPriority w:val="0"/>
    <w:rPr>
      <w:rFonts w:hint="eastAsia" w:ascii="宋体" w:hAnsi="宋体" w:eastAsia="宋体" w:cs="宋体"/>
      <w:b/>
      <w:color w:val="000000"/>
      <w:sz w:val="24"/>
      <w:szCs w:val="24"/>
      <w:u w:val="none"/>
    </w:rPr>
  </w:style>
  <w:style w:type="character" w:customStyle="1" w:styleId="37">
    <w:name w:val="_Style 36"/>
    <w:qFormat/>
    <w:uiPriority w:val="0"/>
    <w:rPr>
      <w:sz w:val="20"/>
    </w:rPr>
  </w:style>
  <w:style w:type="character" w:customStyle="1" w:styleId="38">
    <w:name w:val="font51"/>
    <w:qFormat/>
    <w:uiPriority w:val="0"/>
    <w:rPr>
      <w:rFonts w:hint="default" w:ascii="Arial" w:hAnsi="Arial" w:cs="Arial"/>
      <w:color w:val="000000"/>
      <w:sz w:val="24"/>
      <w:szCs w:val="24"/>
      <w:u w:val="none"/>
    </w:rPr>
  </w:style>
  <w:style w:type="character" w:customStyle="1" w:styleId="39">
    <w:name w:val="_Style 38"/>
    <w:qFormat/>
    <w:uiPriority w:val="0"/>
    <w:rPr>
      <w:b/>
      <w:sz w:val="20"/>
    </w:rPr>
  </w:style>
  <w:style w:type="character" w:customStyle="1" w:styleId="40">
    <w:name w:val="页脚 Char"/>
    <w:qFormat/>
    <w:uiPriority w:val="0"/>
    <w:rPr>
      <w:sz w:val="20"/>
    </w:rPr>
  </w:style>
  <w:style w:type="character" w:customStyle="1" w:styleId="41">
    <w:name w:val="font01"/>
    <w:qFormat/>
    <w:uiPriority w:val="0"/>
    <w:rPr>
      <w:rFonts w:hint="eastAsia" w:ascii="宋体" w:hAnsi="宋体" w:eastAsia="宋体" w:cs="宋体"/>
      <w:color w:val="000000"/>
      <w:sz w:val="24"/>
      <w:szCs w:val="24"/>
      <w:u w:val="none"/>
    </w:rPr>
  </w:style>
  <w:style w:type="character" w:customStyle="1" w:styleId="42">
    <w:name w:val="未处理的提及1"/>
    <w:unhideWhenUsed/>
    <w:qFormat/>
    <w:uiPriority w:val="99"/>
    <w:rPr>
      <w:color w:val="605E5C"/>
      <w:sz w:val="20"/>
      <w:shd w:val="clear" w:color="auto" w:fill="E1DFDD"/>
    </w:rPr>
  </w:style>
  <w:style w:type="character" w:customStyle="1" w:styleId="43">
    <w:name w:val="_Style 42"/>
    <w:qFormat/>
    <w:uiPriority w:val="0"/>
    <w:rPr>
      <w:i/>
      <w:sz w:val="20"/>
    </w:rPr>
  </w:style>
  <w:style w:type="character" w:customStyle="1" w:styleId="44">
    <w:name w:val="_Style 43"/>
    <w:qFormat/>
    <w:uiPriority w:val="0"/>
    <w:rPr>
      <w:b/>
      <w:i/>
      <w:sz w:val="20"/>
    </w:rPr>
  </w:style>
  <w:style w:type="character" w:customStyle="1" w:styleId="45">
    <w:name w:val="页眉 Char"/>
    <w:qFormat/>
    <w:uiPriority w:val="0"/>
    <w:rPr>
      <w:sz w:val="20"/>
    </w:rPr>
  </w:style>
  <w:style w:type="character" w:customStyle="1" w:styleId="46">
    <w:name w:val="_Style 45"/>
    <w:qFormat/>
    <w:uiPriority w:val="0"/>
    <w:rPr>
      <w:i/>
      <w:sz w:val="20"/>
    </w:rPr>
  </w:style>
  <w:style w:type="paragraph" w:customStyle="1" w:styleId="47">
    <w:name w:val="toc 14"/>
    <w:next w:val="1"/>
    <w:qFormat/>
    <w:uiPriority w:val="0"/>
    <w:pPr>
      <w:wordWrap w:val="0"/>
      <w:jc w:val="both"/>
    </w:pPr>
    <w:rPr>
      <w:rFonts w:ascii="Times New Roman" w:hAnsi="Times New Roman" w:eastAsia="宋体" w:cs="Times New Roman"/>
      <w:sz w:val="21"/>
      <w:lang w:val="en-US" w:eastAsia="zh-CN" w:bidi="ar-SA"/>
    </w:rPr>
  </w:style>
  <w:style w:type="paragraph" w:customStyle="1" w:styleId="48">
    <w:name w:val="toc 95"/>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49">
    <w:name w:val="toc 82"/>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50">
    <w:name w:val="toc 75"/>
    <w:next w:val="1"/>
    <w:qFormat/>
    <w:uiPriority w:val="0"/>
    <w:pPr>
      <w:wordWrap w:val="0"/>
      <w:ind w:left="2550"/>
      <w:jc w:val="both"/>
    </w:pPr>
    <w:rPr>
      <w:rFonts w:ascii="Times New Roman" w:hAnsi="Times New Roman" w:eastAsia="宋体" w:cs="Times New Roman"/>
      <w:sz w:val="21"/>
      <w:lang w:val="en-US" w:eastAsia="zh-CN" w:bidi="ar-SA"/>
    </w:rPr>
  </w:style>
  <w:style w:type="paragraph" w:styleId="51">
    <w:name w:val="List Paragraph"/>
    <w:basedOn w:val="1"/>
    <w:next w:val="1"/>
    <w:qFormat/>
    <w:uiPriority w:val="0"/>
    <w:pPr>
      <w:ind w:firstLine="420"/>
    </w:pPr>
  </w:style>
  <w:style w:type="paragraph" w:customStyle="1" w:styleId="52">
    <w:name w:val="TOC 11"/>
    <w:next w:val="1"/>
    <w:qFormat/>
    <w:uiPriority w:val="0"/>
    <w:pPr>
      <w:wordWrap w:val="0"/>
      <w:jc w:val="both"/>
    </w:pPr>
    <w:rPr>
      <w:rFonts w:ascii="Times New Roman" w:hAnsi="Times New Roman" w:eastAsia="宋体" w:cs="Times New Roman"/>
      <w:sz w:val="21"/>
      <w:lang w:val="en-US" w:eastAsia="zh-CN" w:bidi="ar-SA"/>
    </w:rPr>
  </w:style>
  <w:style w:type="paragraph" w:customStyle="1" w:styleId="53">
    <w:name w:val="TOC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54">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55">
    <w:name w:val="toc 74"/>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56">
    <w:name w:val="reader-word-layer"/>
    <w:basedOn w:val="1"/>
    <w:next w:val="51"/>
    <w:qFormat/>
    <w:uiPriority w:val="0"/>
    <w:pPr>
      <w:widowControl/>
      <w:spacing w:before="280" w:after="280"/>
    </w:pPr>
    <w:rPr>
      <w:rFonts w:ascii="宋体"/>
      <w:sz w:val="24"/>
    </w:rPr>
  </w:style>
  <w:style w:type="paragraph" w:customStyle="1" w:styleId="57">
    <w:name w:val="toc 5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58">
    <w:name w:val="toc 35"/>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59">
    <w:name w:val="toc 4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60">
    <w:name w:val="toc 94"/>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61">
    <w:name w:val="toc 7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62">
    <w:name w:val="toc 25"/>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63">
    <w:name w:val="TOC Heading5"/>
    <w:next w:val="1"/>
    <w:qFormat/>
    <w:uiPriority w:val="0"/>
    <w:pPr>
      <w:wordWrap w:val="0"/>
    </w:pPr>
    <w:rPr>
      <w:rFonts w:ascii="Times New Roman" w:hAnsi="Times New Roman" w:eastAsia="宋体" w:cs="Times New Roman"/>
      <w:sz w:val="32"/>
      <w:lang w:val="en-US" w:eastAsia="zh-CN" w:bidi="ar-SA"/>
    </w:rPr>
  </w:style>
  <w:style w:type="paragraph" w:customStyle="1" w:styleId="64">
    <w:name w:val="toc 12"/>
    <w:next w:val="1"/>
    <w:qFormat/>
    <w:uiPriority w:val="0"/>
    <w:pPr>
      <w:wordWrap w:val="0"/>
      <w:jc w:val="both"/>
    </w:pPr>
    <w:rPr>
      <w:rFonts w:ascii="Times New Roman" w:hAnsi="Times New Roman" w:eastAsia="宋体" w:cs="Times New Roman"/>
      <w:sz w:val="21"/>
      <w:lang w:val="en-US" w:eastAsia="zh-CN" w:bidi="ar-SA"/>
    </w:rPr>
  </w:style>
  <w:style w:type="paragraph" w:customStyle="1" w:styleId="65">
    <w:name w:val="toc 11"/>
    <w:next w:val="1"/>
    <w:qFormat/>
    <w:uiPriority w:val="0"/>
    <w:pPr>
      <w:wordWrap w:val="0"/>
      <w:jc w:val="both"/>
    </w:pPr>
    <w:rPr>
      <w:rFonts w:ascii="Times New Roman" w:hAnsi="Times New Roman" w:eastAsia="宋体" w:cs="Times New Roman"/>
      <w:sz w:val="21"/>
      <w:lang w:val="en-US" w:eastAsia="zh-CN" w:bidi="ar-SA"/>
    </w:rPr>
  </w:style>
  <w:style w:type="paragraph" w:customStyle="1" w:styleId="66">
    <w:name w:val="TOC Heading3"/>
    <w:next w:val="1"/>
    <w:qFormat/>
    <w:uiPriority w:val="0"/>
    <w:pPr>
      <w:wordWrap w:val="0"/>
    </w:pPr>
    <w:rPr>
      <w:rFonts w:ascii="Times New Roman" w:hAnsi="Times New Roman" w:eastAsia="宋体" w:cs="Times New Roman"/>
      <w:sz w:val="32"/>
      <w:lang w:val="en-US" w:eastAsia="zh-CN" w:bidi="ar-SA"/>
    </w:rPr>
  </w:style>
  <w:style w:type="paragraph" w:customStyle="1" w:styleId="67">
    <w:name w:val="toc 54"/>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68">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69">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70">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1">
    <w:name w:val="toc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72">
    <w:name w:val="toc 7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73">
    <w:name w:val="toc 22"/>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74">
    <w:name w:val="toc 84"/>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75">
    <w:name w:val="_Style 74"/>
    <w:next w:val="1"/>
    <w:qFormat/>
    <w:uiPriority w:val="0"/>
    <w:pPr>
      <w:wordWrap w:val="0"/>
    </w:pPr>
    <w:rPr>
      <w:rFonts w:ascii="Times New Roman" w:hAnsi="Times New Roman" w:eastAsia="宋体" w:cs="Times New Roman"/>
      <w:sz w:val="32"/>
      <w:lang w:val="en-US" w:eastAsia="zh-CN" w:bidi="ar-SA"/>
    </w:rPr>
  </w:style>
  <w:style w:type="paragraph" w:customStyle="1" w:styleId="76">
    <w:name w:val="toc 64"/>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7">
    <w:name w:val="toc 65"/>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8">
    <w:name w:val="toc 52"/>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79">
    <w:name w:val="toc 34"/>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0">
    <w:name w:val="toc 91"/>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81">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2">
    <w:name w:val="toc 53"/>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83">
    <w:name w:val="toc 8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84">
    <w:name w:val="toc 15"/>
    <w:next w:val="1"/>
    <w:qFormat/>
    <w:uiPriority w:val="0"/>
    <w:pPr>
      <w:wordWrap w:val="0"/>
      <w:jc w:val="both"/>
    </w:pPr>
    <w:rPr>
      <w:rFonts w:ascii="Times New Roman" w:hAnsi="Times New Roman" w:eastAsia="宋体" w:cs="Times New Roman"/>
      <w:sz w:val="21"/>
      <w:lang w:val="en-US" w:eastAsia="zh-CN" w:bidi="ar-SA"/>
    </w:rPr>
  </w:style>
  <w:style w:type="paragraph" w:customStyle="1" w:styleId="85">
    <w:name w:val="TOC 5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86">
    <w:name w:val="toc 32"/>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7">
    <w:name w:val="toc 42"/>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88">
    <w:name w:val="toc 13"/>
    <w:next w:val="1"/>
    <w:qFormat/>
    <w:uiPriority w:val="0"/>
    <w:pPr>
      <w:wordWrap w:val="0"/>
      <w:jc w:val="both"/>
    </w:pPr>
    <w:rPr>
      <w:rFonts w:ascii="Times New Roman" w:hAnsi="Times New Roman" w:eastAsia="宋体" w:cs="Times New Roman"/>
      <w:sz w:val="21"/>
      <w:lang w:val="en-US" w:eastAsia="zh-CN" w:bidi="ar-SA"/>
    </w:rPr>
  </w:style>
  <w:style w:type="paragraph" w:customStyle="1" w:styleId="89">
    <w:name w:val="TOC 91"/>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90">
    <w:name w:val="toc 33"/>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91">
    <w:name w:val="toc 24"/>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2">
    <w:name w:val="toc 23"/>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3">
    <w:name w:val="toc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94">
    <w:name w:val="TOC Heading4"/>
    <w:next w:val="1"/>
    <w:qFormat/>
    <w:uiPriority w:val="0"/>
    <w:pPr>
      <w:wordWrap w:val="0"/>
    </w:pPr>
    <w:rPr>
      <w:rFonts w:ascii="Times New Roman" w:hAnsi="Times New Roman" w:eastAsia="宋体" w:cs="Times New Roman"/>
      <w:sz w:val="32"/>
      <w:lang w:val="en-US" w:eastAsia="zh-CN" w:bidi="ar-SA"/>
    </w:rPr>
  </w:style>
  <w:style w:type="paragraph" w:customStyle="1" w:styleId="95">
    <w:name w:val="toc 45"/>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9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7">
    <w:name w:val="TOC Heading6"/>
    <w:next w:val="1"/>
    <w:qFormat/>
    <w:uiPriority w:val="0"/>
    <w:pPr>
      <w:wordWrap w:val="0"/>
    </w:pPr>
    <w:rPr>
      <w:rFonts w:ascii="Times New Roman" w:hAnsi="Times New Roman" w:eastAsia="宋体" w:cs="Times New Roman"/>
      <w:sz w:val="32"/>
      <w:lang w:val="en-US" w:eastAsia="zh-CN" w:bidi="ar-SA"/>
    </w:rPr>
  </w:style>
  <w:style w:type="paragraph" w:customStyle="1" w:styleId="98">
    <w:name w:val="TOC Heading2"/>
    <w:next w:val="1"/>
    <w:qFormat/>
    <w:uiPriority w:val="0"/>
    <w:pPr>
      <w:wordWrap w:val="0"/>
    </w:pPr>
    <w:rPr>
      <w:rFonts w:ascii="Times New Roman" w:hAnsi="Times New Roman" w:eastAsia="宋体" w:cs="Times New Roman"/>
      <w:sz w:val="32"/>
      <w:lang w:val="en-US" w:eastAsia="zh-CN" w:bidi="ar-SA"/>
    </w:rPr>
  </w:style>
  <w:style w:type="paragraph" w:customStyle="1" w:styleId="99">
    <w:name w:val="toc 44"/>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0">
    <w:name w:val="TOC 8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1">
    <w:name w:val="toc 93"/>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02">
    <w:name w:val="toc 63"/>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03">
    <w:name w:val="toc 83"/>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4">
    <w:name w:val="toc 92"/>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05">
    <w:name w:val="toc 62"/>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06">
    <w:name w:val="toc 85"/>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7">
    <w:name w:val="TOC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8">
    <w:name w:val="toc 55"/>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109">
    <w:name w:val="TOC Heading1"/>
    <w:next w:val="1"/>
    <w:qFormat/>
    <w:uiPriority w:val="0"/>
    <w:pPr>
      <w:wordWrap w:val="0"/>
    </w:pPr>
    <w:rPr>
      <w:rFonts w:ascii="Times New Roman" w:hAnsi="Times New Roman" w:eastAsia="宋体" w:cs="Times New Roman"/>
      <w:sz w:val="32"/>
      <w:lang w:val="en-US" w:eastAsia="zh-CN" w:bidi="ar-SA"/>
    </w:rPr>
  </w:style>
  <w:style w:type="character" w:customStyle="1" w:styleId="110">
    <w:name w:val="标题 1 字符"/>
    <w:link w:val="2"/>
    <w:qFormat/>
    <w:uiPriority w:val="0"/>
    <w:rPr>
      <w:rFonts w:ascii="Times New Roman" w:hAnsi="Times New Roman" w:eastAsia="宋体" w:cs="Times New Roman"/>
      <w:sz w:val="28"/>
      <w:lang w:val="en-US" w:eastAsia="zh-CN" w:bidi="ar-SA"/>
    </w:rPr>
  </w:style>
  <w:style w:type="paragraph" w:customStyle="1" w:styleId="111">
    <w:name w:val="Revision"/>
    <w:hidden/>
    <w:semiHidden/>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343</Words>
  <Characters>1958</Characters>
  <Lines>16</Lines>
  <Paragraphs>4</Paragraphs>
  <TotalTime>12</TotalTime>
  <ScaleCrop>false</ScaleCrop>
  <LinksUpToDate>false</LinksUpToDate>
  <CharactersWithSpaces>2297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2017-11-23T04:52:00Z</dcterms:created>
  <dc:creator>YlmF</dc:creator>
  <cp:lastModifiedBy>海风</cp:lastModifiedBy>
  <dcterms:modified xsi:type="dcterms:W3CDTF">2023-10-20T09:20:41Z</dcterms:modified>
  <dc:title>工业品买卖合同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36AF4C74428B49778AC8355D072AE78D</vt:lpwstr>
  </property>
</Properties>
</file>