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FCFFF">
      <w:pPr>
        <w:pStyle w:val="12"/>
        <w:tabs>
          <w:tab w:val="right" w:leader="dot" w:pos="8674"/>
        </w:tabs>
        <w:spacing w:line="360" w:lineRule="auto"/>
        <w:jc w:val="center"/>
        <w:rPr>
          <w:rFonts w:hint="default" w:ascii="宋体" w:hAnsi="宋体" w:eastAsia="宋体" w:cs="宋体"/>
          <w:color w:val="auto"/>
          <w:spacing w:val="-6"/>
          <w:sz w:val="44"/>
          <w:szCs w:val="44"/>
          <w:highlight w:val="none"/>
          <w:lang w:val="en-US" w:eastAsia="zh-CN"/>
        </w:rPr>
      </w:pPr>
      <w:r>
        <w:rPr>
          <w:rFonts w:hint="eastAsia" w:ascii="宋体" w:hAnsi="宋体" w:cs="宋体"/>
          <w:color w:val="auto"/>
          <w:spacing w:val="-6"/>
          <w:sz w:val="44"/>
          <w:szCs w:val="44"/>
          <w:highlight w:val="none"/>
        </w:rPr>
        <w:t xml:space="preserve">     </w:t>
      </w:r>
      <w:r>
        <w:rPr>
          <w:rFonts w:hint="eastAsia" w:ascii="宋体" w:hAnsi="宋体" w:cs="宋体"/>
          <w:color w:val="auto"/>
          <w:spacing w:val="-6"/>
          <w:sz w:val="44"/>
          <w:szCs w:val="44"/>
          <w:highlight w:val="none"/>
          <w:lang w:val="en-US" w:eastAsia="zh-CN"/>
        </w:rPr>
        <w:t xml:space="preserve">       </w:t>
      </w:r>
    </w:p>
    <w:p w14:paraId="1A28ADB1">
      <w:pPr>
        <w:rPr>
          <w:color w:val="auto"/>
          <w:highlight w:val="none"/>
        </w:rPr>
      </w:pPr>
    </w:p>
    <w:p w14:paraId="6164662A">
      <w:pPr>
        <w:pStyle w:val="12"/>
        <w:tabs>
          <w:tab w:val="right" w:leader="dot" w:pos="8674"/>
        </w:tabs>
        <w:spacing w:line="360" w:lineRule="auto"/>
        <w:jc w:val="center"/>
        <w:rPr>
          <w:rFonts w:ascii="宋体" w:hAnsi="宋体" w:cs="宋体"/>
          <w:color w:val="auto"/>
          <w:spacing w:val="-6"/>
          <w:sz w:val="44"/>
          <w:szCs w:val="44"/>
          <w:highlight w:val="none"/>
        </w:rPr>
      </w:pPr>
    </w:p>
    <w:p w14:paraId="20950F51">
      <w:pPr>
        <w:jc w:val="center"/>
        <w:outlineLvl w:val="0"/>
        <w:rPr>
          <w:rFonts w:hint="eastAsia" w:ascii="宋体" w:hAnsi="宋体" w:cs="宋体"/>
          <w:b/>
          <w:bCs/>
          <w:color w:val="auto"/>
          <w:spacing w:val="-6"/>
          <w:sz w:val="44"/>
          <w:szCs w:val="44"/>
          <w:highlight w:val="none"/>
        </w:rPr>
      </w:pPr>
      <w:bookmarkStart w:id="0" w:name="_Toc26294"/>
      <w:bookmarkStart w:id="1" w:name="_Toc25561"/>
      <w:bookmarkStart w:id="2" w:name="_Toc1906"/>
      <w:bookmarkStart w:id="3" w:name="_Toc2388"/>
      <w:r>
        <w:rPr>
          <w:rFonts w:hint="eastAsia" w:ascii="宋体" w:hAnsi="宋体" w:cs="宋体"/>
          <w:b/>
          <w:bCs/>
          <w:color w:val="auto"/>
          <w:spacing w:val="-6"/>
          <w:sz w:val="44"/>
          <w:szCs w:val="44"/>
          <w:highlight w:val="none"/>
          <w:lang w:eastAsia="zh-CN"/>
        </w:rPr>
        <w:t>江苏索普新材料科技有限</w:t>
      </w:r>
      <w:r>
        <w:rPr>
          <w:rFonts w:hint="eastAsia" w:ascii="宋体" w:hAnsi="宋体" w:cs="宋体"/>
          <w:b/>
          <w:bCs/>
          <w:color w:val="auto"/>
          <w:spacing w:val="-6"/>
          <w:sz w:val="44"/>
          <w:szCs w:val="44"/>
          <w:highlight w:val="none"/>
        </w:rPr>
        <w:t>公司</w:t>
      </w:r>
      <w:bookmarkEnd w:id="0"/>
      <w:bookmarkEnd w:id="1"/>
      <w:bookmarkEnd w:id="2"/>
      <w:bookmarkEnd w:id="3"/>
    </w:p>
    <w:p w14:paraId="32925FCB">
      <w:pPr>
        <w:rPr>
          <w:rFonts w:ascii="宋体" w:hAnsi="宋体" w:cs="宋体"/>
          <w:b/>
          <w:bCs/>
          <w:color w:val="auto"/>
          <w:spacing w:val="-6"/>
          <w:sz w:val="44"/>
          <w:szCs w:val="44"/>
          <w:highlight w:val="none"/>
        </w:rPr>
      </w:pPr>
    </w:p>
    <w:p w14:paraId="1CD8BF62">
      <w:pPr>
        <w:pStyle w:val="2"/>
        <w:rPr>
          <w:rFonts w:hAnsi="宋体" w:eastAsia="宋体" w:cs="宋体"/>
          <w:b/>
          <w:bCs/>
          <w:color w:val="auto"/>
          <w:highlight w:val="none"/>
        </w:rPr>
      </w:pPr>
      <w:r>
        <w:rPr>
          <w:rFonts w:hint="eastAsia" w:hAnsi="宋体" w:eastAsia="宋体" w:cs="宋体"/>
          <w:b/>
          <w:bCs/>
          <w:color w:val="auto"/>
          <w:highlight w:val="none"/>
        </w:rPr>
        <w:t xml:space="preserve">   </w:t>
      </w:r>
    </w:p>
    <w:p w14:paraId="7A25FF1B">
      <w:pPr>
        <w:jc w:val="center"/>
        <w:outlineLvl w:val="0"/>
        <w:rPr>
          <w:rFonts w:hint="eastAsia" w:ascii="宋体" w:hAnsi="宋体" w:eastAsia="宋体" w:cs="宋体"/>
          <w:b/>
          <w:bCs/>
          <w:color w:val="auto"/>
          <w:spacing w:val="-6"/>
          <w:sz w:val="44"/>
          <w:szCs w:val="44"/>
          <w:highlight w:val="none"/>
          <w:lang w:val="en-US" w:eastAsia="zh-CN"/>
        </w:rPr>
      </w:pPr>
      <w:bookmarkStart w:id="4" w:name="_Toc28946"/>
      <w:bookmarkStart w:id="5" w:name="_Toc24167"/>
      <w:bookmarkStart w:id="6" w:name="_Toc14771"/>
      <w:bookmarkStart w:id="7" w:name="_Toc14649"/>
      <w:r>
        <w:rPr>
          <w:rFonts w:hint="eastAsia" w:ascii="宋体" w:hAnsi="宋体" w:eastAsia="宋体" w:cs="宋体"/>
          <w:b/>
          <w:bCs/>
          <w:color w:val="auto"/>
          <w:spacing w:val="-6"/>
          <w:sz w:val="44"/>
          <w:szCs w:val="44"/>
          <w:highlight w:val="none"/>
        </w:rPr>
        <w:t>新增储罐</w:t>
      </w:r>
      <w:bookmarkEnd w:id="4"/>
      <w:bookmarkEnd w:id="5"/>
      <w:bookmarkEnd w:id="6"/>
      <w:r>
        <w:rPr>
          <w:rFonts w:hint="eastAsia" w:ascii="宋体" w:hAnsi="宋体" w:cs="宋体"/>
          <w:b/>
          <w:bCs/>
          <w:color w:val="auto"/>
          <w:spacing w:val="-6"/>
          <w:sz w:val="44"/>
          <w:szCs w:val="44"/>
          <w:highlight w:val="none"/>
          <w:lang w:val="en-US" w:eastAsia="zh-CN"/>
        </w:rPr>
        <w:t>项目</w:t>
      </w:r>
      <w:bookmarkEnd w:id="7"/>
    </w:p>
    <w:p w14:paraId="2FED685A">
      <w:pPr>
        <w:rPr>
          <w:rFonts w:ascii="宋体" w:hAnsi="宋体" w:cs="宋体"/>
          <w:b/>
          <w:bCs/>
          <w:color w:val="auto"/>
          <w:spacing w:val="-6"/>
          <w:sz w:val="44"/>
          <w:szCs w:val="44"/>
          <w:highlight w:val="none"/>
        </w:rPr>
      </w:pPr>
    </w:p>
    <w:p w14:paraId="5F2AFB0B">
      <w:pPr>
        <w:pStyle w:val="8"/>
        <w:rPr>
          <w:rFonts w:hint="default" w:ascii="宋体" w:hAnsi="宋体" w:eastAsia="宋体" w:cs="宋体"/>
          <w:color w:val="auto"/>
          <w:sz w:val="44"/>
          <w:szCs w:val="44"/>
          <w:highlight w:val="none"/>
          <w:lang w:val="en-US" w:eastAsia="zh-CN"/>
        </w:rPr>
      </w:pPr>
      <w:r>
        <w:rPr>
          <w:rFonts w:hint="eastAsia" w:ascii="宋体" w:hAnsi="宋体" w:cs="宋体"/>
          <w:color w:val="auto"/>
          <w:sz w:val="44"/>
          <w:szCs w:val="44"/>
          <w:highlight w:val="none"/>
          <w:lang w:val="en-US" w:eastAsia="zh-CN"/>
        </w:rPr>
        <w:t xml:space="preserve">   </w:t>
      </w:r>
    </w:p>
    <w:p w14:paraId="7A1F26A6">
      <w:pPr>
        <w:pStyle w:val="12"/>
        <w:tabs>
          <w:tab w:val="right" w:leader="dot" w:pos="8674"/>
        </w:tabs>
        <w:jc w:val="center"/>
        <w:outlineLvl w:val="0"/>
        <w:rPr>
          <w:rFonts w:ascii="宋体" w:hAnsi="宋体" w:cs="宋体"/>
          <w:b/>
          <w:bCs/>
          <w:color w:val="auto"/>
          <w:spacing w:val="-6"/>
          <w:sz w:val="44"/>
          <w:szCs w:val="44"/>
          <w:highlight w:val="none"/>
        </w:rPr>
      </w:pPr>
      <w:bookmarkStart w:id="8" w:name="_Toc12630"/>
      <w:bookmarkStart w:id="9" w:name="_Toc18823"/>
      <w:bookmarkStart w:id="10" w:name="_Toc14731"/>
      <w:bookmarkStart w:id="11" w:name="_Toc6767"/>
      <w:r>
        <w:rPr>
          <w:rFonts w:hint="eastAsia" w:ascii="宋体" w:hAnsi="宋体" w:cs="宋体"/>
          <w:b/>
          <w:bCs/>
          <w:color w:val="auto"/>
          <w:spacing w:val="-6"/>
          <w:sz w:val="44"/>
          <w:szCs w:val="44"/>
          <w:highlight w:val="none"/>
        </w:rPr>
        <w:t>可行性研究报告</w:t>
      </w:r>
      <w:bookmarkEnd w:id="8"/>
      <w:bookmarkEnd w:id="9"/>
      <w:bookmarkEnd w:id="10"/>
      <w:bookmarkEnd w:id="11"/>
    </w:p>
    <w:p w14:paraId="5D9A3DB4">
      <w:pPr>
        <w:rPr>
          <w:rFonts w:ascii="宋体" w:hAnsi="宋体" w:cs="宋体"/>
          <w:color w:val="auto"/>
          <w:spacing w:val="-6"/>
          <w:sz w:val="44"/>
          <w:szCs w:val="44"/>
          <w:highlight w:val="none"/>
        </w:rPr>
      </w:pPr>
    </w:p>
    <w:p w14:paraId="14CDE3CF">
      <w:pPr>
        <w:pStyle w:val="2"/>
        <w:rPr>
          <w:rFonts w:hAnsi="宋体" w:eastAsia="宋体" w:cs="宋体"/>
          <w:color w:val="auto"/>
          <w:spacing w:val="-6"/>
          <w:sz w:val="44"/>
          <w:szCs w:val="44"/>
          <w:highlight w:val="none"/>
        </w:rPr>
      </w:pPr>
    </w:p>
    <w:p w14:paraId="3A536B7D">
      <w:pPr>
        <w:pStyle w:val="2"/>
        <w:rPr>
          <w:rFonts w:hint="default" w:hAnsi="宋体" w:eastAsia="宋体" w:cs="宋体"/>
          <w:color w:val="auto"/>
          <w:spacing w:val="-6"/>
          <w:sz w:val="44"/>
          <w:szCs w:val="44"/>
          <w:highlight w:val="none"/>
          <w:lang w:val="en-US" w:eastAsia="zh-CN"/>
        </w:rPr>
      </w:pPr>
      <w:r>
        <w:rPr>
          <w:rFonts w:hint="eastAsia" w:hAnsi="宋体" w:eastAsia="宋体" w:cs="宋体"/>
          <w:color w:val="auto"/>
          <w:spacing w:val="-6"/>
          <w:sz w:val="44"/>
          <w:szCs w:val="44"/>
          <w:highlight w:val="none"/>
          <w:lang w:val="en-US" w:eastAsia="zh-CN"/>
        </w:rPr>
        <w:t xml:space="preserve">          </w:t>
      </w:r>
    </w:p>
    <w:p w14:paraId="2BC92689">
      <w:pPr>
        <w:pStyle w:val="2"/>
        <w:rPr>
          <w:rFonts w:hAnsi="宋体" w:eastAsia="宋体" w:cs="宋体"/>
          <w:color w:val="auto"/>
          <w:spacing w:val="-6"/>
          <w:sz w:val="44"/>
          <w:szCs w:val="44"/>
          <w:highlight w:val="none"/>
        </w:rPr>
      </w:pPr>
    </w:p>
    <w:p w14:paraId="0BA0F508">
      <w:pPr>
        <w:pStyle w:val="2"/>
        <w:rPr>
          <w:rFonts w:hint="default" w:hAnsi="宋体" w:eastAsia="宋体" w:cs="宋体"/>
          <w:color w:val="auto"/>
          <w:spacing w:val="-6"/>
          <w:sz w:val="44"/>
          <w:szCs w:val="44"/>
          <w:highlight w:val="none"/>
          <w:lang w:val="en-US" w:eastAsia="zh-CN"/>
        </w:rPr>
      </w:pPr>
      <w:r>
        <w:rPr>
          <w:rFonts w:hint="eastAsia" w:hAnsi="宋体" w:eastAsia="宋体" w:cs="宋体"/>
          <w:color w:val="auto"/>
          <w:spacing w:val="-6"/>
          <w:sz w:val="44"/>
          <w:szCs w:val="44"/>
          <w:highlight w:val="none"/>
          <w:lang w:val="en-US" w:eastAsia="zh-CN"/>
        </w:rPr>
        <w:t xml:space="preserve">       </w:t>
      </w:r>
    </w:p>
    <w:p w14:paraId="27426723">
      <w:pPr>
        <w:pStyle w:val="2"/>
        <w:rPr>
          <w:rFonts w:hAnsi="宋体" w:eastAsia="宋体" w:cs="宋体"/>
          <w:color w:val="auto"/>
          <w:spacing w:val="-6"/>
          <w:sz w:val="44"/>
          <w:szCs w:val="44"/>
          <w:highlight w:val="none"/>
        </w:rPr>
      </w:pPr>
    </w:p>
    <w:p w14:paraId="02BC5837">
      <w:pPr>
        <w:pStyle w:val="2"/>
        <w:rPr>
          <w:rFonts w:hAnsi="宋体" w:eastAsia="宋体" w:cs="宋体"/>
          <w:color w:val="auto"/>
          <w:spacing w:val="-6"/>
          <w:sz w:val="44"/>
          <w:szCs w:val="44"/>
          <w:highlight w:val="none"/>
        </w:rPr>
      </w:pPr>
    </w:p>
    <w:p w14:paraId="7510D5CF">
      <w:pPr>
        <w:pStyle w:val="12"/>
        <w:tabs>
          <w:tab w:val="right" w:leader="dot" w:pos="8674"/>
        </w:tabs>
        <w:spacing w:line="360" w:lineRule="auto"/>
        <w:jc w:val="center"/>
        <w:rPr>
          <w:rFonts w:ascii="宋体" w:hAnsi="宋体" w:cs="宋体"/>
          <w:color w:val="auto"/>
          <w:spacing w:val="-6"/>
          <w:sz w:val="28"/>
          <w:szCs w:val="28"/>
          <w:highlight w:val="none"/>
        </w:rPr>
      </w:pPr>
    </w:p>
    <w:p w14:paraId="3D50AF09">
      <w:pPr>
        <w:pStyle w:val="12"/>
        <w:tabs>
          <w:tab w:val="right" w:leader="dot" w:pos="8674"/>
        </w:tabs>
        <w:spacing w:line="360" w:lineRule="auto"/>
        <w:jc w:val="center"/>
        <w:outlineLvl w:val="0"/>
        <w:rPr>
          <w:rFonts w:ascii="宋体" w:hAnsi="宋体" w:cs="宋体"/>
          <w:color w:val="auto"/>
          <w:spacing w:val="-6"/>
          <w:sz w:val="28"/>
          <w:szCs w:val="28"/>
          <w:highlight w:val="none"/>
        </w:rPr>
      </w:pPr>
      <w:bookmarkStart w:id="12" w:name="_Toc9821"/>
      <w:r>
        <w:rPr>
          <w:rFonts w:hint="eastAsia" w:ascii="宋体" w:hAnsi="宋体" w:cs="宋体"/>
          <w:color w:val="auto"/>
          <w:spacing w:val="-6"/>
          <w:sz w:val="28"/>
          <w:szCs w:val="28"/>
          <w:highlight w:val="none"/>
        </w:rPr>
        <w:t>江苏索普工程科技有限公司</w:t>
      </w:r>
      <w:bookmarkEnd w:id="12"/>
    </w:p>
    <w:p w14:paraId="3A5591E7">
      <w:pPr>
        <w:pStyle w:val="12"/>
        <w:tabs>
          <w:tab w:val="right" w:leader="dot" w:pos="8674"/>
        </w:tabs>
        <w:spacing w:line="360" w:lineRule="auto"/>
        <w:jc w:val="center"/>
        <w:rPr>
          <w:rFonts w:ascii="宋体" w:hAnsi="宋体" w:cs="宋体"/>
          <w:color w:val="auto"/>
          <w:spacing w:val="-6"/>
          <w:sz w:val="28"/>
          <w:szCs w:val="28"/>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spacing w:val="-6"/>
          <w:sz w:val="28"/>
          <w:szCs w:val="28"/>
          <w:highlight w:val="none"/>
        </w:rPr>
        <w:t>二0二</w:t>
      </w:r>
      <w:r>
        <w:rPr>
          <w:rFonts w:hint="eastAsia" w:ascii="宋体" w:hAnsi="宋体" w:cs="宋体"/>
          <w:color w:val="auto"/>
          <w:spacing w:val="-6"/>
          <w:sz w:val="28"/>
          <w:szCs w:val="28"/>
          <w:highlight w:val="none"/>
          <w:lang w:val="en-US" w:eastAsia="zh-CN"/>
        </w:rPr>
        <w:t>四</w:t>
      </w:r>
      <w:r>
        <w:rPr>
          <w:rFonts w:hint="eastAsia" w:ascii="宋体" w:hAnsi="宋体" w:cs="宋体"/>
          <w:color w:val="auto"/>
          <w:spacing w:val="-6"/>
          <w:sz w:val="28"/>
          <w:szCs w:val="28"/>
          <w:highlight w:val="none"/>
        </w:rPr>
        <w:t>年</w:t>
      </w:r>
      <w:r>
        <w:rPr>
          <w:rFonts w:hint="eastAsia" w:ascii="宋体" w:hAnsi="宋体" w:cs="宋体"/>
          <w:color w:val="auto"/>
          <w:spacing w:val="-6"/>
          <w:sz w:val="28"/>
          <w:szCs w:val="28"/>
          <w:highlight w:val="none"/>
          <w:lang w:val="en-US" w:eastAsia="zh-CN"/>
        </w:rPr>
        <w:t>八</w:t>
      </w:r>
      <w:r>
        <w:rPr>
          <w:rFonts w:hint="eastAsia" w:ascii="宋体" w:hAnsi="宋体" w:cs="宋体"/>
          <w:color w:val="auto"/>
          <w:spacing w:val="-6"/>
          <w:sz w:val="28"/>
          <w:szCs w:val="28"/>
          <w:highlight w:val="none"/>
        </w:rPr>
        <w:t>月</w:t>
      </w:r>
    </w:p>
    <w:p w14:paraId="7E9A3D7E">
      <w:pPr>
        <w:rPr>
          <w:rFonts w:ascii="宋体" w:hAnsi="宋体" w:cs="宋体"/>
          <w:color w:val="auto"/>
          <w:highlight w:val="none"/>
        </w:rPr>
      </w:pPr>
    </w:p>
    <w:p w14:paraId="72E42131">
      <w:pPr>
        <w:bidi w:val="0"/>
        <w:rPr>
          <w:rFonts w:ascii="Times New Roman" w:hAnsi="Times New Roman" w:eastAsia="宋体" w:cs="Times New Roman"/>
          <w:color w:val="auto"/>
          <w:kern w:val="2"/>
          <w:sz w:val="21"/>
          <w:highlight w:val="none"/>
          <w:lang w:val="en-US" w:eastAsia="zh-CN" w:bidi="ar-SA"/>
        </w:rPr>
      </w:pPr>
    </w:p>
    <w:p w14:paraId="302D071D">
      <w:pPr>
        <w:bidi w:val="0"/>
        <w:rPr>
          <w:color w:val="auto"/>
          <w:highlight w:val="none"/>
          <w:lang w:val="en-US" w:eastAsia="zh-CN"/>
        </w:rPr>
      </w:pPr>
    </w:p>
    <w:p w14:paraId="79AD328A">
      <w:pPr>
        <w:bidi w:val="0"/>
        <w:rPr>
          <w:color w:val="auto"/>
          <w:highlight w:val="none"/>
          <w:lang w:val="en-US" w:eastAsia="zh-CN"/>
        </w:rPr>
      </w:pPr>
    </w:p>
    <w:p w14:paraId="31E95224">
      <w:pPr>
        <w:bidi w:val="0"/>
        <w:rPr>
          <w:color w:val="auto"/>
          <w:highlight w:val="none"/>
          <w:lang w:val="en-US" w:eastAsia="zh-CN"/>
        </w:rPr>
      </w:pPr>
    </w:p>
    <w:p w14:paraId="231D284C">
      <w:pPr>
        <w:bidi w:val="0"/>
        <w:rPr>
          <w:color w:val="auto"/>
          <w:highlight w:val="none"/>
          <w:lang w:val="en-US" w:eastAsia="zh-CN"/>
        </w:rPr>
      </w:pPr>
    </w:p>
    <w:p w14:paraId="43D333F8">
      <w:pPr>
        <w:bidi w:val="0"/>
        <w:rPr>
          <w:color w:val="auto"/>
          <w:highlight w:val="none"/>
          <w:lang w:val="en-US" w:eastAsia="zh-CN"/>
        </w:rPr>
      </w:pPr>
    </w:p>
    <w:p w14:paraId="31DA9820">
      <w:pPr>
        <w:bidi w:val="0"/>
        <w:rPr>
          <w:color w:val="auto"/>
          <w:highlight w:val="none"/>
          <w:lang w:val="en-US" w:eastAsia="zh-CN"/>
        </w:rPr>
      </w:pPr>
    </w:p>
    <w:p w14:paraId="5AA29162">
      <w:pPr>
        <w:bidi w:val="0"/>
        <w:rPr>
          <w:color w:val="auto"/>
          <w:highlight w:val="none"/>
          <w:lang w:val="en-US" w:eastAsia="zh-CN"/>
        </w:rPr>
      </w:pPr>
    </w:p>
    <w:p w14:paraId="0C223265">
      <w:pPr>
        <w:bidi w:val="0"/>
        <w:rPr>
          <w:color w:val="auto"/>
          <w:highlight w:val="none"/>
          <w:lang w:val="en-US" w:eastAsia="zh-CN"/>
        </w:rPr>
      </w:pPr>
    </w:p>
    <w:p w14:paraId="04796BFB">
      <w:pPr>
        <w:bidi w:val="0"/>
        <w:rPr>
          <w:color w:val="auto"/>
          <w:highlight w:val="none"/>
          <w:lang w:val="en-US" w:eastAsia="zh-CN"/>
        </w:rPr>
      </w:pPr>
    </w:p>
    <w:p w14:paraId="0A308388">
      <w:pPr>
        <w:bidi w:val="0"/>
        <w:rPr>
          <w:color w:val="auto"/>
          <w:highlight w:val="none"/>
          <w:lang w:val="en-US" w:eastAsia="zh-CN"/>
        </w:rPr>
      </w:pPr>
    </w:p>
    <w:p w14:paraId="3A517FCA">
      <w:pPr>
        <w:bidi w:val="0"/>
        <w:rPr>
          <w:color w:val="auto"/>
          <w:highlight w:val="none"/>
          <w:lang w:val="en-US" w:eastAsia="zh-CN"/>
        </w:rPr>
      </w:pPr>
    </w:p>
    <w:p w14:paraId="0B72D4BE">
      <w:pPr>
        <w:bidi w:val="0"/>
        <w:rPr>
          <w:color w:val="auto"/>
          <w:highlight w:val="none"/>
          <w:lang w:val="en-US" w:eastAsia="zh-CN"/>
        </w:rPr>
      </w:pPr>
    </w:p>
    <w:p w14:paraId="6C574810">
      <w:pPr>
        <w:bidi w:val="0"/>
        <w:rPr>
          <w:color w:val="auto"/>
          <w:highlight w:val="none"/>
          <w:lang w:val="en-US" w:eastAsia="zh-CN"/>
        </w:rPr>
      </w:pPr>
    </w:p>
    <w:p w14:paraId="35845571">
      <w:pPr>
        <w:bidi w:val="0"/>
        <w:rPr>
          <w:color w:val="auto"/>
          <w:highlight w:val="none"/>
          <w:lang w:val="en-US" w:eastAsia="zh-CN"/>
        </w:rPr>
      </w:pPr>
    </w:p>
    <w:p w14:paraId="013C3852">
      <w:pPr>
        <w:bidi w:val="0"/>
        <w:rPr>
          <w:color w:val="auto"/>
          <w:highlight w:val="none"/>
          <w:lang w:val="en-US" w:eastAsia="zh-CN"/>
        </w:rPr>
      </w:pPr>
    </w:p>
    <w:p w14:paraId="1F06BB9F">
      <w:pPr>
        <w:bidi w:val="0"/>
        <w:rPr>
          <w:color w:val="auto"/>
          <w:highlight w:val="none"/>
          <w:lang w:val="en-US" w:eastAsia="zh-CN"/>
        </w:rPr>
      </w:pPr>
    </w:p>
    <w:p w14:paraId="117C4F23">
      <w:pPr>
        <w:tabs>
          <w:tab w:val="center" w:pos="4153"/>
        </w:tabs>
        <w:bidi w:val="0"/>
        <w:jc w:val="left"/>
        <w:rPr>
          <w:color w:val="auto"/>
          <w:highlight w:val="none"/>
          <w:lang w:val="en-US" w:eastAsia="zh-CN"/>
        </w:rPr>
        <w:sectPr>
          <w:pgSz w:w="11906" w:h="16838"/>
          <w:pgMar w:top="1440" w:right="1800" w:bottom="1440" w:left="1800" w:header="851" w:footer="992" w:gutter="0"/>
          <w:cols w:space="425" w:num="1"/>
          <w:docGrid w:type="lines" w:linePitch="312" w:charSpace="0"/>
        </w:sectPr>
      </w:pPr>
      <w:r>
        <w:rPr>
          <w:rFonts w:hint="eastAsia"/>
          <w:color w:val="auto"/>
          <w:highlight w:val="none"/>
          <w:lang w:val="en-US" w:eastAsia="zh-CN"/>
        </w:rPr>
        <w:tab/>
      </w:r>
    </w:p>
    <w:p w14:paraId="36A139B2">
      <w:pPr>
        <w:pStyle w:val="2"/>
        <w:rPr>
          <w:color w:val="auto"/>
          <w:highlight w:val="none"/>
        </w:rPr>
      </w:pPr>
    </w:p>
    <w:p w14:paraId="1F94192C">
      <w:pPr>
        <w:pStyle w:val="2"/>
        <w:rPr>
          <w:rFonts w:hint="eastAsia" w:hAnsi="宋体" w:eastAsia="宋体" w:cs="宋体"/>
          <w:color w:val="auto"/>
          <w:highlight w:val="none"/>
          <w:lang w:eastAsia="zh-CN"/>
        </w:rPr>
        <w:sectPr>
          <w:pgSz w:w="11906" w:h="16838"/>
          <w:pgMar w:top="1440" w:right="1800" w:bottom="1440" w:left="1800" w:header="851" w:footer="992" w:gutter="0"/>
          <w:cols w:space="425" w:num="1"/>
          <w:docGrid w:type="lines" w:linePitch="312" w:charSpace="0"/>
        </w:sectPr>
      </w:pPr>
      <w:r>
        <w:rPr>
          <w:color w:val="auto"/>
          <w:highlight w:val="none"/>
        </w:rPr>
        <w:drawing>
          <wp:inline distT="0" distB="0" distL="114300" distR="114300">
            <wp:extent cx="5266690" cy="8194675"/>
            <wp:effectExtent l="0" t="0" r="10160"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66690" cy="8194675"/>
                    </a:xfrm>
                    <a:prstGeom prst="rect">
                      <a:avLst/>
                    </a:prstGeom>
                    <a:noFill/>
                    <a:ln>
                      <a:noFill/>
                    </a:ln>
                  </pic:spPr>
                </pic:pic>
              </a:graphicData>
            </a:graphic>
          </wp:inline>
        </w:drawing>
      </w:r>
    </w:p>
    <w:p w14:paraId="7A74938E">
      <w:pPr>
        <w:pStyle w:val="2"/>
        <w:rPr>
          <w:rFonts w:hAnsi="宋体" w:eastAsia="宋体" w:cs="宋体"/>
          <w:color w:val="auto"/>
          <w:highlight w:val="none"/>
        </w:rPr>
      </w:pPr>
    </w:p>
    <w:p w14:paraId="62C3558A">
      <w:pPr>
        <w:rPr>
          <w:rFonts w:ascii="宋体" w:hAnsi="宋体" w:cs="宋体"/>
          <w:color w:val="auto"/>
          <w:highlight w:val="none"/>
        </w:rPr>
        <w:sectPr>
          <w:pgSz w:w="11906" w:h="16838"/>
          <w:pgMar w:top="1440" w:right="1800" w:bottom="1440" w:left="1800" w:header="851" w:footer="992" w:gutter="0"/>
          <w:cols w:space="425" w:num="1"/>
          <w:docGrid w:type="lines" w:linePitch="312" w:charSpace="0"/>
        </w:sectPr>
      </w:pPr>
    </w:p>
    <w:p w14:paraId="02F99899">
      <w:pPr>
        <w:spacing w:line="360" w:lineRule="auto"/>
        <w:ind w:firstLine="640"/>
        <w:jc w:val="center"/>
        <w:rPr>
          <w:rFonts w:ascii="宋体" w:hAnsi="宋体" w:cs="宋体"/>
          <w:bCs/>
          <w:color w:val="auto"/>
          <w:sz w:val="28"/>
          <w:szCs w:val="28"/>
          <w:highlight w:val="none"/>
        </w:rPr>
      </w:pPr>
      <w:bookmarkStart w:id="13" w:name="_Toc24336"/>
      <w:bookmarkStart w:id="14" w:name="_Toc11797"/>
    </w:p>
    <w:p w14:paraId="63A5180E">
      <w:pPr>
        <w:spacing w:line="360" w:lineRule="auto"/>
        <w:ind w:firstLine="640"/>
        <w:jc w:val="center"/>
        <w:outlineLvl w:val="0"/>
        <w:rPr>
          <w:rFonts w:ascii="宋体" w:hAnsi="宋体" w:cs="宋体"/>
          <w:bCs/>
          <w:color w:val="auto"/>
          <w:sz w:val="28"/>
          <w:szCs w:val="28"/>
          <w:highlight w:val="none"/>
        </w:rPr>
      </w:pPr>
      <w:bookmarkStart w:id="15" w:name="_Toc30026"/>
      <w:bookmarkStart w:id="16" w:name="_Toc31108"/>
      <w:bookmarkStart w:id="17" w:name="_Toc31317"/>
      <w:bookmarkStart w:id="18" w:name="_Toc2153"/>
      <w:r>
        <w:rPr>
          <w:rFonts w:hint="eastAsia" w:ascii="宋体" w:hAnsi="宋体" w:cs="宋体"/>
          <w:bCs/>
          <w:color w:val="auto"/>
          <w:sz w:val="28"/>
          <w:szCs w:val="28"/>
          <w:highlight w:val="none"/>
        </w:rPr>
        <w:t>编制人员组成</w:t>
      </w:r>
      <w:bookmarkEnd w:id="13"/>
      <w:bookmarkEnd w:id="14"/>
      <w:bookmarkEnd w:id="15"/>
      <w:bookmarkEnd w:id="16"/>
      <w:bookmarkEnd w:id="17"/>
      <w:bookmarkEnd w:id="18"/>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1829"/>
        <w:gridCol w:w="1981"/>
        <w:gridCol w:w="3010"/>
      </w:tblGrid>
      <w:tr w14:paraId="7669C6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tcBorders>
              <w:bottom w:val="single" w:color="auto" w:sz="6" w:space="0"/>
              <w:right w:val="single" w:color="auto" w:sz="6" w:space="0"/>
            </w:tcBorders>
            <w:vAlign w:val="center"/>
          </w:tcPr>
          <w:p w14:paraId="35010DCA">
            <w:pPr>
              <w:jc w:val="center"/>
              <w:rPr>
                <w:rFonts w:ascii="宋体" w:hAnsi="宋体" w:cs="宋体"/>
                <w:color w:val="auto"/>
                <w:sz w:val="24"/>
                <w:szCs w:val="24"/>
                <w:highlight w:val="none"/>
              </w:rPr>
            </w:pPr>
            <w:r>
              <w:rPr>
                <w:rFonts w:hint="eastAsia" w:ascii="宋体" w:hAnsi="宋体" w:cs="宋体"/>
                <w:color w:val="auto"/>
                <w:sz w:val="24"/>
                <w:szCs w:val="24"/>
                <w:highlight w:val="none"/>
              </w:rPr>
              <w:t>人员</w:t>
            </w:r>
          </w:p>
        </w:tc>
        <w:tc>
          <w:tcPr>
            <w:tcW w:w="1829" w:type="dxa"/>
            <w:tcBorders>
              <w:left w:val="single" w:color="auto" w:sz="6" w:space="0"/>
              <w:bottom w:val="single" w:color="auto" w:sz="6" w:space="0"/>
              <w:right w:val="single" w:color="auto" w:sz="6" w:space="0"/>
            </w:tcBorders>
            <w:vAlign w:val="center"/>
          </w:tcPr>
          <w:p w14:paraId="4259E964">
            <w:pPr>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981" w:type="dxa"/>
            <w:tcBorders>
              <w:left w:val="single" w:color="auto" w:sz="6" w:space="0"/>
              <w:bottom w:val="single" w:color="auto" w:sz="6" w:space="0"/>
              <w:right w:val="single" w:color="auto" w:sz="6" w:space="0"/>
            </w:tcBorders>
            <w:vAlign w:val="center"/>
          </w:tcPr>
          <w:p w14:paraId="0AB8BEA3">
            <w:pPr>
              <w:jc w:val="center"/>
              <w:rPr>
                <w:rFonts w:ascii="宋体" w:hAnsi="宋体" w:cs="宋体"/>
                <w:color w:val="auto"/>
                <w:sz w:val="24"/>
                <w:szCs w:val="24"/>
                <w:highlight w:val="none"/>
              </w:rPr>
            </w:pPr>
            <w:r>
              <w:rPr>
                <w:rFonts w:hint="eastAsia" w:ascii="宋体" w:hAnsi="宋体" w:cs="宋体"/>
                <w:color w:val="auto"/>
                <w:sz w:val="24"/>
                <w:szCs w:val="24"/>
                <w:highlight w:val="none"/>
              </w:rPr>
              <w:t>专业</w:t>
            </w:r>
          </w:p>
        </w:tc>
        <w:tc>
          <w:tcPr>
            <w:tcW w:w="3010" w:type="dxa"/>
            <w:tcBorders>
              <w:left w:val="single" w:color="auto" w:sz="6" w:space="0"/>
              <w:bottom w:val="single" w:color="auto" w:sz="6" w:space="0"/>
            </w:tcBorders>
            <w:vAlign w:val="center"/>
          </w:tcPr>
          <w:p w14:paraId="4BB894C3">
            <w:pPr>
              <w:jc w:val="center"/>
              <w:rPr>
                <w:rFonts w:ascii="宋体" w:hAnsi="宋体" w:cs="宋体"/>
                <w:color w:val="auto"/>
                <w:sz w:val="24"/>
                <w:szCs w:val="24"/>
                <w:highlight w:val="none"/>
              </w:rPr>
            </w:pPr>
            <w:r>
              <w:rPr>
                <w:rFonts w:hint="eastAsia" w:ascii="宋体" w:hAnsi="宋体" w:cs="宋体"/>
                <w:color w:val="auto"/>
                <w:sz w:val="24"/>
                <w:szCs w:val="24"/>
                <w:highlight w:val="none"/>
              </w:rPr>
              <w:t>职称</w:t>
            </w:r>
          </w:p>
        </w:tc>
      </w:tr>
      <w:tr w14:paraId="02AB6C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tcBorders>
              <w:top w:val="single" w:color="auto" w:sz="6" w:space="0"/>
              <w:bottom w:val="single" w:color="auto" w:sz="4" w:space="0"/>
              <w:right w:val="single" w:color="auto" w:sz="6" w:space="0"/>
            </w:tcBorders>
            <w:vAlign w:val="center"/>
          </w:tcPr>
          <w:p w14:paraId="07736288">
            <w:pPr>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829" w:type="dxa"/>
            <w:tcBorders>
              <w:top w:val="single" w:color="auto" w:sz="6" w:space="0"/>
              <w:left w:val="single" w:color="auto" w:sz="6" w:space="0"/>
              <w:bottom w:val="single" w:color="auto" w:sz="6" w:space="0"/>
              <w:right w:val="single" w:color="auto" w:sz="6" w:space="0"/>
            </w:tcBorders>
            <w:vAlign w:val="center"/>
          </w:tcPr>
          <w:p w14:paraId="5730D051">
            <w:pPr>
              <w:jc w:val="center"/>
              <w:rPr>
                <w:rFonts w:ascii="宋体" w:hAnsi="宋体" w:cs="宋体"/>
                <w:color w:val="auto"/>
                <w:sz w:val="24"/>
                <w:szCs w:val="24"/>
                <w:highlight w:val="none"/>
              </w:rPr>
            </w:pPr>
            <w:r>
              <w:rPr>
                <w:rFonts w:hint="eastAsia" w:ascii="宋体" w:hAnsi="宋体"/>
                <w:color w:val="auto"/>
                <w:sz w:val="24"/>
                <w:szCs w:val="24"/>
                <w:highlight w:val="none"/>
              </w:rPr>
              <w:t>蔡成仪</w:t>
            </w:r>
          </w:p>
        </w:tc>
        <w:tc>
          <w:tcPr>
            <w:tcW w:w="1981" w:type="dxa"/>
            <w:tcBorders>
              <w:top w:val="single" w:color="auto" w:sz="6" w:space="0"/>
              <w:left w:val="single" w:color="auto" w:sz="6" w:space="0"/>
              <w:bottom w:val="single" w:color="auto" w:sz="6" w:space="0"/>
              <w:right w:val="single" w:color="auto" w:sz="6" w:space="0"/>
            </w:tcBorders>
            <w:vAlign w:val="center"/>
          </w:tcPr>
          <w:p w14:paraId="12DD5A18">
            <w:pPr>
              <w:jc w:val="center"/>
              <w:rPr>
                <w:rFonts w:ascii="宋体" w:hAnsi="宋体" w:cs="宋体"/>
                <w:color w:val="auto"/>
                <w:sz w:val="24"/>
                <w:szCs w:val="24"/>
                <w:highlight w:val="none"/>
              </w:rPr>
            </w:pPr>
            <w:r>
              <w:rPr>
                <w:rFonts w:hint="eastAsia" w:ascii="宋体" w:hAnsi="宋体"/>
                <w:color w:val="auto"/>
                <w:sz w:val="24"/>
                <w:szCs w:val="24"/>
                <w:highlight w:val="none"/>
              </w:rPr>
              <w:t>工艺</w:t>
            </w:r>
          </w:p>
        </w:tc>
        <w:tc>
          <w:tcPr>
            <w:tcW w:w="3010" w:type="dxa"/>
            <w:tcBorders>
              <w:top w:val="single" w:color="auto" w:sz="6" w:space="0"/>
              <w:left w:val="single" w:color="auto" w:sz="6" w:space="0"/>
              <w:bottom w:val="single" w:color="auto" w:sz="6" w:space="0"/>
            </w:tcBorders>
            <w:vAlign w:val="center"/>
          </w:tcPr>
          <w:p w14:paraId="3C00E654">
            <w:pPr>
              <w:jc w:val="center"/>
              <w:rPr>
                <w:rFonts w:hint="eastAsia" w:ascii="宋体" w:hAnsi="宋体"/>
                <w:color w:val="auto"/>
                <w:sz w:val="24"/>
                <w:szCs w:val="24"/>
                <w:highlight w:val="none"/>
              </w:rPr>
            </w:pPr>
            <w:r>
              <w:rPr>
                <w:rFonts w:hint="eastAsia" w:ascii="宋体" w:hAnsi="宋体"/>
                <w:color w:val="auto"/>
                <w:sz w:val="24"/>
                <w:szCs w:val="24"/>
                <w:highlight w:val="none"/>
              </w:rPr>
              <w:t>高级工程师</w:t>
            </w:r>
          </w:p>
          <w:p w14:paraId="1F506687">
            <w:pPr>
              <w:jc w:val="center"/>
              <w:rPr>
                <w:rFonts w:ascii="宋体" w:hAnsi="宋体" w:cs="宋体"/>
                <w:color w:val="auto"/>
                <w:sz w:val="24"/>
                <w:szCs w:val="24"/>
                <w:highlight w:val="none"/>
              </w:rPr>
            </w:pPr>
            <w:r>
              <w:rPr>
                <w:rFonts w:hint="eastAsia" w:ascii="宋体" w:hAnsi="宋体"/>
                <w:color w:val="auto"/>
                <w:sz w:val="24"/>
                <w:szCs w:val="24"/>
                <w:highlight w:val="none"/>
              </w:rPr>
              <w:t>注册咨询工程师</w:t>
            </w:r>
          </w:p>
        </w:tc>
      </w:tr>
      <w:tr w14:paraId="44ADAA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restart"/>
            <w:tcBorders>
              <w:right w:val="single" w:color="auto" w:sz="6" w:space="0"/>
            </w:tcBorders>
            <w:vAlign w:val="center"/>
          </w:tcPr>
          <w:p w14:paraId="08DC7942">
            <w:pPr>
              <w:widowControl/>
              <w:jc w:val="center"/>
              <w:rPr>
                <w:rFonts w:ascii="宋体" w:hAnsi="宋体" w:cs="宋体"/>
                <w:color w:val="auto"/>
                <w:sz w:val="24"/>
                <w:szCs w:val="24"/>
                <w:highlight w:val="none"/>
              </w:rPr>
            </w:pPr>
            <w:r>
              <w:rPr>
                <w:rFonts w:hint="eastAsia" w:ascii="宋体" w:hAnsi="宋体" w:cs="宋体"/>
                <w:color w:val="auto"/>
                <w:sz w:val="24"/>
                <w:szCs w:val="24"/>
                <w:highlight w:val="none"/>
              </w:rPr>
              <w:t>编制人员</w:t>
            </w:r>
          </w:p>
        </w:tc>
        <w:tc>
          <w:tcPr>
            <w:tcW w:w="1829" w:type="dxa"/>
            <w:tcBorders>
              <w:top w:val="single" w:color="auto" w:sz="6" w:space="0"/>
              <w:left w:val="single" w:color="auto" w:sz="6" w:space="0"/>
              <w:bottom w:val="single" w:color="auto" w:sz="6" w:space="0"/>
              <w:right w:val="single" w:color="auto" w:sz="6" w:space="0"/>
            </w:tcBorders>
            <w:vAlign w:val="center"/>
          </w:tcPr>
          <w:p w14:paraId="5AC0876A">
            <w:pPr>
              <w:jc w:val="center"/>
              <w:rPr>
                <w:rFonts w:ascii="宋体" w:hAnsi="宋体" w:cs="宋体"/>
                <w:color w:val="auto"/>
                <w:sz w:val="24"/>
                <w:szCs w:val="24"/>
                <w:highlight w:val="none"/>
              </w:rPr>
            </w:pPr>
            <w:r>
              <w:rPr>
                <w:rFonts w:hint="eastAsia" w:ascii="宋体" w:hAnsi="宋体"/>
                <w:color w:val="auto"/>
                <w:sz w:val="24"/>
                <w:szCs w:val="24"/>
                <w:highlight w:val="none"/>
              </w:rPr>
              <w:t>姚辉</w:t>
            </w:r>
          </w:p>
        </w:tc>
        <w:tc>
          <w:tcPr>
            <w:tcW w:w="1981" w:type="dxa"/>
            <w:tcBorders>
              <w:top w:val="single" w:color="auto" w:sz="6" w:space="0"/>
              <w:left w:val="single" w:color="auto" w:sz="6" w:space="0"/>
              <w:bottom w:val="single" w:color="auto" w:sz="6" w:space="0"/>
              <w:right w:val="single" w:color="auto" w:sz="6" w:space="0"/>
            </w:tcBorders>
            <w:vAlign w:val="center"/>
          </w:tcPr>
          <w:p w14:paraId="397CD23A">
            <w:pPr>
              <w:jc w:val="center"/>
              <w:rPr>
                <w:rFonts w:ascii="宋体" w:hAnsi="宋体" w:cs="宋体"/>
                <w:color w:val="auto"/>
                <w:sz w:val="24"/>
                <w:szCs w:val="24"/>
                <w:highlight w:val="none"/>
              </w:rPr>
            </w:pPr>
            <w:r>
              <w:rPr>
                <w:rFonts w:hint="eastAsia" w:ascii="宋体" w:hAnsi="宋体"/>
                <w:color w:val="auto"/>
                <w:sz w:val="24"/>
                <w:szCs w:val="24"/>
                <w:highlight w:val="none"/>
              </w:rPr>
              <w:t>工艺</w:t>
            </w:r>
          </w:p>
        </w:tc>
        <w:tc>
          <w:tcPr>
            <w:tcW w:w="3010" w:type="dxa"/>
            <w:tcBorders>
              <w:top w:val="single" w:color="auto" w:sz="6" w:space="0"/>
              <w:left w:val="single" w:color="auto" w:sz="6" w:space="0"/>
              <w:bottom w:val="single" w:color="auto" w:sz="6" w:space="0"/>
            </w:tcBorders>
            <w:vAlign w:val="center"/>
          </w:tcPr>
          <w:p w14:paraId="5FF0BCA9">
            <w:pPr>
              <w:jc w:val="center"/>
              <w:rPr>
                <w:rFonts w:ascii="宋体" w:hAnsi="宋体" w:cs="宋体"/>
                <w:color w:val="auto"/>
                <w:sz w:val="24"/>
                <w:szCs w:val="24"/>
                <w:highlight w:val="none"/>
              </w:rPr>
            </w:pPr>
            <w:r>
              <w:rPr>
                <w:rFonts w:hint="eastAsia" w:ascii="宋体" w:hAnsi="宋体"/>
                <w:color w:val="auto"/>
                <w:sz w:val="24"/>
                <w:szCs w:val="24"/>
                <w:highlight w:val="none"/>
              </w:rPr>
              <w:t>注册咨询工程师</w:t>
            </w:r>
          </w:p>
        </w:tc>
      </w:tr>
      <w:tr w14:paraId="3F9E3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4F6C039A">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6C68F330">
            <w:pPr>
              <w:jc w:val="center"/>
              <w:rPr>
                <w:rFonts w:ascii="宋体" w:hAnsi="宋体" w:cs="宋体"/>
                <w:color w:val="auto"/>
                <w:sz w:val="24"/>
                <w:szCs w:val="24"/>
                <w:highlight w:val="none"/>
              </w:rPr>
            </w:pPr>
            <w:r>
              <w:rPr>
                <w:rFonts w:hint="eastAsia" w:ascii="宋体" w:hAnsi="宋体"/>
                <w:color w:val="auto"/>
                <w:sz w:val="24"/>
                <w:szCs w:val="24"/>
                <w:highlight w:val="none"/>
              </w:rPr>
              <w:t>张桂丽</w:t>
            </w:r>
          </w:p>
        </w:tc>
        <w:tc>
          <w:tcPr>
            <w:tcW w:w="1981" w:type="dxa"/>
            <w:tcBorders>
              <w:top w:val="single" w:color="auto" w:sz="6" w:space="0"/>
              <w:left w:val="single" w:color="auto" w:sz="6" w:space="0"/>
              <w:bottom w:val="single" w:color="auto" w:sz="6" w:space="0"/>
              <w:right w:val="single" w:color="auto" w:sz="6" w:space="0"/>
            </w:tcBorders>
            <w:vAlign w:val="center"/>
          </w:tcPr>
          <w:p w14:paraId="76567BAC">
            <w:pPr>
              <w:jc w:val="center"/>
              <w:rPr>
                <w:rFonts w:ascii="宋体" w:hAnsi="宋体" w:cs="宋体"/>
                <w:color w:val="auto"/>
                <w:sz w:val="24"/>
                <w:szCs w:val="24"/>
                <w:highlight w:val="none"/>
              </w:rPr>
            </w:pPr>
            <w:r>
              <w:rPr>
                <w:rFonts w:hint="eastAsia" w:ascii="宋体" w:hAnsi="宋体"/>
                <w:color w:val="auto"/>
                <w:sz w:val="24"/>
                <w:szCs w:val="24"/>
                <w:highlight w:val="none"/>
              </w:rPr>
              <w:t>设备</w:t>
            </w:r>
          </w:p>
        </w:tc>
        <w:tc>
          <w:tcPr>
            <w:tcW w:w="3010" w:type="dxa"/>
            <w:tcBorders>
              <w:top w:val="single" w:color="auto" w:sz="6" w:space="0"/>
              <w:left w:val="single" w:color="auto" w:sz="6" w:space="0"/>
              <w:bottom w:val="single" w:color="auto" w:sz="6" w:space="0"/>
            </w:tcBorders>
            <w:vAlign w:val="center"/>
          </w:tcPr>
          <w:p w14:paraId="6FC53ADF">
            <w:pPr>
              <w:jc w:val="center"/>
              <w:rPr>
                <w:rFonts w:hint="eastAsia" w:ascii="宋体" w:hAnsi="宋体"/>
                <w:color w:val="auto"/>
                <w:sz w:val="24"/>
                <w:szCs w:val="24"/>
                <w:highlight w:val="none"/>
              </w:rPr>
            </w:pPr>
            <w:r>
              <w:rPr>
                <w:rFonts w:hint="eastAsia" w:ascii="宋体" w:hAnsi="宋体"/>
                <w:color w:val="auto"/>
                <w:sz w:val="24"/>
                <w:szCs w:val="24"/>
                <w:highlight w:val="none"/>
              </w:rPr>
              <w:t>高级工程师</w:t>
            </w:r>
          </w:p>
          <w:p w14:paraId="4A86D554">
            <w:pPr>
              <w:jc w:val="center"/>
              <w:rPr>
                <w:rFonts w:ascii="宋体" w:hAnsi="宋体" w:cs="宋体"/>
                <w:color w:val="auto"/>
                <w:sz w:val="24"/>
                <w:szCs w:val="24"/>
                <w:highlight w:val="none"/>
              </w:rPr>
            </w:pPr>
            <w:r>
              <w:rPr>
                <w:rFonts w:hint="eastAsia" w:ascii="宋体" w:hAnsi="宋体"/>
                <w:color w:val="auto"/>
                <w:sz w:val="24"/>
                <w:szCs w:val="24"/>
                <w:highlight w:val="none"/>
              </w:rPr>
              <w:t>注册咨询工程师</w:t>
            </w:r>
          </w:p>
        </w:tc>
      </w:tr>
      <w:tr w14:paraId="396514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501F4D25">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208244DB">
            <w:pPr>
              <w:jc w:val="center"/>
              <w:rPr>
                <w:rFonts w:ascii="宋体" w:hAnsi="宋体" w:cs="宋体"/>
                <w:color w:val="auto"/>
                <w:sz w:val="24"/>
                <w:szCs w:val="24"/>
                <w:highlight w:val="none"/>
              </w:rPr>
            </w:pPr>
            <w:r>
              <w:rPr>
                <w:rFonts w:hint="eastAsia" w:ascii="宋体" w:hAnsi="宋体"/>
                <w:color w:val="auto"/>
                <w:sz w:val="24"/>
                <w:szCs w:val="24"/>
                <w:highlight w:val="none"/>
              </w:rPr>
              <w:t>邓小玲</w:t>
            </w:r>
          </w:p>
        </w:tc>
        <w:tc>
          <w:tcPr>
            <w:tcW w:w="1981" w:type="dxa"/>
            <w:tcBorders>
              <w:top w:val="single" w:color="auto" w:sz="6" w:space="0"/>
              <w:left w:val="single" w:color="auto" w:sz="6" w:space="0"/>
              <w:bottom w:val="single" w:color="auto" w:sz="6" w:space="0"/>
              <w:right w:val="single" w:color="auto" w:sz="6" w:space="0"/>
            </w:tcBorders>
            <w:vAlign w:val="center"/>
          </w:tcPr>
          <w:p w14:paraId="52F29559">
            <w:pPr>
              <w:jc w:val="center"/>
              <w:rPr>
                <w:rFonts w:ascii="宋体" w:hAnsi="宋体" w:cs="宋体"/>
                <w:color w:val="auto"/>
                <w:sz w:val="24"/>
                <w:szCs w:val="24"/>
                <w:highlight w:val="none"/>
              </w:rPr>
            </w:pPr>
            <w:r>
              <w:rPr>
                <w:rFonts w:hint="eastAsia" w:ascii="宋体" w:hAnsi="宋体"/>
                <w:color w:val="auto"/>
                <w:sz w:val="24"/>
                <w:szCs w:val="24"/>
                <w:highlight w:val="none"/>
              </w:rPr>
              <w:t>总图</w:t>
            </w:r>
          </w:p>
        </w:tc>
        <w:tc>
          <w:tcPr>
            <w:tcW w:w="3010" w:type="dxa"/>
            <w:tcBorders>
              <w:top w:val="single" w:color="auto" w:sz="6" w:space="0"/>
              <w:left w:val="single" w:color="auto" w:sz="6" w:space="0"/>
              <w:bottom w:val="single" w:color="auto" w:sz="6" w:space="0"/>
            </w:tcBorders>
            <w:vAlign w:val="center"/>
          </w:tcPr>
          <w:p w14:paraId="43386941">
            <w:pPr>
              <w:jc w:val="center"/>
              <w:rPr>
                <w:rFonts w:ascii="宋体" w:hAnsi="宋体" w:cs="宋体"/>
                <w:color w:val="auto"/>
                <w:sz w:val="24"/>
                <w:szCs w:val="24"/>
                <w:highlight w:val="none"/>
              </w:rPr>
            </w:pPr>
            <w:r>
              <w:rPr>
                <w:rFonts w:hint="eastAsia" w:ascii="宋体" w:hAnsi="宋体"/>
                <w:color w:val="auto"/>
                <w:sz w:val="24"/>
                <w:szCs w:val="24"/>
                <w:highlight w:val="none"/>
              </w:rPr>
              <w:t>高级工程师</w:t>
            </w:r>
          </w:p>
        </w:tc>
      </w:tr>
      <w:tr w14:paraId="4BEF0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3F34CD90">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3151A92B">
            <w:pPr>
              <w:jc w:val="center"/>
              <w:rPr>
                <w:rFonts w:ascii="宋体" w:hAnsi="宋体" w:cs="宋体"/>
                <w:color w:val="auto"/>
                <w:sz w:val="24"/>
                <w:szCs w:val="24"/>
                <w:highlight w:val="none"/>
              </w:rPr>
            </w:pPr>
            <w:r>
              <w:rPr>
                <w:rFonts w:hint="eastAsia" w:ascii="宋体" w:hAnsi="宋体"/>
                <w:color w:val="auto"/>
                <w:sz w:val="24"/>
                <w:szCs w:val="24"/>
                <w:highlight w:val="none"/>
              </w:rPr>
              <w:t>龚骏巍</w:t>
            </w:r>
          </w:p>
        </w:tc>
        <w:tc>
          <w:tcPr>
            <w:tcW w:w="1981" w:type="dxa"/>
            <w:tcBorders>
              <w:top w:val="single" w:color="auto" w:sz="6" w:space="0"/>
              <w:left w:val="single" w:color="auto" w:sz="6" w:space="0"/>
              <w:bottom w:val="single" w:color="auto" w:sz="6" w:space="0"/>
              <w:right w:val="single" w:color="auto" w:sz="6" w:space="0"/>
            </w:tcBorders>
            <w:vAlign w:val="center"/>
          </w:tcPr>
          <w:p w14:paraId="7C264E0B">
            <w:pPr>
              <w:jc w:val="center"/>
              <w:rPr>
                <w:rFonts w:ascii="宋体" w:hAnsi="宋体" w:cs="宋体"/>
                <w:color w:val="auto"/>
                <w:sz w:val="24"/>
                <w:szCs w:val="24"/>
                <w:highlight w:val="none"/>
              </w:rPr>
            </w:pPr>
            <w:r>
              <w:rPr>
                <w:rFonts w:hint="eastAsia" w:ascii="宋体" w:hAnsi="宋体"/>
                <w:color w:val="auto"/>
                <w:sz w:val="24"/>
                <w:szCs w:val="24"/>
                <w:highlight w:val="none"/>
              </w:rPr>
              <w:t>自控</w:t>
            </w:r>
          </w:p>
        </w:tc>
        <w:tc>
          <w:tcPr>
            <w:tcW w:w="3010" w:type="dxa"/>
            <w:tcBorders>
              <w:top w:val="single" w:color="auto" w:sz="6" w:space="0"/>
              <w:left w:val="single" w:color="auto" w:sz="6" w:space="0"/>
              <w:bottom w:val="single" w:color="auto" w:sz="6" w:space="0"/>
            </w:tcBorders>
            <w:vAlign w:val="center"/>
          </w:tcPr>
          <w:p w14:paraId="3A411C02">
            <w:pPr>
              <w:jc w:val="center"/>
              <w:rPr>
                <w:rFonts w:hint="eastAsia" w:ascii="宋体" w:hAnsi="宋体"/>
                <w:color w:val="auto"/>
                <w:sz w:val="24"/>
                <w:szCs w:val="24"/>
                <w:highlight w:val="none"/>
              </w:rPr>
            </w:pPr>
            <w:r>
              <w:rPr>
                <w:rFonts w:hint="eastAsia" w:ascii="宋体" w:hAnsi="宋体"/>
                <w:color w:val="auto"/>
                <w:sz w:val="24"/>
                <w:szCs w:val="24"/>
                <w:highlight w:val="none"/>
              </w:rPr>
              <w:t>高级工程师</w:t>
            </w:r>
          </w:p>
          <w:p w14:paraId="79EFFC5B">
            <w:pPr>
              <w:jc w:val="center"/>
              <w:rPr>
                <w:rFonts w:ascii="宋体" w:hAnsi="宋体" w:cs="宋体"/>
                <w:color w:val="auto"/>
                <w:highlight w:val="none"/>
              </w:rPr>
            </w:pPr>
            <w:r>
              <w:rPr>
                <w:rFonts w:hint="eastAsia" w:ascii="宋体" w:hAnsi="宋体"/>
                <w:color w:val="auto"/>
                <w:sz w:val="24"/>
                <w:szCs w:val="24"/>
                <w:highlight w:val="none"/>
              </w:rPr>
              <w:t>注册咨询工程师</w:t>
            </w:r>
          </w:p>
        </w:tc>
      </w:tr>
      <w:tr w14:paraId="690E2C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533363A8">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497AE129">
            <w:pPr>
              <w:jc w:val="center"/>
              <w:rPr>
                <w:rFonts w:ascii="宋体" w:hAnsi="宋体" w:cs="宋体"/>
                <w:color w:val="auto"/>
                <w:sz w:val="24"/>
                <w:szCs w:val="24"/>
                <w:highlight w:val="none"/>
              </w:rPr>
            </w:pPr>
            <w:r>
              <w:rPr>
                <w:rFonts w:hint="eastAsia" w:ascii="宋体" w:hAnsi="宋体"/>
                <w:color w:val="auto"/>
                <w:sz w:val="24"/>
                <w:szCs w:val="24"/>
                <w:highlight w:val="none"/>
              </w:rPr>
              <w:t>史杭俊</w:t>
            </w:r>
          </w:p>
        </w:tc>
        <w:tc>
          <w:tcPr>
            <w:tcW w:w="1981" w:type="dxa"/>
            <w:tcBorders>
              <w:top w:val="single" w:color="auto" w:sz="6" w:space="0"/>
              <w:left w:val="single" w:color="auto" w:sz="6" w:space="0"/>
              <w:bottom w:val="single" w:color="auto" w:sz="6" w:space="0"/>
              <w:right w:val="single" w:color="auto" w:sz="6" w:space="0"/>
            </w:tcBorders>
            <w:vAlign w:val="center"/>
          </w:tcPr>
          <w:p w14:paraId="1CA7CC3D">
            <w:pPr>
              <w:jc w:val="center"/>
              <w:rPr>
                <w:rFonts w:ascii="宋体" w:hAnsi="宋体" w:cs="宋体"/>
                <w:color w:val="auto"/>
                <w:sz w:val="24"/>
                <w:szCs w:val="24"/>
                <w:highlight w:val="none"/>
              </w:rPr>
            </w:pPr>
            <w:r>
              <w:rPr>
                <w:rFonts w:hint="eastAsia" w:ascii="宋体" w:hAnsi="宋体"/>
                <w:color w:val="auto"/>
                <w:sz w:val="24"/>
                <w:szCs w:val="24"/>
                <w:highlight w:val="none"/>
              </w:rPr>
              <w:t>给排水、消防</w:t>
            </w:r>
          </w:p>
        </w:tc>
        <w:tc>
          <w:tcPr>
            <w:tcW w:w="3010" w:type="dxa"/>
            <w:tcBorders>
              <w:top w:val="single" w:color="auto" w:sz="6" w:space="0"/>
              <w:left w:val="single" w:color="auto" w:sz="6" w:space="0"/>
              <w:bottom w:val="single" w:color="auto" w:sz="6" w:space="0"/>
            </w:tcBorders>
            <w:vAlign w:val="center"/>
          </w:tcPr>
          <w:p w14:paraId="76FFB37B">
            <w:pPr>
              <w:jc w:val="center"/>
              <w:rPr>
                <w:rFonts w:ascii="宋体" w:hAnsi="宋体" w:cs="宋体"/>
                <w:color w:val="auto"/>
                <w:sz w:val="24"/>
                <w:szCs w:val="24"/>
                <w:highlight w:val="none"/>
              </w:rPr>
            </w:pPr>
            <w:r>
              <w:rPr>
                <w:rFonts w:hint="eastAsia" w:ascii="宋体" w:hAnsi="宋体"/>
                <w:color w:val="auto"/>
                <w:sz w:val="24"/>
                <w:szCs w:val="24"/>
                <w:highlight w:val="none"/>
              </w:rPr>
              <w:t>高级工程师</w:t>
            </w:r>
          </w:p>
        </w:tc>
      </w:tr>
      <w:tr w14:paraId="4D41D8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3A992ABE">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145CBC2E">
            <w:pPr>
              <w:jc w:val="center"/>
              <w:rPr>
                <w:rFonts w:ascii="宋体" w:hAnsi="宋体" w:cs="宋体"/>
                <w:color w:val="auto"/>
                <w:sz w:val="24"/>
                <w:szCs w:val="24"/>
                <w:highlight w:val="none"/>
              </w:rPr>
            </w:pPr>
            <w:r>
              <w:rPr>
                <w:rFonts w:hint="eastAsia" w:ascii="宋体" w:hAnsi="宋体"/>
                <w:color w:val="auto"/>
                <w:sz w:val="24"/>
                <w:szCs w:val="24"/>
                <w:highlight w:val="none"/>
              </w:rPr>
              <w:t>金春雷</w:t>
            </w:r>
          </w:p>
        </w:tc>
        <w:tc>
          <w:tcPr>
            <w:tcW w:w="1981" w:type="dxa"/>
            <w:tcBorders>
              <w:top w:val="single" w:color="auto" w:sz="6" w:space="0"/>
              <w:left w:val="single" w:color="auto" w:sz="6" w:space="0"/>
              <w:bottom w:val="single" w:color="auto" w:sz="6" w:space="0"/>
              <w:right w:val="single" w:color="auto" w:sz="6" w:space="0"/>
            </w:tcBorders>
            <w:vAlign w:val="center"/>
          </w:tcPr>
          <w:p w14:paraId="4C99654A">
            <w:pPr>
              <w:jc w:val="center"/>
              <w:rPr>
                <w:rFonts w:ascii="宋体" w:hAnsi="宋体" w:cs="宋体"/>
                <w:color w:val="auto"/>
                <w:sz w:val="24"/>
                <w:szCs w:val="24"/>
                <w:highlight w:val="none"/>
              </w:rPr>
            </w:pPr>
            <w:r>
              <w:rPr>
                <w:rFonts w:hint="eastAsia" w:ascii="宋体" w:hAnsi="宋体"/>
                <w:color w:val="auto"/>
                <w:sz w:val="24"/>
                <w:szCs w:val="24"/>
                <w:highlight w:val="none"/>
              </w:rPr>
              <w:t>土建</w:t>
            </w:r>
          </w:p>
        </w:tc>
        <w:tc>
          <w:tcPr>
            <w:tcW w:w="3010" w:type="dxa"/>
            <w:tcBorders>
              <w:top w:val="single" w:color="auto" w:sz="6" w:space="0"/>
              <w:left w:val="single" w:color="auto" w:sz="6" w:space="0"/>
              <w:bottom w:val="single" w:color="auto" w:sz="6" w:space="0"/>
            </w:tcBorders>
            <w:vAlign w:val="center"/>
          </w:tcPr>
          <w:p w14:paraId="70061BFE">
            <w:pPr>
              <w:jc w:val="center"/>
              <w:rPr>
                <w:rFonts w:ascii="宋体" w:hAnsi="宋体" w:cs="宋体"/>
                <w:color w:val="auto"/>
                <w:sz w:val="24"/>
                <w:szCs w:val="24"/>
                <w:highlight w:val="none"/>
              </w:rPr>
            </w:pPr>
            <w:r>
              <w:rPr>
                <w:rFonts w:hint="eastAsia" w:ascii="宋体" w:hAnsi="宋体"/>
                <w:color w:val="auto"/>
                <w:sz w:val="24"/>
                <w:szCs w:val="24"/>
                <w:highlight w:val="none"/>
              </w:rPr>
              <w:t>高级工程师</w:t>
            </w:r>
          </w:p>
        </w:tc>
      </w:tr>
      <w:tr w14:paraId="007A5A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467730D9">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48E65B0B">
            <w:pPr>
              <w:jc w:val="center"/>
              <w:rPr>
                <w:rFonts w:ascii="宋体" w:hAnsi="宋体" w:cs="宋体"/>
                <w:color w:val="auto"/>
                <w:sz w:val="24"/>
                <w:szCs w:val="24"/>
                <w:highlight w:val="none"/>
              </w:rPr>
            </w:pPr>
            <w:r>
              <w:rPr>
                <w:rFonts w:hint="eastAsia" w:ascii="宋体" w:hAnsi="宋体"/>
                <w:color w:val="auto"/>
                <w:sz w:val="24"/>
                <w:szCs w:val="24"/>
                <w:highlight w:val="none"/>
              </w:rPr>
              <w:t>蒋守军</w:t>
            </w:r>
          </w:p>
        </w:tc>
        <w:tc>
          <w:tcPr>
            <w:tcW w:w="1981" w:type="dxa"/>
            <w:tcBorders>
              <w:top w:val="single" w:color="auto" w:sz="6" w:space="0"/>
              <w:left w:val="single" w:color="auto" w:sz="6" w:space="0"/>
              <w:bottom w:val="single" w:color="auto" w:sz="6" w:space="0"/>
              <w:right w:val="single" w:color="auto" w:sz="6" w:space="0"/>
            </w:tcBorders>
            <w:vAlign w:val="center"/>
          </w:tcPr>
          <w:p w14:paraId="7963D478">
            <w:pPr>
              <w:jc w:val="center"/>
              <w:rPr>
                <w:rFonts w:ascii="宋体" w:hAnsi="宋体" w:cs="宋体"/>
                <w:color w:val="auto"/>
                <w:sz w:val="24"/>
                <w:szCs w:val="24"/>
                <w:highlight w:val="none"/>
              </w:rPr>
            </w:pPr>
            <w:r>
              <w:rPr>
                <w:rFonts w:hint="eastAsia" w:ascii="宋体" w:hAnsi="宋体"/>
                <w:color w:val="auto"/>
                <w:sz w:val="24"/>
                <w:szCs w:val="24"/>
                <w:highlight w:val="none"/>
              </w:rPr>
              <w:t>电气</w:t>
            </w:r>
          </w:p>
        </w:tc>
        <w:tc>
          <w:tcPr>
            <w:tcW w:w="3010" w:type="dxa"/>
            <w:tcBorders>
              <w:top w:val="single" w:color="auto" w:sz="6" w:space="0"/>
              <w:left w:val="single" w:color="auto" w:sz="6" w:space="0"/>
              <w:bottom w:val="single" w:color="auto" w:sz="6" w:space="0"/>
            </w:tcBorders>
            <w:vAlign w:val="center"/>
          </w:tcPr>
          <w:p w14:paraId="062282C9">
            <w:pPr>
              <w:jc w:val="center"/>
              <w:rPr>
                <w:rFonts w:ascii="宋体" w:hAnsi="宋体" w:cs="宋体"/>
                <w:color w:val="auto"/>
                <w:sz w:val="24"/>
                <w:szCs w:val="24"/>
                <w:highlight w:val="none"/>
              </w:rPr>
            </w:pPr>
            <w:r>
              <w:rPr>
                <w:rFonts w:hint="eastAsia" w:ascii="宋体" w:hAnsi="宋体"/>
                <w:color w:val="auto"/>
                <w:sz w:val="24"/>
                <w:szCs w:val="24"/>
                <w:highlight w:val="none"/>
              </w:rPr>
              <w:t>高级工程师</w:t>
            </w:r>
          </w:p>
        </w:tc>
      </w:tr>
      <w:tr w14:paraId="3D461F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vMerge w:val="continue"/>
            <w:tcBorders>
              <w:right w:val="single" w:color="auto" w:sz="6" w:space="0"/>
            </w:tcBorders>
            <w:vAlign w:val="center"/>
          </w:tcPr>
          <w:p w14:paraId="689662D2">
            <w:pPr>
              <w:jc w:val="center"/>
              <w:rPr>
                <w:rFonts w:ascii="宋体" w:hAnsi="宋体" w:cs="宋体"/>
                <w:color w:val="auto"/>
                <w:sz w:val="24"/>
                <w:szCs w:val="24"/>
                <w:highlight w:val="none"/>
              </w:rPr>
            </w:pPr>
          </w:p>
        </w:tc>
        <w:tc>
          <w:tcPr>
            <w:tcW w:w="1829" w:type="dxa"/>
            <w:tcBorders>
              <w:top w:val="single" w:color="auto" w:sz="6" w:space="0"/>
              <w:left w:val="single" w:color="auto" w:sz="6" w:space="0"/>
              <w:bottom w:val="single" w:color="auto" w:sz="6" w:space="0"/>
              <w:right w:val="single" w:color="auto" w:sz="6" w:space="0"/>
            </w:tcBorders>
            <w:vAlign w:val="center"/>
          </w:tcPr>
          <w:p w14:paraId="4CF95BD1">
            <w:pPr>
              <w:jc w:val="center"/>
              <w:rPr>
                <w:rFonts w:ascii="宋体" w:hAnsi="宋体" w:cs="宋体"/>
                <w:color w:val="auto"/>
                <w:sz w:val="24"/>
                <w:szCs w:val="24"/>
                <w:highlight w:val="none"/>
              </w:rPr>
            </w:pPr>
            <w:r>
              <w:rPr>
                <w:rFonts w:hint="eastAsia" w:ascii="宋体" w:hAnsi="宋体"/>
                <w:color w:val="auto"/>
                <w:sz w:val="24"/>
                <w:szCs w:val="24"/>
                <w:highlight w:val="none"/>
              </w:rPr>
              <w:t>杭彧</w:t>
            </w:r>
          </w:p>
        </w:tc>
        <w:tc>
          <w:tcPr>
            <w:tcW w:w="1981" w:type="dxa"/>
            <w:tcBorders>
              <w:top w:val="single" w:color="auto" w:sz="6" w:space="0"/>
              <w:left w:val="single" w:color="auto" w:sz="6" w:space="0"/>
              <w:bottom w:val="single" w:color="auto" w:sz="6" w:space="0"/>
              <w:right w:val="single" w:color="auto" w:sz="6" w:space="0"/>
            </w:tcBorders>
            <w:vAlign w:val="center"/>
          </w:tcPr>
          <w:p w14:paraId="49BE8906">
            <w:pPr>
              <w:jc w:val="center"/>
              <w:rPr>
                <w:rFonts w:ascii="宋体" w:hAnsi="宋体" w:cs="宋体"/>
                <w:color w:val="auto"/>
                <w:sz w:val="24"/>
                <w:szCs w:val="24"/>
                <w:highlight w:val="none"/>
              </w:rPr>
            </w:pPr>
            <w:r>
              <w:rPr>
                <w:rFonts w:hint="eastAsia" w:ascii="宋体" w:hAnsi="宋体"/>
                <w:color w:val="auto"/>
                <w:sz w:val="24"/>
                <w:szCs w:val="24"/>
                <w:highlight w:val="none"/>
              </w:rPr>
              <w:t>暖通</w:t>
            </w:r>
          </w:p>
        </w:tc>
        <w:tc>
          <w:tcPr>
            <w:tcW w:w="3010" w:type="dxa"/>
            <w:tcBorders>
              <w:top w:val="single" w:color="auto" w:sz="6" w:space="0"/>
              <w:left w:val="single" w:color="auto" w:sz="6" w:space="0"/>
              <w:bottom w:val="single" w:color="auto" w:sz="6" w:space="0"/>
            </w:tcBorders>
            <w:vAlign w:val="center"/>
          </w:tcPr>
          <w:p w14:paraId="323A1BA7">
            <w:pPr>
              <w:jc w:val="center"/>
              <w:rPr>
                <w:rFonts w:ascii="宋体" w:hAnsi="宋体" w:cs="宋体"/>
                <w:color w:val="auto"/>
                <w:sz w:val="24"/>
                <w:szCs w:val="24"/>
                <w:highlight w:val="none"/>
              </w:rPr>
            </w:pPr>
            <w:r>
              <w:rPr>
                <w:rFonts w:hint="eastAsia" w:ascii="宋体" w:hAnsi="宋体"/>
                <w:color w:val="auto"/>
                <w:sz w:val="24"/>
                <w:szCs w:val="24"/>
                <w:highlight w:val="none"/>
              </w:rPr>
              <w:t>高级工程师</w:t>
            </w:r>
          </w:p>
        </w:tc>
      </w:tr>
      <w:tr w14:paraId="49679C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702" w:type="dxa"/>
            <w:tcBorders>
              <w:top w:val="single" w:color="auto" w:sz="6" w:space="0"/>
              <w:right w:val="single" w:color="auto" w:sz="6" w:space="0"/>
            </w:tcBorders>
            <w:vAlign w:val="center"/>
          </w:tcPr>
          <w:p w14:paraId="07FCA1FF">
            <w:pPr>
              <w:jc w:val="center"/>
              <w:rPr>
                <w:rFonts w:ascii="宋体" w:hAnsi="宋体" w:cs="宋体"/>
                <w:color w:val="auto"/>
                <w:sz w:val="24"/>
                <w:szCs w:val="24"/>
                <w:highlight w:val="none"/>
                <w:shd w:val="pct10" w:color="auto" w:fill="FFFFFF"/>
              </w:rPr>
            </w:pPr>
            <w:r>
              <w:rPr>
                <w:rFonts w:hint="eastAsia" w:ascii="宋体" w:hAnsi="宋体" w:cs="宋体"/>
                <w:color w:val="auto"/>
                <w:sz w:val="24"/>
                <w:szCs w:val="24"/>
                <w:highlight w:val="none"/>
              </w:rPr>
              <w:t>审核人员</w:t>
            </w:r>
          </w:p>
        </w:tc>
        <w:tc>
          <w:tcPr>
            <w:tcW w:w="1829" w:type="dxa"/>
            <w:tcBorders>
              <w:top w:val="single" w:color="auto" w:sz="6" w:space="0"/>
              <w:left w:val="single" w:color="auto" w:sz="6" w:space="0"/>
              <w:right w:val="single" w:color="auto" w:sz="6" w:space="0"/>
            </w:tcBorders>
            <w:vAlign w:val="center"/>
          </w:tcPr>
          <w:p w14:paraId="7584F07F">
            <w:pPr>
              <w:jc w:val="center"/>
              <w:rPr>
                <w:rFonts w:ascii="宋体" w:hAnsi="宋体" w:cs="宋体"/>
                <w:color w:val="auto"/>
                <w:sz w:val="24"/>
                <w:szCs w:val="24"/>
                <w:highlight w:val="none"/>
              </w:rPr>
            </w:pPr>
            <w:r>
              <w:rPr>
                <w:rFonts w:hint="eastAsia" w:ascii="宋体" w:hAnsi="宋体"/>
                <w:color w:val="auto"/>
                <w:sz w:val="24"/>
                <w:szCs w:val="24"/>
                <w:highlight w:val="none"/>
              </w:rPr>
              <w:t>叶兴平</w:t>
            </w:r>
          </w:p>
        </w:tc>
        <w:tc>
          <w:tcPr>
            <w:tcW w:w="1981" w:type="dxa"/>
            <w:tcBorders>
              <w:top w:val="single" w:color="auto" w:sz="6" w:space="0"/>
              <w:left w:val="single" w:color="auto" w:sz="6" w:space="0"/>
              <w:right w:val="single" w:color="auto" w:sz="6" w:space="0"/>
            </w:tcBorders>
            <w:vAlign w:val="center"/>
          </w:tcPr>
          <w:p w14:paraId="4D793505">
            <w:pPr>
              <w:jc w:val="center"/>
              <w:rPr>
                <w:rFonts w:ascii="宋体" w:hAnsi="宋体" w:cs="宋体"/>
                <w:color w:val="auto"/>
                <w:sz w:val="24"/>
                <w:szCs w:val="24"/>
                <w:highlight w:val="none"/>
              </w:rPr>
            </w:pPr>
            <w:r>
              <w:rPr>
                <w:rFonts w:hint="eastAsia" w:ascii="宋体" w:hAnsi="宋体"/>
                <w:color w:val="auto"/>
                <w:sz w:val="24"/>
                <w:szCs w:val="24"/>
                <w:highlight w:val="none"/>
              </w:rPr>
              <w:t>工艺</w:t>
            </w:r>
          </w:p>
        </w:tc>
        <w:tc>
          <w:tcPr>
            <w:tcW w:w="3010" w:type="dxa"/>
            <w:tcBorders>
              <w:top w:val="single" w:color="auto" w:sz="6" w:space="0"/>
              <w:left w:val="single" w:color="auto" w:sz="6" w:space="0"/>
            </w:tcBorders>
            <w:vAlign w:val="center"/>
          </w:tcPr>
          <w:p w14:paraId="39E9EEF6">
            <w:pPr>
              <w:jc w:val="center"/>
              <w:rPr>
                <w:rFonts w:ascii="宋体" w:hAnsi="宋体" w:cs="宋体"/>
                <w:color w:val="auto"/>
                <w:sz w:val="24"/>
                <w:szCs w:val="24"/>
                <w:highlight w:val="none"/>
              </w:rPr>
            </w:pPr>
            <w:r>
              <w:rPr>
                <w:rFonts w:hint="eastAsia" w:ascii="宋体" w:hAnsi="宋体"/>
                <w:color w:val="auto"/>
                <w:sz w:val="24"/>
                <w:szCs w:val="24"/>
                <w:highlight w:val="none"/>
              </w:rPr>
              <w:t>高级工程师</w:t>
            </w:r>
          </w:p>
        </w:tc>
      </w:tr>
    </w:tbl>
    <w:p w14:paraId="50C4A543">
      <w:pPr>
        <w:pStyle w:val="2"/>
        <w:rPr>
          <w:rFonts w:hAnsi="宋体" w:eastAsia="宋体" w:cs="宋体"/>
          <w:color w:val="auto"/>
          <w:highlight w:val="none"/>
        </w:rPr>
        <w:sectPr>
          <w:pgSz w:w="11906" w:h="16838"/>
          <w:pgMar w:top="1440" w:right="1800" w:bottom="1440" w:left="1800" w:header="851" w:footer="992" w:gutter="0"/>
          <w:cols w:space="425" w:num="1"/>
          <w:docGrid w:type="lines" w:linePitch="312" w:charSpace="0"/>
        </w:sectPr>
      </w:pPr>
    </w:p>
    <w:p w14:paraId="6FB78737">
      <w:pPr>
        <w:pStyle w:val="2"/>
        <w:rPr>
          <w:rFonts w:hAnsi="宋体" w:eastAsia="宋体" w:cs="宋体"/>
          <w:color w:val="auto"/>
          <w:highlight w:val="none"/>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b/>
          <w:bCs/>
          <w:color w:val="auto"/>
          <w:kern w:val="2"/>
          <w:sz w:val="32"/>
          <w:szCs w:val="32"/>
          <w:highlight w:val="none"/>
          <w:lang w:val="en-US" w:eastAsia="zh-CN" w:bidi="ar-SA"/>
        </w:rPr>
        <w:id w:val="147482835"/>
        <w15:color w:val="DBDBDB"/>
        <w:docPartObj>
          <w:docPartGallery w:val="Table of Contents"/>
          <w:docPartUnique/>
        </w:docPartObj>
      </w:sdtPr>
      <w:sdtEndPr>
        <w:rPr>
          <w:rFonts w:ascii="宋体" w:hAnsi="宋体" w:eastAsia="宋体" w:cs="宋体"/>
          <w:b/>
          <w:bCs/>
          <w:color w:val="auto"/>
          <w:kern w:val="2"/>
          <w:sz w:val="24"/>
          <w:szCs w:val="32"/>
          <w:highlight w:val="none"/>
          <w:lang w:val="en-US" w:eastAsia="zh-CN" w:bidi="ar-SA"/>
        </w:rPr>
      </w:sdtEndPr>
      <w:sdtContent>
        <w:p w14:paraId="2021B59F">
          <w:pPr>
            <w:spacing w:before="0" w:beforeLines="0" w:after="0" w:afterLines="0" w:line="240" w:lineRule="auto"/>
            <w:ind w:left="0" w:leftChars="0" w:right="0" w:rightChars="0" w:firstLine="0" w:firstLineChars="0"/>
            <w:jc w:val="center"/>
            <w:rPr>
              <w:b/>
              <w:color w:val="auto"/>
              <w:highlight w:val="none"/>
            </w:rPr>
          </w:pPr>
          <w:r>
            <w:rPr>
              <w:rFonts w:ascii="宋体" w:hAnsi="宋体" w:eastAsia="宋体"/>
              <w:b/>
              <w:bCs/>
              <w:color w:val="auto"/>
              <w:sz w:val="32"/>
              <w:szCs w:val="32"/>
              <w:highlight w:val="none"/>
            </w:rPr>
            <w:t>目</w:t>
          </w:r>
          <w:r>
            <w:rPr>
              <w:rFonts w:hint="eastAsia" w:ascii="宋体" w:hAnsi="宋体" w:eastAsia="宋体"/>
              <w:b/>
              <w:bCs/>
              <w:color w:val="auto"/>
              <w:sz w:val="32"/>
              <w:szCs w:val="32"/>
              <w:highlight w:val="none"/>
              <w:lang w:val="en-US" w:eastAsia="zh-CN"/>
            </w:rPr>
            <w:t xml:space="preserve"> </w:t>
          </w:r>
          <w:r>
            <w:rPr>
              <w:rFonts w:ascii="宋体" w:hAnsi="宋体" w:eastAsia="宋体"/>
              <w:b/>
              <w:bCs/>
              <w:color w:val="auto"/>
              <w:sz w:val="32"/>
              <w:szCs w:val="32"/>
              <w:highlight w:val="none"/>
            </w:rPr>
            <w:t>录</w:t>
          </w:r>
          <w:r>
            <w:rPr>
              <w:rFonts w:hAnsi="宋体" w:eastAsia="宋体" w:cs="宋体"/>
              <w:color w:val="auto"/>
              <w:highlight w:val="none"/>
            </w:rPr>
            <w:fldChar w:fldCharType="begin"/>
          </w:r>
          <w:r>
            <w:rPr>
              <w:rFonts w:hAnsi="宋体" w:eastAsia="宋体" w:cs="宋体"/>
              <w:color w:val="auto"/>
              <w:highlight w:val="none"/>
            </w:rPr>
            <w:instrText xml:space="preserve">TOC \o "1-2" \h \u </w:instrText>
          </w:r>
          <w:r>
            <w:rPr>
              <w:rFonts w:hAnsi="宋体" w:eastAsia="宋体" w:cs="宋体"/>
              <w:color w:val="auto"/>
              <w:highlight w:val="none"/>
            </w:rPr>
            <w:fldChar w:fldCharType="separate"/>
          </w:r>
        </w:p>
        <w:p w14:paraId="00365878">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_Toc17362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en-US" w:eastAsia="zh-CN"/>
            </w:rPr>
            <w:t>第一章 总论</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_Toc17362 \h </w:instrText>
          </w:r>
          <w:r>
            <w:rPr>
              <w:b/>
              <w:color w:val="auto"/>
              <w:sz w:val="24"/>
              <w:szCs w:val="24"/>
              <w:highlight w:val="none"/>
            </w:rPr>
            <w:fldChar w:fldCharType="separate"/>
          </w:r>
          <w:r>
            <w:rPr>
              <w:b/>
              <w:color w:val="auto"/>
              <w:sz w:val="24"/>
              <w:szCs w:val="24"/>
              <w:highlight w:val="none"/>
            </w:rPr>
            <w:t>1</w:t>
          </w:r>
          <w:r>
            <w:rPr>
              <w:b/>
              <w:color w:val="auto"/>
              <w:sz w:val="24"/>
              <w:szCs w:val="24"/>
              <w:highlight w:val="none"/>
            </w:rPr>
            <w:fldChar w:fldCharType="end"/>
          </w:r>
          <w:r>
            <w:rPr>
              <w:rFonts w:hAnsi="宋体" w:eastAsia="宋体" w:cs="宋体"/>
              <w:b/>
              <w:color w:val="auto"/>
              <w:sz w:val="24"/>
              <w:szCs w:val="24"/>
              <w:highlight w:val="none"/>
            </w:rPr>
            <w:fldChar w:fldCharType="end"/>
          </w:r>
        </w:p>
        <w:p w14:paraId="037247D6">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_Toc20762 </w:instrText>
          </w:r>
          <w:r>
            <w:rPr>
              <w:rFonts w:hAnsi="宋体" w:eastAsia="宋体" w:cs="宋体"/>
              <w:color w:val="auto"/>
              <w:sz w:val="24"/>
              <w:szCs w:val="24"/>
              <w:highlight w:val="none"/>
            </w:rPr>
            <w:fldChar w:fldCharType="separate"/>
          </w:r>
          <w:r>
            <w:rPr>
              <w:rFonts w:hint="eastAsia" w:cs="宋体"/>
              <w:bCs/>
              <w:color w:val="auto"/>
              <w:sz w:val="24"/>
              <w:szCs w:val="24"/>
              <w:highlight w:val="none"/>
            </w:rPr>
            <w:t>1.1 概述</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_Toc20762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Ansi="宋体" w:eastAsia="宋体" w:cs="宋体"/>
              <w:color w:val="auto"/>
              <w:sz w:val="24"/>
              <w:szCs w:val="24"/>
              <w:highlight w:val="none"/>
            </w:rPr>
            <w:fldChar w:fldCharType="end"/>
          </w:r>
        </w:p>
        <w:p w14:paraId="312B1E52">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_Toc32310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zh-CN"/>
            </w:rPr>
            <w:t>1.</w:t>
          </w:r>
          <w:r>
            <w:rPr>
              <w:rFonts w:hint="eastAsia" w:ascii="宋体" w:hAnsi="宋体" w:cs="宋体"/>
              <w:color w:val="auto"/>
              <w:sz w:val="24"/>
              <w:szCs w:val="24"/>
              <w:highlight w:val="none"/>
            </w:rPr>
            <w:t>2</w:t>
          </w:r>
          <w:r>
            <w:rPr>
              <w:rFonts w:hint="eastAsia" w:ascii="宋体" w:hAnsi="宋体" w:cs="宋体"/>
              <w:color w:val="auto"/>
              <w:sz w:val="24"/>
              <w:szCs w:val="24"/>
              <w:highlight w:val="none"/>
              <w:lang w:val="zh-CN"/>
            </w:rPr>
            <w:t xml:space="preserve"> </w:t>
          </w:r>
          <w:r>
            <w:rPr>
              <w:rFonts w:hint="eastAsia" w:ascii="宋体" w:hAnsi="宋体" w:cs="宋体"/>
              <w:color w:val="auto"/>
              <w:sz w:val="24"/>
              <w:szCs w:val="24"/>
              <w:highlight w:val="none"/>
            </w:rPr>
            <w:t>可行性研究的范围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_Toc32310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Ansi="宋体" w:eastAsia="宋体" w:cs="宋体"/>
              <w:color w:val="auto"/>
              <w:sz w:val="24"/>
              <w:szCs w:val="24"/>
              <w:highlight w:val="none"/>
            </w:rPr>
            <w:fldChar w:fldCharType="end"/>
          </w:r>
        </w:p>
        <w:p w14:paraId="4BF0F2A7">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_Toc377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zh-CN"/>
            </w:rPr>
            <w:t>1.</w:t>
          </w:r>
          <w:r>
            <w:rPr>
              <w:rFonts w:hint="eastAsia" w:ascii="宋体" w:hAnsi="宋体" w:cs="宋体"/>
              <w:color w:val="auto"/>
              <w:sz w:val="24"/>
              <w:szCs w:val="24"/>
              <w:highlight w:val="none"/>
            </w:rPr>
            <w:t>3</w:t>
          </w:r>
          <w:r>
            <w:rPr>
              <w:rFonts w:hint="eastAsia" w:ascii="宋体" w:hAnsi="宋体" w:cs="宋体"/>
              <w:color w:val="auto"/>
              <w:sz w:val="24"/>
              <w:szCs w:val="24"/>
              <w:highlight w:val="none"/>
              <w:lang w:val="zh-CN"/>
            </w:rPr>
            <w:t xml:space="preserve"> </w:t>
          </w:r>
          <w:r>
            <w:rPr>
              <w:rFonts w:hint="eastAsia" w:ascii="宋体" w:hAnsi="宋体" w:cs="宋体"/>
              <w:color w:val="auto"/>
              <w:sz w:val="24"/>
              <w:szCs w:val="24"/>
              <w:highlight w:val="none"/>
            </w:rPr>
            <w:t>研究结论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_Toc377 \h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rFonts w:hAnsi="宋体" w:eastAsia="宋体" w:cs="宋体"/>
              <w:color w:val="auto"/>
              <w:sz w:val="24"/>
              <w:szCs w:val="24"/>
              <w:highlight w:val="none"/>
            </w:rPr>
            <w:fldChar w:fldCharType="end"/>
          </w:r>
        </w:p>
        <w:p w14:paraId="20BC9120">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_Toc31648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en-US" w:eastAsia="zh-CN"/>
            </w:rPr>
            <w:t xml:space="preserve">第二章 </w:t>
          </w:r>
          <w:r>
            <w:rPr>
              <w:rFonts w:hint="eastAsia" w:ascii="宋体" w:hAnsi="宋体" w:eastAsia="宋体" w:cs="宋体"/>
              <w:b/>
              <w:bCs w:val="0"/>
              <w:color w:val="auto"/>
              <w:sz w:val="24"/>
              <w:szCs w:val="24"/>
              <w:highlight w:val="none"/>
              <w:lang w:val="zh-CN"/>
            </w:rPr>
            <w:t>存储规模和存储方案</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_Toc31648 \h </w:instrText>
          </w:r>
          <w:r>
            <w:rPr>
              <w:b/>
              <w:color w:val="auto"/>
              <w:sz w:val="24"/>
              <w:szCs w:val="24"/>
              <w:highlight w:val="none"/>
            </w:rPr>
            <w:fldChar w:fldCharType="separate"/>
          </w:r>
          <w:r>
            <w:rPr>
              <w:b/>
              <w:color w:val="auto"/>
              <w:sz w:val="24"/>
              <w:szCs w:val="24"/>
              <w:highlight w:val="none"/>
            </w:rPr>
            <w:t>6</w:t>
          </w:r>
          <w:r>
            <w:rPr>
              <w:b/>
              <w:color w:val="auto"/>
              <w:sz w:val="24"/>
              <w:szCs w:val="24"/>
              <w:highlight w:val="none"/>
            </w:rPr>
            <w:fldChar w:fldCharType="end"/>
          </w:r>
          <w:r>
            <w:rPr>
              <w:rFonts w:hAnsi="宋体" w:eastAsia="宋体" w:cs="宋体"/>
              <w:b/>
              <w:color w:val="auto"/>
              <w:sz w:val="24"/>
              <w:szCs w:val="24"/>
              <w:highlight w:val="none"/>
            </w:rPr>
            <w:fldChar w:fldCharType="end"/>
          </w:r>
        </w:p>
        <w:p w14:paraId="272E31DC">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_Toc22088 </w:instrText>
          </w:r>
          <w:r>
            <w:rPr>
              <w:rFonts w:hAnsi="宋体" w:eastAsia="宋体" w:cs="宋体"/>
              <w:color w:val="auto"/>
              <w:sz w:val="24"/>
              <w:szCs w:val="24"/>
              <w:highlight w:val="none"/>
            </w:rPr>
            <w:fldChar w:fldCharType="separate"/>
          </w:r>
          <w:r>
            <w:rPr>
              <w:rFonts w:hint="eastAsia" w:cs="宋体"/>
              <w:bCs/>
              <w:color w:val="auto"/>
              <w:sz w:val="24"/>
              <w:szCs w:val="24"/>
              <w:highlight w:val="none"/>
              <w:lang w:val="en-US" w:eastAsia="zh-CN"/>
            </w:rPr>
            <w:t>2.1 存储规模</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_Toc22088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rFonts w:hAnsi="宋体" w:eastAsia="宋体" w:cs="宋体"/>
              <w:color w:val="auto"/>
              <w:sz w:val="24"/>
              <w:szCs w:val="24"/>
              <w:highlight w:val="none"/>
            </w:rPr>
            <w:fldChar w:fldCharType="end"/>
          </w:r>
        </w:p>
        <w:p w14:paraId="4E500E18">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_Toc5342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en-US" w:eastAsia="zh-CN"/>
            </w:rPr>
            <w:t>2</w:t>
          </w:r>
          <w:r>
            <w:rPr>
              <w:rFonts w:ascii="宋体" w:hAnsi="宋体" w:cs="宋体"/>
              <w:color w:val="auto"/>
              <w:sz w:val="24"/>
              <w:szCs w:val="24"/>
              <w:highlight w:val="none"/>
            </w:rPr>
            <w:t xml:space="preserve">.2 </w:t>
          </w:r>
          <w:r>
            <w:rPr>
              <w:rFonts w:hint="eastAsia" w:ascii="宋体" w:hAnsi="宋体" w:cs="宋体"/>
              <w:color w:val="auto"/>
              <w:sz w:val="24"/>
              <w:szCs w:val="24"/>
              <w:highlight w:val="none"/>
              <w:lang w:val="en-US" w:eastAsia="zh-CN"/>
            </w:rPr>
            <w:t>存储</w:t>
          </w:r>
          <w:r>
            <w:rPr>
              <w:rFonts w:hint="eastAsia" w:ascii="宋体" w:hAnsi="宋体" w:cs="宋体"/>
              <w:color w:val="auto"/>
              <w:sz w:val="24"/>
              <w:szCs w:val="24"/>
              <w:highlight w:val="none"/>
            </w:rPr>
            <w:t>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_Toc5342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rFonts w:hAnsi="宋体" w:eastAsia="宋体" w:cs="宋体"/>
              <w:color w:val="auto"/>
              <w:sz w:val="24"/>
              <w:szCs w:val="24"/>
              <w:highlight w:val="none"/>
            </w:rPr>
            <w:fldChar w:fldCharType="end"/>
          </w:r>
        </w:p>
        <w:p w14:paraId="0155B975">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_Toc7165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en-US" w:eastAsia="zh-CN"/>
            </w:rPr>
            <w:t>2</w:t>
          </w: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 xml:space="preserve"> 产品</w:t>
          </w:r>
          <w:r>
            <w:rPr>
              <w:rFonts w:hint="eastAsia" w:ascii="宋体" w:hAnsi="宋体" w:cs="宋体"/>
              <w:color w:val="auto"/>
              <w:sz w:val="24"/>
              <w:szCs w:val="24"/>
              <w:highlight w:val="none"/>
            </w:rPr>
            <w:t>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_Toc7165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rFonts w:hAnsi="宋体" w:eastAsia="宋体" w:cs="宋体"/>
              <w:color w:val="auto"/>
              <w:sz w:val="24"/>
              <w:szCs w:val="24"/>
              <w:highlight w:val="none"/>
            </w:rPr>
            <w:fldChar w:fldCharType="end"/>
          </w:r>
        </w:p>
        <w:p w14:paraId="6D95F089">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_Toc16520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eastAsia="zh-CN"/>
            </w:rPr>
            <w:t>第</w:t>
          </w:r>
          <w:r>
            <w:rPr>
              <w:rFonts w:hint="eastAsia" w:ascii="宋体" w:hAnsi="宋体" w:eastAsia="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lang w:val="zh-CN" w:eastAsia="zh-CN"/>
            </w:rPr>
            <w:t>章 工艺技术方案</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_Toc16520 \h </w:instrText>
          </w:r>
          <w:r>
            <w:rPr>
              <w:b/>
              <w:color w:val="auto"/>
              <w:sz w:val="24"/>
              <w:szCs w:val="24"/>
              <w:highlight w:val="none"/>
            </w:rPr>
            <w:fldChar w:fldCharType="separate"/>
          </w:r>
          <w:r>
            <w:rPr>
              <w:b/>
              <w:color w:val="auto"/>
              <w:sz w:val="24"/>
              <w:szCs w:val="24"/>
              <w:highlight w:val="none"/>
            </w:rPr>
            <w:t>8</w:t>
          </w:r>
          <w:r>
            <w:rPr>
              <w:b/>
              <w:color w:val="auto"/>
              <w:sz w:val="24"/>
              <w:szCs w:val="24"/>
              <w:highlight w:val="none"/>
            </w:rPr>
            <w:fldChar w:fldCharType="end"/>
          </w:r>
          <w:r>
            <w:rPr>
              <w:rFonts w:hAnsi="宋体" w:eastAsia="宋体" w:cs="宋体"/>
              <w:b/>
              <w:color w:val="auto"/>
              <w:sz w:val="24"/>
              <w:szCs w:val="24"/>
              <w:highlight w:val="none"/>
            </w:rPr>
            <w:fldChar w:fldCharType="end"/>
          </w:r>
        </w:p>
        <w:p w14:paraId="5AE861F5">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_Toc17983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 xml:space="preserve">.1 </w:t>
          </w:r>
          <w:r>
            <w:rPr>
              <w:rFonts w:hint="eastAsia" w:ascii="宋体" w:hAnsi="宋体" w:cs="宋体"/>
              <w:color w:val="auto"/>
              <w:sz w:val="24"/>
              <w:szCs w:val="24"/>
              <w:highlight w:val="none"/>
              <w:lang w:val="en-US" w:eastAsia="zh-CN"/>
            </w:rPr>
            <w:t>工艺技术方案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_Toc17983 \h </w:instrText>
          </w:r>
          <w:r>
            <w:rPr>
              <w:color w:val="auto"/>
              <w:sz w:val="24"/>
              <w:szCs w:val="24"/>
              <w:highlight w:val="none"/>
            </w:rPr>
            <w:fldChar w:fldCharType="separate"/>
          </w:r>
          <w:r>
            <w:rPr>
              <w:color w:val="auto"/>
              <w:sz w:val="24"/>
              <w:szCs w:val="24"/>
              <w:highlight w:val="none"/>
            </w:rPr>
            <w:t>8</w:t>
          </w:r>
          <w:r>
            <w:rPr>
              <w:color w:val="auto"/>
              <w:sz w:val="24"/>
              <w:szCs w:val="24"/>
              <w:highlight w:val="none"/>
            </w:rPr>
            <w:fldChar w:fldCharType="end"/>
          </w:r>
          <w:r>
            <w:rPr>
              <w:rFonts w:hAnsi="宋体" w:eastAsia="宋体" w:cs="宋体"/>
              <w:color w:val="auto"/>
              <w:sz w:val="24"/>
              <w:szCs w:val="24"/>
              <w:highlight w:val="none"/>
            </w:rPr>
            <w:fldChar w:fldCharType="end"/>
          </w:r>
        </w:p>
        <w:p w14:paraId="52E2CCC9">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_Toc504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.2</w:t>
          </w:r>
          <w:r>
            <w:rPr>
              <w:rFonts w:hint="eastAsia" w:ascii="宋体" w:hAnsi="宋体" w:cs="宋体"/>
              <w:color w:val="auto"/>
              <w:sz w:val="24"/>
              <w:szCs w:val="24"/>
              <w:highlight w:val="none"/>
            </w:rPr>
            <w:t>公用工程消耗</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_Toc504 \h </w:instrText>
          </w:r>
          <w:r>
            <w:rPr>
              <w:color w:val="auto"/>
              <w:sz w:val="24"/>
              <w:szCs w:val="24"/>
              <w:highlight w:val="none"/>
            </w:rPr>
            <w:fldChar w:fldCharType="separate"/>
          </w:r>
          <w:r>
            <w:rPr>
              <w:color w:val="auto"/>
              <w:sz w:val="24"/>
              <w:szCs w:val="24"/>
              <w:highlight w:val="none"/>
            </w:rPr>
            <w:t>8</w:t>
          </w:r>
          <w:r>
            <w:rPr>
              <w:color w:val="auto"/>
              <w:sz w:val="24"/>
              <w:szCs w:val="24"/>
              <w:highlight w:val="none"/>
            </w:rPr>
            <w:fldChar w:fldCharType="end"/>
          </w:r>
          <w:r>
            <w:rPr>
              <w:rFonts w:hAnsi="宋体" w:eastAsia="宋体" w:cs="宋体"/>
              <w:color w:val="auto"/>
              <w:sz w:val="24"/>
              <w:szCs w:val="24"/>
              <w:highlight w:val="none"/>
            </w:rPr>
            <w:fldChar w:fldCharType="end"/>
          </w:r>
        </w:p>
        <w:p w14:paraId="38B9A52D">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_Toc9342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.3</w:t>
          </w:r>
          <w:r>
            <w:rPr>
              <w:rFonts w:hint="eastAsia" w:ascii="宋体" w:hAnsi="宋体" w:cs="宋体"/>
              <w:color w:val="auto"/>
              <w:sz w:val="24"/>
              <w:szCs w:val="24"/>
              <w:highlight w:val="none"/>
            </w:rPr>
            <w:t>主要设备的选择</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_Toc9342 \h </w:instrText>
          </w:r>
          <w:r>
            <w:rPr>
              <w:color w:val="auto"/>
              <w:sz w:val="24"/>
              <w:szCs w:val="24"/>
              <w:highlight w:val="none"/>
            </w:rPr>
            <w:fldChar w:fldCharType="separate"/>
          </w:r>
          <w:r>
            <w:rPr>
              <w:color w:val="auto"/>
              <w:sz w:val="24"/>
              <w:szCs w:val="24"/>
              <w:highlight w:val="none"/>
            </w:rPr>
            <w:t>8</w:t>
          </w:r>
          <w:r>
            <w:rPr>
              <w:color w:val="auto"/>
              <w:sz w:val="24"/>
              <w:szCs w:val="24"/>
              <w:highlight w:val="none"/>
            </w:rPr>
            <w:fldChar w:fldCharType="end"/>
          </w:r>
          <w:r>
            <w:rPr>
              <w:rFonts w:hAnsi="宋体" w:eastAsia="宋体" w:cs="宋体"/>
              <w:color w:val="auto"/>
              <w:sz w:val="24"/>
              <w:szCs w:val="24"/>
              <w:highlight w:val="none"/>
            </w:rPr>
            <w:fldChar w:fldCharType="end"/>
          </w:r>
        </w:p>
        <w:p w14:paraId="1E39997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_Toc20685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val="en-US" w:eastAsia="zh-CN"/>
            </w:rPr>
            <w:t>3</w:t>
          </w:r>
          <w:r>
            <w:rPr>
              <w:rFonts w:ascii="宋体" w:hAnsi="宋体" w:cs="宋体"/>
              <w:color w:val="auto"/>
              <w:sz w:val="24"/>
              <w:szCs w:val="24"/>
              <w:highlight w:val="none"/>
            </w:rPr>
            <w:t>.4</w:t>
          </w:r>
          <w:r>
            <w:rPr>
              <w:rFonts w:hint="eastAsia" w:ascii="宋体" w:hAnsi="宋体" w:cs="宋体"/>
              <w:color w:val="auto"/>
              <w:sz w:val="24"/>
              <w:szCs w:val="24"/>
              <w:highlight w:val="none"/>
            </w:rPr>
            <w:t>自控系统</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_Toc20685 \h </w:instrText>
          </w:r>
          <w:r>
            <w:rPr>
              <w:color w:val="auto"/>
              <w:sz w:val="24"/>
              <w:szCs w:val="24"/>
              <w:highlight w:val="none"/>
            </w:rPr>
            <w:fldChar w:fldCharType="separate"/>
          </w:r>
          <w:r>
            <w:rPr>
              <w:color w:val="auto"/>
              <w:sz w:val="24"/>
              <w:szCs w:val="24"/>
              <w:highlight w:val="none"/>
            </w:rPr>
            <w:t>10</w:t>
          </w:r>
          <w:r>
            <w:rPr>
              <w:color w:val="auto"/>
              <w:sz w:val="24"/>
              <w:szCs w:val="24"/>
              <w:highlight w:val="none"/>
            </w:rPr>
            <w:fldChar w:fldCharType="end"/>
          </w:r>
          <w:r>
            <w:rPr>
              <w:rFonts w:hAnsi="宋体" w:eastAsia="宋体" w:cs="宋体"/>
              <w:color w:val="auto"/>
              <w:sz w:val="24"/>
              <w:szCs w:val="24"/>
              <w:highlight w:val="none"/>
            </w:rPr>
            <w:fldChar w:fldCharType="end"/>
          </w:r>
        </w:p>
        <w:p w14:paraId="4647E626">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_Toc5063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.5 装置界内公用工程设施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_Toc5063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rFonts w:hAnsi="宋体" w:eastAsia="宋体" w:cs="宋体"/>
              <w:color w:val="auto"/>
              <w:sz w:val="24"/>
              <w:szCs w:val="24"/>
              <w:highlight w:val="none"/>
            </w:rPr>
            <w:fldChar w:fldCharType="end"/>
          </w:r>
        </w:p>
        <w:p w14:paraId="1526B404">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_Toc19624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.6装置的占地</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_Toc19624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rFonts w:hAnsi="宋体" w:eastAsia="宋体" w:cs="宋体"/>
              <w:color w:val="auto"/>
              <w:sz w:val="24"/>
              <w:szCs w:val="24"/>
              <w:highlight w:val="none"/>
            </w:rPr>
            <w:fldChar w:fldCharType="end"/>
          </w:r>
        </w:p>
        <w:p w14:paraId="0004BB29">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_Toc6338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.7工艺技术及设备风险分析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_Toc6338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rFonts w:hAnsi="宋体" w:eastAsia="宋体" w:cs="宋体"/>
              <w:color w:val="auto"/>
              <w:sz w:val="24"/>
              <w:szCs w:val="24"/>
              <w:highlight w:val="none"/>
            </w:rPr>
            <w:fldChar w:fldCharType="end"/>
          </w:r>
        </w:p>
        <w:p w14:paraId="38757DF3">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_Toc15072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w:t>
          </w:r>
          <w:r>
            <w:rPr>
              <w:rFonts w:hint="eastAsia" w:ascii="宋体" w:hAnsi="宋体" w:eastAsia="宋体" w:cs="宋体"/>
              <w:b/>
              <w:bCs w:val="0"/>
              <w:color w:val="auto"/>
              <w:sz w:val="24"/>
              <w:szCs w:val="24"/>
              <w:highlight w:val="none"/>
              <w:lang w:val="en-US" w:eastAsia="zh-CN"/>
            </w:rPr>
            <w:t>四</w:t>
          </w:r>
          <w:r>
            <w:rPr>
              <w:rFonts w:hint="eastAsia" w:ascii="宋体" w:hAnsi="宋体" w:eastAsia="宋体" w:cs="宋体"/>
              <w:b/>
              <w:bCs w:val="0"/>
              <w:color w:val="auto"/>
              <w:sz w:val="24"/>
              <w:szCs w:val="24"/>
              <w:highlight w:val="none"/>
              <w:lang w:val="zh-CN"/>
            </w:rPr>
            <w:t>章 原材料、动力供应</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_Toc15072 \h </w:instrText>
          </w:r>
          <w:r>
            <w:rPr>
              <w:b/>
              <w:color w:val="auto"/>
              <w:sz w:val="24"/>
              <w:szCs w:val="24"/>
              <w:highlight w:val="none"/>
            </w:rPr>
            <w:fldChar w:fldCharType="separate"/>
          </w:r>
          <w:r>
            <w:rPr>
              <w:b/>
              <w:color w:val="auto"/>
              <w:sz w:val="24"/>
              <w:szCs w:val="24"/>
              <w:highlight w:val="none"/>
            </w:rPr>
            <w:t>15</w:t>
          </w:r>
          <w:r>
            <w:rPr>
              <w:b/>
              <w:color w:val="auto"/>
              <w:sz w:val="24"/>
              <w:szCs w:val="24"/>
              <w:highlight w:val="none"/>
            </w:rPr>
            <w:fldChar w:fldCharType="end"/>
          </w:r>
          <w:r>
            <w:rPr>
              <w:rFonts w:hAnsi="宋体" w:eastAsia="宋体" w:cs="宋体"/>
              <w:b/>
              <w:color w:val="auto"/>
              <w:sz w:val="24"/>
              <w:szCs w:val="24"/>
              <w:highlight w:val="none"/>
            </w:rPr>
            <w:fldChar w:fldCharType="end"/>
          </w:r>
        </w:p>
        <w:p w14:paraId="5EBE57DA">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_Toc3149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4.1 主要原材料供应</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_Toc3149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rFonts w:hAnsi="宋体" w:eastAsia="宋体" w:cs="宋体"/>
              <w:color w:val="auto"/>
              <w:sz w:val="24"/>
              <w:szCs w:val="24"/>
              <w:highlight w:val="none"/>
            </w:rPr>
            <w:fldChar w:fldCharType="end"/>
          </w:r>
        </w:p>
        <w:p w14:paraId="078C4940">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_Toc22089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4.2主要原辅材料市场分析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_Toc22089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rFonts w:hAnsi="宋体" w:eastAsia="宋体" w:cs="宋体"/>
              <w:color w:val="auto"/>
              <w:sz w:val="24"/>
              <w:szCs w:val="24"/>
              <w:highlight w:val="none"/>
            </w:rPr>
            <w:fldChar w:fldCharType="end"/>
          </w:r>
        </w:p>
        <w:p w14:paraId="040BA477">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_Toc7159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4.3资源利用的合理性</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_Toc7159 \h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rFonts w:hAnsi="宋体" w:eastAsia="宋体" w:cs="宋体"/>
              <w:color w:val="auto"/>
              <w:sz w:val="24"/>
              <w:szCs w:val="24"/>
              <w:highlight w:val="none"/>
            </w:rPr>
            <w:fldChar w:fldCharType="end"/>
          </w:r>
        </w:p>
        <w:p w14:paraId="0212E588">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_Toc1209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w:t>
          </w:r>
          <w:r>
            <w:rPr>
              <w:rFonts w:hint="eastAsia" w:ascii="宋体" w:hAnsi="宋体"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zh-CN"/>
            </w:rPr>
            <w:t>章 建设条件和项目方案</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_Toc1209 \h </w:instrText>
          </w:r>
          <w:r>
            <w:rPr>
              <w:b/>
              <w:color w:val="auto"/>
              <w:sz w:val="24"/>
              <w:szCs w:val="24"/>
              <w:highlight w:val="none"/>
            </w:rPr>
            <w:fldChar w:fldCharType="separate"/>
          </w:r>
          <w:r>
            <w:rPr>
              <w:b/>
              <w:color w:val="auto"/>
              <w:sz w:val="24"/>
              <w:szCs w:val="24"/>
              <w:highlight w:val="none"/>
            </w:rPr>
            <w:t>17</w:t>
          </w:r>
          <w:r>
            <w:rPr>
              <w:b/>
              <w:color w:val="auto"/>
              <w:sz w:val="24"/>
              <w:szCs w:val="24"/>
              <w:highlight w:val="none"/>
            </w:rPr>
            <w:fldChar w:fldCharType="end"/>
          </w:r>
          <w:r>
            <w:rPr>
              <w:rFonts w:hAnsi="宋体" w:eastAsia="宋体" w:cs="宋体"/>
              <w:b/>
              <w:color w:val="auto"/>
              <w:sz w:val="24"/>
              <w:szCs w:val="24"/>
              <w:highlight w:val="none"/>
            </w:rPr>
            <w:fldChar w:fldCharType="end"/>
          </w:r>
        </w:p>
        <w:p w14:paraId="72ECFEC8">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_Toc28418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eastAsia="zh-CN"/>
            </w:rPr>
            <w:t>5.</w:t>
          </w:r>
          <w:r>
            <w:rPr>
              <w:rFonts w:ascii="宋体" w:hAnsi="宋体" w:cs="宋体"/>
              <w:color w:val="auto"/>
              <w:sz w:val="24"/>
              <w:szCs w:val="24"/>
              <w:highlight w:val="none"/>
            </w:rPr>
            <w:t>1</w:t>
          </w:r>
          <w:r>
            <w:rPr>
              <w:rFonts w:hint="eastAsia" w:ascii="宋体" w:hAnsi="宋体" w:cs="宋体"/>
              <w:color w:val="auto"/>
              <w:sz w:val="24"/>
              <w:szCs w:val="24"/>
              <w:highlight w:val="none"/>
            </w:rPr>
            <w:t>建设条件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_Toc28418 \h </w:instrText>
          </w:r>
          <w:r>
            <w:rPr>
              <w:color w:val="auto"/>
              <w:sz w:val="24"/>
              <w:szCs w:val="24"/>
              <w:highlight w:val="none"/>
            </w:rPr>
            <w:fldChar w:fldCharType="separate"/>
          </w:r>
          <w:r>
            <w:rPr>
              <w:color w:val="auto"/>
              <w:sz w:val="24"/>
              <w:szCs w:val="24"/>
              <w:highlight w:val="none"/>
            </w:rPr>
            <w:t>17</w:t>
          </w:r>
          <w:r>
            <w:rPr>
              <w:color w:val="auto"/>
              <w:sz w:val="24"/>
              <w:szCs w:val="24"/>
              <w:highlight w:val="none"/>
            </w:rPr>
            <w:fldChar w:fldCharType="end"/>
          </w:r>
          <w:r>
            <w:rPr>
              <w:rFonts w:hAnsi="宋体" w:eastAsia="宋体" w:cs="宋体"/>
              <w:color w:val="auto"/>
              <w:sz w:val="24"/>
              <w:szCs w:val="24"/>
              <w:highlight w:val="none"/>
            </w:rPr>
            <w:fldChar w:fldCharType="end"/>
          </w:r>
        </w:p>
        <w:p w14:paraId="159C996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_Toc3248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eastAsia="zh-CN"/>
            </w:rPr>
            <w:t>5.</w:t>
          </w:r>
          <w:r>
            <w:rPr>
              <w:rFonts w:ascii="宋体" w:hAnsi="宋体" w:cs="宋体"/>
              <w:color w:val="auto"/>
              <w:sz w:val="24"/>
              <w:szCs w:val="24"/>
              <w:highlight w:val="none"/>
            </w:rPr>
            <w:t>2</w:t>
          </w:r>
          <w:r>
            <w:rPr>
              <w:rFonts w:hint="eastAsia" w:ascii="宋体" w:hAnsi="宋体" w:cs="宋体"/>
              <w:color w:val="auto"/>
              <w:sz w:val="24"/>
              <w:szCs w:val="24"/>
              <w:highlight w:val="none"/>
            </w:rPr>
            <w:t>项目方案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_Toc3248 \h </w:instrText>
          </w:r>
          <w:r>
            <w:rPr>
              <w:color w:val="auto"/>
              <w:sz w:val="24"/>
              <w:szCs w:val="24"/>
              <w:highlight w:val="none"/>
            </w:rPr>
            <w:fldChar w:fldCharType="separate"/>
          </w:r>
          <w:r>
            <w:rPr>
              <w:color w:val="auto"/>
              <w:sz w:val="24"/>
              <w:szCs w:val="24"/>
              <w:highlight w:val="none"/>
            </w:rPr>
            <w:t>25</w:t>
          </w:r>
          <w:r>
            <w:rPr>
              <w:color w:val="auto"/>
              <w:sz w:val="24"/>
              <w:szCs w:val="24"/>
              <w:highlight w:val="none"/>
            </w:rPr>
            <w:fldChar w:fldCharType="end"/>
          </w:r>
          <w:r>
            <w:rPr>
              <w:rFonts w:hAnsi="宋体" w:eastAsia="宋体" w:cs="宋体"/>
              <w:color w:val="auto"/>
              <w:sz w:val="24"/>
              <w:szCs w:val="24"/>
              <w:highlight w:val="none"/>
            </w:rPr>
            <w:fldChar w:fldCharType="end"/>
          </w:r>
        </w:p>
        <w:p w14:paraId="5C7ED3FE">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_Toc32631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w:t>
          </w:r>
          <w:r>
            <w:rPr>
              <w:rFonts w:hint="eastAsia" w:ascii="宋体" w:hAnsi="宋体" w:eastAsia="宋体" w:cs="宋体"/>
              <w:b/>
              <w:bCs w:val="0"/>
              <w:color w:val="auto"/>
              <w:sz w:val="24"/>
              <w:szCs w:val="24"/>
              <w:highlight w:val="none"/>
              <w:lang w:val="en-US" w:eastAsia="zh-CN"/>
            </w:rPr>
            <w:t>六</w:t>
          </w:r>
          <w:r>
            <w:rPr>
              <w:rFonts w:hint="eastAsia" w:ascii="宋体" w:hAnsi="宋体" w:eastAsia="宋体" w:cs="宋体"/>
              <w:b/>
              <w:bCs w:val="0"/>
              <w:color w:val="auto"/>
              <w:sz w:val="24"/>
              <w:szCs w:val="24"/>
              <w:highlight w:val="none"/>
              <w:lang w:val="zh-CN"/>
            </w:rPr>
            <w:t>章 总图运输、储运、土建</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_Toc32631 \h </w:instrText>
          </w:r>
          <w:r>
            <w:rPr>
              <w:b/>
              <w:color w:val="auto"/>
              <w:sz w:val="24"/>
              <w:szCs w:val="24"/>
              <w:highlight w:val="none"/>
            </w:rPr>
            <w:fldChar w:fldCharType="separate"/>
          </w:r>
          <w:r>
            <w:rPr>
              <w:b/>
              <w:color w:val="auto"/>
              <w:sz w:val="24"/>
              <w:szCs w:val="24"/>
              <w:highlight w:val="none"/>
            </w:rPr>
            <w:t>26</w:t>
          </w:r>
          <w:r>
            <w:rPr>
              <w:b/>
              <w:color w:val="auto"/>
              <w:sz w:val="24"/>
              <w:szCs w:val="24"/>
              <w:highlight w:val="none"/>
            </w:rPr>
            <w:fldChar w:fldCharType="end"/>
          </w:r>
          <w:r>
            <w:rPr>
              <w:rFonts w:hAnsi="宋体" w:eastAsia="宋体" w:cs="宋体"/>
              <w:b/>
              <w:color w:val="auto"/>
              <w:sz w:val="24"/>
              <w:szCs w:val="24"/>
              <w:highlight w:val="none"/>
            </w:rPr>
            <w:fldChar w:fldCharType="end"/>
          </w:r>
        </w:p>
        <w:p w14:paraId="04915DB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_Toc24408 </w:instrText>
          </w:r>
          <w:r>
            <w:rPr>
              <w:rFonts w:hAnsi="宋体" w:eastAsia="宋体" w:cs="宋体"/>
              <w:color w:val="auto"/>
              <w:sz w:val="24"/>
              <w:szCs w:val="24"/>
              <w:highlight w:val="none"/>
            </w:rPr>
            <w:fldChar w:fldCharType="separate"/>
          </w:r>
          <w:r>
            <w:rPr>
              <w:rFonts w:hint="eastAsia" w:ascii="宋体" w:hAnsi="宋体" w:cs="宋体"/>
              <w:color w:val="auto"/>
              <w:sz w:val="24"/>
              <w:szCs w:val="24"/>
              <w:highlight w:val="none"/>
              <w:lang w:eastAsia="zh-CN"/>
            </w:rPr>
            <w:t>6.</w:t>
          </w:r>
          <w:r>
            <w:rPr>
              <w:rFonts w:ascii="宋体" w:hAnsi="宋体" w:cs="宋体"/>
              <w:color w:val="auto"/>
              <w:sz w:val="24"/>
              <w:szCs w:val="24"/>
              <w:highlight w:val="none"/>
            </w:rPr>
            <w:t>1</w:t>
          </w:r>
          <w:r>
            <w:rPr>
              <w:rFonts w:hint="eastAsia" w:ascii="宋体" w:hAnsi="宋体" w:cs="宋体"/>
              <w:color w:val="auto"/>
              <w:sz w:val="24"/>
              <w:szCs w:val="24"/>
              <w:highlight w:val="none"/>
            </w:rPr>
            <w:t>总图运输</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_Toc24408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rFonts w:hAnsi="宋体" w:eastAsia="宋体" w:cs="宋体"/>
              <w:color w:val="auto"/>
              <w:sz w:val="24"/>
              <w:szCs w:val="24"/>
              <w:highlight w:val="none"/>
            </w:rPr>
            <w:fldChar w:fldCharType="end"/>
          </w:r>
        </w:p>
        <w:p w14:paraId="7A60B829">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_Toc16974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6.</w:t>
          </w:r>
          <w:r>
            <w:rPr>
              <w:rFonts w:ascii="宋体" w:hAnsi="宋体" w:cs="宋体"/>
              <w:bCs/>
              <w:color w:val="auto"/>
              <w:sz w:val="24"/>
              <w:szCs w:val="24"/>
              <w:highlight w:val="none"/>
            </w:rPr>
            <w:t>2</w:t>
          </w:r>
          <w:r>
            <w:rPr>
              <w:rFonts w:hint="eastAsia" w:ascii="宋体" w:hAnsi="宋体" w:cs="宋体"/>
              <w:bCs/>
              <w:color w:val="auto"/>
              <w:sz w:val="24"/>
              <w:szCs w:val="24"/>
              <w:highlight w:val="none"/>
            </w:rPr>
            <w:t>储运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_Toc16974 \h </w:instrText>
          </w:r>
          <w:r>
            <w:rPr>
              <w:color w:val="auto"/>
              <w:sz w:val="24"/>
              <w:szCs w:val="24"/>
              <w:highlight w:val="none"/>
            </w:rPr>
            <w:fldChar w:fldCharType="separate"/>
          </w:r>
          <w:r>
            <w:rPr>
              <w:color w:val="auto"/>
              <w:sz w:val="24"/>
              <w:szCs w:val="24"/>
              <w:highlight w:val="none"/>
            </w:rPr>
            <w:t>28</w:t>
          </w:r>
          <w:r>
            <w:rPr>
              <w:color w:val="auto"/>
              <w:sz w:val="24"/>
              <w:szCs w:val="24"/>
              <w:highlight w:val="none"/>
            </w:rPr>
            <w:fldChar w:fldCharType="end"/>
          </w:r>
          <w:r>
            <w:rPr>
              <w:rFonts w:hAnsi="宋体" w:eastAsia="宋体" w:cs="宋体"/>
              <w:color w:val="auto"/>
              <w:sz w:val="24"/>
              <w:szCs w:val="24"/>
              <w:highlight w:val="none"/>
            </w:rPr>
            <w:fldChar w:fldCharType="end"/>
          </w:r>
        </w:p>
        <w:p w14:paraId="5B214C6F">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_Toc22270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6.</w:t>
          </w:r>
          <w:r>
            <w:rPr>
              <w:rFonts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rPr>
            <w:t>土建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_Toc22270 \h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rFonts w:hAnsi="宋体" w:eastAsia="宋体" w:cs="宋体"/>
              <w:color w:val="auto"/>
              <w:sz w:val="24"/>
              <w:szCs w:val="24"/>
              <w:highlight w:val="none"/>
            </w:rPr>
            <w:fldChar w:fldCharType="end"/>
          </w:r>
        </w:p>
        <w:p w14:paraId="2EBEA3EB">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_Toc20681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w:t>
          </w:r>
          <w:r>
            <w:rPr>
              <w:rFonts w:hint="eastAsia" w:ascii="宋体" w:hAnsi="宋体" w:eastAsia="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lang w:val="zh-CN"/>
            </w:rPr>
            <w:t>章 公用工程方案及辅助生产设施</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_Toc20681 \h </w:instrText>
          </w:r>
          <w:r>
            <w:rPr>
              <w:b/>
              <w:color w:val="auto"/>
              <w:sz w:val="24"/>
              <w:szCs w:val="24"/>
              <w:highlight w:val="none"/>
            </w:rPr>
            <w:fldChar w:fldCharType="separate"/>
          </w:r>
          <w:r>
            <w:rPr>
              <w:b/>
              <w:color w:val="auto"/>
              <w:sz w:val="24"/>
              <w:szCs w:val="24"/>
              <w:highlight w:val="none"/>
            </w:rPr>
            <w:t>31</w:t>
          </w:r>
          <w:r>
            <w:rPr>
              <w:b/>
              <w:color w:val="auto"/>
              <w:sz w:val="24"/>
              <w:szCs w:val="24"/>
              <w:highlight w:val="none"/>
            </w:rPr>
            <w:fldChar w:fldCharType="end"/>
          </w:r>
          <w:r>
            <w:rPr>
              <w:rFonts w:hAnsi="宋体" w:eastAsia="宋体" w:cs="宋体"/>
              <w:b/>
              <w:color w:val="auto"/>
              <w:sz w:val="24"/>
              <w:szCs w:val="24"/>
              <w:highlight w:val="none"/>
            </w:rPr>
            <w:fldChar w:fldCharType="end"/>
          </w:r>
        </w:p>
        <w:p w14:paraId="2DA972DC">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_Toc16595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7.</w:t>
          </w:r>
          <w:r>
            <w:rPr>
              <w:rFonts w:ascii="宋体" w:hAnsi="宋体" w:cs="宋体"/>
              <w:bCs/>
              <w:color w:val="auto"/>
              <w:sz w:val="24"/>
              <w:szCs w:val="24"/>
              <w:highlight w:val="none"/>
            </w:rPr>
            <w:t xml:space="preserve">1 </w:t>
          </w:r>
          <w:r>
            <w:rPr>
              <w:rFonts w:hint="eastAsia" w:ascii="宋体" w:hAnsi="宋体" w:cs="宋体"/>
              <w:bCs/>
              <w:color w:val="auto"/>
              <w:sz w:val="24"/>
              <w:szCs w:val="24"/>
              <w:highlight w:val="none"/>
            </w:rPr>
            <w:t>公用工程方案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_Toc16595 \h </w:instrText>
          </w:r>
          <w:r>
            <w:rPr>
              <w:color w:val="auto"/>
              <w:sz w:val="24"/>
              <w:szCs w:val="24"/>
              <w:highlight w:val="none"/>
            </w:rPr>
            <w:fldChar w:fldCharType="separate"/>
          </w:r>
          <w:r>
            <w:rPr>
              <w:color w:val="auto"/>
              <w:sz w:val="24"/>
              <w:szCs w:val="24"/>
              <w:highlight w:val="none"/>
            </w:rPr>
            <w:t>31</w:t>
          </w:r>
          <w:r>
            <w:rPr>
              <w:color w:val="auto"/>
              <w:sz w:val="24"/>
              <w:szCs w:val="24"/>
              <w:highlight w:val="none"/>
            </w:rPr>
            <w:fldChar w:fldCharType="end"/>
          </w:r>
          <w:r>
            <w:rPr>
              <w:rFonts w:hAnsi="宋体" w:eastAsia="宋体" w:cs="宋体"/>
              <w:color w:val="auto"/>
              <w:sz w:val="24"/>
              <w:szCs w:val="24"/>
              <w:highlight w:val="none"/>
            </w:rPr>
            <w:fldChar w:fldCharType="end"/>
          </w:r>
        </w:p>
        <w:p w14:paraId="28EB3213">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_Toc23154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7.</w:t>
          </w:r>
          <w:r>
            <w:rPr>
              <w:rFonts w:hint="eastAsia" w:ascii="宋体" w:hAnsi="宋体" w:eastAsia="宋体" w:cs="宋体"/>
              <w:bCs/>
              <w:color w:val="auto"/>
              <w:spacing w:val="-6"/>
              <w:sz w:val="24"/>
              <w:szCs w:val="24"/>
              <w:highlight w:val="none"/>
            </w:rPr>
            <w:t>2</w:t>
          </w:r>
          <w:r>
            <w:rPr>
              <w:rFonts w:hint="eastAsia" w:ascii="宋体" w:hAnsi="宋体" w:cs="宋体"/>
              <w:bCs/>
              <w:color w:val="auto"/>
              <w:spacing w:val="-6"/>
              <w:sz w:val="24"/>
              <w:szCs w:val="24"/>
              <w:highlight w:val="none"/>
              <w:lang w:val="en-US" w:eastAsia="zh-CN"/>
            </w:rPr>
            <w:t xml:space="preserve"> </w:t>
          </w:r>
          <w:r>
            <w:rPr>
              <w:rFonts w:hint="eastAsia" w:ascii="宋体" w:hAnsi="宋体" w:eastAsia="宋体" w:cs="宋体"/>
              <w:bCs/>
              <w:color w:val="auto"/>
              <w:spacing w:val="-6"/>
              <w:sz w:val="24"/>
              <w:szCs w:val="24"/>
              <w:highlight w:val="none"/>
            </w:rPr>
            <w:t>辅助生产设施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_Toc23154 \h </w:instrText>
          </w:r>
          <w:r>
            <w:rPr>
              <w:color w:val="auto"/>
              <w:sz w:val="24"/>
              <w:szCs w:val="24"/>
              <w:highlight w:val="none"/>
            </w:rPr>
            <w:fldChar w:fldCharType="separate"/>
          </w:r>
          <w:r>
            <w:rPr>
              <w:color w:val="auto"/>
              <w:sz w:val="24"/>
              <w:szCs w:val="24"/>
              <w:highlight w:val="none"/>
            </w:rPr>
            <w:t>33</w:t>
          </w:r>
          <w:r>
            <w:rPr>
              <w:color w:val="auto"/>
              <w:sz w:val="24"/>
              <w:szCs w:val="24"/>
              <w:highlight w:val="none"/>
            </w:rPr>
            <w:fldChar w:fldCharType="end"/>
          </w:r>
          <w:r>
            <w:rPr>
              <w:rFonts w:hAnsi="宋体" w:eastAsia="宋体" w:cs="宋体"/>
              <w:color w:val="auto"/>
              <w:sz w:val="24"/>
              <w:szCs w:val="24"/>
              <w:highlight w:val="none"/>
            </w:rPr>
            <w:fldChar w:fldCharType="end"/>
          </w:r>
        </w:p>
        <w:p w14:paraId="03A8740D">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_Toc16642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w:t>
          </w:r>
          <w:r>
            <w:rPr>
              <w:rFonts w:hint="eastAsia" w:ascii="宋体" w:hAnsi="宋体" w:eastAsia="宋体" w:cs="宋体"/>
              <w:b/>
              <w:bCs w:val="0"/>
              <w:color w:val="auto"/>
              <w:sz w:val="24"/>
              <w:szCs w:val="24"/>
              <w:highlight w:val="none"/>
              <w:lang w:val="en-US" w:eastAsia="zh-CN"/>
            </w:rPr>
            <w:t>八</w:t>
          </w:r>
          <w:r>
            <w:rPr>
              <w:rFonts w:hint="eastAsia" w:ascii="宋体" w:hAnsi="宋体" w:eastAsia="宋体" w:cs="宋体"/>
              <w:b/>
              <w:bCs w:val="0"/>
              <w:color w:val="auto"/>
              <w:sz w:val="24"/>
              <w:szCs w:val="24"/>
              <w:highlight w:val="none"/>
              <w:lang w:val="zh-CN"/>
            </w:rPr>
            <w:t>章 节能</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_Toc16642 \h </w:instrText>
          </w:r>
          <w:r>
            <w:rPr>
              <w:b/>
              <w:color w:val="auto"/>
              <w:sz w:val="24"/>
              <w:szCs w:val="24"/>
              <w:highlight w:val="none"/>
            </w:rPr>
            <w:fldChar w:fldCharType="separate"/>
          </w:r>
          <w:r>
            <w:rPr>
              <w:b/>
              <w:color w:val="auto"/>
              <w:sz w:val="24"/>
              <w:szCs w:val="24"/>
              <w:highlight w:val="none"/>
            </w:rPr>
            <w:t>35</w:t>
          </w:r>
          <w:r>
            <w:rPr>
              <w:b/>
              <w:color w:val="auto"/>
              <w:sz w:val="24"/>
              <w:szCs w:val="24"/>
              <w:highlight w:val="none"/>
            </w:rPr>
            <w:fldChar w:fldCharType="end"/>
          </w:r>
          <w:r>
            <w:rPr>
              <w:rFonts w:hAnsi="宋体" w:eastAsia="宋体" w:cs="宋体"/>
              <w:b/>
              <w:color w:val="auto"/>
              <w:sz w:val="24"/>
              <w:szCs w:val="24"/>
              <w:highlight w:val="none"/>
            </w:rPr>
            <w:fldChar w:fldCharType="end"/>
          </w:r>
        </w:p>
        <w:p w14:paraId="742D4A3F">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_Toc24430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8.1设计依据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_Toc24430 \h </w:instrText>
          </w:r>
          <w:r>
            <w:rPr>
              <w:color w:val="auto"/>
              <w:sz w:val="24"/>
              <w:szCs w:val="24"/>
              <w:highlight w:val="none"/>
            </w:rPr>
            <w:fldChar w:fldCharType="separate"/>
          </w:r>
          <w:r>
            <w:rPr>
              <w:color w:val="auto"/>
              <w:sz w:val="24"/>
              <w:szCs w:val="24"/>
              <w:highlight w:val="none"/>
            </w:rPr>
            <w:t>35</w:t>
          </w:r>
          <w:r>
            <w:rPr>
              <w:color w:val="auto"/>
              <w:sz w:val="24"/>
              <w:szCs w:val="24"/>
              <w:highlight w:val="none"/>
            </w:rPr>
            <w:fldChar w:fldCharType="end"/>
          </w:r>
          <w:r>
            <w:rPr>
              <w:rFonts w:hAnsi="宋体" w:eastAsia="宋体" w:cs="宋体"/>
              <w:color w:val="auto"/>
              <w:sz w:val="24"/>
              <w:szCs w:val="24"/>
              <w:highlight w:val="none"/>
            </w:rPr>
            <w:fldChar w:fldCharType="end"/>
          </w:r>
        </w:p>
        <w:p w14:paraId="1FD03811">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_Toc26183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8.2 能耗指标及分析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_Toc26183 \h </w:instrText>
          </w:r>
          <w:r>
            <w:rPr>
              <w:color w:val="auto"/>
              <w:sz w:val="24"/>
              <w:szCs w:val="24"/>
              <w:highlight w:val="none"/>
            </w:rPr>
            <w:fldChar w:fldCharType="separate"/>
          </w:r>
          <w:r>
            <w:rPr>
              <w:color w:val="auto"/>
              <w:sz w:val="24"/>
              <w:szCs w:val="24"/>
              <w:highlight w:val="none"/>
            </w:rPr>
            <w:t>36</w:t>
          </w:r>
          <w:r>
            <w:rPr>
              <w:color w:val="auto"/>
              <w:sz w:val="24"/>
              <w:szCs w:val="24"/>
              <w:highlight w:val="none"/>
            </w:rPr>
            <w:fldChar w:fldCharType="end"/>
          </w:r>
          <w:r>
            <w:rPr>
              <w:rFonts w:hAnsi="宋体" w:eastAsia="宋体" w:cs="宋体"/>
              <w:color w:val="auto"/>
              <w:sz w:val="24"/>
              <w:szCs w:val="24"/>
              <w:highlight w:val="none"/>
            </w:rPr>
            <w:fldChar w:fldCharType="end"/>
          </w:r>
        </w:p>
        <w:p w14:paraId="389F707E">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_Toc22944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8.3 节能措施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_Toc22944 \h </w:instrText>
          </w:r>
          <w:r>
            <w:rPr>
              <w:color w:val="auto"/>
              <w:sz w:val="24"/>
              <w:szCs w:val="24"/>
              <w:highlight w:val="none"/>
            </w:rPr>
            <w:fldChar w:fldCharType="separate"/>
          </w:r>
          <w:r>
            <w:rPr>
              <w:color w:val="auto"/>
              <w:sz w:val="24"/>
              <w:szCs w:val="24"/>
              <w:highlight w:val="none"/>
            </w:rPr>
            <w:t>36</w:t>
          </w:r>
          <w:r>
            <w:rPr>
              <w:color w:val="auto"/>
              <w:sz w:val="24"/>
              <w:szCs w:val="24"/>
              <w:highlight w:val="none"/>
            </w:rPr>
            <w:fldChar w:fldCharType="end"/>
          </w:r>
          <w:r>
            <w:rPr>
              <w:rFonts w:hAnsi="宋体" w:eastAsia="宋体" w:cs="宋体"/>
              <w:color w:val="auto"/>
              <w:sz w:val="24"/>
              <w:szCs w:val="24"/>
              <w:highlight w:val="none"/>
            </w:rPr>
            <w:fldChar w:fldCharType="end"/>
          </w:r>
        </w:p>
        <w:p w14:paraId="448DC622">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_Toc7773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w:t>
          </w:r>
          <w:r>
            <w:rPr>
              <w:rFonts w:hint="eastAsia" w:ascii="宋体" w:hAnsi="宋体" w:eastAsia="宋体" w:cs="宋体"/>
              <w:b/>
              <w:bCs w:val="0"/>
              <w:color w:val="auto"/>
              <w:sz w:val="24"/>
              <w:szCs w:val="24"/>
              <w:highlight w:val="none"/>
              <w:lang w:val="en-US" w:eastAsia="zh-CN"/>
            </w:rPr>
            <w:t>九</w:t>
          </w:r>
          <w:r>
            <w:rPr>
              <w:rFonts w:hint="eastAsia" w:ascii="宋体" w:hAnsi="宋体" w:eastAsia="宋体" w:cs="宋体"/>
              <w:b/>
              <w:bCs w:val="0"/>
              <w:color w:val="auto"/>
              <w:sz w:val="24"/>
              <w:szCs w:val="24"/>
              <w:highlight w:val="none"/>
              <w:lang w:val="zh-CN"/>
            </w:rPr>
            <w:t>章 消防</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_Toc7773 \h </w:instrText>
          </w:r>
          <w:r>
            <w:rPr>
              <w:b/>
              <w:color w:val="auto"/>
              <w:sz w:val="24"/>
              <w:szCs w:val="24"/>
              <w:highlight w:val="none"/>
            </w:rPr>
            <w:fldChar w:fldCharType="separate"/>
          </w:r>
          <w:r>
            <w:rPr>
              <w:b/>
              <w:color w:val="auto"/>
              <w:sz w:val="24"/>
              <w:szCs w:val="24"/>
              <w:highlight w:val="none"/>
            </w:rPr>
            <w:t>38</w:t>
          </w:r>
          <w:r>
            <w:rPr>
              <w:b/>
              <w:color w:val="auto"/>
              <w:sz w:val="24"/>
              <w:szCs w:val="24"/>
              <w:highlight w:val="none"/>
            </w:rPr>
            <w:fldChar w:fldCharType="end"/>
          </w:r>
          <w:r>
            <w:rPr>
              <w:rFonts w:hAnsi="宋体" w:eastAsia="宋体" w:cs="宋体"/>
              <w:b/>
              <w:color w:val="auto"/>
              <w:sz w:val="24"/>
              <w:szCs w:val="24"/>
              <w:highlight w:val="none"/>
            </w:rPr>
            <w:fldChar w:fldCharType="end"/>
          </w:r>
        </w:p>
        <w:p w14:paraId="4F1999E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_Toc18780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9.1 消防体制和贯彻方针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_Toc18780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hAnsi="宋体" w:eastAsia="宋体" w:cs="宋体"/>
              <w:color w:val="auto"/>
              <w:sz w:val="24"/>
              <w:szCs w:val="24"/>
              <w:highlight w:val="none"/>
            </w:rPr>
            <w:fldChar w:fldCharType="end"/>
          </w:r>
        </w:p>
        <w:p w14:paraId="4DC51A2D">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_Toc10857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9.2 编制依据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_Toc10857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hAnsi="宋体" w:eastAsia="宋体" w:cs="宋体"/>
              <w:color w:val="auto"/>
              <w:sz w:val="24"/>
              <w:szCs w:val="24"/>
              <w:highlight w:val="none"/>
            </w:rPr>
            <w:fldChar w:fldCharType="end"/>
          </w:r>
        </w:p>
        <w:p w14:paraId="404CB8D7">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_Toc14358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9.3 工程的火灾危险性类别</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_Toc14358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hAnsi="宋体" w:eastAsia="宋体" w:cs="宋体"/>
              <w:color w:val="auto"/>
              <w:sz w:val="24"/>
              <w:szCs w:val="24"/>
              <w:highlight w:val="none"/>
            </w:rPr>
            <w:fldChar w:fldCharType="end"/>
          </w:r>
        </w:p>
        <w:p w14:paraId="2FB09796">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_Toc14271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9.4 厂区消防现状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_Toc14271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hAnsi="宋体" w:eastAsia="宋体" w:cs="宋体"/>
              <w:color w:val="auto"/>
              <w:sz w:val="24"/>
              <w:szCs w:val="24"/>
              <w:highlight w:val="none"/>
            </w:rPr>
            <w:fldChar w:fldCharType="end"/>
          </w:r>
        </w:p>
        <w:p w14:paraId="60557A45">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_Toc19746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9.5采用的防火措施及配置的消防系统</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_Toc19746 \h </w:instrText>
          </w:r>
          <w:r>
            <w:rPr>
              <w:color w:val="auto"/>
              <w:sz w:val="24"/>
              <w:szCs w:val="24"/>
              <w:highlight w:val="none"/>
            </w:rPr>
            <w:fldChar w:fldCharType="separate"/>
          </w:r>
          <w:r>
            <w:rPr>
              <w:color w:val="auto"/>
              <w:sz w:val="24"/>
              <w:szCs w:val="24"/>
              <w:highlight w:val="none"/>
            </w:rPr>
            <w:t>39</w:t>
          </w:r>
          <w:r>
            <w:rPr>
              <w:color w:val="auto"/>
              <w:sz w:val="24"/>
              <w:szCs w:val="24"/>
              <w:highlight w:val="none"/>
            </w:rPr>
            <w:fldChar w:fldCharType="end"/>
          </w:r>
          <w:r>
            <w:rPr>
              <w:rFonts w:hAnsi="宋体" w:eastAsia="宋体" w:cs="宋体"/>
              <w:color w:val="auto"/>
              <w:sz w:val="24"/>
              <w:szCs w:val="24"/>
              <w:highlight w:val="none"/>
            </w:rPr>
            <w:fldChar w:fldCharType="end"/>
          </w:r>
        </w:p>
        <w:p w14:paraId="42C0820E">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_Toc25745 </w:instrText>
          </w:r>
          <w:r>
            <w:rPr>
              <w:rFonts w:hAnsi="宋体" w:eastAsia="宋体" w:cs="宋体"/>
              <w:color w:val="auto"/>
              <w:sz w:val="24"/>
              <w:szCs w:val="24"/>
              <w:highlight w:val="none"/>
            </w:rPr>
            <w:fldChar w:fldCharType="separate"/>
          </w:r>
          <w:r>
            <w:rPr>
              <w:rFonts w:hint="eastAsia" w:ascii="宋体" w:hAnsi="宋体" w:eastAsia="宋体" w:cs="宋体"/>
              <w:bCs/>
              <w:color w:val="auto"/>
              <w:spacing w:val="-6"/>
              <w:sz w:val="24"/>
              <w:szCs w:val="24"/>
              <w:highlight w:val="none"/>
              <w:lang w:eastAsia="zh-CN"/>
            </w:rPr>
            <w:t>9.6 安全可靠性</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_Toc25745 \h </w:instrText>
          </w:r>
          <w:r>
            <w:rPr>
              <w:color w:val="auto"/>
              <w:sz w:val="24"/>
              <w:szCs w:val="24"/>
              <w:highlight w:val="none"/>
            </w:rPr>
            <w:fldChar w:fldCharType="separate"/>
          </w:r>
          <w:r>
            <w:rPr>
              <w:color w:val="auto"/>
              <w:sz w:val="24"/>
              <w:szCs w:val="24"/>
              <w:highlight w:val="none"/>
            </w:rPr>
            <w:t>40</w:t>
          </w:r>
          <w:r>
            <w:rPr>
              <w:color w:val="auto"/>
              <w:sz w:val="24"/>
              <w:szCs w:val="24"/>
              <w:highlight w:val="none"/>
            </w:rPr>
            <w:fldChar w:fldCharType="end"/>
          </w:r>
          <w:r>
            <w:rPr>
              <w:rFonts w:hAnsi="宋体" w:eastAsia="宋体" w:cs="宋体"/>
              <w:color w:val="auto"/>
              <w:sz w:val="24"/>
              <w:szCs w:val="24"/>
              <w:highlight w:val="none"/>
            </w:rPr>
            <w:fldChar w:fldCharType="end"/>
          </w:r>
        </w:p>
        <w:p w14:paraId="6C81F4F9">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_Toc6511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第十章 环境保护</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_Toc6511 \h </w:instrText>
          </w:r>
          <w:r>
            <w:rPr>
              <w:b/>
              <w:color w:val="auto"/>
              <w:sz w:val="24"/>
              <w:szCs w:val="24"/>
              <w:highlight w:val="none"/>
            </w:rPr>
            <w:fldChar w:fldCharType="separate"/>
          </w:r>
          <w:r>
            <w:rPr>
              <w:b/>
              <w:color w:val="auto"/>
              <w:sz w:val="24"/>
              <w:szCs w:val="24"/>
              <w:highlight w:val="none"/>
            </w:rPr>
            <w:t>41</w:t>
          </w:r>
          <w:r>
            <w:rPr>
              <w:b/>
              <w:color w:val="auto"/>
              <w:sz w:val="24"/>
              <w:szCs w:val="24"/>
              <w:highlight w:val="none"/>
            </w:rPr>
            <w:fldChar w:fldCharType="end"/>
          </w:r>
          <w:r>
            <w:rPr>
              <w:rFonts w:hAnsi="宋体" w:eastAsia="宋体" w:cs="宋体"/>
              <w:b/>
              <w:color w:val="auto"/>
              <w:sz w:val="24"/>
              <w:szCs w:val="24"/>
              <w:highlight w:val="none"/>
            </w:rPr>
            <w:fldChar w:fldCharType="end"/>
          </w:r>
        </w:p>
        <w:p w14:paraId="4981E38A">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_Toc17290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10.</w:t>
          </w:r>
          <w:r>
            <w:rPr>
              <w:rFonts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rPr>
            <w:t>环境质量现状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_Toc17290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rFonts w:hAnsi="宋体" w:eastAsia="宋体" w:cs="宋体"/>
              <w:color w:val="auto"/>
              <w:sz w:val="24"/>
              <w:szCs w:val="24"/>
              <w:highlight w:val="none"/>
            </w:rPr>
            <w:fldChar w:fldCharType="end"/>
          </w:r>
        </w:p>
        <w:p w14:paraId="79048812">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_Toc31879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10.2执行的有关环境保护法律、法规和标准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_Toc31879 \h </w:instrText>
          </w:r>
          <w:r>
            <w:rPr>
              <w:color w:val="auto"/>
              <w:sz w:val="24"/>
              <w:szCs w:val="24"/>
              <w:highlight w:val="none"/>
            </w:rPr>
            <w:fldChar w:fldCharType="separate"/>
          </w:r>
          <w:r>
            <w:rPr>
              <w:color w:val="auto"/>
              <w:sz w:val="24"/>
              <w:szCs w:val="24"/>
              <w:highlight w:val="none"/>
            </w:rPr>
            <w:t>41</w:t>
          </w:r>
          <w:r>
            <w:rPr>
              <w:color w:val="auto"/>
              <w:sz w:val="24"/>
              <w:szCs w:val="24"/>
              <w:highlight w:val="none"/>
            </w:rPr>
            <w:fldChar w:fldCharType="end"/>
          </w:r>
          <w:r>
            <w:rPr>
              <w:rFonts w:hAnsi="宋体" w:eastAsia="宋体" w:cs="宋体"/>
              <w:color w:val="auto"/>
              <w:sz w:val="24"/>
              <w:szCs w:val="24"/>
              <w:highlight w:val="none"/>
            </w:rPr>
            <w:fldChar w:fldCharType="end"/>
          </w:r>
        </w:p>
        <w:p w14:paraId="2E1913C9">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_Toc14162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10.</w:t>
          </w:r>
          <w:r>
            <w:rPr>
              <w:rFonts w:hint="eastAsia" w:ascii="宋体" w:hAnsi="宋体" w:cs="宋体"/>
              <w:bCs/>
              <w:color w:val="auto"/>
              <w:sz w:val="24"/>
              <w:szCs w:val="24"/>
              <w:highlight w:val="none"/>
            </w:rPr>
            <w:t>3建设项目的主要污染源及污染物处理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_Toc14162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rFonts w:hAnsi="宋体" w:eastAsia="宋体" w:cs="宋体"/>
              <w:color w:val="auto"/>
              <w:sz w:val="24"/>
              <w:szCs w:val="24"/>
              <w:highlight w:val="none"/>
            </w:rPr>
            <w:fldChar w:fldCharType="end"/>
          </w:r>
        </w:p>
        <w:p w14:paraId="0D3A3FEC">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_Toc29338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10.4环境保护治理措施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_Toc29338 \h </w:instrText>
          </w:r>
          <w:r>
            <w:rPr>
              <w:color w:val="auto"/>
              <w:sz w:val="24"/>
              <w:szCs w:val="24"/>
              <w:highlight w:val="none"/>
            </w:rPr>
            <w:fldChar w:fldCharType="separate"/>
          </w:r>
          <w:r>
            <w:rPr>
              <w:color w:val="auto"/>
              <w:sz w:val="24"/>
              <w:szCs w:val="24"/>
              <w:highlight w:val="none"/>
            </w:rPr>
            <w:t>43</w:t>
          </w:r>
          <w:r>
            <w:rPr>
              <w:color w:val="auto"/>
              <w:sz w:val="24"/>
              <w:szCs w:val="24"/>
              <w:highlight w:val="none"/>
            </w:rPr>
            <w:fldChar w:fldCharType="end"/>
          </w:r>
          <w:r>
            <w:rPr>
              <w:rFonts w:hAnsi="宋体" w:eastAsia="宋体" w:cs="宋体"/>
              <w:color w:val="auto"/>
              <w:sz w:val="24"/>
              <w:szCs w:val="24"/>
              <w:highlight w:val="none"/>
            </w:rPr>
            <w:fldChar w:fldCharType="end"/>
          </w:r>
        </w:p>
        <w:p w14:paraId="15BB3B62">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_Toc26360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10.5 环境影响分析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_Toc26360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rFonts w:hAnsi="宋体" w:eastAsia="宋体" w:cs="宋体"/>
              <w:color w:val="auto"/>
              <w:sz w:val="24"/>
              <w:szCs w:val="24"/>
              <w:highlight w:val="none"/>
            </w:rPr>
            <w:fldChar w:fldCharType="end"/>
          </w:r>
        </w:p>
        <w:p w14:paraId="12D5C8A8">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_Toc7082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第十</w:t>
          </w:r>
          <w:r>
            <w:rPr>
              <w:rFonts w:hint="eastAsia" w:ascii="宋体" w:hAnsi="宋体" w:eastAsia="宋体" w:cs="宋体"/>
              <w:b/>
              <w:bCs w:val="0"/>
              <w:color w:val="auto"/>
              <w:sz w:val="24"/>
              <w:szCs w:val="24"/>
              <w:highlight w:val="none"/>
              <w:lang w:val="en-US" w:eastAsia="zh-CN"/>
            </w:rPr>
            <w:t>一</w:t>
          </w:r>
          <w:r>
            <w:rPr>
              <w:rFonts w:hint="eastAsia" w:ascii="宋体" w:hAnsi="宋体" w:eastAsia="宋体" w:cs="宋体"/>
              <w:b/>
              <w:bCs w:val="0"/>
              <w:color w:val="auto"/>
              <w:sz w:val="24"/>
              <w:szCs w:val="24"/>
              <w:highlight w:val="none"/>
              <w:lang w:val="zh-CN"/>
            </w:rPr>
            <w:t>章 职业卫生及安全</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_Toc7082 \h </w:instrText>
          </w:r>
          <w:r>
            <w:rPr>
              <w:b/>
              <w:color w:val="auto"/>
              <w:sz w:val="24"/>
              <w:szCs w:val="24"/>
              <w:highlight w:val="none"/>
            </w:rPr>
            <w:fldChar w:fldCharType="separate"/>
          </w:r>
          <w:r>
            <w:rPr>
              <w:b/>
              <w:color w:val="auto"/>
              <w:sz w:val="24"/>
              <w:szCs w:val="24"/>
              <w:highlight w:val="none"/>
            </w:rPr>
            <w:t>45</w:t>
          </w:r>
          <w:r>
            <w:rPr>
              <w:b/>
              <w:color w:val="auto"/>
              <w:sz w:val="24"/>
              <w:szCs w:val="24"/>
              <w:highlight w:val="none"/>
            </w:rPr>
            <w:fldChar w:fldCharType="end"/>
          </w:r>
          <w:r>
            <w:rPr>
              <w:rFonts w:hAnsi="宋体" w:eastAsia="宋体" w:cs="宋体"/>
              <w:b/>
              <w:color w:val="auto"/>
              <w:sz w:val="24"/>
              <w:szCs w:val="24"/>
              <w:highlight w:val="none"/>
            </w:rPr>
            <w:fldChar w:fldCharType="end"/>
          </w:r>
        </w:p>
        <w:p w14:paraId="207CCD8F">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_Toc31454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11.1 执行的法律法规、部门规章及标准规范</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_Toc31454 \h </w:instrText>
          </w:r>
          <w:r>
            <w:rPr>
              <w:color w:val="auto"/>
              <w:sz w:val="24"/>
              <w:szCs w:val="24"/>
              <w:highlight w:val="none"/>
            </w:rPr>
            <w:fldChar w:fldCharType="separate"/>
          </w:r>
          <w:r>
            <w:rPr>
              <w:color w:val="auto"/>
              <w:sz w:val="24"/>
              <w:szCs w:val="24"/>
              <w:highlight w:val="none"/>
            </w:rPr>
            <w:t>45</w:t>
          </w:r>
          <w:r>
            <w:rPr>
              <w:color w:val="auto"/>
              <w:sz w:val="24"/>
              <w:szCs w:val="24"/>
              <w:highlight w:val="none"/>
            </w:rPr>
            <w:fldChar w:fldCharType="end"/>
          </w:r>
          <w:r>
            <w:rPr>
              <w:rFonts w:hAnsi="宋体" w:eastAsia="宋体" w:cs="宋体"/>
              <w:color w:val="auto"/>
              <w:sz w:val="24"/>
              <w:szCs w:val="24"/>
              <w:highlight w:val="none"/>
            </w:rPr>
            <w:fldChar w:fldCharType="end"/>
          </w:r>
        </w:p>
        <w:p w14:paraId="69ABBB99">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_Toc3416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11.2 项目地区的主要自然灾害及防护措施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_Toc3416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hAnsi="宋体" w:eastAsia="宋体" w:cs="宋体"/>
              <w:color w:val="auto"/>
              <w:sz w:val="24"/>
              <w:szCs w:val="24"/>
              <w:highlight w:val="none"/>
            </w:rPr>
            <w:fldChar w:fldCharType="end"/>
          </w:r>
        </w:p>
        <w:p w14:paraId="17B4BEA6">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_Toc3549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11.3 生产过程中危险有害因素和职业病分析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_Toc3549 \h </w:instrText>
          </w:r>
          <w:r>
            <w:rPr>
              <w:color w:val="auto"/>
              <w:sz w:val="24"/>
              <w:szCs w:val="24"/>
              <w:highlight w:val="none"/>
            </w:rPr>
            <w:fldChar w:fldCharType="separate"/>
          </w:r>
          <w:r>
            <w:rPr>
              <w:color w:val="auto"/>
              <w:sz w:val="24"/>
              <w:szCs w:val="24"/>
              <w:highlight w:val="none"/>
            </w:rPr>
            <w:t>47</w:t>
          </w:r>
          <w:r>
            <w:rPr>
              <w:color w:val="auto"/>
              <w:sz w:val="24"/>
              <w:szCs w:val="24"/>
              <w:highlight w:val="none"/>
            </w:rPr>
            <w:fldChar w:fldCharType="end"/>
          </w:r>
          <w:r>
            <w:rPr>
              <w:rFonts w:hAnsi="宋体" w:eastAsia="宋体" w:cs="宋体"/>
              <w:color w:val="auto"/>
              <w:sz w:val="24"/>
              <w:szCs w:val="24"/>
              <w:highlight w:val="none"/>
            </w:rPr>
            <w:fldChar w:fldCharType="end"/>
          </w:r>
        </w:p>
        <w:p w14:paraId="675641A3">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_Toc19427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11.4 劳动安全卫生主要措施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_Toc19427 \h </w:instrText>
          </w:r>
          <w:r>
            <w:rPr>
              <w:color w:val="auto"/>
              <w:sz w:val="24"/>
              <w:szCs w:val="24"/>
              <w:highlight w:val="none"/>
            </w:rPr>
            <w:fldChar w:fldCharType="separate"/>
          </w:r>
          <w:r>
            <w:rPr>
              <w:color w:val="auto"/>
              <w:sz w:val="24"/>
              <w:szCs w:val="24"/>
              <w:highlight w:val="none"/>
            </w:rPr>
            <w:t>49</w:t>
          </w:r>
          <w:r>
            <w:rPr>
              <w:color w:val="auto"/>
              <w:sz w:val="24"/>
              <w:szCs w:val="24"/>
              <w:highlight w:val="none"/>
            </w:rPr>
            <w:fldChar w:fldCharType="end"/>
          </w:r>
          <w:r>
            <w:rPr>
              <w:rFonts w:hAnsi="宋体" w:eastAsia="宋体" w:cs="宋体"/>
              <w:color w:val="auto"/>
              <w:sz w:val="24"/>
              <w:szCs w:val="24"/>
              <w:highlight w:val="none"/>
            </w:rPr>
            <w:fldChar w:fldCharType="end"/>
          </w:r>
        </w:p>
        <w:p w14:paraId="143B22D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_Toc23742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11.5 职业卫生管理机构</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_Toc23742 \h </w:instrText>
          </w:r>
          <w:r>
            <w:rPr>
              <w:color w:val="auto"/>
              <w:sz w:val="24"/>
              <w:szCs w:val="24"/>
              <w:highlight w:val="none"/>
            </w:rPr>
            <w:fldChar w:fldCharType="separate"/>
          </w:r>
          <w:r>
            <w:rPr>
              <w:color w:val="auto"/>
              <w:sz w:val="24"/>
              <w:szCs w:val="24"/>
              <w:highlight w:val="none"/>
            </w:rPr>
            <w:t>52</w:t>
          </w:r>
          <w:r>
            <w:rPr>
              <w:color w:val="auto"/>
              <w:sz w:val="24"/>
              <w:szCs w:val="24"/>
              <w:highlight w:val="none"/>
            </w:rPr>
            <w:fldChar w:fldCharType="end"/>
          </w:r>
          <w:r>
            <w:rPr>
              <w:rFonts w:hAnsi="宋体" w:eastAsia="宋体" w:cs="宋体"/>
              <w:color w:val="auto"/>
              <w:sz w:val="24"/>
              <w:szCs w:val="24"/>
              <w:highlight w:val="none"/>
            </w:rPr>
            <w:fldChar w:fldCharType="end"/>
          </w:r>
        </w:p>
        <w:p w14:paraId="3F393F7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_Toc20024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val="en-US" w:eastAsia="zh-CN"/>
            </w:rPr>
            <w:t>11.6 预期效果及建议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_Toc20024 \h </w:instrText>
          </w:r>
          <w:r>
            <w:rPr>
              <w:color w:val="auto"/>
              <w:sz w:val="24"/>
              <w:szCs w:val="24"/>
              <w:highlight w:val="none"/>
            </w:rPr>
            <w:fldChar w:fldCharType="separate"/>
          </w:r>
          <w:r>
            <w:rPr>
              <w:color w:val="auto"/>
              <w:sz w:val="24"/>
              <w:szCs w:val="24"/>
              <w:highlight w:val="none"/>
            </w:rPr>
            <w:t>52</w:t>
          </w:r>
          <w:r>
            <w:rPr>
              <w:color w:val="auto"/>
              <w:sz w:val="24"/>
              <w:szCs w:val="24"/>
              <w:highlight w:val="none"/>
            </w:rPr>
            <w:fldChar w:fldCharType="end"/>
          </w:r>
          <w:r>
            <w:rPr>
              <w:rFonts w:hAnsi="宋体" w:eastAsia="宋体" w:cs="宋体"/>
              <w:color w:val="auto"/>
              <w:sz w:val="24"/>
              <w:szCs w:val="24"/>
              <w:highlight w:val="none"/>
            </w:rPr>
            <w:fldChar w:fldCharType="end"/>
          </w:r>
        </w:p>
        <w:p w14:paraId="5DB78C3B">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_Toc12547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第十</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lang w:val="zh-CN"/>
            </w:rPr>
            <w:t>章 组织机构与人力资源配置</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_Toc12547 \h </w:instrText>
          </w:r>
          <w:r>
            <w:rPr>
              <w:b/>
              <w:color w:val="auto"/>
              <w:sz w:val="24"/>
              <w:szCs w:val="24"/>
              <w:highlight w:val="none"/>
            </w:rPr>
            <w:fldChar w:fldCharType="separate"/>
          </w:r>
          <w:r>
            <w:rPr>
              <w:b/>
              <w:color w:val="auto"/>
              <w:sz w:val="24"/>
              <w:szCs w:val="24"/>
              <w:highlight w:val="none"/>
            </w:rPr>
            <w:t>53</w:t>
          </w:r>
          <w:r>
            <w:rPr>
              <w:b/>
              <w:color w:val="auto"/>
              <w:sz w:val="24"/>
              <w:szCs w:val="24"/>
              <w:highlight w:val="none"/>
            </w:rPr>
            <w:fldChar w:fldCharType="end"/>
          </w:r>
          <w:r>
            <w:rPr>
              <w:rFonts w:hAnsi="宋体" w:eastAsia="宋体" w:cs="宋体"/>
              <w:b/>
              <w:color w:val="auto"/>
              <w:sz w:val="24"/>
              <w:szCs w:val="24"/>
              <w:highlight w:val="none"/>
            </w:rPr>
            <w:fldChar w:fldCharType="end"/>
          </w:r>
        </w:p>
        <w:p w14:paraId="302EF078">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_Toc13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12.1企业管理体制及组织机构设置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 \h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rFonts w:hAnsi="宋体" w:eastAsia="宋体" w:cs="宋体"/>
              <w:color w:val="auto"/>
              <w:sz w:val="24"/>
              <w:szCs w:val="24"/>
              <w:highlight w:val="none"/>
            </w:rPr>
            <w:fldChar w:fldCharType="end"/>
          </w:r>
        </w:p>
        <w:p w14:paraId="78117808">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_Toc10760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GB" w:eastAsia="zh-CN" w:bidi="ar-SA"/>
            </w:rPr>
            <w:t>12.2生产班制与人力资源配置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_Toc10760 \h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rFonts w:hAnsi="宋体" w:eastAsia="宋体" w:cs="宋体"/>
              <w:color w:val="auto"/>
              <w:sz w:val="24"/>
              <w:szCs w:val="24"/>
              <w:highlight w:val="none"/>
            </w:rPr>
            <w:fldChar w:fldCharType="end"/>
          </w:r>
        </w:p>
        <w:p w14:paraId="3028D9E5">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_Toc31709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12.3人员培训</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_Toc31709 \h </w:instrText>
          </w:r>
          <w:r>
            <w:rPr>
              <w:color w:val="auto"/>
              <w:sz w:val="24"/>
              <w:szCs w:val="24"/>
              <w:highlight w:val="none"/>
            </w:rPr>
            <w:fldChar w:fldCharType="separate"/>
          </w:r>
          <w:r>
            <w:rPr>
              <w:color w:val="auto"/>
              <w:sz w:val="24"/>
              <w:szCs w:val="24"/>
              <w:highlight w:val="none"/>
            </w:rPr>
            <w:t>53</w:t>
          </w:r>
          <w:r>
            <w:rPr>
              <w:color w:val="auto"/>
              <w:sz w:val="24"/>
              <w:szCs w:val="24"/>
              <w:highlight w:val="none"/>
            </w:rPr>
            <w:fldChar w:fldCharType="end"/>
          </w:r>
          <w:r>
            <w:rPr>
              <w:rFonts w:hAnsi="宋体" w:eastAsia="宋体" w:cs="宋体"/>
              <w:color w:val="auto"/>
              <w:sz w:val="24"/>
              <w:szCs w:val="24"/>
              <w:highlight w:val="none"/>
            </w:rPr>
            <w:fldChar w:fldCharType="end"/>
          </w:r>
        </w:p>
        <w:p w14:paraId="26414C3A">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_Toc28132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第十</w:t>
          </w:r>
          <w:r>
            <w:rPr>
              <w:rFonts w:hint="eastAsia" w:ascii="宋体" w:hAnsi="宋体" w:eastAsia="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lang w:val="zh-CN"/>
            </w:rPr>
            <w:t>章 项目实施计划</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_Toc28132 \h </w:instrText>
          </w:r>
          <w:r>
            <w:rPr>
              <w:b/>
              <w:color w:val="auto"/>
              <w:sz w:val="24"/>
              <w:szCs w:val="24"/>
              <w:highlight w:val="none"/>
            </w:rPr>
            <w:fldChar w:fldCharType="separate"/>
          </w:r>
          <w:r>
            <w:rPr>
              <w:b/>
              <w:color w:val="auto"/>
              <w:sz w:val="24"/>
              <w:szCs w:val="24"/>
              <w:highlight w:val="none"/>
            </w:rPr>
            <w:t>55</w:t>
          </w:r>
          <w:r>
            <w:rPr>
              <w:b/>
              <w:color w:val="auto"/>
              <w:sz w:val="24"/>
              <w:szCs w:val="24"/>
              <w:highlight w:val="none"/>
            </w:rPr>
            <w:fldChar w:fldCharType="end"/>
          </w:r>
          <w:r>
            <w:rPr>
              <w:rFonts w:hAnsi="宋体" w:eastAsia="宋体" w:cs="宋体"/>
              <w:b/>
              <w:color w:val="auto"/>
              <w:sz w:val="24"/>
              <w:szCs w:val="24"/>
              <w:highlight w:val="none"/>
            </w:rPr>
            <w:fldChar w:fldCharType="end"/>
          </w:r>
        </w:p>
        <w:p w14:paraId="10BCD62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_Toc18990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13.</w:t>
          </w:r>
          <w:r>
            <w:rPr>
              <w:rFonts w:ascii="宋体" w:hAnsi="宋体" w:cs="宋体"/>
              <w:bCs/>
              <w:color w:val="auto"/>
              <w:sz w:val="24"/>
              <w:szCs w:val="24"/>
              <w:highlight w:val="none"/>
            </w:rPr>
            <w:t>1</w:t>
          </w:r>
          <w:r>
            <w:rPr>
              <w:rFonts w:hint="eastAsia" w:ascii="宋体" w:hAnsi="宋体" w:cs="宋体"/>
              <w:bCs/>
              <w:color w:val="auto"/>
              <w:sz w:val="24"/>
              <w:szCs w:val="24"/>
              <w:highlight w:val="none"/>
            </w:rPr>
            <w:t>项目的组织与管理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_Toc18990 \h </w:instrText>
          </w:r>
          <w:r>
            <w:rPr>
              <w:color w:val="auto"/>
              <w:sz w:val="24"/>
              <w:szCs w:val="24"/>
              <w:highlight w:val="none"/>
            </w:rPr>
            <w:fldChar w:fldCharType="separate"/>
          </w:r>
          <w:r>
            <w:rPr>
              <w:color w:val="auto"/>
              <w:sz w:val="24"/>
              <w:szCs w:val="24"/>
              <w:highlight w:val="none"/>
            </w:rPr>
            <w:t>55</w:t>
          </w:r>
          <w:r>
            <w:rPr>
              <w:color w:val="auto"/>
              <w:sz w:val="24"/>
              <w:szCs w:val="24"/>
              <w:highlight w:val="none"/>
            </w:rPr>
            <w:fldChar w:fldCharType="end"/>
          </w:r>
          <w:r>
            <w:rPr>
              <w:rFonts w:hAnsi="宋体" w:eastAsia="宋体" w:cs="宋体"/>
              <w:color w:val="auto"/>
              <w:sz w:val="24"/>
              <w:szCs w:val="24"/>
              <w:highlight w:val="none"/>
            </w:rPr>
            <w:fldChar w:fldCharType="end"/>
          </w:r>
        </w:p>
        <w:p w14:paraId="69FDB0B7">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_Toc9057 </w:instrText>
          </w:r>
          <w:r>
            <w:rPr>
              <w:rFonts w:hAnsi="宋体" w:eastAsia="宋体" w:cs="宋体"/>
              <w:color w:val="auto"/>
              <w:sz w:val="24"/>
              <w:szCs w:val="24"/>
              <w:highlight w:val="none"/>
            </w:rPr>
            <w:fldChar w:fldCharType="separate"/>
          </w:r>
          <w:r>
            <w:rPr>
              <w:rFonts w:hint="eastAsia" w:ascii="宋体" w:hAnsi="宋体" w:cs="宋体"/>
              <w:bCs/>
              <w:color w:val="auto"/>
              <w:sz w:val="24"/>
              <w:szCs w:val="24"/>
              <w:highlight w:val="none"/>
              <w:lang w:eastAsia="zh-CN"/>
            </w:rPr>
            <w:t>13.</w:t>
          </w:r>
          <w:r>
            <w:rPr>
              <w:rFonts w:ascii="宋体" w:hAnsi="宋体" w:cs="宋体"/>
              <w:bCs/>
              <w:color w:val="auto"/>
              <w:sz w:val="24"/>
              <w:szCs w:val="24"/>
              <w:highlight w:val="none"/>
            </w:rPr>
            <w:t>2</w:t>
          </w:r>
          <w:r>
            <w:rPr>
              <w:rFonts w:hint="eastAsia" w:ascii="宋体" w:hAnsi="宋体" w:cs="宋体"/>
              <w:bCs/>
              <w:color w:val="auto"/>
              <w:sz w:val="24"/>
              <w:szCs w:val="24"/>
              <w:highlight w:val="none"/>
            </w:rPr>
            <w:t>实施进度计划</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_Toc9057 \h </w:instrText>
          </w:r>
          <w:r>
            <w:rPr>
              <w:color w:val="auto"/>
              <w:sz w:val="24"/>
              <w:szCs w:val="24"/>
              <w:highlight w:val="none"/>
            </w:rPr>
            <w:fldChar w:fldCharType="separate"/>
          </w:r>
          <w:r>
            <w:rPr>
              <w:color w:val="auto"/>
              <w:sz w:val="24"/>
              <w:szCs w:val="24"/>
              <w:highlight w:val="none"/>
            </w:rPr>
            <w:t>55</w:t>
          </w:r>
          <w:r>
            <w:rPr>
              <w:color w:val="auto"/>
              <w:sz w:val="24"/>
              <w:szCs w:val="24"/>
              <w:highlight w:val="none"/>
            </w:rPr>
            <w:fldChar w:fldCharType="end"/>
          </w:r>
          <w:r>
            <w:rPr>
              <w:rFonts w:hAnsi="宋体" w:eastAsia="宋体" w:cs="宋体"/>
              <w:color w:val="auto"/>
              <w:sz w:val="24"/>
              <w:szCs w:val="24"/>
              <w:highlight w:val="none"/>
            </w:rPr>
            <w:fldChar w:fldCharType="end"/>
          </w:r>
        </w:p>
        <w:p w14:paraId="0019BBE7">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_Toc32261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第十四章 投资估算与资金筹措</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_Toc32261 \h </w:instrText>
          </w:r>
          <w:r>
            <w:rPr>
              <w:b/>
              <w:color w:val="auto"/>
              <w:sz w:val="24"/>
              <w:szCs w:val="24"/>
              <w:highlight w:val="none"/>
            </w:rPr>
            <w:fldChar w:fldCharType="separate"/>
          </w:r>
          <w:r>
            <w:rPr>
              <w:b/>
              <w:color w:val="auto"/>
              <w:sz w:val="24"/>
              <w:szCs w:val="24"/>
              <w:highlight w:val="none"/>
            </w:rPr>
            <w:t>57</w:t>
          </w:r>
          <w:r>
            <w:rPr>
              <w:b/>
              <w:color w:val="auto"/>
              <w:sz w:val="24"/>
              <w:szCs w:val="24"/>
              <w:highlight w:val="none"/>
            </w:rPr>
            <w:fldChar w:fldCharType="end"/>
          </w:r>
          <w:r>
            <w:rPr>
              <w:rFonts w:hAnsi="宋体" w:eastAsia="宋体" w:cs="宋体"/>
              <w:b/>
              <w:color w:val="auto"/>
              <w:sz w:val="24"/>
              <w:szCs w:val="24"/>
              <w:highlight w:val="none"/>
            </w:rPr>
            <w:fldChar w:fldCharType="end"/>
          </w:r>
        </w:p>
        <w:p w14:paraId="2F8FB48B">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_Toc27157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val="en-US" w:eastAsia="zh-CN"/>
            </w:rPr>
            <w:t>14.1投资估算的范围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_Toc27157 \h </w:instrText>
          </w:r>
          <w:r>
            <w:rPr>
              <w:color w:val="auto"/>
              <w:sz w:val="24"/>
              <w:szCs w:val="24"/>
              <w:highlight w:val="none"/>
            </w:rPr>
            <w:fldChar w:fldCharType="separate"/>
          </w:r>
          <w:r>
            <w:rPr>
              <w:color w:val="auto"/>
              <w:sz w:val="24"/>
              <w:szCs w:val="24"/>
              <w:highlight w:val="none"/>
            </w:rPr>
            <w:t>57</w:t>
          </w:r>
          <w:r>
            <w:rPr>
              <w:color w:val="auto"/>
              <w:sz w:val="24"/>
              <w:szCs w:val="24"/>
              <w:highlight w:val="none"/>
            </w:rPr>
            <w:fldChar w:fldCharType="end"/>
          </w:r>
          <w:r>
            <w:rPr>
              <w:rFonts w:hAnsi="宋体" w:eastAsia="宋体" w:cs="宋体"/>
              <w:color w:val="auto"/>
              <w:sz w:val="24"/>
              <w:szCs w:val="24"/>
              <w:highlight w:val="none"/>
            </w:rPr>
            <w:fldChar w:fldCharType="end"/>
          </w:r>
        </w:p>
        <w:p w14:paraId="5D179C51">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_Toc26079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val="en-US" w:eastAsia="zh-CN"/>
            </w:rPr>
            <w:t>14.2编制依据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_Toc26079 \h </w:instrText>
          </w:r>
          <w:r>
            <w:rPr>
              <w:color w:val="auto"/>
              <w:sz w:val="24"/>
              <w:szCs w:val="24"/>
              <w:highlight w:val="none"/>
            </w:rPr>
            <w:fldChar w:fldCharType="separate"/>
          </w:r>
          <w:r>
            <w:rPr>
              <w:color w:val="auto"/>
              <w:sz w:val="24"/>
              <w:szCs w:val="24"/>
              <w:highlight w:val="none"/>
            </w:rPr>
            <w:t>57</w:t>
          </w:r>
          <w:r>
            <w:rPr>
              <w:color w:val="auto"/>
              <w:sz w:val="24"/>
              <w:szCs w:val="24"/>
              <w:highlight w:val="none"/>
            </w:rPr>
            <w:fldChar w:fldCharType="end"/>
          </w:r>
          <w:r>
            <w:rPr>
              <w:rFonts w:hAnsi="宋体" w:eastAsia="宋体" w:cs="宋体"/>
              <w:color w:val="auto"/>
              <w:sz w:val="24"/>
              <w:szCs w:val="24"/>
              <w:highlight w:val="none"/>
            </w:rPr>
            <w:fldChar w:fldCharType="end"/>
          </w:r>
        </w:p>
        <w:p w14:paraId="5E469549">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_Toc22206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14.3投资估算分析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_Toc22206 \h </w:instrText>
          </w:r>
          <w:r>
            <w:rPr>
              <w:color w:val="auto"/>
              <w:sz w:val="24"/>
              <w:szCs w:val="24"/>
              <w:highlight w:val="none"/>
            </w:rPr>
            <w:fldChar w:fldCharType="separate"/>
          </w:r>
          <w:r>
            <w:rPr>
              <w:color w:val="auto"/>
              <w:sz w:val="24"/>
              <w:szCs w:val="24"/>
              <w:highlight w:val="none"/>
            </w:rPr>
            <w:t>57</w:t>
          </w:r>
          <w:r>
            <w:rPr>
              <w:color w:val="auto"/>
              <w:sz w:val="24"/>
              <w:szCs w:val="24"/>
              <w:highlight w:val="none"/>
            </w:rPr>
            <w:fldChar w:fldCharType="end"/>
          </w:r>
          <w:r>
            <w:rPr>
              <w:rFonts w:hAnsi="宋体" w:eastAsia="宋体" w:cs="宋体"/>
              <w:color w:val="auto"/>
              <w:sz w:val="24"/>
              <w:szCs w:val="24"/>
              <w:highlight w:val="none"/>
            </w:rPr>
            <w:fldChar w:fldCharType="end"/>
          </w:r>
        </w:p>
        <w:p w14:paraId="5BAC7A57">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_Toc10967 </w:instrText>
          </w:r>
          <w:r>
            <w:rPr>
              <w:rFonts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14.4资金筹措</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_Toc10967 \h </w:instrText>
          </w:r>
          <w:r>
            <w:rPr>
              <w:color w:val="auto"/>
              <w:sz w:val="24"/>
              <w:szCs w:val="24"/>
              <w:highlight w:val="none"/>
            </w:rPr>
            <w:fldChar w:fldCharType="separate"/>
          </w:r>
          <w:r>
            <w:rPr>
              <w:color w:val="auto"/>
              <w:sz w:val="24"/>
              <w:szCs w:val="24"/>
              <w:highlight w:val="none"/>
            </w:rPr>
            <w:t>58</w:t>
          </w:r>
          <w:r>
            <w:rPr>
              <w:color w:val="auto"/>
              <w:sz w:val="24"/>
              <w:szCs w:val="24"/>
              <w:highlight w:val="none"/>
            </w:rPr>
            <w:fldChar w:fldCharType="end"/>
          </w:r>
          <w:r>
            <w:rPr>
              <w:rFonts w:hAnsi="宋体" w:eastAsia="宋体" w:cs="宋体"/>
              <w:color w:val="auto"/>
              <w:sz w:val="24"/>
              <w:szCs w:val="24"/>
              <w:highlight w:val="none"/>
            </w:rPr>
            <w:fldChar w:fldCharType="end"/>
          </w:r>
        </w:p>
        <w:p w14:paraId="4A442270">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_Toc28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sz w:val="24"/>
              <w:szCs w:val="24"/>
              <w:highlight w:val="none"/>
              <w:lang w:val="zh-CN"/>
            </w:rPr>
            <w:t>第十五章 社会稳定性分析</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_Toc28 \h </w:instrText>
          </w:r>
          <w:r>
            <w:rPr>
              <w:b/>
              <w:color w:val="auto"/>
              <w:sz w:val="24"/>
              <w:szCs w:val="24"/>
              <w:highlight w:val="none"/>
            </w:rPr>
            <w:fldChar w:fldCharType="separate"/>
          </w:r>
          <w:r>
            <w:rPr>
              <w:b/>
              <w:color w:val="auto"/>
              <w:sz w:val="24"/>
              <w:szCs w:val="24"/>
              <w:highlight w:val="none"/>
            </w:rPr>
            <w:t>59</w:t>
          </w:r>
          <w:r>
            <w:rPr>
              <w:b/>
              <w:color w:val="auto"/>
              <w:sz w:val="24"/>
              <w:szCs w:val="24"/>
              <w:highlight w:val="none"/>
            </w:rPr>
            <w:fldChar w:fldCharType="end"/>
          </w:r>
          <w:r>
            <w:rPr>
              <w:rFonts w:hAnsi="宋体" w:eastAsia="宋体" w:cs="宋体"/>
              <w:b/>
              <w:color w:val="auto"/>
              <w:sz w:val="24"/>
              <w:szCs w:val="24"/>
              <w:highlight w:val="none"/>
            </w:rPr>
            <w:fldChar w:fldCharType="end"/>
          </w:r>
        </w:p>
        <w:p w14:paraId="2E81828D">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_Toc31377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eastAsia="zh-CN"/>
            </w:rPr>
            <w:t>15.1 项目主要风险识别</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_Toc31377 \h </w:instrText>
          </w:r>
          <w:r>
            <w:rPr>
              <w:color w:val="auto"/>
              <w:sz w:val="24"/>
              <w:szCs w:val="24"/>
              <w:highlight w:val="none"/>
            </w:rPr>
            <w:fldChar w:fldCharType="separate"/>
          </w:r>
          <w:r>
            <w:rPr>
              <w:color w:val="auto"/>
              <w:sz w:val="24"/>
              <w:szCs w:val="24"/>
              <w:highlight w:val="none"/>
            </w:rPr>
            <w:t>59</w:t>
          </w:r>
          <w:r>
            <w:rPr>
              <w:color w:val="auto"/>
              <w:sz w:val="24"/>
              <w:szCs w:val="24"/>
              <w:highlight w:val="none"/>
            </w:rPr>
            <w:fldChar w:fldCharType="end"/>
          </w:r>
          <w:r>
            <w:rPr>
              <w:rFonts w:hAnsi="宋体" w:eastAsia="宋体" w:cs="宋体"/>
              <w:color w:val="auto"/>
              <w:sz w:val="24"/>
              <w:szCs w:val="24"/>
              <w:highlight w:val="none"/>
            </w:rPr>
            <w:fldChar w:fldCharType="end"/>
          </w:r>
        </w:p>
        <w:p w14:paraId="09A9CD5D">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_Toc3993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eastAsia="zh-CN"/>
            </w:rPr>
            <w:t>15.2 风险程度分析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_Toc3993 \h </w:instrText>
          </w:r>
          <w:r>
            <w:rPr>
              <w:color w:val="auto"/>
              <w:sz w:val="24"/>
              <w:szCs w:val="24"/>
              <w:highlight w:val="none"/>
            </w:rPr>
            <w:fldChar w:fldCharType="separate"/>
          </w:r>
          <w:r>
            <w:rPr>
              <w:color w:val="auto"/>
              <w:sz w:val="24"/>
              <w:szCs w:val="24"/>
              <w:highlight w:val="none"/>
            </w:rPr>
            <w:t>60</w:t>
          </w:r>
          <w:r>
            <w:rPr>
              <w:color w:val="auto"/>
              <w:sz w:val="24"/>
              <w:szCs w:val="24"/>
              <w:highlight w:val="none"/>
            </w:rPr>
            <w:fldChar w:fldCharType="end"/>
          </w:r>
          <w:r>
            <w:rPr>
              <w:rFonts w:hAnsi="宋体" w:eastAsia="宋体" w:cs="宋体"/>
              <w:color w:val="auto"/>
              <w:sz w:val="24"/>
              <w:szCs w:val="24"/>
              <w:highlight w:val="none"/>
            </w:rPr>
            <w:fldChar w:fldCharType="end"/>
          </w:r>
        </w:p>
        <w:p w14:paraId="2B9E4197">
          <w:pPr>
            <w:pStyle w:val="29"/>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color w:val="auto"/>
              <w:sz w:val="24"/>
              <w:szCs w:val="24"/>
              <w:highlight w:val="none"/>
            </w:rPr>
          </w:pPr>
          <w:r>
            <w:rPr>
              <w:rFonts w:hAnsi="宋体" w:eastAsia="宋体" w:cs="宋体"/>
              <w:color w:val="auto"/>
              <w:sz w:val="24"/>
              <w:szCs w:val="24"/>
              <w:highlight w:val="none"/>
            </w:rPr>
            <w:fldChar w:fldCharType="begin"/>
          </w:r>
          <w:r>
            <w:rPr>
              <w:rFonts w:hAnsi="宋体" w:eastAsia="宋体" w:cs="宋体"/>
              <w:color w:val="auto"/>
              <w:sz w:val="24"/>
              <w:szCs w:val="24"/>
              <w:highlight w:val="none"/>
            </w:rPr>
            <w:instrText xml:space="preserve"> HYPERLINK \l _Toc10683 </w:instrText>
          </w:r>
          <w:r>
            <w:rPr>
              <w:rFonts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val="en-US" w:eastAsia="zh-CN"/>
            </w:rPr>
            <w:t>15.3 防范风险对策</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_Toc10683 \h </w:instrText>
          </w:r>
          <w:r>
            <w:rPr>
              <w:color w:val="auto"/>
              <w:sz w:val="24"/>
              <w:szCs w:val="24"/>
              <w:highlight w:val="none"/>
            </w:rPr>
            <w:fldChar w:fldCharType="separate"/>
          </w:r>
          <w:r>
            <w:rPr>
              <w:color w:val="auto"/>
              <w:sz w:val="24"/>
              <w:szCs w:val="24"/>
              <w:highlight w:val="none"/>
            </w:rPr>
            <w:t>61</w:t>
          </w:r>
          <w:r>
            <w:rPr>
              <w:color w:val="auto"/>
              <w:sz w:val="24"/>
              <w:szCs w:val="24"/>
              <w:highlight w:val="none"/>
            </w:rPr>
            <w:fldChar w:fldCharType="end"/>
          </w:r>
          <w:r>
            <w:rPr>
              <w:rFonts w:hAnsi="宋体" w:eastAsia="宋体" w:cs="宋体"/>
              <w:color w:val="auto"/>
              <w:sz w:val="24"/>
              <w:szCs w:val="24"/>
              <w:highlight w:val="none"/>
            </w:rPr>
            <w:fldChar w:fldCharType="end"/>
          </w:r>
        </w:p>
        <w:p w14:paraId="10215EEB">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_Toc23634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kern w:val="44"/>
              <w:sz w:val="24"/>
              <w:szCs w:val="24"/>
              <w:highlight w:val="none"/>
              <w:lang w:val="zh-CN" w:eastAsia="zh-CN" w:bidi="ar-SA"/>
            </w:rPr>
            <w:t>第十六章 结论</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_Toc23634 \h </w:instrText>
          </w:r>
          <w:r>
            <w:rPr>
              <w:b/>
              <w:color w:val="auto"/>
              <w:sz w:val="24"/>
              <w:szCs w:val="24"/>
              <w:highlight w:val="none"/>
            </w:rPr>
            <w:fldChar w:fldCharType="separate"/>
          </w:r>
          <w:r>
            <w:rPr>
              <w:b/>
              <w:color w:val="auto"/>
              <w:sz w:val="24"/>
              <w:szCs w:val="24"/>
              <w:highlight w:val="none"/>
            </w:rPr>
            <w:t>62</w:t>
          </w:r>
          <w:r>
            <w:rPr>
              <w:b/>
              <w:color w:val="auto"/>
              <w:sz w:val="24"/>
              <w:szCs w:val="24"/>
              <w:highlight w:val="none"/>
            </w:rPr>
            <w:fldChar w:fldCharType="end"/>
          </w:r>
          <w:r>
            <w:rPr>
              <w:rFonts w:hAnsi="宋体" w:eastAsia="宋体" w:cs="宋体"/>
              <w:b/>
              <w:color w:val="auto"/>
              <w:sz w:val="24"/>
              <w:szCs w:val="24"/>
              <w:highlight w:val="none"/>
            </w:rPr>
            <w:fldChar w:fldCharType="end"/>
          </w:r>
        </w:p>
        <w:p w14:paraId="7DE2E349">
          <w:pPr>
            <w:pStyle w:val="17"/>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b/>
              <w:color w:val="auto"/>
              <w:sz w:val="24"/>
              <w:szCs w:val="24"/>
              <w:highlight w:val="none"/>
            </w:rPr>
          </w:pPr>
          <w:r>
            <w:rPr>
              <w:rFonts w:hAnsi="宋体" w:eastAsia="宋体" w:cs="宋体"/>
              <w:b/>
              <w:color w:val="auto"/>
              <w:sz w:val="24"/>
              <w:szCs w:val="24"/>
              <w:highlight w:val="none"/>
            </w:rPr>
            <w:fldChar w:fldCharType="begin"/>
          </w:r>
          <w:r>
            <w:rPr>
              <w:rFonts w:hAnsi="宋体" w:eastAsia="宋体" w:cs="宋体"/>
              <w:b/>
              <w:color w:val="auto"/>
              <w:sz w:val="24"/>
              <w:szCs w:val="24"/>
              <w:highlight w:val="none"/>
            </w:rPr>
            <w:instrText xml:space="preserve"> HYPERLINK \l _Toc11701 </w:instrText>
          </w:r>
          <w:r>
            <w:rPr>
              <w:rFonts w:hAnsi="宋体" w:eastAsia="宋体" w:cs="宋体"/>
              <w:b/>
              <w:color w:val="auto"/>
              <w:sz w:val="24"/>
              <w:szCs w:val="24"/>
              <w:highlight w:val="none"/>
            </w:rPr>
            <w:fldChar w:fldCharType="separate"/>
          </w:r>
          <w:r>
            <w:rPr>
              <w:rFonts w:hint="eastAsia" w:ascii="宋体" w:hAnsi="宋体" w:eastAsia="宋体" w:cs="宋体"/>
              <w:b/>
              <w:bCs w:val="0"/>
              <w:color w:val="auto"/>
              <w:kern w:val="44"/>
              <w:sz w:val="24"/>
              <w:szCs w:val="24"/>
              <w:highlight w:val="none"/>
              <w:lang w:val="zh-CN" w:eastAsia="zh-CN" w:bidi="ar-SA"/>
            </w:rPr>
            <w:t>附件</w:t>
          </w:r>
          <w:r>
            <w:rPr>
              <w:b/>
              <w:color w:val="auto"/>
              <w:sz w:val="24"/>
              <w:szCs w:val="24"/>
              <w:highlight w:val="none"/>
            </w:rPr>
            <w:tab/>
          </w:r>
          <w:r>
            <w:rPr>
              <w:b/>
              <w:color w:val="auto"/>
              <w:sz w:val="24"/>
              <w:szCs w:val="24"/>
              <w:highlight w:val="none"/>
            </w:rPr>
            <w:fldChar w:fldCharType="begin"/>
          </w:r>
          <w:r>
            <w:rPr>
              <w:b/>
              <w:color w:val="auto"/>
              <w:sz w:val="24"/>
              <w:szCs w:val="24"/>
              <w:highlight w:val="none"/>
            </w:rPr>
            <w:instrText xml:space="preserve"> PAGEREF _Toc11701 \h </w:instrText>
          </w:r>
          <w:r>
            <w:rPr>
              <w:b/>
              <w:color w:val="auto"/>
              <w:sz w:val="24"/>
              <w:szCs w:val="24"/>
              <w:highlight w:val="none"/>
            </w:rPr>
            <w:fldChar w:fldCharType="separate"/>
          </w:r>
          <w:r>
            <w:rPr>
              <w:b/>
              <w:color w:val="auto"/>
              <w:sz w:val="24"/>
              <w:szCs w:val="24"/>
              <w:highlight w:val="none"/>
            </w:rPr>
            <w:t>64</w:t>
          </w:r>
          <w:r>
            <w:rPr>
              <w:b/>
              <w:color w:val="auto"/>
              <w:sz w:val="24"/>
              <w:szCs w:val="24"/>
              <w:highlight w:val="none"/>
            </w:rPr>
            <w:fldChar w:fldCharType="end"/>
          </w:r>
          <w:r>
            <w:rPr>
              <w:rFonts w:hAnsi="宋体" w:eastAsia="宋体" w:cs="宋体"/>
              <w:b/>
              <w:color w:val="auto"/>
              <w:sz w:val="24"/>
              <w:szCs w:val="24"/>
              <w:highlight w:val="none"/>
            </w:rPr>
            <w:fldChar w:fldCharType="end"/>
          </w:r>
        </w:p>
        <w:p w14:paraId="2ACD5614">
          <w:pPr>
            <w:pStyle w:val="17"/>
            <w:tabs>
              <w:tab w:val="right" w:leader="dot" w:pos="8306"/>
            </w:tabs>
            <w:rPr>
              <w:b/>
              <w:color w:val="auto"/>
              <w:highlight w:val="none"/>
            </w:rPr>
          </w:pPr>
        </w:p>
        <w:p w14:paraId="4569A4B1">
          <w:pPr>
            <w:pStyle w:val="2"/>
            <w:rPr>
              <w:rFonts w:ascii="宋体" w:hAnsi="宋体" w:eastAsia="宋体" w:cs="宋体"/>
              <w:b/>
              <w:color w:val="auto"/>
              <w:kern w:val="2"/>
              <w:sz w:val="24"/>
              <w:highlight w:val="none"/>
              <w:lang w:val="en-US" w:eastAsia="zh-CN" w:bidi="ar-SA"/>
            </w:rPr>
          </w:pPr>
          <w:r>
            <w:rPr>
              <w:rFonts w:hAnsi="宋体" w:eastAsia="宋体" w:cs="宋体"/>
              <w:b/>
              <w:color w:val="auto"/>
              <w:highlight w:val="none"/>
            </w:rPr>
            <w:fldChar w:fldCharType="end"/>
          </w:r>
        </w:p>
      </w:sdtContent>
    </w:sdt>
    <w:p w14:paraId="2598C602">
      <w:pPr>
        <w:pStyle w:val="2"/>
        <w:rPr>
          <w:rFonts w:ascii="宋体" w:hAnsi="宋体" w:eastAsia="宋体" w:cs="宋体"/>
          <w:b/>
          <w:color w:val="auto"/>
          <w:kern w:val="2"/>
          <w:sz w:val="24"/>
          <w:highlight w:val="none"/>
          <w:lang w:val="en-US" w:eastAsia="zh-CN" w:bidi="ar-SA"/>
        </w:rPr>
        <w:sectPr>
          <w:pgSz w:w="11906" w:h="16838"/>
          <w:pgMar w:top="1440" w:right="1800" w:bottom="1440" w:left="1800" w:header="851" w:footer="992" w:gutter="0"/>
          <w:cols w:space="425" w:num="1"/>
          <w:docGrid w:type="lines" w:linePitch="312" w:charSpace="0"/>
        </w:sectPr>
      </w:pPr>
    </w:p>
    <w:p w14:paraId="3679E6E2">
      <w:pPr>
        <w:rPr>
          <w:color w:val="auto"/>
          <w:highlight w:val="none"/>
        </w:rPr>
        <w:sectPr>
          <w:pgSz w:w="11906" w:h="16838"/>
          <w:pgMar w:top="1440" w:right="1800" w:bottom="1440" w:left="1800" w:header="851" w:footer="992" w:gutter="0"/>
          <w:cols w:space="425" w:num="1"/>
          <w:docGrid w:type="lines" w:linePitch="312" w:charSpace="0"/>
        </w:sectPr>
      </w:pPr>
    </w:p>
    <w:p w14:paraId="6A9E754F">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en-US" w:eastAsia="zh-CN"/>
        </w:rPr>
      </w:pPr>
      <w:bookmarkStart w:id="19" w:name="_Toc30649"/>
      <w:bookmarkStart w:id="20" w:name="_Toc24359"/>
      <w:bookmarkStart w:id="21" w:name="_Toc11379"/>
      <w:bookmarkStart w:id="22" w:name="_Toc12888"/>
      <w:bookmarkStart w:id="23" w:name="_Toc17362"/>
      <w:bookmarkStart w:id="24" w:name="_Toc7206"/>
      <w:bookmarkStart w:id="25" w:name="_Toc13777"/>
      <w:r>
        <w:rPr>
          <w:rFonts w:hint="eastAsia" w:ascii="宋体" w:hAnsi="宋体" w:eastAsia="宋体" w:cs="宋体"/>
          <w:b/>
          <w:bCs w:val="0"/>
          <w:color w:val="auto"/>
          <w:sz w:val="32"/>
          <w:szCs w:val="32"/>
          <w:highlight w:val="none"/>
          <w:lang w:val="en-US" w:eastAsia="zh-CN"/>
        </w:rPr>
        <w:t>第一章 总论</w:t>
      </w:r>
      <w:bookmarkEnd w:id="19"/>
      <w:bookmarkEnd w:id="20"/>
      <w:bookmarkEnd w:id="21"/>
      <w:bookmarkEnd w:id="22"/>
      <w:bookmarkEnd w:id="23"/>
      <w:bookmarkEnd w:id="24"/>
      <w:bookmarkEnd w:id="25"/>
    </w:p>
    <w:p w14:paraId="72D6D589">
      <w:pPr>
        <w:pStyle w:val="19"/>
        <w:keepLines w:val="0"/>
        <w:pageBreakBefore w:val="0"/>
        <w:widowControl w:val="0"/>
        <w:kinsoku/>
        <w:wordWrap/>
        <w:overflowPunct/>
        <w:topLinePunct w:val="0"/>
        <w:autoSpaceDE/>
        <w:autoSpaceDN/>
        <w:bidi w:val="0"/>
        <w:spacing w:before="0" w:beforeLines="0" w:after="0" w:afterLines="0" w:line="560" w:lineRule="exact"/>
        <w:ind w:firstLine="560" w:firstLineChars="200"/>
        <w:textAlignment w:val="auto"/>
        <w:rPr>
          <w:rFonts w:cs="宋体"/>
          <w:b w:val="0"/>
          <w:bCs/>
          <w:color w:val="auto"/>
          <w:sz w:val="28"/>
          <w:highlight w:val="none"/>
        </w:rPr>
      </w:pPr>
      <w:bookmarkStart w:id="26" w:name="_Toc9573"/>
      <w:bookmarkStart w:id="27" w:name="_Toc23610"/>
      <w:bookmarkStart w:id="28" w:name="_Toc18898"/>
      <w:bookmarkStart w:id="29" w:name="_Toc358793848"/>
      <w:bookmarkStart w:id="30" w:name="_Toc18883"/>
      <w:bookmarkStart w:id="31" w:name="_Toc11027"/>
      <w:bookmarkStart w:id="32" w:name="_Toc883"/>
      <w:bookmarkStart w:id="33" w:name="_Toc330911897"/>
      <w:bookmarkStart w:id="34" w:name="_Toc781"/>
      <w:bookmarkStart w:id="35" w:name="_Toc31267"/>
      <w:bookmarkStart w:id="36" w:name="_Toc26069"/>
      <w:bookmarkStart w:id="37" w:name="_Toc4675"/>
      <w:bookmarkStart w:id="38" w:name="_Toc32461"/>
      <w:bookmarkStart w:id="39" w:name="_Toc12228"/>
      <w:bookmarkStart w:id="40" w:name="_Toc29869"/>
      <w:bookmarkStart w:id="41" w:name="_Toc13933"/>
      <w:bookmarkStart w:id="42" w:name="_Toc30714"/>
      <w:bookmarkStart w:id="43" w:name="_Toc12785"/>
      <w:bookmarkStart w:id="44" w:name="_Toc13896"/>
      <w:bookmarkStart w:id="45" w:name="_Toc13846"/>
      <w:bookmarkStart w:id="46" w:name="_Toc20762"/>
      <w:bookmarkStart w:id="47" w:name="_Toc27594"/>
      <w:bookmarkStart w:id="48" w:name="_Toc12620"/>
      <w:bookmarkStart w:id="49" w:name="_Toc7537"/>
      <w:bookmarkStart w:id="50" w:name="_Toc19464"/>
      <w:bookmarkStart w:id="51" w:name="_Toc23090"/>
      <w:bookmarkStart w:id="52" w:name="_Toc17102"/>
      <w:r>
        <w:rPr>
          <w:rFonts w:hint="eastAsia" w:cs="宋体"/>
          <w:b w:val="0"/>
          <w:bCs/>
          <w:color w:val="auto"/>
          <w:sz w:val="28"/>
          <w:highlight w:val="none"/>
        </w:rPr>
        <w:t xml:space="preserve">1.1 </w:t>
      </w:r>
      <w:bookmarkEnd w:id="26"/>
      <w:bookmarkEnd w:id="27"/>
      <w:bookmarkEnd w:id="28"/>
      <w:bookmarkEnd w:id="29"/>
      <w:bookmarkEnd w:id="30"/>
      <w:bookmarkEnd w:id="31"/>
      <w:bookmarkEnd w:id="32"/>
      <w:bookmarkEnd w:id="33"/>
      <w:bookmarkEnd w:id="34"/>
      <w:bookmarkEnd w:id="35"/>
      <w:bookmarkEnd w:id="36"/>
      <w:bookmarkEnd w:id="37"/>
      <w:bookmarkEnd w:id="38"/>
      <w:r>
        <w:rPr>
          <w:rFonts w:hint="eastAsia" w:cs="宋体"/>
          <w:b w:val="0"/>
          <w:bCs/>
          <w:color w:val="auto"/>
          <w:sz w:val="28"/>
          <w:highlight w:val="none"/>
        </w:rPr>
        <w:t>概述</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ACA77A9">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none"/>
          <w:lang w:val="zh-CN"/>
        </w:rPr>
      </w:pPr>
      <w:bookmarkStart w:id="53" w:name="_Toc10935"/>
      <w:bookmarkStart w:id="54" w:name="_Toc13670"/>
      <w:bookmarkStart w:id="55" w:name="_Toc20883"/>
      <w:bookmarkStart w:id="56" w:name="_Toc20255"/>
      <w:r>
        <w:rPr>
          <w:rFonts w:hint="eastAsia" w:ascii="宋体" w:hAnsi="宋体" w:eastAsia="宋体" w:cs="宋体"/>
          <w:color w:val="auto"/>
          <w:sz w:val="28"/>
          <w:szCs w:val="28"/>
          <w:highlight w:val="none"/>
          <w:lang w:val="zh-CN"/>
        </w:rPr>
        <w:t>1.1.1项目名称、主办单位名称、企业性质及法人</w:t>
      </w:r>
      <w:bookmarkEnd w:id="53"/>
      <w:bookmarkEnd w:id="54"/>
      <w:bookmarkEnd w:id="55"/>
      <w:bookmarkEnd w:id="56"/>
    </w:p>
    <w:p w14:paraId="707E6E84">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none"/>
          <w:lang w:val="zh-CN" w:eastAsia="zh-CN"/>
        </w:rPr>
      </w:pPr>
      <w:bookmarkStart w:id="57" w:name="_Toc243131830"/>
      <w:bookmarkStart w:id="58" w:name="_Toc358793850"/>
      <w:bookmarkStart w:id="59" w:name="_Toc25968"/>
      <w:bookmarkStart w:id="60" w:name="_Toc19465"/>
      <w:bookmarkStart w:id="61" w:name="_Toc6381"/>
      <w:bookmarkStart w:id="62" w:name="_Toc1007"/>
      <w:bookmarkStart w:id="63" w:name="_Toc8784"/>
      <w:bookmarkStart w:id="64" w:name="_Toc27164"/>
      <w:bookmarkStart w:id="65" w:name="_Toc19599"/>
      <w:bookmarkStart w:id="66" w:name="_Toc24498"/>
      <w:bookmarkStart w:id="67" w:name="_Toc23205"/>
      <w:bookmarkStart w:id="68" w:name="_Toc330911899"/>
      <w:bookmarkStart w:id="69" w:name="_Toc30204"/>
      <w:bookmarkStart w:id="70" w:name="_Toc1730"/>
      <w:bookmarkStart w:id="71" w:name="_Toc2169"/>
      <w:bookmarkStart w:id="72" w:name="_Toc8112"/>
      <w:bookmarkStart w:id="73" w:name="_Toc19831"/>
      <w:bookmarkStart w:id="74" w:name="_Toc8906"/>
      <w:bookmarkStart w:id="75" w:name="_Toc6875"/>
      <w:bookmarkStart w:id="76" w:name="_Toc18435"/>
      <w:r>
        <w:rPr>
          <w:rFonts w:hint="eastAsia" w:ascii="宋体" w:hAnsi="宋体" w:eastAsia="宋体" w:cs="宋体"/>
          <w:color w:val="auto"/>
          <w:sz w:val="28"/>
          <w:szCs w:val="28"/>
          <w:highlight w:val="none"/>
          <w:lang w:val="zh-CN" w:eastAsia="zh-CN"/>
        </w:rPr>
        <w:t>项目名称：新增储罐</w:t>
      </w:r>
      <w:r>
        <w:rPr>
          <w:rFonts w:hint="eastAsia" w:ascii="宋体" w:hAnsi="宋体" w:eastAsia="宋体" w:cs="宋体"/>
          <w:color w:val="auto"/>
          <w:sz w:val="28"/>
          <w:szCs w:val="28"/>
          <w:highlight w:val="none"/>
          <w:lang w:val="en-US" w:eastAsia="zh-CN"/>
        </w:rPr>
        <w:t>项目</w:t>
      </w:r>
    </w:p>
    <w:p w14:paraId="3FB78C60">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t>建设单位名称：江苏索普新材料科技有限公司</w:t>
      </w:r>
    </w:p>
    <w:p w14:paraId="2082CFFC">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en-US" w:eastAsia="zh-CN"/>
        </w:rPr>
        <w:t>建设</w:t>
      </w:r>
      <w:r>
        <w:rPr>
          <w:rFonts w:hint="eastAsia" w:ascii="宋体" w:hAnsi="宋体" w:eastAsia="宋体" w:cs="宋体"/>
          <w:color w:val="auto"/>
          <w:sz w:val="28"/>
          <w:szCs w:val="28"/>
          <w:highlight w:val="none"/>
          <w:lang w:val="zh-CN" w:eastAsia="zh-CN"/>
        </w:rPr>
        <w:t>单位企业性质：有限责任公司</w:t>
      </w:r>
    </w:p>
    <w:p w14:paraId="29D590D0">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t>法定地址：江苏镇江新区大港临江西路35号</w:t>
      </w:r>
    </w:p>
    <w:p w14:paraId="2AC96AD1">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t>法人代表：周波</w:t>
      </w:r>
    </w:p>
    <w:p w14:paraId="44681788">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eastAsia="宋体" w:cs="宋体"/>
          <w:color w:val="auto"/>
          <w:sz w:val="28"/>
          <w:szCs w:val="28"/>
          <w:highlight w:val="yellow"/>
          <w:lang w:val="zh-CN" w:eastAsia="zh-CN"/>
        </w:rPr>
      </w:pPr>
      <w:r>
        <w:rPr>
          <w:rFonts w:hint="eastAsia" w:ascii="宋体" w:hAnsi="宋体" w:eastAsia="宋体" w:cs="宋体"/>
          <w:color w:val="auto"/>
          <w:sz w:val="28"/>
          <w:szCs w:val="28"/>
          <w:highlight w:val="yellow"/>
          <w:lang w:val="zh-CN" w:eastAsia="zh-CN"/>
        </w:rPr>
        <w:t xml:space="preserve">项目建设性质: </w:t>
      </w:r>
      <w:r>
        <w:rPr>
          <w:rFonts w:hint="eastAsia" w:ascii="宋体" w:hAnsi="宋体" w:cs="宋体"/>
          <w:color w:val="auto"/>
          <w:sz w:val="28"/>
          <w:szCs w:val="28"/>
          <w:highlight w:val="yellow"/>
          <w:lang w:val="en-US" w:eastAsia="zh-CN"/>
        </w:rPr>
        <w:t>改建</w:t>
      </w:r>
    </w:p>
    <w:p w14:paraId="479148EE">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rPr>
      </w:pPr>
      <w:r>
        <w:rPr>
          <w:rFonts w:hint="eastAsia" w:ascii="宋体" w:hAnsi="宋体" w:cs="宋体"/>
          <w:color w:val="auto"/>
          <w:sz w:val="28"/>
          <w:szCs w:val="28"/>
          <w:highlight w:val="none"/>
        </w:rPr>
        <w:t xml:space="preserve">1.1.2 </w:t>
      </w:r>
      <w:bookmarkEnd w:id="57"/>
      <w:r>
        <w:rPr>
          <w:rFonts w:hint="eastAsia" w:ascii="宋体" w:hAnsi="宋体" w:cs="宋体"/>
          <w:color w:val="auto"/>
          <w:sz w:val="28"/>
          <w:szCs w:val="28"/>
          <w:highlight w:val="none"/>
        </w:rPr>
        <w:t>可行性研究报告编制的依据和原则</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21B4B4CD">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rPr>
        <w:t>1、</w:t>
      </w:r>
      <w:r>
        <w:rPr>
          <w:rFonts w:hint="eastAsia" w:ascii="宋体" w:hAnsi="宋体" w:cs="宋体"/>
          <w:color w:val="auto"/>
          <w:sz w:val="28"/>
          <w:szCs w:val="28"/>
          <w:highlight w:val="none"/>
          <w:lang w:val="zh-CN"/>
        </w:rPr>
        <w:t xml:space="preserve"> 编制依据</w:t>
      </w:r>
    </w:p>
    <w:p w14:paraId="3B430C06">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rPr>
      </w:pPr>
      <w:r>
        <w:rPr>
          <w:rFonts w:hint="eastAsia" w:ascii="宋体" w:hAnsi="宋体" w:cs="宋体"/>
          <w:color w:val="auto"/>
          <w:sz w:val="28"/>
          <w:szCs w:val="28"/>
          <w:highlight w:val="none"/>
        </w:rPr>
        <w:t>1）《工程建设项目可行性研究报告编制办法》</w:t>
      </w:r>
    </w:p>
    <w:p w14:paraId="3523E53C">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rPr>
      </w:pPr>
      <w:r>
        <w:rPr>
          <w:rFonts w:hint="eastAsia" w:ascii="宋体" w:hAnsi="宋体" w:cs="宋体"/>
          <w:color w:val="auto"/>
          <w:sz w:val="28"/>
          <w:szCs w:val="28"/>
          <w:highlight w:val="none"/>
        </w:rPr>
        <w:t>2）《建设项目经济评价方法与参数（第三版）》</w:t>
      </w:r>
    </w:p>
    <w:p w14:paraId="5B6A35EF">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3）</w:t>
      </w:r>
      <w:r>
        <w:rPr>
          <w:rFonts w:hint="eastAsia" w:ascii="宋体" w:hAnsi="宋体" w:eastAsia="宋体" w:cs="宋体"/>
          <w:color w:val="auto"/>
          <w:sz w:val="28"/>
          <w:szCs w:val="28"/>
          <w:highlight w:val="none"/>
          <w:lang w:val="zh-CN" w:eastAsia="zh-CN"/>
        </w:rPr>
        <w:t>江苏索普新材料科技</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zh-CN"/>
        </w:rPr>
        <w:t>与</w:t>
      </w:r>
      <w:r>
        <w:rPr>
          <w:rFonts w:hint="eastAsia" w:ascii="宋体" w:hAnsi="宋体" w:cs="宋体"/>
          <w:color w:val="auto"/>
          <w:sz w:val="28"/>
          <w:szCs w:val="28"/>
          <w:highlight w:val="none"/>
        </w:rPr>
        <w:t>江苏索普工程科技</w:t>
      </w:r>
      <w:r>
        <w:rPr>
          <w:rFonts w:hint="eastAsia" w:ascii="宋体" w:hAnsi="宋体" w:cs="宋体"/>
          <w:color w:val="auto"/>
          <w:sz w:val="28"/>
          <w:szCs w:val="28"/>
          <w:highlight w:val="none"/>
          <w:lang w:val="zh-CN"/>
        </w:rPr>
        <w:t>有限公司签订的委托合同。</w:t>
      </w:r>
    </w:p>
    <w:p w14:paraId="5F7431C3">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4）</w:t>
      </w:r>
      <w:r>
        <w:rPr>
          <w:rFonts w:hint="eastAsia" w:ascii="宋体" w:hAnsi="宋体" w:eastAsia="宋体" w:cs="宋体"/>
          <w:color w:val="auto"/>
          <w:sz w:val="28"/>
          <w:szCs w:val="28"/>
          <w:highlight w:val="none"/>
          <w:lang w:val="zh-CN" w:eastAsia="zh-CN"/>
        </w:rPr>
        <w:t>江苏索普新材料科技</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zh-CN"/>
        </w:rPr>
        <w:t>提供的市场调研信息。</w:t>
      </w:r>
    </w:p>
    <w:p w14:paraId="476355E1">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5）</w:t>
      </w:r>
      <w:r>
        <w:rPr>
          <w:rFonts w:hint="eastAsia" w:ascii="宋体" w:hAnsi="宋体" w:eastAsia="宋体" w:cs="宋体"/>
          <w:color w:val="auto"/>
          <w:sz w:val="28"/>
          <w:szCs w:val="28"/>
          <w:highlight w:val="none"/>
          <w:lang w:val="zh-CN" w:eastAsia="zh-CN"/>
        </w:rPr>
        <w:t>江苏索普新材料科技</w:t>
      </w:r>
      <w:r>
        <w:rPr>
          <w:rFonts w:hint="eastAsia" w:ascii="宋体" w:hAnsi="宋体" w:cs="宋体"/>
          <w:color w:val="auto"/>
          <w:sz w:val="28"/>
          <w:szCs w:val="28"/>
          <w:highlight w:val="none"/>
          <w:lang w:val="zh-CN"/>
        </w:rPr>
        <w:t>有限公司提供的设计资料。</w:t>
      </w:r>
    </w:p>
    <w:p w14:paraId="283B927B">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2、 编制原则</w:t>
      </w:r>
    </w:p>
    <w:p w14:paraId="776CBEC6">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1）遵守国家的各项政策、法规和法令，符合国家的产业政策、投资方向。</w:t>
      </w:r>
    </w:p>
    <w:p w14:paraId="0DA05AB0">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2）按照“工艺先进、技术成熟、装置可靠、经济运行合理”的基本原则，采用国内先进生产技术，以确保项目建成投产后其操作运行稳定、能耗低、“三废”排放少、产品质量好，经济效益明显，使产品具有较强的市场竞争能力。</w:t>
      </w:r>
    </w:p>
    <w:p w14:paraId="5362C76C">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3）项目建设要十分重视环境保护、安全生产和工业卫生，“三废”治理、消防、安全、劳动保护等方面的措施必须与主体装置同时设计、同时建设、同时投运。尽可能减少对环境的污染，对排出的“三废”加以综合利用，不能回收利用的做到达标排放，保证工厂安全运行和操作人员的健康不受损害，建设一个生产安全、卫生清洁、符合规范的生产环境。</w:t>
      </w:r>
    </w:p>
    <w:p w14:paraId="71FC2EA9">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4）以经济效益为中心，加强项目的市场调研，选择产品品种应适应市场需求的变化。按照“少投入、多产出、快速发展”的原则和工厂设计模式的要求，充分利用现有厂区的配套设施，尽可能节省项目建设投资，实事求是地优化各项成本要素，最大限度地降低项目产品生产成本，提高项目经济效益，增强项目产品的竞争能力。</w:t>
      </w:r>
    </w:p>
    <w:p w14:paraId="04772874">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bookmarkStart w:id="77" w:name="_Toc6285"/>
      <w:bookmarkStart w:id="78" w:name="_Toc31186"/>
      <w:bookmarkStart w:id="79" w:name="_Toc16442"/>
      <w:bookmarkStart w:id="80" w:name="_Toc30990"/>
      <w:bookmarkStart w:id="81" w:name="_Toc9162"/>
      <w:bookmarkStart w:id="82" w:name="_Toc162"/>
      <w:bookmarkStart w:id="83" w:name="_Toc2824"/>
      <w:bookmarkStart w:id="84" w:name="_Toc1206"/>
      <w:bookmarkStart w:id="85" w:name="_Toc358793851"/>
      <w:bookmarkStart w:id="86" w:name="_Toc27401"/>
      <w:bookmarkStart w:id="87" w:name="_Toc11064"/>
      <w:bookmarkStart w:id="88" w:name="_Toc15900"/>
      <w:bookmarkStart w:id="89" w:name="_Toc330911900"/>
      <w:bookmarkStart w:id="90" w:name="_Toc7713"/>
      <w:bookmarkStart w:id="91" w:name="_Toc22561"/>
      <w:bookmarkStart w:id="92" w:name="_Toc2479"/>
      <w:bookmarkStart w:id="93" w:name="_Toc29938"/>
      <w:bookmarkStart w:id="94" w:name="_Toc27125"/>
      <w:bookmarkStart w:id="95" w:name="_Toc28048"/>
      <w:bookmarkStart w:id="96" w:name="_Toc243131835"/>
      <w:r>
        <w:rPr>
          <w:rFonts w:hint="eastAsia" w:ascii="宋体" w:hAnsi="宋体" w:cs="宋体"/>
          <w:color w:val="auto"/>
          <w:sz w:val="28"/>
          <w:szCs w:val="28"/>
          <w:highlight w:val="none"/>
          <w:lang w:val="zh-CN"/>
        </w:rPr>
        <w:t>1.1.3 企业概况</w:t>
      </w:r>
    </w:p>
    <w:p w14:paraId="6CB80386">
      <w:pPr>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bCs/>
          <w:color w:val="auto"/>
          <w:kern w:val="0"/>
          <w:sz w:val="28"/>
          <w:szCs w:val="28"/>
          <w:highlight w:val="none"/>
        </w:rPr>
      </w:pPr>
      <w:r>
        <w:rPr>
          <w:rFonts w:hint="eastAsia" w:ascii="宋体" w:hAnsi="宋体" w:cs="宋体"/>
          <w:bCs/>
          <w:color w:val="auto"/>
          <w:kern w:val="0"/>
          <w:sz w:val="28"/>
          <w:szCs w:val="28"/>
          <w:highlight w:val="none"/>
        </w:rPr>
        <w:t>江苏索普新材料科技有限公司位于中国历史文化名城镇江东郊，地处黄金水道长江。公司主业为精细化工产品及基本化工原材料生产。</w:t>
      </w:r>
    </w:p>
    <w:p w14:paraId="453FE221">
      <w:pPr>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bCs/>
          <w:color w:val="auto"/>
          <w:kern w:val="0"/>
          <w:sz w:val="28"/>
          <w:szCs w:val="28"/>
          <w:highlight w:val="none"/>
        </w:rPr>
      </w:pPr>
      <w:r>
        <w:rPr>
          <w:rFonts w:hint="eastAsia" w:ascii="宋体" w:hAnsi="宋体" w:cs="宋体"/>
          <w:bCs/>
          <w:color w:val="auto"/>
          <w:kern w:val="0"/>
          <w:sz w:val="28"/>
          <w:szCs w:val="28"/>
          <w:highlight w:val="none"/>
        </w:rPr>
        <w:t>公司前身江苏东普新材料科技有限公司组建成立于</w:t>
      </w:r>
      <w:r>
        <w:rPr>
          <w:rFonts w:ascii="宋体" w:hAnsi="宋体" w:cs="宋体"/>
          <w:bCs/>
          <w:color w:val="auto"/>
          <w:kern w:val="0"/>
          <w:sz w:val="28"/>
          <w:szCs w:val="28"/>
          <w:highlight w:val="none"/>
        </w:rPr>
        <w:t>2015</w:t>
      </w:r>
      <w:r>
        <w:rPr>
          <w:rFonts w:hint="eastAsia" w:ascii="宋体" w:hAnsi="宋体" w:cs="宋体"/>
          <w:bCs/>
          <w:color w:val="auto"/>
          <w:kern w:val="0"/>
          <w:sz w:val="28"/>
          <w:szCs w:val="28"/>
          <w:highlight w:val="none"/>
        </w:rPr>
        <w:t>年底，</w:t>
      </w:r>
      <w:r>
        <w:rPr>
          <w:rFonts w:ascii="宋体" w:hAnsi="宋体" w:cs="宋体"/>
          <w:bCs/>
          <w:color w:val="auto"/>
          <w:kern w:val="0"/>
          <w:sz w:val="28"/>
          <w:szCs w:val="28"/>
          <w:highlight w:val="none"/>
        </w:rPr>
        <w:t>2021</w:t>
      </w:r>
      <w:r>
        <w:rPr>
          <w:rFonts w:hint="eastAsia" w:ascii="宋体" w:hAnsi="宋体" w:cs="宋体"/>
          <w:bCs/>
          <w:color w:val="auto"/>
          <w:kern w:val="0"/>
          <w:sz w:val="28"/>
          <w:szCs w:val="28"/>
          <w:highlight w:val="none"/>
        </w:rPr>
        <w:t>年</w:t>
      </w:r>
      <w:r>
        <w:rPr>
          <w:rFonts w:ascii="宋体" w:hAnsi="宋体" w:cs="宋体"/>
          <w:bCs/>
          <w:color w:val="auto"/>
          <w:kern w:val="0"/>
          <w:sz w:val="28"/>
          <w:szCs w:val="28"/>
          <w:highlight w:val="none"/>
        </w:rPr>
        <w:t>10</w:t>
      </w:r>
      <w:r>
        <w:rPr>
          <w:rFonts w:hint="eastAsia" w:ascii="宋体" w:hAnsi="宋体" w:cs="宋体"/>
          <w:bCs/>
          <w:color w:val="auto"/>
          <w:kern w:val="0"/>
          <w:sz w:val="28"/>
          <w:szCs w:val="28"/>
          <w:highlight w:val="none"/>
        </w:rPr>
        <w:t>月被江苏索普化工股份有限公司收购，并更名为江苏索普新材料科技有限公司。</w:t>
      </w:r>
    </w:p>
    <w:p w14:paraId="156E2F00">
      <w:pPr>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bCs/>
          <w:color w:val="auto"/>
          <w:kern w:val="0"/>
          <w:sz w:val="28"/>
          <w:szCs w:val="28"/>
          <w:highlight w:val="none"/>
        </w:rPr>
      </w:pPr>
      <w:r>
        <w:rPr>
          <w:rFonts w:hint="eastAsia" w:ascii="宋体" w:hAnsi="宋体" w:cs="宋体"/>
          <w:bCs/>
          <w:color w:val="auto"/>
          <w:kern w:val="0"/>
          <w:sz w:val="28"/>
          <w:szCs w:val="28"/>
          <w:highlight w:val="none"/>
        </w:rPr>
        <w:t>作为镇江新区新材料产业园的基础化工产品供应平台，索普新材料为园区产业链下游提供硫酸、发烟酸、盐酸、液碱、氢气、氯气等化工生产各项原料，下游客户包括赢创新安、江南化工、超跃化学、高鹏药业等园区重要生产企业。</w:t>
      </w:r>
    </w:p>
    <w:p w14:paraId="6D2826FB">
      <w:pPr>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bCs/>
          <w:color w:val="auto"/>
          <w:kern w:val="0"/>
          <w:sz w:val="28"/>
          <w:szCs w:val="28"/>
          <w:highlight w:val="none"/>
        </w:rPr>
      </w:pPr>
      <w:r>
        <w:rPr>
          <w:rFonts w:hint="eastAsia" w:ascii="宋体" w:hAnsi="宋体" w:cs="宋体"/>
          <w:bCs/>
          <w:color w:val="auto"/>
          <w:kern w:val="0"/>
          <w:sz w:val="28"/>
          <w:szCs w:val="28"/>
          <w:highlight w:val="none"/>
        </w:rPr>
        <w:t>公司现总资产规模</w:t>
      </w:r>
      <w:r>
        <w:rPr>
          <w:rFonts w:ascii="宋体" w:hAnsi="宋体" w:cs="宋体"/>
          <w:bCs/>
          <w:color w:val="auto"/>
          <w:kern w:val="0"/>
          <w:sz w:val="28"/>
          <w:szCs w:val="28"/>
          <w:highlight w:val="none"/>
        </w:rPr>
        <w:t>9.4</w:t>
      </w:r>
      <w:r>
        <w:rPr>
          <w:rFonts w:hint="eastAsia" w:ascii="宋体" w:hAnsi="宋体" w:cs="宋体"/>
          <w:bCs/>
          <w:color w:val="auto"/>
          <w:kern w:val="0"/>
          <w:sz w:val="28"/>
          <w:szCs w:val="28"/>
          <w:highlight w:val="none"/>
        </w:rPr>
        <w:t>亿元，拥有产业链：</w:t>
      </w:r>
      <w:r>
        <w:rPr>
          <w:rFonts w:ascii="宋体" w:hAnsi="宋体" w:cs="宋体"/>
          <w:bCs/>
          <w:color w:val="auto"/>
          <w:kern w:val="0"/>
          <w:sz w:val="28"/>
          <w:szCs w:val="28"/>
          <w:highlight w:val="none"/>
        </w:rPr>
        <w:t>60</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年硫磺制酸及下游技改产品装置，</w:t>
      </w:r>
      <w:r>
        <w:rPr>
          <w:rFonts w:ascii="宋体" w:hAnsi="宋体" w:cs="宋体"/>
          <w:bCs/>
          <w:color w:val="auto"/>
          <w:kern w:val="0"/>
          <w:sz w:val="28"/>
          <w:szCs w:val="28"/>
          <w:highlight w:val="none"/>
        </w:rPr>
        <w:t>20</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年离子膜烧碱装置，</w:t>
      </w:r>
      <w:r>
        <w:rPr>
          <w:rFonts w:ascii="宋体" w:hAnsi="宋体" w:cs="宋体"/>
          <w:bCs/>
          <w:color w:val="auto"/>
          <w:kern w:val="0"/>
          <w:sz w:val="28"/>
          <w:szCs w:val="28"/>
          <w:highlight w:val="none"/>
        </w:rPr>
        <w:t>2.8</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年脂肪醇装置，</w:t>
      </w:r>
      <w:r>
        <w:rPr>
          <w:rFonts w:ascii="宋体" w:hAnsi="宋体" w:cs="宋体"/>
          <w:bCs/>
          <w:color w:val="auto"/>
          <w:kern w:val="0"/>
          <w:sz w:val="28"/>
          <w:szCs w:val="28"/>
          <w:highlight w:val="none"/>
        </w:rPr>
        <w:t>1.3</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年己二酸酯化装置，</w:t>
      </w:r>
      <w:r>
        <w:rPr>
          <w:rFonts w:ascii="宋体" w:hAnsi="宋体" w:cs="宋体"/>
          <w:bCs/>
          <w:color w:val="auto"/>
          <w:kern w:val="0"/>
          <w:sz w:val="28"/>
          <w:szCs w:val="28"/>
          <w:highlight w:val="none"/>
        </w:rPr>
        <w:t>3.4</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年氯化苯装置，</w:t>
      </w:r>
      <w:r>
        <w:rPr>
          <w:rFonts w:ascii="宋体" w:hAnsi="宋体" w:cs="宋体"/>
          <w:bCs/>
          <w:color w:val="auto"/>
          <w:kern w:val="0"/>
          <w:sz w:val="28"/>
          <w:szCs w:val="28"/>
          <w:highlight w:val="none"/>
        </w:rPr>
        <w:t>5.5</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年空分装置，</w:t>
      </w:r>
      <w:r>
        <w:rPr>
          <w:rFonts w:ascii="宋体" w:hAnsi="宋体" w:cs="宋体"/>
          <w:bCs/>
          <w:color w:val="auto"/>
          <w:kern w:val="0"/>
          <w:sz w:val="28"/>
          <w:szCs w:val="28"/>
          <w:highlight w:val="none"/>
        </w:rPr>
        <w:t xml:space="preserve"> 5</w:t>
      </w:r>
      <w:r>
        <w:rPr>
          <w:rFonts w:hint="eastAsia" w:ascii="宋体" w:hAnsi="宋体" w:cs="宋体"/>
          <w:bCs/>
          <w:color w:val="auto"/>
          <w:kern w:val="0"/>
          <w:sz w:val="28"/>
          <w:szCs w:val="28"/>
          <w:highlight w:val="none"/>
        </w:rPr>
        <w:t>万吨</w:t>
      </w:r>
      <w:r>
        <w:rPr>
          <w:rFonts w:ascii="宋体" w:hAnsi="宋体" w:cs="宋体"/>
          <w:bCs/>
          <w:color w:val="auto"/>
          <w:kern w:val="0"/>
          <w:sz w:val="28"/>
          <w:szCs w:val="28"/>
          <w:highlight w:val="none"/>
        </w:rPr>
        <w:t>/</w:t>
      </w:r>
      <w:r>
        <w:rPr>
          <w:rFonts w:hint="eastAsia" w:ascii="宋体" w:hAnsi="宋体" w:cs="宋体"/>
          <w:bCs/>
          <w:color w:val="auto"/>
          <w:kern w:val="0"/>
          <w:sz w:val="28"/>
          <w:szCs w:val="28"/>
          <w:highlight w:val="none"/>
        </w:rPr>
        <w:t>年氯乙酸装置。</w:t>
      </w:r>
    </w:p>
    <w:p w14:paraId="0E939D11">
      <w:pPr>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bCs/>
          <w:color w:val="auto"/>
          <w:kern w:val="0"/>
          <w:sz w:val="28"/>
          <w:szCs w:val="28"/>
          <w:highlight w:val="none"/>
        </w:rPr>
      </w:pPr>
      <w:r>
        <w:rPr>
          <w:rFonts w:hint="eastAsia" w:ascii="宋体" w:hAnsi="宋体" w:cs="宋体"/>
          <w:bCs/>
          <w:color w:val="auto"/>
          <w:kern w:val="0"/>
          <w:sz w:val="28"/>
          <w:szCs w:val="28"/>
          <w:highlight w:val="none"/>
        </w:rPr>
        <w:t>公司坚持走科技创新生产之路，秉持</w:t>
      </w:r>
      <w:r>
        <w:rPr>
          <w:rFonts w:ascii="宋体" w:hAnsi="宋体" w:cs="宋体"/>
          <w:bCs/>
          <w:color w:val="auto"/>
          <w:kern w:val="0"/>
          <w:sz w:val="28"/>
          <w:szCs w:val="28"/>
          <w:highlight w:val="none"/>
        </w:rPr>
        <w:t xml:space="preserve"> </w:t>
      </w:r>
      <w:r>
        <w:rPr>
          <w:rFonts w:hint="eastAsia" w:ascii="宋体" w:hAnsi="宋体" w:cs="宋体"/>
          <w:bCs/>
          <w:color w:val="auto"/>
          <w:kern w:val="0"/>
          <w:sz w:val="28"/>
          <w:szCs w:val="28"/>
          <w:highlight w:val="none"/>
        </w:rPr>
        <w:t>“管理创新、精简高效、效益至上、权责统一”的管理理念，后续将加大研发力度，推进甘氨酸等项目，继续引进人才，争创国家级高新技术企业。公司现有职工</w:t>
      </w:r>
      <w:r>
        <w:rPr>
          <w:rFonts w:ascii="宋体" w:hAnsi="宋体" w:cs="宋体"/>
          <w:bCs/>
          <w:color w:val="auto"/>
          <w:kern w:val="0"/>
          <w:sz w:val="28"/>
          <w:szCs w:val="28"/>
          <w:highlight w:val="none"/>
        </w:rPr>
        <w:t>444</w:t>
      </w:r>
      <w:r>
        <w:rPr>
          <w:rFonts w:hint="eastAsia" w:ascii="宋体" w:hAnsi="宋体" w:cs="宋体"/>
          <w:bCs/>
          <w:color w:val="auto"/>
          <w:kern w:val="0"/>
          <w:sz w:val="28"/>
          <w:szCs w:val="28"/>
          <w:highlight w:val="none"/>
        </w:rPr>
        <w:t>人，其中研究生</w:t>
      </w:r>
      <w:r>
        <w:rPr>
          <w:rFonts w:ascii="宋体" w:hAnsi="宋体" w:cs="宋体"/>
          <w:bCs/>
          <w:color w:val="auto"/>
          <w:kern w:val="0"/>
          <w:sz w:val="28"/>
          <w:szCs w:val="28"/>
          <w:highlight w:val="none"/>
        </w:rPr>
        <w:t>4</w:t>
      </w:r>
      <w:r>
        <w:rPr>
          <w:rFonts w:hint="eastAsia" w:ascii="宋体" w:hAnsi="宋体" w:cs="宋体"/>
          <w:bCs/>
          <w:color w:val="auto"/>
          <w:kern w:val="0"/>
          <w:sz w:val="28"/>
          <w:szCs w:val="28"/>
          <w:highlight w:val="none"/>
        </w:rPr>
        <w:t>人，本科学历</w:t>
      </w:r>
      <w:r>
        <w:rPr>
          <w:rFonts w:ascii="宋体" w:hAnsi="宋体" w:cs="宋体"/>
          <w:bCs/>
          <w:color w:val="auto"/>
          <w:kern w:val="0"/>
          <w:sz w:val="28"/>
          <w:szCs w:val="28"/>
          <w:highlight w:val="none"/>
        </w:rPr>
        <w:t>85</w:t>
      </w:r>
      <w:r>
        <w:rPr>
          <w:rFonts w:hint="eastAsia" w:ascii="宋体" w:hAnsi="宋体" w:cs="宋体"/>
          <w:bCs/>
          <w:color w:val="auto"/>
          <w:kern w:val="0"/>
          <w:sz w:val="28"/>
          <w:szCs w:val="28"/>
          <w:highlight w:val="none"/>
        </w:rPr>
        <w:t>人，大专学历</w:t>
      </w:r>
      <w:r>
        <w:rPr>
          <w:rFonts w:ascii="宋体" w:hAnsi="宋体" w:cs="宋体"/>
          <w:bCs/>
          <w:color w:val="auto"/>
          <w:kern w:val="0"/>
          <w:sz w:val="28"/>
          <w:szCs w:val="28"/>
          <w:highlight w:val="none"/>
        </w:rPr>
        <w:t>173</w:t>
      </w:r>
      <w:r>
        <w:rPr>
          <w:rFonts w:hint="eastAsia" w:ascii="宋体" w:hAnsi="宋体" w:cs="宋体"/>
          <w:bCs/>
          <w:color w:val="auto"/>
          <w:kern w:val="0"/>
          <w:sz w:val="28"/>
          <w:szCs w:val="28"/>
          <w:highlight w:val="none"/>
        </w:rPr>
        <w:t>人，专业技术人员</w:t>
      </w:r>
      <w:r>
        <w:rPr>
          <w:rFonts w:ascii="宋体" w:hAnsi="宋体" w:cs="宋体"/>
          <w:bCs/>
          <w:color w:val="auto"/>
          <w:kern w:val="0"/>
          <w:sz w:val="28"/>
          <w:szCs w:val="28"/>
          <w:highlight w:val="none"/>
        </w:rPr>
        <w:t>100</w:t>
      </w:r>
      <w:r>
        <w:rPr>
          <w:rFonts w:hint="eastAsia" w:ascii="宋体" w:hAnsi="宋体" w:cs="宋体"/>
          <w:bCs/>
          <w:color w:val="auto"/>
          <w:kern w:val="0"/>
          <w:sz w:val="28"/>
          <w:szCs w:val="28"/>
          <w:highlight w:val="none"/>
        </w:rPr>
        <w:t>余人。</w:t>
      </w:r>
    </w:p>
    <w:p w14:paraId="5B849A89">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1.1.</w:t>
      </w:r>
      <w:r>
        <w:rPr>
          <w:rFonts w:hint="eastAsia" w:ascii="宋体" w:hAnsi="宋体" w:cs="宋体"/>
          <w:color w:val="auto"/>
          <w:sz w:val="28"/>
          <w:szCs w:val="28"/>
          <w:highlight w:val="none"/>
        </w:rPr>
        <w:t>4</w:t>
      </w:r>
      <w:r>
        <w:rPr>
          <w:rFonts w:hint="eastAsia" w:ascii="宋体" w:hAnsi="宋体" w:cs="宋体"/>
          <w:color w:val="auto"/>
          <w:sz w:val="28"/>
          <w:szCs w:val="28"/>
          <w:highlight w:val="none"/>
          <w:lang w:val="zh-CN"/>
        </w:rPr>
        <w:t xml:space="preserve"> 项目提出的背景、投资必要性</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DA5D4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none"/>
          <w:lang w:val="en-US" w:eastAsia="zh-CN"/>
        </w:rPr>
      </w:pPr>
      <w:bookmarkStart w:id="97" w:name="_Toc5528"/>
      <w:bookmarkStart w:id="98" w:name="_Toc27869"/>
      <w:bookmarkStart w:id="99" w:name="_Toc1746"/>
      <w:bookmarkStart w:id="100" w:name="_Toc330911901"/>
      <w:bookmarkStart w:id="101" w:name="_Toc358793853"/>
      <w:bookmarkStart w:id="102" w:name="_Toc21760"/>
      <w:bookmarkStart w:id="103" w:name="_Toc12308"/>
      <w:bookmarkStart w:id="104" w:name="_Toc12714"/>
      <w:bookmarkStart w:id="105" w:name="_Toc4996"/>
      <w:bookmarkStart w:id="106" w:name="_Toc31793"/>
      <w:bookmarkStart w:id="107" w:name="_Toc14643"/>
      <w:bookmarkStart w:id="108" w:name="_Toc8554"/>
      <w:bookmarkStart w:id="109" w:name="_Toc8115"/>
      <w:bookmarkStart w:id="110" w:name="_Toc9520"/>
      <w:bookmarkStart w:id="111" w:name="_Toc21136"/>
      <w:bookmarkStart w:id="112" w:name="_Toc32265"/>
      <w:bookmarkStart w:id="113" w:name="_Toc27736"/>
      <w:bookmarkStart w:id="114" w:name="_Toc26592"/>
      <w:bookmarkStart w:id="115" w:name="_Toc9038"/>
      <w:bookmarkStart w:id="116" w:name="_Toc9986"/>
      <w:bookmarkStart w:id="117" w:name="_Toc25019"/>
      <w:bookmarkStart w:id="118" w:name="_Toc15435"/>
      <w:bookmarkStart w:id="119" w:name="_Toc5004"/>
      <w:r>
        <w:rPr>
          <w:rFonts w:hint="eastAsia" w:ascii="宋体" w:hAnsi="宋体" w:cs="宋体"/>
          <w:bCs/>
          <w:color w:val="auto"/>
          <w:kern w:val="0"/>
          <w:sz w:val="28"/>
          <w:szCs w:val="28"/>
          <w:highlight w:val="none"/>
          <w:lang w:eastAsia="zh-CN"/>
        </w:rPr>
        <w:t>（</w:t>
      </w:r>
      <w:r>
        <w:rPr>
          <w:rFonts w:hint="eastAsia" w:ascii="宋体" w:hAnsi="宋体" w:cs="宋体"/>
          <w:bCs/>
          <w:color w:val="auto"/>
          <w:kern w:val="0"/>
          <w:sz w:val="28"/>
          <w:szCs w:val="28"/>
          <w:highlight w:val="none"/>
          <w:lang w:val="en-US" w:eastAsia="zh-CN"/>
        </w:rPr>
        <w:t>1</w:t>
      </w:r>
      <w:r>
        <w:rPr>
          <w:rFonts w:hint="eastAsia" w:ascii="宋体" w:hAnsi="宋体" w:cs="宋体"/>
          <w:bCs/>
          <w:color w:val="auto"/>
          <w:kern w:val="0"/>
          <w:sz w:val="28"/>
          <w:szCs w:val="28"/>
          <w:highlight w:val="none"/>
          <w:lang w:eastAsia="zh-CN"/>
        </w:rPr>
        <w:t>）</w:t>
      </w:r>
      <w:r>
        <w:rPr>
          <w:rFonts w:hint="eastAsia" w:ascii="宋体" w:hAnsi="宋体" w:cs="宋体"/>
          <w:bCs/>
          <w:color w:val="auto"/>
          <w:kern w:val="0"/>
          <w:sz w:val="28"/>
          <w:szCs w:val="28"/>
          <w:highlight w:val="none"/>
          <w:lang w:val="en-US" w:eastAsia="zh-CN"/>
        </w:rPr>
        <w:t>氯</w:t>
      </w:r>
      <w:r>
        <w:rPr>
          <w:rFonts w:hint="eastAsia" w:ascii="宋体" w:hAnsi="宋体" w:eastAsia="宋体" w:cs="宋体"/>
          <w:bCs/>
          <w:color w:val="auto"/>
          <w:kern w:val="0"/>
          <w:sz w:val="28"/>
          <w:szCs w:val="28"/>
          <w:highlight w:val="none"/>
        </w:rPr>
        <w:t>化</w:t>
      </w:r>
      <w:r>
        <w:rPr>
          <w:rFonts w:hint="eastAsia" w:ascii="宋体" w:hAnsi="宋体" w:cs="宋体"/>
          <w:bCs/>
          <w:color w:val="auto"/>
          <w:kern w:val="0"/>
          <w:sz w:val="28"/>
          <w:szCs w:val="28"/>
          <w:highlight w:val="none"/>
          <w:lang w:val="en-US" w:eastAsia="zh-CN"/>
        </w:rPr>
        <w:t>苯装置增加盐酸储罐</w:t>
      </w:r>
    </w:p>
    <w:p w14:paraId="222864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yellow"/>
          <w:lang w:val="en-US" w:eastAsia="zh-CN"/>
        </w:rPr>
      </w:pPr>
      <w:r>
        <w:rPr>
          <w:rFonts w:hint="eastAsia" w:ascii="宋体" w:hAnsi="宋体" w:eastAsia="宋体" w:cs="宋体"/>
          <w:bCs/>
          <w:color w:val="auto"/>
          <w:kern w:val="0"/>
          <w:sz w:val="28"/>
          <w:szCs w:val="28"/>
          <w:highlight w:val="none"/>
        </w:rPr>
        <w:t>氯化苯装置副产盐酸储槽共4只，3只100m</w:t>
      </w:r>
      <w:r>
        <w:rPr>
          <w:rFonts w:hint="eastAsia" w:ascii="宋体" w:hAnsi="宋体" w:eastAsia="宋体" w:cs="宋体"/>
          <w:bCs/>
          <w:color w:val="auto"/>
          <w:kern w:val="0"/>
          <w:sz w:val="28"/>
          <w:szCs w:val="28"/>
          <w:highlight w:val="none"/>
          <w:vertAlign w:val="superscript"/>
        </w:rPr>
        <w:t>3</w:t>
      </w:r>
      <w:r>
        <w:rPr>
          <w:rFonts w:hint="eastAsia" w:ascii="宋体" w:hAnsi="宋体" w:eastAsia="宋体" w:cs="宋体"/>
          <w:bCs/>
          <w:color w:val="auto"/>
          <w:kern w:val="0"/>
          <w:sz w:val="28"/>
          <w:szCs w:val="28"/>
          <w:highlight w:val="none"/>
        </w:rPr>
        <w:t>,1只500m</w:t>
      </w:r>
      <w:r>
        <w:rPr>
          <w:rFonts w:hint="eastAsia" w:ascii="宋体" w:hAnsi="宋体" w:eastAsia="宋体" w:cs="宋体"/>
          <w:bCs/>
          <w:color w:val="auto"/>
          <w:kern w:val="0"/>
          <w:sz w:val="28"/>
          <w:szCs w:val="28"/>
          <w:highlight w:val="none"/>
          <w:vertAlign w:val="superscript"/>
        </w:rPr>
        <w:t>3</w:t>
      </w:r>
      <w:r>
        <w:rPr>
          <w:rFonts w:hint="eastAsia" w:ascii="宋体" w:hAnsi="宋体" w:eastAsia="宋体" w:cs="宋体"/>
          <w:bCs/>
          <w:color w:val="auto"/>
          <w:kern w:val="0"/>
          <w:sz w:val="28"/>
          <w:szCs w:val="28"/>
          <w:highlight w:val="none"/>
        </w:rPr>
        <w:t>，总容积800m</w:t>
      </w:r>
      <w:r>
        <w:rPr>
          <w:rFonts w:hint="eastAsia" w:ascii="宋体" w:hAnsi="宋体" w:eastAsia="宋体" w:cs="宋体"/>
          <w:bCs/>
          <w:color w:val="auto"/>
          <w:kern w:val="0"/>
          <w:sz w:val="28"/>
          <w:szCs w:val="28"/>
          <w:highlight w:val="none"/>
          <w:vertAlign w:val="superscript"/>
        </w:rPr>
        <w:t>3</w:t>
      </w:r>
      <w:r>
        <w:rPr>
          <w:rFonts w:hint="eastAsia" w:ascii="宋体" w:hAnsi="宋体" w:eastAsia="宋体" w:cs="宋体"/>
          <w:bCs/>
          <w:color w:val="auto"/>
          <w:kern w:val="0"/>
          <w:sz w:val="28"/>
          <w:szCs w:val="28"/>
          <w:highlight w:val="none"/>
        </w:rPr>
        <w:t>，按照最高液位85%、最低液位10%计算，最大库容为780吨，最大缓存量为690吨，装置满负荷时，日产盐酸1</w:t>
      </w:r>
      <w:r>
        <w:rPr>
          <w:rFonts w:hint="eastAsia" w:ascii="宋体" w:hAnsi="宋体" w:eastAsia="宋体" w:cs="宋体"/>
          <w:bCs/>
          <w:color w:val="auto"/>
          <w:kern w:val="0"/>
          <w:sz w:val="28"/>
          <w:szCs w:val="28"/>
          <w:highlight w:val="none"/>
          <w:lang w:val="en-US" w:eastAsia="zh-CN"/>
        </w:rPr>
        <w:t>5</w:t>
      </w:r>
      <w:r>
        <w:rPr>
          <w:rFonts w:hint="eastAsia" w:ascii="宋体" w:hAnsi="宋体" w:eastAsia="宋体" w:cs="宋体"/>
          <w:bCs/>
          <w:color w:val="auto"/>
          <w:kern w:val="0"/>
          <w:sz w:val="28"/>
          <w:szCs w:val="28"/>
          <w:highlight w:val="none"/>
        </w:rPr>
        <w:t>0吨，在不发货情况，仅够缓存4.</w:t>
      </w:r>
      <w:r>
        <w:rPr>
          <w:rFonts w:hint="eastAsia" w:ascii="宋体" w:hAnsi="宋体" w:eastAsia="宋体" w:cs="宋体"/>
          <w:bCs/>
          <w:color w:val="auto"/>
          <w:kern w:val="0"/>
          <w:sz w:val="28"/>
          <w:szCs w:val="28"/>
          <w:highlight w:val="none"/>
          <w:lang w:val="en-US" w:eastAsia="zh-CN"/>
        </w:rPr>
        <w:t>6</w:t>
      </w:r>
      <w:r>
        <w:rPr>
          <w:rFonts w:hint="eastAsia" w:ascii="宋体" w:hAnsi="宋体" w:eastAsia="宋体" w:cs="宋体"/>
          <w:bCs/>
          <w:color w:val="auto"/>
          <w:kern w:val="0"/>
          <w:sz w:val="28"/>
          <w:szCs w:val="28"/>
          <w:highlight w:val="none"/>
        </w:rPr>
        <w:t>天。</w:t>
      </w:r>
      <w:r>
        <w:rPr>
          <w:rFonts w:hint="eastAsia" w:ascii="宋体" w:hAnsi="宋体" w:eastAsia="宋体" w:cs="宋体"/>
          <w:bCs/>
          <w:color w:val="auto"/>
          <w:kern w:val="0"/>
          <w:sz w:val="28"/>
          <w:szCs w:val="28"/>
          <w:highlight w:val="yellow"/>
          <w:lang w:val="en-US" w:eastAsia="zh-CN"/>
        </w:rPr>
        <w:t>副产盐酸</w:t>
      </w:r>
      <w:r>
        <w:rPr>
          <w:rFonts w:hint="eastAsia" w:ascii="宋体" w:hAnsi="宋体" w:cs="宋体"/>
          <w:bCs/>
          <w:color w:val="auto"/>
          <w:kern w:val="0"/>
          <w:sz w:val="28"/>
          <w:szCs w:val="28"/>
          <w:highlight w:val="yellow"/>
          <w:lang w:val="en-US" w:eastAsia="zh-CN"/>
        </w:rPr>
        <w:t>库容</w:t>
      </w:r>
      <w:r>
        <w:rPr>
          <w:rFonts w:hint="eastAsia" w:ascii="宋体" w:hAnsi="宋体" w:eastAsia="宋体" w:cs="宋体"/>
          <w:bCs/>
          <w:color w:val="auto"/>
          <w:kern w:val="0"/>
          <w:sz w:val="28"/>
          <w:szCs w:val="28"/>
          <w:highlight w:val="yellow"/>
          <w:lang w:val="en-US" w:eastAsia="zh-CN"/>
        </w:rPr>
        <w:t>较小</w:t>
      </w:r>
      <w:r>
        <w:rPr>
          <w:rFonts w:hint="eastAsia" w:ascii="宋体" w:hAnsi="宋体" w:eastAsia="宋体" w:cs="宋体"/>
          <w:bCs/>
          <w:color w:val="auto"/>
          <w:kern w:val="0"/>
          <w:sz w:val="28"/>
          <w:szCs w:val="28"/>
          <w:highlight w:val="yellow"/>
        </w:rPr>
        <w:t>，</w:t>
      </w:r>
      <w:r>
        <w:rPr>
          <w:rFonts w:hint="eastAsia" w:ascii="宋体" w:hAnsi="宋体" w:cs="宋体"/>
          <w:bCs/>
          <w:color w:val="auto"/>
          <w:kern w:val="0"/>
          <w:sz w:val="28"/>
          <w:szCs w:val="28"/>
          <w:highlight w:val="yellow"/>
          <w:lang w:val="en-US" w:eastAsia="zh-CN"/>
        </w:rPr>
        <w:t>因市场等多种原因极易引起涨库，为此不得不降低生产负荷、甚至停产。频繁的开停车给装置的稳定运行和安全生产带来一定的风险。</w:t>
      </w:r>
    </w:p>
    <w:p w14:paraId="4B709A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r>
        <w:rPr>
          <w:rFonts w:hint="eastAsia" w:ascii="宋体" w:hAnsi="宋体" w:eastAsia="宋体" w:cs="宋体"/>
          <w:bCs/>
          <w:color w:val="auto"/>
          <w:kern w:val="0"/>
          <w:sz w:val="28"/>
          <w:szCs w:val="28"/>
          <w:highlight w:val="none"/>
          <w:lang w:eastAsia="zh-CN"/>
        </w:rPr>
        <w:t>（</w:t>
      </w:r>
      <w:r>
        <w:rPr>
          <w:rFonts w:hint="eastAsia" w:ascii="宋体" w:hAnsi="宋体" w:eastAsia="宋体" w:cs="宋体"/>
          <w:bCs/>
          <w:color w:val="auto"/>
          <w:kern w:val="0"/>
          <w:sz w:val="28"/>
          <w:szCs w:val="28"/>
          <w:highlight w:val="none"/>
          <w:lang w:val="en-US" w:eastAsia="zh-CN"/>
        </w:rPr>
        <w:t>2</w:t>
      </w:r>
      <w:r>
        <w:rPr>
          <w:rFonts w:hint="eastAsia" w:ascii="宋体" w:hAnsi="宋体" w:eastAsia="宋体" w:cs="宋体"/>
          <w:bCs/>
          <w:color w:val="auto"/>
          <w:kern w:val="0"/>
          <w:sz w:val="28"/>
          <w:szCs w:val="28"/>
          <w:highlight w:val="none"/>
          <w:lang w:eastAsia="zh-CN"/>
        </w:rPr>
        <w:t>）氯</w:t>
      </w:r>
      <w:r>
        <w:rPr>
          <w:rFonts w:hint="eastAsia" w:ascii="宋体" w:hAnsi="宋体" w:eastAsia="宋体" w:cs="宋体"/>
          <w:bCs/>
          <w:color w:val="auto"/>
          <w:kern w:val="0"/>
          <w:sz w:val="28"/>
          <w:szCs w:val="28"/>
          <w:highlight w:val="none"/>
          <w:lang w:val="en-US" w:eastAsia="zh-CN"/>
        </w:rPr>
        <w:t>乙酸</w:t>
      </w:r>
      <w:r>
        <w:rPr>
          <w:rFonts w:hint="eastAsia" w:ascii="宋体" w:hAnsi="宋体" w:eastAsia="宋体" w:cs="宋体"/>
          <w:bCs/>
          <w:color w:val="auto"/>
          <w:kern w:val="0"/>
          <w:sz w:val="28"/>
          <w:szCs w:val="28"/>
          <w:highlight w:val="none"/>
          <w:lang w:eastAsia="zh-CN"/>
        </w:rPr>
        <w:t>装置</w:t>
      </w:r>
      <w:r>
        <w:rPr>
          <w:rFonts w:hint="eastAsia" w:ascii="宋体" w:hAnsi="宋体" w:eastAsia="宋体" w:cs="宋体"/>
          <w:bCs/>
          <w:color w:val="auto"/>
          <w:kern w:val="0"/>
          <w:sz w:val="28"/>
          <w:szCs w:val="28"/>
          <w:highlight w:val="none"/>
          <w:lang w:val="en-US" w:eastAsia="zh-CN"/>
        </w:rPr>
        <w:t>增加醋酐</w:t>
      </w:r>
      <w:r>
        <w:rPr>
          <w:rFonts w:hint="eastAsia" w:ascii="宋体" w:hAnsi="宋体" w:eastAsia="宋体" w:cs="宋体"/>
          <w:bCs/>
          <w:color w:val="auto"/>
          <w:kern w:val="0"/>
          <w:sz w:val="28"/>
          <w:szCs w:val="28"/>
          <w:highlight w:val="none"/>
          <w:lang w:eastAsia="zh-CN"/>
        </w:rPr>
        <w:t>储槽</w:t>
      </w:r>
    </w:p>
    <w:p w14:paraId="7C5B6F4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yellow"/>
          <w:lang w:val="en-US" w:eastAsia="zh-CN"/>
        </w:rPr>
      </w:pPr>
      <w:r>
        <w:rPr>
          <w:rFonts w:hint="eastAsia" w:ascii="宋体" w:hAnsi="宋体" w:eastAsia="宋体" w:cs="宋体"/>
          <w:bCs/>
          <w:color w:val="auto"/>
          <w:kern w:val="0"/>
          <w:sz w:val="28"/>
          <w:szCs w:val="28"/>
          <w:highlight w:val="none"/>
        </w:rPr>
        <w:t>氯</w:t>
      </w:r>
      <w:r>
        <w:rPr>
          <w:rFonts w:hint="eastAsia" w:ascii="宋体" w:hAnsi="宋体" w:eastAsia="宋体" w:cs="宋体"/>
          <w:bCs/>
          <w:color w:val="auto"/>
          <w:kern w:val="0"/>
          <w:sz w:val="28"/>
          <w:szCs w:val="28"/>
          <w:highlight w:val="none"/>
          <w:lang w:val="en-US" w:eastAsia="zh-CN"/>
        </w:rPr>
        <w:t>乙酸</w:t>
      </w:r>
      <w:r>
        <w:rPr>
          <w:rFonts w:hint="eastAsia" w:ascii="宋体" w:hAnsi="宋体" w:eastAsia="宋体" w:cs="宋体"/>
          <w:bCs/>
          <w:color w:val="auto"/>
          <w:kern w:val="0"/>
          <w:sz w:val="28"/>
          <w:szCs w:val="28"/>
          <w:highlight w:val="none"/>
        </w:rPr>
        <w:t>装置</w:t>
      </w:r>
      <w:r>
        <w:rPr>
          <w:rFonts w:hint="eastAsia" w:ascii="宋体" w:hAnsi="宋体" w:eastAsia="宋体" w:cs="宋体"/>
          <w:bCs/>
          <w:color w:val="auto"/>
          <w:kern w:val="0"/>
          <w:sz w:val="28"/>
          <w:szCs w:val="28"/>
          <w:highlight w:val="none"/>
          <w:lang w:val="en-US" w:eastAsia="zh-CN"/>
        </w:rPr>
        <w:t>醋酐</w:t>
      </w:r>
      <w:r>
        <w:rPr>
          <w:rFonts w:hint="eastAsia" w:ascii="宋体" w:hAnsi="宋体" w:eastAsia="宋体" w:cs="宋体"/>
          <w:bCs/>
          <w:color w:val="auto"/>
          <w:kern w:val="0"/>
          <w:sz w:val="28"/>
          <w:szCs w:val="28"/>
          <w:highlight w:val="none"/>
        </w:rPr>
        <w:t>储槽共</w:t>
      </w:r>
      <w:r>
        <w:rPr>
          <w:rFonts w:hint="eastAsia" w:ascii="宋体" w:hAnsi="宋体" w:eastAsia="宋体" w:cs="宋体"/>
          <w:bCs/>
          <w:color w:val="auto"/>
          <w:kern w:val="0"/>
          <w:sz w:val="28"/>
          <w:szCs w:val="28"/>
          <w:highlight w:val="none"/>
          <w:lang w:val="en-US" w:eastAsia="zh-CN"/>
        </w:rPr>
        <w:t>2</w:t>
      </w:r>
      <w:r>
        <w:rPr>
          <w:rFonts w:hint="eastAsia" w:ascii="宋体" w:hAnsi="宋体" w:eastAsia="宋体" w:cs="宋体"/>
          <w:bCs/>
          <w:color w:val="auto"/>
          <w:kern w:val="0"/>
          <w:sz w:val="28"/>
          <w:szCs w:val="28"/>
          <w:highlight w:val="none"/>
        </w:rPr>
        <w:t>只，</w:t>
      </w:r>
      <w:r>
        <w:rPr>
          <w:rFonts w:hint="eastAsia" w:ascii="宋体" w:hAnsi="宋体" w:eastAsia="宋体" w:cs="宋体"/>
          <w:bCs/>
          <w:color w:val="auto"/>
          <w:kern w:val="0"/>
          <w:sz w:val="28"/>
          <w:szCs w:val="28"/>
          <w:highlight w:val="none"/>
          <w:lang w:val="en-US" w:eastAsia="zh-CN"/>
        </w:rPr>
        <w:t>单槽容积为35</w:t>
      </w:r>
      <w:r>
        <w:rPr>
          <w:rFonts w:hint="eastAsia" w:ascii="宋体" w:hAnsi="宋体" w:eastAsia="宋体" w:cs="宋体"/>
          <w:bCs/>
          <w:color w:val="auto"/>
          <w:kern w:val="0"/>
          <w:sz w:val="28"/>
          <w:szCs w:val="28"/>
          <w:highlight w:val="none"/>
        </w:rPr>
        <w:t>m</w:t>
      </w:r>
      <w:r>
        <w:rPr>
          <w:rFonts w:hint="eastAsia" w:ascii="宋体" w:hAnsi="宋体" w:eastAsia="宋体" w:cs="宋体"/>
          <w:bCs/>
          <w:color w:val="auto"/>
          <w:kern w:val="0"/>
          <w:sz w:val="28"/>
          <w:szCs w:val="28"/>
          <w:highlight w:val="none"/>
          <w:vertAlign w:val="superscript"/>
        </w:rPr>
        <w:t>3</w:t>
      </w:r>
      <w:r>
        <w:rPr>
          <w:rFonts w:hint="eastAsia" w:ascii="宋体" w:hAnsi="宋体" w:eastAsia="宋体" w:cs="宋体"/>
          <w:bCs/>
          <w:color w:val="auto"/>
          <w:kern w:val="0"/>
          <w:sz w:val="28"/>
          <w:szCs w:val="28"/>
          <w:highlight w:val="none"/>
        </w:rPr>
        <w:t>,总容积</w:t>
      </w:r>
      <w:r>
        <w:rPr>
          <w:rFonts w:hint="eastAsia" w:ascii="宋体" w:hAnsi="宋体" w:eastAsia="宋体" w:cs="宋体"/>
          <w:bCs/>
          <w:color w:val="auto"/>
          <w:kern w:val="0"/>
          <w:sz w:val="28"/>
          <w:szCs w:val="28"/>
          <w:highlight w:val="none"/>
          <w:lang w:val="en-US" w:eastAsia="zh-CN"/>
        </w:rPr>
        <w:t>70</w:t>
      </w:r>
      <w:r>
        <w:rPr>
          <w:rFonts w:hint="eastAsia" w:ascii="宋体" w:hAnsi="宋体" w:eastAsia="宋体" w:cs="宋体"/>
          <w:bCs/>
          <w:color w:val="auto"/>
          <w:kern w:val="0"/>
          <w:sz w:val="28"/>
          <w:szCs w:val="28"/>
          <w:highlight w:val="none"/>
        </w:rPr>
        <w:t>m</w:t>
      </w:r>
      <w:r>
        <w:rPr>
          <w:rFonts w:hint="eastAsia" w:ascii="宋体" w:hAnsi="宋体" w:eastAsia="宋体" w:cs="宋体"/>
          <w:bCs/>
          <w:color w:val="auto"/>
          <w:kern w:val="0"/>
          <w:sz w:val="28"/>
          <w:szCs w:val="28"/>
          <w:highlight w:val="none"/>
          <w:vertAlign w:val="superscript"/>
        </w:rPr>
        <w:t>3</w:t>
      </w:r>
      <w:r>
        <w:rPr>
          <w:rFonts w:hint="eastAsia" w:ascii="宋体" w:hAnsi="宋体" w:eastAsia="宋体" w:cs="宋体"/>
          <w:bCs/>
          <w:color w:val="auto"/>
          <w:kern w:val="0"/>
          <w:sz w:val="28"/>
          <w:szCs w:val="28"/>
          <w:highlight w:val="none"/>
        </w:rPr>
        <w:t>，</w:t>
      </w:r>
      <w:r>
        <w:rPr>
          <w:rFonts w:hint="eastAsia" w:ascii="宋体" w:hAnsi="宋体" w:eastAsia="宋体" w:cs="宋体"/>
          <w:bCs/>
          <w:color w:val="auto"/>
          <w:kern w:val="0"/>
          <w:sz w:val="28"/>
          <w:szCs w:val="28"/>
          <w:highlight w:val="none"/>
          <w:lang w:val="en-US" w:eastAsia="zh-CN"/>
        </w:rPr>
        <w:t>单个储罐仅能容纳一车醋酐的量，易引起液位高联锁。</w:t>
      </w:r>
      <w:r>
        <w:rPr>
          <w:rFonts w:hint="eastAsia" w:ascii="宋体" w:hAnsi="宋体" w:eastAsia="宋体" w:cs="宋体"/>
          <w:bCs/>
          <w:color w:val="auto"/>
          <w:kern w:val="0"/>
          <w:sz w:val="28"/>
          <w:szCs w:val="28"/>
          <w:highlight w:val="none"/>
        </w:rPr>
        <w:t>按照最高液位8</w:t>
      </w:r>
      <w:r>
        <w:rPr>
          <w:rFonts w:hint="eastAsia" w:ascii="宋体" w:hAnsi="宋体" w:eastAsia="宋体" w:cs="宋体"/>
          <w:bCs/>
          <w:color w:val="auto"/>
          <w:kern w:val="0"/>
          <w:sz w:val="28"/>
          <w:szCs w:val="28"/>
          <w:highlight w:val="none"/>
          <w:lang w:val="en-US" w:eastAsia="zh-CN"/>
        </w:rPr>
        <w:t>0</w:t>
      </w:r>
      <w:r>
        <w:rPr>
          <w:rFonts w:hint="eastAsia" w:ascii="宋体" w:hAnsi="宋体" w:eastAsia="宋体" w:cs="宋体"/>
          <w:bCs/>
          <w:color w:val="auto"/>
          <w:kern w:val="0"/>
          <w:sz w:val="28"/>
          <w:szCs w:val="28"/>
          <w:highlight w:val="none"/>
        </w:rPr>
        <w:t>%、最低液位10%计算，最大库容为</w:t>
      </w:r>
      <w:r>
        <w:rPr>
          <w:rFonts w:hint="eastAsia" w:ascii="宋体" w:hAnsi="宋体" w:eastAsia="宋体" w:cs="宋体"/>
          <w:bCs/>
          <w:color w:val="auto"/>
          <w:kern w:val="0"/>
          <w:sz w:val="28"/>
          <w:szCs w:val="28"/>
          <w:highlight w:val="none"/>
          <w:lang w:val="en-US" w:eastAsia="zh-CN"/>
        </w:rPr>
        <w:t>69</w:t>
      </w:r>
      <w:r>
        <w:rPr>
          <w:rFonts w:hint="eastAsia" w:ascii="宋体" w:hAnsi="宋体" w:eastAsia="宋体" w:cs="宋体"/>
          <w:bCs/>
          <w:color w:val="auto"/>
          <w:kern w:val="0"/>
          <w:sz w:val="28"/>
          <w:szCs w:val="28"/>
          <w:highlight w:val="none"/>
        </w:rPr>
        <w:t>吨，</w:t>
      </w:r>
      <w:r>
        <w:rPr>
          <w:rFonts w:hint="eastAsia" w:ascii="宋体" w:hAnsi="宋体" w:eastAsia="宋体" w:cs="宋体"/>
          <w:bCs/>
          <w:color w:val="auto"/>
          <w:kern w:val="0"/>
          <w:sz w:val="28"/>
          <w:szCs w:val="28"/>
          <w:highlight w:val="none"/>
          <w:lang w:val="en-US" w:eastAsia="zh-CN"/>
        </w:rPr>
        <w:t>最低库容为9吨</w:t>
      </w:r>
      <w:r>
        <w:rPr>
          <w:rFonts w:hint="eastAsia" w:ascii="宋体" w:hAnsi="宋体" w:eastAsia="宋体" w:cs="宋体"/>
          <w:bCs/>
          <w:color w:val="auto"/>
          <w:kern w:val="0"/>
          <w:sz w:val="28"/>
          <w:szCs w:val="28"/>
          <w:highlight w:val="none"/>
          <w:lang w:eastAsia="zh-CN"/>
        </w:rPr>
        <w:t>。</w:t>
      </w:r>
      <w:r>
        <w:rPr>
          <w:rFonts w:hint="eastAsia" w:ascii="宋体" w:hAnsi="宋体" w:eastAsia="宋体" w:cs="宋体"/>
          <w:bCs/>
          <w:color w:val="auto"/>
          <w:kern w:val="0"/>
          <w:sz w:val="28"/>
          <w:szCs w:val="28"/>
          <w:highlight w:val="none"/>
        </w:rPr>
        <w:t>装置满负荷时，日</w:t>
      </w:r>
      <w:r>
        <w:rPr>
          <w:rFonts w:hint="eastAsia" w:ascii="宋体" w:hAnsi="宋体" w:eastAsia="宋体" w:cs="宋体"/>
          <w:bCs/>
          <w:color w:val="auto"/>
          <w:kern w:val="0"/>
          <w:sz w:val="28"/>
          <w:szCs w:val="28"/>
          <w:highlight w:val="none"/>
          <w:lang w:val="en-US" w:eastAsia="zh-CN"/>
        </w:rPr>
        <w:t>消耗醋酐9</w:t>
      </w:r>
      <w:r>
        <w:rPr>
          <w:rFonts w:hint="eastAsia" w:ascii="宋体" w:hAnsi="宋体" w:eastAsia="宋体" w:cs="宋体"/>
          <w:bCs/>
          <w:color w:val="auto"/>
          <w:kern w:val="0"/>
          <w:sz w:val="28"/>
          <w:szCs w:val="28"/>
          <w:highlight w:val="none"/>
        </w:rPr>
        <w:t>吨，在不发货</w:t>
      </w:r>
      <w:r>
        <w:rPr>
          <w:rFonts w:hint="eastAsia" w:ascii="宋体" w:hAnsi="宋体" w:eastAsia="宋体" w:cs="宋体"/>
          <w:bCs/>
          <w:color w:val="auto"/>
          <w:kern w:val="0"/>
          <w:sz w:val="28"/>
          <w:szCs w:val="28"/>
          <w:highlight w:val="none"/>
          <w:lang w:val="en-US" w:eastAsia="zh-CN"/>
        </w:rPr>
        <w:t>且保证最低库容的</w:t>
      </w:r>
      <w:r>
        <w:rPr>
          <w:rFonts w:hint="eastAsia" w:ascii="宋体" w:hAnsi="宋体" w:eastAsia="宋体" w:cs="宋体"/>
          <w:bCs/>
          <w:color w:val="auto"/>
          <w:kern w:val="0"/>
          <w:sz w:val="28"/>
          <w:szCs w:val="28"/>
          <w:highlight w:val="none"/>
        </w:rPr>
        <w:t>情况，仅够</w:t>
      </w:r>
      <w:r>
        <w:rPr>
          <w:rFonts w:hint="eastAsia" w:ascii="宋体" w:hAnsi="宋体" w:eastAsia="宋体" w:cs="宋体"/>
          <w:bCs/>
          <w:color w:val="auto"/>
          <w:kern w:val="0"/>
          <w:sz w:val="28"/>
          <w:szCs w:val="28"/>
          <w:highlight w:val="none"/>
          <w:lang w:val="en-US" w:eastAsia="zh-CN"/>
        </w:rPr>
        <w:t>使用6.6</w:t>
      </w:r>
      <w:r>
        <w:rPr>
          <w:rFonts w:hint="eastAsia" w:ascii="宋体" w:hAnsi="宋体" w:eastAsia="宋体" w:cs="宋体"/>
          <w:bCs/>
          <w:color w:val="auto"/>
          <w:kern w:val="0"/>
          <w:sz w:val="28"/>
          <w:szCs w:val="28"/>
          <w:highlight w:val="none"/>
        </w:rPr>
        <w:t>天。</w:t>
      </w:r>
      <w:r>
        <w:rPr>
          <w:rFonts w:hint="eastAsia" w:ascii="宋体" w:hAnsi="宋体" w:eastAsia="宋体" w:cs="宋体"/>
          <w:bCs/>
          <w:color w:val="auto"/>
          <w:kern w:val="0"/>
          <w:sz w:val="28"/>
          <w:szCs w:val="28"/>
          <w:highlight w:val="yellow"/>
        </w:rPr>
        <w:t>遇国庆、春节等法定假日</w:t>
      </w:r>
      <w:r>
        <w:rPr>
          <w:rFonts w:hint="eastAsia" w:ascii="宋体" w:hAnsi="宋体" w:cs="宋体"/>
          <w:bCs/>
          <w:color w:val="auto"/>
          <w:kern w:val="0"/>
          <w:sz w:val="28"/>
          <w:szCs w:val="28"/>
          <w:highlight w:val="yellow"/>
          <w:lang w:val="en-US" w:eastAsia="zh-CN"/>
        </w:rPr>
        <w:t>或市场突发原因</w:t>
      </w:r>
      <w:r>
        <w:rPr>
          <w:rFonts w:hint="eastAsia" w:ascii="宋体" w:hAnsi="宋体" w:eastAsia="宋体" w:cs="宋体"/>
          <w:bCs/>
          <w:color w:val="auto"/>
          <w:kern w:val="0"/>
          <w:sz w:val="28"/>
          <w:szCs w:val="28"/>
          <w:highlight w:val="yellow"/>
        </w:rPr>
        <w:t>，</w:t>
      </w:r>
      <w:r>
        <w:rPr>
          <w:rFonts w:hint="eastAsia" w:ascii="宋体" w:hAnsi="宋体" w:cs="宋体"/>
          <w:bCs/>
          <w:color w:val="auto"/>
          <w:kern w:val="0"/>
          <w:sz w:val="28"/>
          <w:szCs w:val="28"/>
          <w:highlight w:val="yellow"/>
          <w:lang w:val="en-US" w:eastAsia="zh-CN"/>
        </w:rPr>
        <w:t>供应商一旦</w:t>
      </w:r>
      <w:r>
        <w:rPr>
          <w:rFonts w:hint="eastAsia" w:ascii="宋体" w:hAnsi="宋体" w:eastAsia="宋体" w:cs="宋体"/>
          <w:bCs/>
          <w:color w:val="auto"/>
          <w:kern w:val="0"/>
          <w:sz w:val="28"/>
          <w:szCs w:val="28"/>
          <w:highlight w:val="yellow"/>
          <w:lang w:val="en-US" w:eastAsia="zh-CN"/>
        </w:rPr>
        <w:t>无法按期发货</w:t>
      </w:r>
      <w:r>
        <w:rPr>
          <w:rFonts w:hint="eastAsia" w:ascii="宋体" w:hAnsi="宋体" w:eastAsia="宋体" w:cs="宋体"/>
          <w:bCs/>
          <w:color w:val="auto"/>
          <w:kern w:val="0"/>
          <w:sz w:val="28"/>
          <w:szCs w:val="28"/>
          <w:highlight w:val="yellow"/>
        </w:rPr>
        <w:t>，</w:t>
      </w:r>
      <w:r>
        <w:rPr>
          <w:rFonts w:hint="eastAsia" w:ascii="宋体" w:hAnsi="宋体" w:cs="宋体"/>
          <w:bCs/>
          <w:color w:val="auto"/>
          <w:kern w:val="0"/>
          <w:sz w:val="28"/>
          <w:szCs w:val="28"/>
          <w:highlight w:val="yellow"/>
          <w:lang w:val="en-US" w:eastAsia="zh-CN"/>
        </w:rPr>
        <w:t>装置势必要降低生产负荷甚至停产。因此有必要提高醋酐库容，保障生产安全稳定运行。</w:t>
      </w:r>
    </w:p>
    <w:p w14:paraId="35D2A95F">
      <w:pPr>
        <w:pStyle w:val="20"/>
        <w:keepLines w:val="0"/>
        <w:pageBreakBefore w:val="0"/>
        <w:widowControl w:val="0"/>
        <w:kinsoku/>
        <w:wordWrap/>
        <w:overflowPunct/>
        <w:topLinePunct w:val="0"/>
        <w:autoSpaceDE/>
        <w:autoSpaceDN/>
        <w:bidi w:val="0"/>
        <w:spacing w:line="560" w:lineRule="exact"/>
        <w:ind w:firstLine="560"/>
        <w:textAlignment w:val="auto"/>
        <w:outlineLvl w:val="1"/>
        <w:rPr>
          <w:rFonts w:ascii="宋体" w:hAnsi="宋体" w:cs="宋体"/>
          <w:color w:val="auto"/>
          <w:sz w:val="28"/>
          <w:szCs w:val="28"/>
          <w:highlight w:val="none"/>
          <w:lang w:val="zh-CN"/>
        </w:rPr>
      </w:pPr>
      <w:bookmarkStart w:id="120" w:name="_Toc32310"/>
      <w:r>
        <w:rPr>
          <w:rFonts w:hint="eastAsia" w:ascii="宋体" w:hAnsi="宋体" w:cs="宋体"/>
          <w:color w:val="auto"/>
          <w:sz w:val="28"/>
          <w:szCs w:val="28"/>
          <w:highlight w:val="none"/>
          <w:lang w:val="zh-CN"/>
        </w:rPr>
        <w:t>1.</w:t>
      </w:r>
      <w:r>
        <w:rPr>
          <w:rFonts w:hint="eastAsia" w:ascii="宋体" w:hAnsi="宋体" w:cs="宋体"/>
          <w:color w:val="auto"/>
          <w:sz w:val="28"/>
          <w:szCs w:val="28"/>
          <w:highlight w:val="none"/>
        </w:rPr>
        <w:t>2</w:t>
      </w:r>
      <w:r>
        <w:rPr>
          <w:rFonts w:hint="eastAsia" w:ascii="宋体" w:hAnsi="宋体" w:cs="宋体"/>
          <w:color w:val="auto"/>
          <w:sz w:val="28"/>
          <w:szCs w:val="28"/>
          <w:highlight w:val="none"/>
          <w:lang w:val="zh-CN"/>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ascii="宋体" w:hAnsi="宋体" w:cs="宋体"/>
          <w:color w:val="auto"/>
          <w:sz w:val="28"/>
          <w:szCs w:val="28"/>
          <w:highlight w:val="none"/>
        </w:rPr>
        <w:t>可行性研究的范围</w:t>
      </w:r>
      <w:bookmarkEnd w:id="116"/>
      <w:bookmarkEnd w:id="117"/>
      <w:bookmarkEnd w:id="118"/>
      <w:bookmarkEnd w:id="119"/>
      <w:bookmarkEnd w:id="120"/>
    </w:p>
    <w:p w14:paraId="22444A8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 w:val="28"/>
          <w:szCs w:val="28"/>
          <w:highlight w:val="none"/>
        </w:rPr>
        <w:t>本项目为</w:t>
      </w:r>
      <w:r>
        <w:rPr>
          <w:rFonts w:hint="eastAsia" w:ascii="宋体" w:hAnsi="宋体" w:eastAsia="宋体" w:cs="宋体"/>
          <w:bCs/>
          <w:color w:val="auto"/>
          <w:kern w:val="0"/>
          <w:sz w:val="28"/>
          <w:szCs w:val="28"/>
          <w:highlight w:val="none"/>
          <w:lang w:eastAsia="zh-CN"/>
        </w:rPr>
        <w:t>江苏索普新材料科技</w:t>
      </w:r>
      <w:r>
        <w:rPr>
          <w:rFonts w:hint="eastAsia" w:ascii="宋体" w:hAnsi="宋体" w:eastAsia="宋体" w:cs="宋体"/>
          <w:bCs/>
          <w:color w:val="auto"/>
          <w:kern w:val="0"/>
          <w:sz w:val="28"/>
          <w:szCs w:val="28"/>
          <w:highlight w:val="none"/>
        </w:rPr>
        <w:t>有限公司新增储罐项目。</w:t>
      </w:r>
    </w:p>
    <w:p w14:paraId="48FEF32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zh-CN"/>
        </w:rPr>
      </w:pPr>
      <w:r>
        <w:rPr>
          <w:rFonts w:hint="eastAsia" w:ascii="宋体" w:hAnsi="宋体" w:eastAsia="宋体" w:cs="宋体"/>
          <w:bCs/>
          <w:color w:val="auto"/>
          <w:kern w:val="0"/>
          <w:sz w:val="28"/>
          <w:szCs w:val="28"/>
          <w:highlight w:val="none"/>
          <w:lang w:val="zh-CN"/>
        </w:rPr>
        <w:t>本项目</w:t>
      </w:r>
      <w:r>
        <w:rPr>
          <w:rFonts w:hint="eastAsia" w:ascii="宋体" w:hAnsi="宋体" w:eastAsia="宋体" w:cs="宋体"/>
          <w:bCs/>
          <w:color w:val="auto"/>
          <w:kern w:val="0"/>
          <w:sz w:val="28"/>
          <w:szCs w:val="28"/>
          <w:highlight w:val="none"/>
        </w:rPr>
        <w:t>研究范围</w:t>
      </w:r>
      <w:r>
        <w:rPr>
          <w:rFonts w:hint="eastAsia" w:ascii="宋体" w:hAnsi="宋体" w:eastAsia="宋体" w:cs="宋体"/>
          <w:bCs/>
          <w:color w:val="auto"/>
          <w:kern w:val="0"/>
          <w:sz w:val="28"/>
          <w:szCs w:val="28"/>
          <w:highlight w:val="none"/>
          <w:lang w:val="zh-CN"/>
        </w:rPr>
        <w:t>包括:</w:t>
      </w:r>
      <w:bookmarkStart w:id="121" w:name="_Toc20656"/>
    </w:p>
    <w:p w14:paraId="4456EAF9">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r>
        <w:rPr>
          <w:rFonts w:hint="eastAsia" w:ascii="宋体" w:hAnsi="宋体" w:cs="宋体"/>
          <w:bCs/>
          <w:color w:val="auto"/>
          <w:kern w:val="0"/>
          <w:sz w:val="28"/>
          <w:szCs w:val="28"/>
          <w:highlight w:val="none"/>
          <w:lang w:val="en-US" w:eastAsia="zh-CN"/>
        </w:rPr>
        <w:t>氯</w:t>
      </w:r>
      <w:r>
        <w:rPr>
          <w:rFonts w:hint="eastAsia" w:ascii="宋体" w:hAnsi="宋体" w:eastAsia="宋体" w:cs="宋体"/>
          <w:bCs/>
          <w:color w:val="auto"/>
          <w:kern w:val="0"/>
          <w:sz w:val="28"/>
          <w:szCs w:val="28"/>
          <w:highlight w:val="none"/>
        </w:rPr>
        <w:t>化</w:t>
      </w:r>
      <w:r>
        <w:rPr>
          <w:rFonts w:hint="eastAsia" w:ascii="宋体" w:hAnsi="宋体" w:cs="宋体"/>
          <w:bCs/>
          <w:color w:val="auto"/>
          <w:kern w:val="0"/>
          <w:sz w:val="28"/>
          <w:szCs w:val="28"/>
          <w:highlight w:val="none"/>
          <w:lang w:val="en-US" w:eastAsia="zh-CN"/>
        </w:rPr>
        <w:t>苯装置，新增：</w:t>
      </w:r>
      <w:r>
        <w:rPr>
          <w:rFonts w:hint="eastAsia" w:ascii="宋体" w:hAnsi="宋体" w:eastAsia="宋体" w:cs="宋体"/>
          <w:bCs/>
          <w:color w:val="auto"/>
          <w:kern w:val="0"/>
          <w:sz w:val="28"/>
          <w:szCs w:val="28"/>
          <w:highlight w:val="none"/>
          <w:lang w:val="en-US" w:eastAsia="zh-CN"/>
        </w:rPr>
        <w:t>600m³盐酸储罐（</w:t>
      </w:r>
      <w:r>
        <w:rPr>
          <w:rFonts w:hint="eastAsia" w:ascii="宋体" w:hAnsi="宋体" w:eastAsia="宋体" w:cs="宋体"/>
          <w:bCs/>
          <w:color w:val="auto"/>
          <w:kern w:val="0"/>
          <w:sz w:val="28"/>
          <w:szCs w:val="28"/>
          <w:highlight w:val="none"/>
        </w:rPr>
        <w:t>内衬环氧树脂玻璃钢</w:t>
      </w:r>
      <w:r>
        <w:rPr>
          <w:rFonts w:hint="eastAsia" w:ascii="宋体" w:hAnsi="宋体" w:eastAsia="宋体" w:cs="宋体"/>
          <w:bCs/>
          <w:color w:val="auto"/>
          <w:kern w:val="0"/>
          <w:sz w:val="28"/>
          <w:szCs w:val="28"/>
          <w:highlight w:val="none"/>
          <w:lang w:val="en-US" w:eastAsia="zh-CN"/>
        </w:rPr>
        <w:t>）1台、1500m³盐酸储罐（</w:t>
      </w:r>
      <w:r>
        <w:rPr>
          <w:rFonts w:hint="eastAsia" w:ascii="宋体" w:hAnsi="宋体" w:eastAsia="宋体" w:cs="宋体"/>
          <w:bCs/>
          <w:color w:val="auto"/>
          <w:kern w:val="0"/>
          <w:sz w:val="28"/>
          <w:szCs w:val="28"/>
          <w:highlight w:val="none"/>
        </w:rPr>
        <w:t>内衬环氧树脂玻璃钢</w:t>
      </w:r>
      <w:r>
        <w:rPr>
          <w:rFonts w:hint="eastAsia" w:ascii="宋体" w:hAnsi="宋体" w:eastAsia="宋体" w:cs="宋体"/>
          <w:bCs/>
          <w:color w:val="auto"/>
          <w:kern w:val="0"/>
          <w:sz w:val="28"/>
          <w:szCs w:val="28"/>
          <w:highlight w:val="none"/>
          <w:lang w:val="en-US" w:eastAsia="zh-CN"/>
        </w:rPr>
        <w:t>）1台及相关配套设施。</w:t>
      </w:r>
    </w:p>
    <w:p w14:paraId="2286F8E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none"/>
          <w:lang w:val="en-US" w:eastAsia="zh-CN"/>
        </w:rPr>
      </w:pPr>
      <w:r>
        <w:rPr>
          <w:rFonts w:hint="eastAsia" w:ascii="宋体" w:hAnsi="宋体" w:eastAsia="宋体" w:cs="宋体"/>
          <w:bCs/>
          <w:color w:val="auto"/>
          <w:kern w:val="0"/>
          <w:sz w:val="28"/>
          <w:szCs w:val="28"/>
          <w:highlight w:val="none"/>
          <w:lang w:eastAsia="zh-CN"/>
        </w:rPr>
        <w:t>氯</w:t>
      </w:r>
      <w:r>
        <w:rPr>
          <w:rFonts w:hint="eastAsia" w:ascii="宋体" w:hAnsi="宋体" w:eastAsia="宋体" w:cs="宋体"/>
          <w:bCs/>
          <w:color w:val="auto"/>
          <w:kern w:val="0"/>
          <w:sz w:val="28"/>
          <w:szCs w:val="28"/>
          <w:highlight w:val="none"/>
          <w:lang w:val="en-US" w:eastAsia="zh-CN"/>
        </w:rPr>
        <w:t>乙酸</w:t>
      </w:r>
      <w:r>
        <w:rPr>
          <w:rFonts w:hint="eastAsia" w:ascii="宋体" w:hAnsi="宋体" w:eastAsia="宋体" w:cs="宋体"/>
          <w:bCs/>
          <w:color w:val="auto"/>
          <w:kern w:val="0"/>
          <w:sz w:val="28"/>
          <w:szCs w:val="28"/>
          <w:highlight w:val="none"/>
          <w:lang w:eastAsia="zh-CN"/>
        </w:rPr>
        <w:t>装置</w:t>
      </w:r>
      <w:r>
        <w:rPr>
          <w:rFonts w:hint="eastAsia" w:ascii="宋体" w:hAnsi="宋体" w:cs="宋体"/>
          <w:bCs/>
          <w:color w:val="auto"/>
          <w:kern w:val="0"/>
          <w:sz w:val="28"/>
          <w:szCs w:val="28"/>
          <w:highlight w:val="none"/>
          <w:lang w:val="en-US" w:eastAsia="zh-CN"/>
        </w:rPr>
        <w:t>，新增：35m³醋酐储罐（316L不锈钢）</w:t>
      </w:r>
      <w:r>
        <w:rPr>
          <w:rFonts w:hint="eastAsia" w:ascii="宋体" w:hAnsi="宋体" w:eastAsia="宋体" w:cs="宋体"/>
          <w:bCs/>
          <w:color w:val="auto"/>
          <w:kern w:val="0"/>
          <w:sz w:val="28"/>
          <w:szCs w:val="28"/>
          <w:highlight w:val="none"/>
          <w:lang w:val="en-US" w:eastAsia="zh-CN"/>
        </w:rPr>
        <w:t>及相关配套设施。</w:t>
      </w:r>
    </w:p>
    <w:p w14:paraId="274B3C3B">
      <w:pPr>
        <w:pStyle w:val="20"/>
        <w:keepLines w:val="0"/>
        <w:pageBreakBefore w:val="0"/>
        <w:widowControl w:val="0"/>
        <w:kinsoku/>
        <w:wordWrap/>
        <w:overflowPunct/>
        <w:topLinePunct w:val="0"/>
        <w:autoSpaceDE/>
        <w:autoSpaceDN/>
        <w:bidi w:val="0"/>
        <w:spacing w:line="560" w:lineRule="exact"/>
        <w:ind w:firstLine="560"/>
        <w:textAlignment w:val="auto"/>
        <w:outlineLvl w:val="1"/>
        <w:rPr>
          <w:rFonts w:ascii="宋体" w:hAnsi="宋体" w:cs="宋体"/>
          <w:color w:val="auto"/>
          <w:sz w:val="28"/>
          <w:szCs w:val="28"/>
          <w:highlight w:val="none"/>
        </w:rPr>
      </w:pPr>
      <w:bookmarkStart w:id="122" w:name="_Toc377"/>
      <w:bookmarkStart w:id="123" w:name="_Toc6001"/>
      <w:bookmarkStart w:id="124" w:name="_Toc20121"/>
      <w:bookmarkStart w:id="125" w:name="_Toc31244"/>
      <w:bookmarkStart w:id="126" w:name="_Toc10142"/>
      <w:r>
        <w:rPr>
          <w:rFonts w:hint="eastAsia" w:ascii="宋体" w:hAnsi="宋体" w:cs="宋体"/>
          <w:color w:val="auto"/>
          <w:sz w:val="28"/>
          <w:szCs w:val="28"/>
          <w:highlight w:val="none"/>
          <w:lang w:val="zh-CN"/>
        </w:rPr>
        <w:t>1.</w:t>
      </w:r>
      <w:r>
        <w:rPr>
          <w:rFonts w:hint="eastAsia" w:ascii="宋体" w:hAnsi="宋体" w:cs="宋体"/>
          <w:color w:val="auto"/>
          <w:sz w:val="28"/>
          <w:szCs w:val="28"/>
          <w:highlight w:val="none"/>
        </w:rPr>
        <w:t>3</w:t>
      </w:r>
      <w:r>
        <w:rPr>
          <w:rFonts w:hint="eastAsia" w:ascii="宋体" w:hAnsi="宋体" w:cs="宋体"/>
          <w:color w:val="auto"/>
          <w:sz w:val="28"/>
          <w:szCs w:val="28"/>
          <w:highlight w:val="none"/>
          <w:lang w:val="zh-CN"/>
        </w:rPr>
        <w:t xml:space="preserve"> </w:t>
      </w:r>
      <w:bookmarkEnd w:id="121"/>
      <w:r>
        <w:rPr>
          <w:rFonts w:hint="eastAsia" w:ascii="宋体" w:hAnsi="宋体" w:cs="宋体"/>
          <w:color w:val="auto"/>
          <w:sz w:val="28"/>
          <w:szCs w:val="28"/>
          <w:highlight w:val="none"/>
        </w:rPr>
        <w:t>研究结论</w:t>
      </w:r>
      <w:bookmarkEnd w:id="122"/>
      <w:bookmarkEnd w:id="123"/>
      <w:bookmarkEnd w:id="124"/>
      <w:bookmarkEnd w:id="125"/>
      <w:bookmarkEnd w:id="126"/>
    </w:p>
    <w:bookmarkEnd w:id="96"/>
    <w:p w14:paraId="3B65CB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zh-CN"/>
        </w:rPr>
      </w:pPr>
      <w:r>
        <w:rPr>
          <w:rFonts w:hint="eastAsia" w:ascii="宋体" w:hAnsi="宋体" w:eastAsia="宋体" w:cs="宋体"/>
          <w:bCs/>
          <w:color w:val="auto"/>
          <w:kern w:val="0"/>
          <w:sz w:val="28"/>
          <w:szCs w:val="28"/>
          <w:highlight w:val="none"/>
          <w:lang w:val="zh-CN"/>
        </w:rPr>
        <w:t>1）本项目位于镇江新区江苏索普新材料科技有限公司内部，</w:t>
      </w:r>
      <w:r>
        <w:rPr>
          <w:rFonts w:hint="eastAsia" w:ascii="宋体" w:hAnsi="宋体" w:cs="宋体"/>
          <w:bCs/>
          <w:color w:val="auto"/>
          <w:kern w:val="0"/>
          <w:sz w:val="28"/>
          <w:szCs w:val="28"/>
          <w:highlight w:val="none"/>
          <w:lang w:val="en-US" w:eastAsia="zh-CN"/>
        </w:rPr>
        <w:t>新增盐酸储罐位于</w:t>
      </w:r>
      <w:r>
        <w:rPr>
          <w:rFonts w:hint="eastAsia" w:ascii="宋体" w:hAnsi="宋体" w:eastAsia="宋体" w:cs="宋体"/>
          <w:bCs/>
          <w:color w:val="auto"/>
          <w:kern w:val="0"/>
          <w:sz w:val="28"/>
          <w:szCs w:val="28"/>
          <w:highlight w:val="none"/>
          <w:lang w:val="zh-CN"/>
        </w:rPr>
        <w:t>现有</w:t>
      </w:r>
      <w:r>
        <w:rPr>
          <w:rFonts w:hint="eastAsia" w:ascii="宋体" w:hAnsi="宋体" w:eastAsia="宋体" w:cs="宋体"/>
          <w:bCs/>
          <w:color w:val="auto"/>
          <w:kern w:val="0"/>
          <w:sz w:val="28"/>
          <w:szCs w:val="28"/>
          <w:highlight w:val="none"/>
          <w:lang w:val="en-US" w:eastAsia="zh-CN"/>
        </w:rPr>
        <w:t>盐酸储罐预留</w:t>
      </w:r>
      <w:r>
        <w:rPr>
          <w:rFonts w:hint="eastAsia" w:ascii="宋体" w:hAnsi="宋体" w:eastAsia="宋体" w:cs="宋体"/>
          <w:bCs/>
          <w:color w:val="auto"/>
          <w:kern w:val="0"/>
          <w:sz w:val="28"/>
          <w:szCs w:val="28"/>
          <w:highlight w:val="none"/>
          <w:lang w:val="zh-CN"/>
        </w:rPr>
        <w:t>空地</w:t>
      </w:r>
      <w:r>
        <w:rPr>
          <w:rFonts w:hint="eastAsia" w:ascii="宋体" w:hAnsi="宋体" w:eastAsia="宋体" w:cs="宋体"/>
          <w:bCs/>
          <w:color w:val="auto"/>
          <w:kern w:val="0"/>
          <w:sz w:val="28"/>
          <w:szCs w:val="28"/>
          <w:highlight w:val="none"/>
          <w:lang w:val="en-US" w:eastAsia="zh-CN"/>
        </w:rPr>
        <w:t>处</w:t>
      </w:r>
      <w:r>
        <w:rPr>
          <w:rFonts w:hint="eastAsia" w:ascii="宋体" w:hAnsi="宋体" w:cs="宋体"/>
          <w:bCs/>
          <w:color w:val="auto"/>
          <w:kern w:val="0"/>
          <w:sz w:val="28"/>
          <w:szCs w:val="28"/>
          <w:highlight w:val="none"/>
          <w:lang w:val="en-US" w:eastAsia="zh-CN"/>
        </w:rPr>
        <w:t>，新增醋酐储罐位于现有醋酐B罐南侧空地</w:t>
      </w:r>
      <w:r>
        <w:rPr>
          <w:rFonts w:hint="eastAsia" w:ascii="宋体" w:hAnsi="宋体" w:eastAsia="宋体" w:cs="宋体"/>
          <w:bCs/>
          <w:color w:val="auto"/>
          <w:kern w:val="0"/>
          <w:sz w:val="28"/>
          <w:szCs w:val="28"/>
          <w:highlight w:val="none"/>
          <w:lang w:val="zh-CN"/>
        </w:rPr>
        <w:t>；本项目地处化工园区新材料产业园内，区内有完备的汽、电、水供应及污水处理系统；符合国家产业政策、土地利用政策和地方规划要求。</w:t>
      </w:r>
    </w:p>
    <w:p w14:paraId="4C1508E8">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2）本项目厂址地处长三角地区，经济发达，工业基础雄厚；加上长江黄金水道，使本项目的建设拥有优越的区位优势。</w:t>
      </w:r>
    </w:p>
    <w:p w14:paraId="7BA80E18">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rPr>
        <w:t>3</w:t>
      </w:r>
      <w:r>
        <w:rPr>
          <w:rFonts w:hint="eastAsia" w:ascii="宋体" w:hAnsi="宋体" w:cs="宋体"/>
          <w:color w:val="auto"/>
          <w:sz w:val="28"/>
          <w:szCs w:val="28"/>
          <w:highlight w:val="none"/>
          <w:lang w:val="zh-CN"/>
        </w:rPr>
        <w:t>)本项目生产工艺技术上是安全、可靠的，并采用了自动控制技术，从而提高了生产过程中的本质安全度。</w:t>
      </w:r>
    </w:p>
    <w:p w14:paraId="28CAF2B3">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4）从技术分析上来看，</w:t>
      </w:r>
      <w:r>
        <w:rPr>
          <w:rFonts w:hint="eastAsia" w:ascii="宋体" w:hAnsi="宋体" w:cs="宋体"/>
          <w:bCs/>
          <w:color w:val="auto"/>
          <w:sz w:val="28"/>
          <w:szCs w:val="28"/>
          <w:highlight w:val="none"/>
        </w:rPr>
        <w:t>本项目工艺技术先进，成熟可靠、能</w:t>
      </w:r>
      <w:r>
        <w:rPr>
          <w:rFonts w:hint="eastAsia" w:ascii="宋体" w:hAnsi="宋体" w:cs="宋体"/>
          <w:bCs/>
          <w:color w:val="auto"/>
          <w:sz w:val="28"/>
          <w:szCs w:val="28"/>
          <w:highlight w:val="none"/>
          <w:lang w:val="zh-CN"/>
        </w:rPr>
        <w:t>耗低，安全卫生和环保等各项措施完善，符合国家标准。</w:t>
      </w:r>
      <w:r>
        <w:rPr>
          <w:rFonts w:hint="eastAsia" w:ascii="宋体" w:hAnsi="宋体" w:cs="宋体"/>
          <w:color w:val="auto"/>
          <w:sz w:val="28"/>
          <w:szCs w:val="28"/>
          <w:highlight w:val="none"/>
          <w:lang w:val="zh-CN"/>
        </w:rPr>
        <w:t>本项目的产品工艺</w:t>
      </w:r>
      <w:r>
        <w:rPr>
          <w:rFonts w:hint="eastAsia" w:ascii="宋体" w:hAnsi="宋体" w:cs="宋体"/>
          <w:color w:val="auto"/>
          <w:sz w:val="28"/>
          <w:szCs w:val="28"/>
          <w:highlight w:val="none"/>
        </w:rPr>
        <w:t>不涉及</w:t>
      </w:r>
      <w:r>
        <w:rPr>
          <w:rFonts w:hint="eastAsia" w:ascii="宋体" w:hAnsi="宋体" w:cs="宋体"/>
          <w:color w:val="auto"/>
          <w:sz w:val="28"/>
          <w:szCs w:val="28"/>
          <w:highlight w:val="none"/>
          <w:lang w:val="zh-CN"/>
        </w:rPr>
        <w:t>《产业结构调整指导目录（20</w:t>
      </w:r>
      <w:r>
        <w:rPr>
          <w:rFonts w:hint="eastAsia" w:ascii="宋体" w:hAnsi="宋体" w:cs="宋体"/>
          <w:color w:val="auto"/>
          <w:sz w:val="28"/>
          <w:szCs w:val="28"/>
          <w:highlight w:val="none"/>
          <w:lang w:val="en-US" w:eastAsia="zh-CN"/>
        </w:rPr>
        <w:t>24</w:t>
      </w:r>
      <w:r>
        <w:rPr>
          <w:rFonts w:hint="eastAsia" w:ascii="宋体" w:hAnsi="宋体" w:cs="宋体"/>
          <w:color w:val="auto"/>
          <w:sz w:val="28"/>
          <w:szCs w:val="28"/>
          <w:highlight w:val="none"/>
          <w:lang w:val="zh-CN"/>
        </w:rPr>
        <w:t>年本）》</w:t>
      </w:r>
      <w:r>
        <w:rPr>
          <w:rFonts w:hint="eastAsia" w:ascii="宋体" w:hAnsi="宋体" w:cs="宋体"/>
          <w:color w:val="auto"/>
          <w:sz w:val="28"/>
          <w:szCs w:val="28"/>
          <w:highlight w:val="none"/>
          <w:lang w:val="en-US" w:eastAsia="zh-CN"/>
        </w:rPr>
        <w:t>及《江苏省化工产业结构调整限制、淘汰和禁止目录（2020年本）》</w:t>
      </w:r>
      <w:r>
        <w:rPr>
          <w:rFonts w:hint="eastAsia" w:ascii="宋体" w:hAnsi="宋体" w:cs="宋体"/>
          <w:color w:val="auto"/>
          <w:sz w:val="28"/>
          <w:szCs w:val="28"/>
          <w:highlight w:val="none"/>
          <w:lang w:val="zh-CN"/>
        </w:rPr>
        <w:t>中规定的</w:t>
      </w:r>
      <w:r>
        <w:rPr>
          <w:rFonts w:hint="eastAsia" w:ascii="宋体" w:hAnsi="宋体" w:cs="宋体"/>
          <w:color w:val="auto"/>
          <w:sz w:val="28"/>
          <w:szCs w:val="28"/>
          <w:highlight w:val="none"/>
          <w:lang w:val="en-US" w:eastAsia="zh-CN"/>
        </w:rPr>
        <w:t>鼓励类、</w:t>
      </w:r>
      <w:r>
        <w:rPr>
          <w:rFonts w:hint="eastAsia" w:ascii="宋体" w:hAnsi="宋体" w:cs="宋体"/>
          <w:color w:val="auto"/>
          <w:sz w:val="28"/>
          <w:szCs w:val="28"/>
          <w:highlight w:val="none"/>
          <w:lang w:val="zh-CN"/>
        </w:rPr>
        <w:t>限制类和淘汰类；</w:t>
      </w:r>
      <w:r>
        <w:rPr>
          <w:rFonts w:hint="eastAsia" w:ascii="宋体" w:hAnsi="宋体" w:cs="宋体"/>
          <w:color w:val="auto"/>
          <w:sz w:val="28"/>
          <w:szCs w:val="28"/>
          <w:highlight w:val="none"/>
        </w:rPr>
        <w:t>为允许类项目</w:t>
      </w:r>
      <w:r>
        <w:rPr>
          <w:rFonts w:hint="eastAsia" w:ascii="宋体" w:hAnsi="宋体" w:cs="宋体"/>
          <w:color w:val="auto"/>
          <w:sz w:val="28"/>
          <w:szCs w:val="28"/>
          <w:highlight w:val="none"/>
          <w:lang w:val="zh-CN"/>
        </w:rPr>
        <w:t>。</w:t>
      </w:r>
    </w:p>
    <w:p w14:paraId="478D960B">
      <w:pPr>
        <w:pStyle w:val="20"/>
        <w:keepLines w:val="0"/>
        <w:pageBreakBefore w:val="0"/>
        <w:widowControl w:val="0"/>
        <w:kinsoku/>
        <w:wordWrap/>
        <w:overflowPunct/>
        <w:topLinePunct w:val="0"/>
        <w:autoSpaceDE/>
        <w:autoSpaceDN/>
        <w:bidi w:val="0"/>
        <w:spacing w:line="560" w:lineRule="exact"/>
        <w:ind w:firstLine="560"/>
        <w:textAlignment w:val="auto"/>
        <w:rPr>
          <w:rFonts w:ascii="宋体" w:hAnsi="宋体" w:cs="宋体"/>
          <w:color w:val="auto"/>
          <w:sz w:val="28"/>
          <w:szCs w:val="28"/>
          <w:highlight w:val="none"/>
        </w:rPr>
      </w:pPr>
      <w:r>
        <w:rPr>
          <w:rFonts w:hint="eastAsia" w:ascii="宋体" w:hAnsi="宋体" w:cs="宋体"/>
          <w:color w:val="auto"/>
          <w:sz w:val="28"/>
          <w:szCs w:val="28"/>
          <w:highlight w:val="none"/>
        </w:rPr>
        <w:t>6</w:t>
      </w:r>
      <w:r>
        <w:rPr>
          <w:rFonts w:hint="eastAsia" w:ascii="宋体" w:hAnsi="宋体" w:cs="宋体"/>
          <w:color w:val="auto"/>
          <w:sz w:val="28"/>
          <w:szCs w:val="28"/>
          <w:highlight w:val="none"/>
          <w:lang w:val="zh-CN"/>
        </w:rPr>
        <w:t>）</w:t>
      </w:r>
      <w:r>
        <w:rPr>
          <w:rFonts w:hint="eastAsia" w:ascii="宋体" w:hAnsi="宋体" w:cs="宋体"/>
          <w:color w:val="auto"/>
          <w:sz w:val="28"/>
          <w:szCs w:val="28"/>
          <w:highlight w:val="none"/>
          <w:lang w:val="en-US" w:eastAsia="zh-CN"/>
        </w:rPr>
        <w:t>对比《环境保护综合名录 （2021年版）》，本项目未列入“高污染、高环境风险”产品名录。</w:t>
      </w:r>
      <w:r>
        <w:rPr>
          <w:rFonts w:hint="eastAsia" w:ascii="宋体" w:hAnsi="宋体" w:cs="宋体"/>
          <w:color w:val="auto"/>
          <w:sz w:val="28"/>
          <w:szCs w:val="28"/>
          <w:highlight w:val="none"/>
        </w:rPr>
        <w:t>本项目三废均得到有效治理，不增加</w:t>
      </w:r>
      <w:r>
        <w:rPr>
          <w:rFonts w:hint="eastAsia" w:ascii="宋体" w:hAnsi="宋体" w:eastAsia="宋体" w:cs="宋体"/>
          <w:bCs/>
          <w:color w:val="auto"/>
          <w:kern w:val="0"/>
          <w:sz w:val="28"/>
          <w:szCs w:val="28"/>
          <w:highlight w:val="none"/>
          <w:lang w:val="zh-CN"/>
        </w:rPr>
        <w:t>江苏索普新材料科技有限公司</w:t>
      </w:r>
      <w:r>
        <w:rPr>
          <w:rFonts w:hint="eastAsia" w:ascii="宋体" w:hAnsi="宋体" w:cs="宋体"/>
          <w:color w:val="auto"/>
          <w:sz w:val="28"/>
          <w:szCs w:val="28"/>
          <w:highlight w:val="none"/>
        </w:rPr>
        <w:t>整体污染物排放总量。</w:t>
      </w:r>
    </w:p>
    <w:p w14:paraId="72E2E751">
      <w:pPr>
        <w:pStyle w:val="20"/>
        <w:keepLines w:val="0"/>
        <w:pageBreakBefore w:val="0"/>
        <w:widowControl w:val="0"/>
        <w:kinsoku/>
        <w:wordWrap/>
        <w:overflowPunct/>
        <w:topLinePunct w:val="0"/>
        <w:autoSpaceDE/>
        <w:autoSpaceDN/>
        <w:bidi w:val="0"/>
        <w:spacing w:line="560" w:lineRule="exact"/>
        <w:ind w:firstLine="560"/>
        <w:textAlignment w:val="auto"/>
        <w:rPr>
          <w:rFonts w:hint="eastAsia" w:ascii="宋体" w:hAnsi="宋体" w:cs="宋体"/>
          <w:color w:val="auto"/>
          <w:sz w:val="28"/>
          <w:szCs w:val="28"/>
          <w:highlight w:val="none"/>
          <w:lang w:val="zh-CN"/>
        </w:rPr>
      </w:pPr>
      <w:r>
        <w:rPr>
          <w:rFonts w:hint="eastAsia" w:ascii="宋体" w:hAnsi="宋体" w:cs="宋体"/>
          <w:color w:val="auto"/>
          <w:sz w:val="28"/>
          <w:szCs w:val="28"/>
          <w:highlight w:val="none"/>
          <w:lang w:val="zh-CN"/>
        </w:rPr>
        <w:t>项目可行性研究认为：</w:t>
      </w:r>
      <w:r>
        <w:rPr>
          <w:rFonts w:hint="eastAsia" w:ascii="宋体" w:hAnsi="宋体" w:cs="宋体"/>
          <w:color w:val="auto"/>
          <w:sz w:val="28"/>
          <w:szCs w:val="28"/>
          <w:highlight w:val="none"/>
          <w:lang w:val="en-US" w:eastAsia="zh-CN"/>
        </w:rPr>
        <w:t>本项目</w:t>
      </w:r>
      <w:r>
        <w:rPr>
          <w:rFonts w:hint="eastAsia" w:ascii="宋体" w:hAnsi="宋体" w:cs="宋体"/>
          <w:color w:val="auto"/>
          <w:sz w:val="28"/>
          <w:szCs w:val="28"/>
          <w:highlight w:val="none"/>
          <w:lang w:val="en-GB"/>
        </w:rPr>
        <w:t>符合国家和地方政策</w:t>
      </w:r>
      <w:r>
        <w:rPr>
          <w:rFonts w:hint="eastAsia" w:ascii="宋体" w:hAnsi="宋体" w:cs="宋体"/>
          <w:color w:val="auto"/>
          <w:sz w:val="28"/>
          <w:szCs w:val="28"/>
          <w:highlight w:val="none"/>
          <w:lang w:val="en-US" w:eastAsia="zh-CN"/>
        </w:rPr>
        <w:t>要求，</w:t>
      </w:r>
      <w:r>
        <w:rPr>
          <w:rFonts w:hint="eastAsia" w:ascii="宋体" w:hAnsi="宋体" w:cs="宋体"/>
          <w:color w:val="auto"/>
          <w:sz w:val="28"/>
          <w:szCs w:val="28"/>
          <w:highlight w:val="none"/>
          <w:lang w:val="zh-CN"/>
        </w:rPr>
        <w:t>项目投产后，</w:t>
      </w:r>
      <w:r>
        <w:rPr>
          <w:rFonts w:hint="eastAsia" w:ascii="宋体" w:hAnsi="宋体" w:cs="宋体"/>
          <w:color w:val="auto"/>
          <w:sz w:val="28"/>
          <w:szCs w:val="28"/>
          <w:highlight w:val="none"/>
          <w:lang w:val="en-US" w:eastAsia="zh-CN"/>
        </w:rPr>
        <w:t>提高了盐酸、醋酐库容，有效解决因库容小从而影响装置高负荷运行及安全稳定运行的隐患；同时符合企业自身高效发展的需要；</w:t>
      </w:r>
      <w:r>
        <w:rPr>
          <w:rFonts w:hint="eastAsia" w:ascii="宋体" w:hAnsi="宋体" w:cs="宋体"/>
          <w:color w:val="auto"/>
          <w:sz w:val="28"/>
          <w:szCs w:val="28"/>
          <w:highlight w:val="none"/>
          <w:lang w:val="en-GB"/>
        </w:rPr>
        <w:t>因此本项目可行。</w:t>
      </w:r>
    </w:p>
    <w:p w14:paraId="6CCC0822">
      <w:pPr>
        <w:pStyle w:val="2"/>
        <w:rPr>
          <w:color w:val="auto"/>
          <w:highlight w:val="none"/>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14:paraId="216811DB">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127" w:name="_Toc31648"/>
      <w:r>
        <w:rPr>
          <w:rFonts w:hint="eastAsia" w:ascii="宋体" w:hAnsi="宋体" w:eastAsia="宋体" w:cs="宋体"/>
          <w:b/>
          <w:bCs w:val="0"/>
          <w:color w:val="auto"/>
          <w:sz w:val="32"/>
          <w:szCs w:val="32"/>
          <w:highlight w:val="none"/>
          <w:lang w:val="en-US" w:eastAsia="zh-CN"/>
        </w:rPr>
        <w:t xml:space="preserve">第二章 </w:t>
      </w:r>
      <w:r>
        <w:rPr>
          <w:rFonts w:hint="eastAsia" w:ascii="宋体" w:hAnsi="宋体" w:eastAsia="宋体" w:cs="宋体"/>
          <w:b/>
          <w:bCs w:val="0"/>
          <w:color w:val="auto"/>
          <w:sz w:val="32"/>
          <w:szCs w:val="32"/>
          <w:highlight w:val="none"/>
          <w:lang w:val="zh-CN"/>
        </w:rPr>
        <w:t>存储规模和存储方案</w:t>
      </w:r>
      <w:bookmarkEnd w:id="127"/>
    </w:p>
    <w:p w14:paraId="301E646B">
      <w:pPr>
        <w:pStyle w:val="19"/>
        <w:keepLines w:val="0"/>
        <w:pageBreakBefore w:val="0"/>
        <w:widowControl w:val="0"/>
        <w:kinsoku/>
        <w:wordWrap/>
        <w:overflowPunct/>
        <w:topLinePunct w:val="0"/>
        <w:autoSpaceDE/>
        <w:autoSpaceDN/>
        <w:bidi w:val="0"/>
        <w:spacing w:before="0" w:beforeLines="0" w:after="0" w:afterLines="0" w:line="560" w:lineRule="exact"/>
        <w:ind w:firstLine="560" w:firstLineChars="200"/>
        <w:textAlignment w:val="auto"/>
        <w:rPr>
          <w:rFonts w:hint="default" w:cs="宋体"/>
          <w:b w:val="0"/>
          <w:bCs/>
          <w:color w:val="auto"/>
          <w:sz w:val="28"/>
          <w:highlight w:val="none"/>
          <w:lang w:val="en-US" w:eastAsia="zh-CN"/>
        </w:rPr>
      </w:pPr>
      <w:bookmarkStart w:id="128" w:name="_Toc22088"/>
      <w:r>
        <w:rPr>
          <w:rFonts w:hint="eastAsia" w:cs="宋体"/>
          <w:b w:val="0"/>
          <w:bCs/>
          <w:color w:val="auto"/>
          <w:sz w:val="28"/>
          <w:highlight w:val="none"/>
          <w:lang w:val="en-US" w:eastAsia="zh-CN"/>
        </w:rPr>
        <w:t>2.1 存储规模</w:t>
      </w:r>
      <w:bookmarkEnd w:id="128"/>
    </w:p>
    <w:p w14:paraId="447BDCE1">
      <w:pPr>
        <w:spacing w:line="500" w:lineRule="exact"/>
        <w:jc w:val="center"/>
        <w:outlineLvl w:val="1"/>
        <w:rPr>
          <w:rFonts w:hint="default" w:ascii="宋体" w:cs="宋体" w:eastAsiaTheme="minorEastAsia"/>
          <w:color w:val="auto"/>
          <w:sz w:val="24"/>
          <w:highlight w:val="none"/>
          <w:lang w:val="en-US" w:eastAsia="zh-CN"/>
        </w:rPr>
      </w:pPr>
      <w:bookmarkStart w:id="129" w:name="_Toc15631"/>
      <w:bookmarkStart w:id="130" w:name="_Toc438214610"/>
      <w:bookmarkStart w:id="131" w:name="_Toc2504"/>
      <w:bookmarkStart w:id="132" w:name="_Toc11302"/>
      <w:bookmarkStart w:id="133" w:name="_Toc23838"/>
      <w:bookmarkStart w:id="134" w:name="_Toc25668"/>
      <w:r>
        <w:rPr>
          <w:rFonts w:hint="eastAsia" w:ascii="宋体" w:hAnsi="宋体" w:cs="宋体"/>
          <w:color w:val="auto"/>
          <w:sz w:val="24"/>
          <w:highlight w:val="none"/>
        </w:rPr>
        <w:t>表</w:t>
      </w:r>
      <w:r>
        <w:rPr>
          <w:rFonts w:hint="eastAsia" w:ascii="宋体" w:hAnsi="宋体" w:cs="宋体"/>
          <w:color w:val="auto"/>
          <w:sz w:val="24"/>
          <w:highlight w:val="none"/>
          <w:lang w:val="en-US" w:eastAsia="zh-CN"/>
        </w:rPr>
        <w:t>2</w:t>
      </w:r>
      <w:r>
        <w:rPr>
          <w:rFonts w:ascii="宋体" w:hAnsi="宋体" w:cs="宋体"/>
          <w:color w:val="auto"/>
          <w:sz w:val="24"/>
          <w:highlight w:val="none"/>
        </w:rPr>
        <w:t xml:space="preserve">-1 </w:t>
      </w:r>
      <w:bookmarkEnd w:id="129"/>
      <w:bookmarkEnd w:id="130"/>
      <w:bookmarkEnd w:id="131"/>
      <w:r>
        <w:rPr>
          <w:rFonts w:hint="eastAsia" w:ascii="宋体" w:hAnsi="宋体" w:cs="宋体"/>
          <w:color w:val="auto"/>
          <w:sz w:val="24"/>
          <w:highlight w:val="none"/>
          <w:lang w:val="en-US" w:eastAsia="zh-CN"/>
        </w:rPr>
        <w:t>存储规模</w:t>
      </w:r>
      <w:bookmarkEnd w:id="132"/>
    </w:p>
    <w:bookmarkEnd w:id="133"/>
    <w:bookmarkEnd w:id="134"/>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176"/>
        <w:gridCol w:w="1116"/>
        <w:gridCol w:w="1815"/>
        <w:gridCol w:w="1815"/>
        <w:gridCol w:w="1816"/>
      </w:tblGrid>
      <w:tr w14:paraId="7F30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457" w:type="pct"/>
            <w:vAlign w:val="center"/>
          </w:tcPr>
          <w:p w14:paraId="04EBA551">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序号</w:t>
            </w:r>
          </w:p>
        </w:tc>
        <w:tc>
          <w:tcPr>
            <w:tcW w:w="690" w:type="pct"/>
            <w:vAlign w:val="center"/>
          </w:tcPr>
          <w:p w14:paraId="7B356145">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名称</w:t>
            </w:r>
          </w:p>
        </w:tc>
        <w:tc>
          <w:tcPr>
            <w:tcW w:w="655" w:type="pct"/>
            <w:vAlign w:val="center"/>
          </w:tcPr>
          <w:p w14:paraId="38331C1E">
            <w:pPr>
              <w:widowControl/>
              <w:jc w:val="center"/>
              <w:textAlignment w:val="center"/>
              <w:rPr>
                <w:rFonts w:hint="default" w:ascii="宋体" w:cs="宋体" w:eastAsiaTheme="minorEastAsia"/>
                <w:color w:val="auto"/>
                <w:kern w:val="0"/>
                <w:szCs w:val="21"/>
                <w:highlight w:val="none"/>
                <w:lang w:val="en-US" w:eastAsia="zh-CN"/>
              </w:rPr>
            </w:pPr>
            <w:r>
              <w:rPr>
                <w:rFonts w:hint="eastAsia" w:ascii="宋体" w:cs="宋体"/>
                <w:color w:val="auto"/>
                <w:kern w:val="0"/>
                <w:szCs w:val="21"/>
                <w:highlight w:val="none"/>
                <w:lang w:val="en-US" w:eastAsia="zh-CN"/>
              </w:rPr>
              <w:t>容积</w:t>
            </w:r>
          </w:p>
        </w:tc>
        <w:tc>
          <w:tcPr>
            <w:tcW w:w="1065" w:type="pct"/>
            <w:vAlign w:val="center"/>
          </w:tcPr>
          <w:p w14:paraId="5C9F624B">
            <w:pPr>
              <w:widowControl/>
              <w:jc w:val="center"/>
              <w:textAlignment w:val="center"/>
              <w:rPr>
                <w:rFonts w:hint="default" w:asci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最大库容</w:t>
            </w:r>
          </w:p>
        </w:tc>
        <w:tc>
          <w:tcPr>
            <w:tcW w:w="1065" w:type="pct"/>
            <w:vAlign w:val="center"/>
          </w:tcPr>
          <w:p w14:paraId="09C49ABC">
            <w:pPr>
              <w:widowControl/>
              <w:jc w:val="center"/>
              <w:textAlignment w:val="center"/>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最大缓存量</w:t>
            </w:r>
          </w:p>
        </w:tc>
        <w:tc>
          <w:tcPr>
            <w:tcW w:w="1065" w:type="pct"/>
            <w:vAlign w:val="center"/>
          </w:tcPr>
          <w:p w14:paraId="188C35E5">
            <w:pPr>
              <w:widowControl/>
              <w:jc w:val="center"/>
              <w:textAlignment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备注</w:t>
            </w:r>
          </w:p>
        </w:tc>
      </w:tr>
      <w:tr w14:paraId="675D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57" w:type="pct"/>
            <w:vAlign w:val="center"/>
          </w:tcPr>
          <w:p w14:paraId="49B9F8B8">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w:t>
            </w:r>
          </w:p>
        </w:tc>
        <w:tc>
          <w:tcPr>
            <w:tcW w:w="690" w:type="pct"/>
            <w:vAlign w:val="center"/>
          </w:tcPr>
          <w:p w14:paraId="2D884A7C">
            <w:pPr>
              <w:widowControl/>
              <w:jc w:val="center"/>
              <w:textAlignment w:val="center"/>
              <w:rPr>
                <w:rFonts w:hint="eastAsia" w:ascii="宋体" w:cs="宋体" w:eastAsiaTheme="minorEastAsia"/>
                <w:color w:val="auto"/>
                <w:kern w:val="0"/>
                <w:szCs w:val="21"/>
                <w:highlight w:val="none"/>
                <w:lang w:eastAsia="zh-CN"/>
              </w:rPr>
            </w:pPr>
            <w:r>
              <w:rPr>
                <w:rFonts w:hint="eastAsia" w:ascii="宋体" w:hAnsi="宋体" w:cs="宋体"/>
                <w:color w:val="auto"/>
                <w:kern w:val="0"/>
                <w:szCs w:val="21"/>
                <w:highlight w:val="none"/>
                <w:lang w:val="en-US" w:eastAsia="zh-CN"/>
              </w:rPr>
              <w:t>盐酸储罐</w:t>
            </w:r>
          </w:p>
        </w:tc>
        <w:tc>
          <w:tcPr>
            <w:tcW w:w="655" w:type="pct"/>
            <w:vAlign w:val="center"/>
          </w:tcPr>
          <w:p w14:paraId="57085E7E">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lang w:val="en-US" w:eastAsia="zh-CN"/>
              </w:rPr>
              <w:t>600m³</w:t>
            </w:r>
          </w:p>
        </w:tc>
        <w:tc>
          <w:tcPr>
            <w:tcW w:w="1065" w:type="pct"/>
            <w:vAlign w:val="center"/>
          </w:tcPr>
          <w:p w14:paraId="2AC45B14">
            <w:pPr>
              <w:widowControl/>
              <w:jc w:val="center"/>
              <w:textAlignment w:val="center"/>
              <w:rPr>
                <w:rFonts w:hint="default" w:ascii="宋体" w:cs="宋体" w:eastAsiaTheme="minorEastAsia"/>
                <w:color w:val="auto"/>
                <w:kern w:val="0"/>
                <w:szCs w:val="21"/>
                <w:highlight w:val="none"/>
                <w:lang w:val="en-US" w:eastAsia="zh-CN"/>
              </w:rPr>
            </w:pPr>
            <w:r>
              <w:rPr>
                <w:rFonts w:hint="eastAsia" w:ascii="宋体" w:cs="宋体"/>
                <w:color w:val="auto"/>
                <w:kern w:val="0"/>
                <w:szCs w:val="21"/>
                <w:highlight w:val="none"/>
                <w:lang w:val="en-US" w:eastAsia="zh-CN"/>
              </w:rPr>
              <w:t>585t</w:t>
            </w:r>
          </w:p>
        </w:tc>
        <w:tc>
          <w:tcPr>
            <w:tcW w:w="1065" w:type="pct"/>
            <w:vAlign w:val="center"/>
          </w:tcPr>
          <w:p w14:paraId="5D494E50">
            <w:pPr>
              <w:widowControl/>
              <w:jc w:val="center"/>
              <w:textAlignment w:val="center"/>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515</w:t>
            </w:r>
            <w:r>
              <w:rPr>
                <w:rFonts w:hint="eastAsia" w:ascii="宋体" w:cs="宋体"/>
                <w:color w:val="auto"/>
                <w:kern w:val="0"/>
                <w:szCs w:val="21"/>
                <w:highlight w:val="none"/>
                <w:lang w:val="en-US" w:eastAsia="zh-CN"/>
              </w:rPr>
              <w:t>t</w:t>
            </w:r>
          </w:p>
        </w:tc>
        <w:tc>
          <w:tcPr>
            <w:tcW w:w="1065" w:type="pct"/>
            <w:vMerge w:val="restart"/>
            <w:vAlign w:val="center"/>
          </w:tcPr>
          <w:p w14:paraId="187BA6E2">
            <w:pPr>
              <w:widowControl/>
              <w:jc w:val="center"/>
              <w:textAlignment w:val="center"/>
              <w:rPr>
                <w:rFonts w:hint="eastAsia" w:ascii="宋体" w:cs="宋体"/>
                <w:color w:val="auto"/>
                <w:kern w:val="0"/>
                <w:szCs w:val="21"/>
                <w:highlight w:val="none"/>
                <w:lang w:val="en-US" w:eastAsia="zh-CN"/>
              </w:rPr>
            </w:pPr>
            <w:r>
              <w:rPr>
                <w:rFonts w:hint="eastAsia" w:ascii="宋体" w:cs="宋体"/>
                <w:color w:val="auto"/>
                <w:kern w:val="0"/>
                <w:szCs w:val="21"/>
                <w:highlight w:val="none"/>
                <w:lang w:val="en-US" w:eastAsia="zh-CN"/>
              </w:rPr>
              <w:t>氯化苯装置</w:t>
            </w:r>
          </w:p>
        </w:tc>
      </w:tr>
      <w:tr w14:paraId="04FF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57" w:type="pct"/>
            <w:vAlign w:val="center"/>
          </w:tcPr>
          <w:p w14:paraId="50203F0A">
            <w:pPr>
              <w:widowControl/>
              <w:jc w:val="center"/>
              <w:textAlignment w:val="center"/>
              <w:rPr>
                <w:rFonts w:hint="eastAsia"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690" w:type="pct"/>
            <w:vAlign w:val="center"/>
          </w:tcPr>
          <w:p w14:paraId="2CFAFE0B">
            <w:pPr>
              <w:widowControl/>
              <w:jc w:val="center"/>
              <w:textAlignment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盐酸储罐</w:t>
            </w:r>
          </w:p>
        </w:tc>
        <w:tc>
          <w:tcPr>
            <w:tcW w:w="655" w:type="pct"/>
            <w:vAlign w:val="center"/>
          </w:tcPr>
          <w:p w14:paraId="32C4D100">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1500m³</w:t>
            </w:r>
          </w:p>
        </w:tc>
        <w:tc>
          <w:tcPr>
            <w:tcW w:w="1065" w:type="pct"/>
            <w:vAlign w:val="center"/>
          </w:tcPr>
          <w:p w14:paraId="0FC18FFB">
            <w:pPr>
              <w:widowControl/>
              <w:jc w:val="center"/>
              <w:textAlignment w:val="center"/>
              <w:rPr>
                <w:rFonts w:hint="eastAsia" w:ascii="宋体" w:hAnsi="宋体" w:cs="宋体"/>
                <w:color w:val="auto"/>
                <w:kern w:val="0"/>
                <w:szCs w:val="21"/>
                <w:highlight w:val="none"/>
              </w:rPr>
            </w:pPr>
            <w:r>
              <w:rPr>
                <w:rFonts w:hint="eastAsia" w:ascii="宋体" w:cs="宋体"/>
                <w:color w:val="auto"/>
                <w:kern w:val="0"/>
                <w:szCs w:val="21"/>
                <w:highlight w:val="none"/>
                <w:lang w:val="en-US" w:eastAsia="zh-CN"/>
              </w:rPr>
              <w:t>1465t</w:t>
            </w:r>
          </w:p>
        </w:tc>
        <w:tc>
          <w:tcPr>
            <w:tcW w:w="1065" w:type="pct"/>
            <w:vAlign w:val="center"/>
          </w:tcPr>
          <w:p w14:paraId="6FC948AD">
            <w:pPr>
              <w:widowControl/>
              <w:jc w:val="center"/>
              <w:textAlignment w:val="center"/>
              <w:rPr>
                <w:rFonts w:hint="eastAsia" w:ascii="宋体" w:hAnsi="宋体" w:cs="宋体"/>
                <w:color w:val="auto"/>
                <w:kern w:val="0"/>
                <w:szCs w:val="21"/>
                <w:highlight w:val="none"/>
              </w:rPr>
            </w:pPr>
            <w:r>
              <w:rPr>
                <w:rFonts w:hint="eastAsia" w:ascii="宋体" w:cs="宋体"/>
                <w:color w:val="auto"/>
                <w:kern w:val="0"/>
                <w:szCs w:val="21"/>
                <w:highlight w:val="none"/>
                <w:lang w:val="en-US" w:eastAsia="zh-CN"/>
              </w:rPr>
              <w:t>1290t</w:t>
            </w:r>
          </w:p>
        </w:tc>
        <w:tc>
          <w:tcPr>
            <w:tcW w:w="1065" w:type="pct"/>
            <w:vMerge w:val="continue"/>
            <w:vAlign w:val="center"/>
          </w:tcPr>
          <w:p w14:paraId="19922AC7">
            <w:pPr>
              <w:widowControl/>
              <w:jc w:val="center"/>
              <w:textAlignment w:val="center"/>
              <w:rPr>
                <w:rFonts w:hint="eastAsia" w:ascii="宋体" w:cs="宋体"/>
                <w:color w:val="auto"/>
                <w:kern w:val="0"/>
                <w:szCs w:val="21"/>
                <w:highlight w:val="none"/>
                <w:lang w:val="en-US" w:eastAsia="zh-CN"/>
              </w:rPr>
            </w:pPr>
          </w:p>
        </w:tc>
      </w:tr>
      <w:tr w14:paraId="4AE0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57" w:type="pct"/>
            <w:vAlign w:val="center"/>
          </w:tcPr>
          <w:p w14:paraId="0AE3D1BD">
            <w:pPr>
              <w:widowControl/>
              <w:jc w:val="center"/>
              <w:textAlignment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w:t>
            </w:r>
          </w:p>
        </w:tc>
        <w:tc>
          <w:tcPr>
            <w:tcW w:w="690" w:type="pct"/>
            <w:vAlign w:val="center"/>
          </w:tcPr>
          <w:p w14:paraId="0B793AD5">
            <w:pPr>
              <w:widowControl/>
              <w:jc w:val="center"/>
              <w:textAlignment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醋酐储罐</w:t>
            </w:r>
          </w:p>
        </w:tc>
        <w:tc>
          <w:tcPr>
            <w:tcW w:w="655" w:type="pct"/>
            <w:vAlign w:val="center"/>
          </w:tcPr>
          <w:p w14:paraId="00601188">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35m³</w:t>
            </w:r>
          </w:p>
        </w:tc>
        <w:tc>
          <w:tcPr>
            <w:tcW w:w="1065" w:type="pct"/>
            <w:vAlign w:val="center"/>
          </w:tcPr>
          <w:p w14:paraId="572426BC">
            <w:pPr>
              <w:widowControl/>
              <w:jc w:val="center"/>
              <w:textAlignment w:val="center"/>
              <w:rPr>
                <w:rFonts w:hint="default" w:ascii="宋体" w:cs="宋体"/>
                <w:color w:val="auto"/>
                <w:kern w:val="0"/>
                <w:szCs w:val="21"/>
                <w:highlight w:val="none"/>
                <w:lang w:val="en-US" w:eastAsia="zh-CN"/>
              </w:rPr>
            </w:pPr>
            <w:r>
              <w:rPr>
                <w:rFonts w:hint="eastAsia" w:ascii="宋体" w:cs="宋体"/>
                <w:color w:val="auto"/>
                <w:kern w:val="0"/>
                <w:szCs w:val="21"/>
                <w:highlight w:val="none"/>
                <w:lang w:val="en-US" w:eastAsia="zh-CN"/>
              </w:rPr>
              <w:t>69t</w:t>
            </w:r>
          </w:p>
        </w:tc>
        <w:tc>
          <w:tcPr>
            <w:tcW w:w="1065" w:type="pct"/>
            <w:vAlign w:val="center"/>
          </w:tcPr>
          <w:p w14:paraId="68139402">
            <w:pPr>
              <w:widowControl/>
              <w:jc w:val="center"/>
              <w:textAlignment w:val="center"/>
              <w:rPr>
                <w:rFonts w:hint="default" w:ascii="宋体" w:cs="宋体"/>
                <w:color w:val="auto"/>
                <w:kern w:val="0"/>
                <w:szCs w:val="21"/>
                <w:highlight w:val="none"/>
                <w:lang w:val="en-US" w:eastAsia="zh-CN"/>
              </w:rPr>
            </w:pPr>
            <w:r>
              <w:rPr>
                <w:rFonts w:hint="eastAsia" w:ascii="宋体" w:cs="宋体"/>
                <w:color w:val="auto"/>
                <w:kern w:val="0"/>
                <w:szCs w:val="21"/>
                <w:highlight w:val="none"/>
                <w:lang w:val="en-US" w:eastAsia="zh-CN"/>
              </w:rPr>
              <w:t>60t</w:t>
            </w:r>
          </w:p>
        </w:tc>
        <w:tc>
          <w:tcPr>
            <w:tcW w:w="1065" w:type="pct"/>
            <w:vAlign w:val="center"/>
          </w:tcPr>
          <w:p w14:paraId="416AE15C">
            <w:pPr>
              <w:widowControl/>
              <w:jc w:val="center"/>
              <w:textAlignment w:val="center"/>
              <w:rPr>
                <w:rFonts w:hint="default" w:ascii="宋体" w:cs="宋体"/>
                <w:color w:val="auto"/>
                <w:kern w:val="0"/>
                <w:szCs w:val="21"/>
                <w:highlight w:val="none"/>
                <w:lang w:val="en-US" w:eastAsia="zh-CN"/>
              </w:rPr>
            </w:pPr>
            <w:r>
              <w:rPr>
                <w:rFonts w:hint="eastAsia" w:ascii="宋体" w:cs="宋体"/>
                <w:color w:val="auto"/>
                <w:kern w:val="0"/>
                <w:szCs w:val="21"/>
                <w:highlight w:val="none"/>
                <w:lang w:val="en-US" w:eastAsia="zh-CN"/>
              </w:rPr>
              <w:t>氯乙酸装置</w:t>
            </w:r>
          </w:p>
        </w:tc>
      </w:tr>
    </w:tbl>
    <w:p w14:paraId="1EA9169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outlineLvl w:val="1"/>
        <w:rPr>
          <w:rFonts w:hint="eastAsia" w:ascii="宋体" w:hAnsi="宋体" w:cs="宋体"/>
          <w:color w:val="auto"/>
          <w:sz w:val="21"/>
          <w:szCs w:val="21"/>
          <w:highlight w:val="none"/>
          <w:lang w:eastAsia="zh-CN"/>
        </w:rPr>
      </w:pPr>
      <w:bookmarkStart w:id="135" w:name="_Toc30078"/>
      <w:r>
        <w:rPr>
          <w:rFonts w:hint="eastAsia" w:ascii="宋体" w:hAnsi="宋体" w:cs="宋体"/>
          <w:color w:val="auto"/>
          <w:sz w:val="21"/>
          <w:szCs w:val="21"/>
          <w:highlight w:val="none"/>
          <w:lang w:val="en-US" w:eastAsia="zh-CN"/>
        </w:rPr>
        <w:t>注：①储罐按</w:t>
      </w:r>
      <w:r>
        <w:rPr>
          <w:rFonts w:hint="eastAsia" w:ascii="宋体" w:hAnsi="宋体" w:cs="宋体"/>
          <w:color w:val="auto"/>
          <w:sz w:val="21"/>
          <w:szCs w:val="21"/>
          <w:highlight w:val="none"/>
        </w:rPr>
        <w:t>最高液位85%、最低液位10%计算</w:t>
      </w:r>
      <w:r>
        <w:rPr>
          <w:rFonts w:hint="eastAsia" w:ascii="宋体" w:hAnsi="宋体" w:cs="宋体"/>
          <w:color w:val="auto"/>
          <w:sz w:val="21"/>
          <w:szCs w:val="21"/>
          <w:highlight w:val="none"/>
          <w:lang w:eastAsia="zh-CN"/>
        </w:rPr>
        <w:t>；</w:t>
      </w:r>
      <w:bookmarkEnd w:id="135"/>
    </w:p>
    <w:p w14:paraId="6077AD32">
      <w:pPr>
        <w:keepNext w:val="0"/>
        <w:keepLines w:val="0"/>
        <w:pageBreakBefore w:val="0"/>
        <w:widowControl w:val="0"/>
        <w:kinsoku/>
        <w:wordWrap/>
        <w:overflowPunct/>
        <w:topLinePunct w:val="0"/>
        <w:autoSpaceDE/>
        <w:autoSpaceDN/>
        <w:bidi w:val="0"/>
        <w:adjustRightInd/>
        <w:snapToGrid/>
        <w:spacing w:line="240" w:lineRule="auto"/>
        <w:ind w:firstLine="840" w:firstLineChars="400"/>
        <w:jc w:val="left"/>
        <w:textAlignment w:val="auto"/>
        <w:outlineLvl w:val="1"/>
        <w:rPr>
          <w:rFonts w:hint="eastAsia" w:ascii="宋体" w:hAnsi="宋体" w:cs="宋体"/>
          <w:color w:val="auto"/>
          <w:sz w:val="21"/>
          <w:szCs w:val="21"/>
          <w:highlight w:val="none"/>
          <w:lang w:val="en-US" w:eastAsia="zh-CN"/>
        </w:rPr>
      </w:pPr>
      <w:bookmarkStart w:id="136" w:name="_Toc846"/>
      <w:r>
        <w:rPr>
          <w:rFonts w:hint="eastAsia" w:ascii="宋体" w:hAnsi="宋体" w:cs="宋体"/>
          <w:color w:val="auto"/>
          <w:sz w:val="21"/>
          <w:szCs w:val="21"/>
          <w:highlight w:val="none"/>
          <w:lang w:val="en-US" w:eastAsia="zh-CN"/>
        </w:rPr>
        <w:t>②盐酸密度1.15g/ml计算；</w:t>
      </w:r>
      <w:bookmarkEnd w:id="136"/>
    </w:p>
    <w:p w14:paraId="27874F63">
      <w:pPr>
        <w:keepNext w:val="0"/>
        <w:keepLines w:val="0"/>
        <w:pageBreakBefore w:val="0"/>
        <w:widowControl w:val="0"/>
        <w:kinsoku/>
        <w:wordWrap/>
        <w:overflowPunct/>
        <w:topLinePunct w:val="0"/>
        <w:autoSpaceDE/>
        <w:autoSpaceDN/>
        <w:bidi w:val="0"/>
        <w:adjustRightInd/>
        <w:snapToGrid/>
        <w:spacing w:line="240" w:lineRule="auto"/>
        <w:ind w:firstLine="840" w:firstLineChars="400"/>
        <w:jc w:val="left"/>
        <w:textAlignment w:val="auto"/>
        <w:outlineLvl w:val="1"/>
        <w:rPr>
          <w:rFonts w:hint="eastAsia" w:ascii="宋体" w:hAnsi="宋体" w:cs="宋体"/>
          <w:color w:val="auto"/>
          <w:sz w:val="21"/>
          <w:szCs w:val="21"/>
          <w:highlight w:val="none"/>
          <w:lang w:eastAsia="zh-CN"/>
        </w:rPr>
      </w:pPr>
      <w:bookmarkStart w:id="137" w:name="_Toc31816"/>
      <w:r>
        <w:rPr>
          <w:rFonts w:hint="eastAsia" w:ascii="宋体" w:hAnsi="宋体" w:cs="宋体"/>
          <w:color w:val="auto"/>
          <w:sz w:val="21"/>
          <w:szCs w:val="21"/>
          <w:highlight w:val="none"/>
          <w:lang w:val="en-US" w:eastAsia="zh-CN"/>
        </w:rPr>
        <w:t>③醋酐按最</w:t>
      </w:r>
      <w:r>
        <w:rPr>
          <w:rFonts w:hint="eastAsia" w:ascii="宋体" w:hAnsi="宋体" w:cs="宋体"/>
          <w:color w:val="auto"/>
          <w:sz w:val="21"/>
          <w:szCs w:val="21"/>
          <w:highlight w:val="none"/>
        </w:rPr>
        <w:t>高液位85%、最低液位</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%计算</w:t>
      </w:r>
      <w:r>
        <w:rPr>
          <w:rFonts w:hint="eastAsia" w:ascii="宋体" w:hAnsi="宋体" w:cs="宋体"/>
          <w:color w:val="auto"/>
          <w:sz w:val="21"/>
          <w:szCs w:val="21"/>
          <w:highlight w:val="none"/>
          <w:lang w:eastAsia="zh-CN"/>
        </w:rPr>
        <w:t>；</w:t>
      </w:r>
      <w:bookmarkEnd w:id="137"/>
    </w:p>
    <w:p w14:paraId="30B48F32">
      <w:pPr>
        <w:keepNext w:val="0"/>
        <w:keepLines w:val="0"/>
        <w:pageBreakBefore w:val="0"/>
        <w:widowControl w:val="0"/>
        <w:kinsoku/>
        <w:wordWrap/>
        <w:overflowPunct/>
        <w:topLinePunct w:val="0"/>
        <w:autoSpaceDE/>
        <w:autoSpaceDN/>
        <w:bidi w:val="0"/>
        <w:adjustRightInd/>
        <w:snapToGrid/>
        <w:spacing w:line="240" w:lineRule="auto"/>
        <w:ind w:firstLine="840" w:firstLineChars="400"/>
        <w:jc w:val="left"/>
        <w:textAlignment w:val="auto"/>
        <w:outlineLvl w:val="1"/>
        <w:rPr>
          <w:rFonts w:hint="default" w:ascii="宋体" w:hAnsi="宋体" w:cs="宋体"/>
          <w:color w:val="auto"/>
          <w:sz w:val="21"/>
          <w:szCs w:val="21"/>
          <w:highlight w:val="none"/>
          <w:lang w:val="en-US" w:eastAsia="zh-CN"/>
        </w:rPr>
      </w:pPr>
      <w:bookmarkStart w:id="138" w:name="_Toc19019"/>
      <w:r>
        <w:rPr>
          <w:rFonts w:hint="eastAsia" w:ascii="宋体" w:hAnsi="宋体" w:cs="宋体"/>
          <w:color w:val="auto"/>
          <w:sz w:val="21"/>
          <w:szCs w:val="21"/>
          <w:highlight w:val="none"/>
          <w:lang w:val="en-US" w:eastAsia="zh-CN"/>
        </w:rPr>
        <w:t>④醋酐密度1.08g/ml计算。</w:t>
      </w:r>
      <w:bookmarkEnd w:id="138"/>
    </w:p>
    <w:p w14:paraId="018ACAE6">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color w:val="auto"/>
          <w:sz w:val="28"/>
          <w:szCs w:val="28"/>
          <w:highlight w:val="none"/>
        </w:rPr>
      </w:pPr>
      <w:bookmarkStart w:id="139" w:name="_Toc24305"/>
      <w:bookmarkStart w:id="140" w:name="_Toc4749"/>
      <w:bookmarkStart w:id="141" w:name="_Toc5342"/>
      <w:bookmarkStart w:id="142" w:name="_Toc373"/>
      <w:bookmarkStart w:id="143" w:name="_Toc31295"/>
      <w:r>
        <w:rPr>
          <w:rFonts w:hint="eastAsia" w:ascii="宋体" w:hAnsi="宋体" w:cs="宋体"/>
          <w:color w:val="auto"/>
          <w:sz w:val="28"/>
          <w:szCs w:val="28"/>
          <w:highlight w:val="none"/>
          <w:lang w:val="en-US" w:eastAsia="zh-CN"/>
        </w:rPr>
        <w:t>2</w:t>
      </w:r>
      <w:r>
        <w:rPr>
          <w:rFonts w:ascii="宋体" w:hAnsi="宋体" w:cs="宋体"/>
          <w:color w:val="auto"/>
          <w:sz w:val="28"/>
          <w:szCs w:val="28"/>
          <w:highlight w:val="none"/>
        </w:rPr>
        <w:t xml:space="preserve">.2 </w:t>
      </w:r>
      <w:r>
        <w:rPr>
          <w:rFonts w:hint="eastAsia" w:ascii="宋体" w:hAnsi="宋体" w:cs="宋体"/>
          <w:color w:val="auto"/>
          <w:sz w:val="28"/>
          <w:szCs w:val="28"/>
          <w:highlight w:val="none"/>
          <w:lang w:val="en-US" w:eastAsia="zh-CN"/>
        </w:rPr>
        <w:t>存储</w:t>
      </w:r>
      <w:r>
        <w:rPr>
          <w:rFonts w:hint="eastAsia" w:ascii="宋体" w:hAnsi="宋体" w:cs="宋体"/>
          <w:color w:val="auto"/>
          <w:sz w:val="28"/>
          <w:szCs w:val="28"/>
          <w:highlight w:val="none"/>
        </w:rPr>
        <w:t>方案</w:t>
      </w:r>
      <w:bookmarkEnd w:id="139"/>
      <w:bookmarkEnd w:id="140"/>
      <w:bookmarkEnd w:id="141"/>
      <w:bookmarkEnd w:id="142"/>
      <w:bookmarkEnd w:id="143"/>
    </w:p>
    <w:p w14:paraId="16BE45AB">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color w:val="auto"/>
          <w:sz w:val="28"/>
          <w:szCs w:val="28"/>
          <w:highlight w:val="none"/>
        </w:rPr>
      </w:pPr>
      <w:bookmarkStart w:id="144" w:name="_Toc14591"/>
      <w:bookmarkStart w:id="145" w:name="_Toc22218"/>
      <w:r>
        <w:rPr>
          <w:rFonts w:hint="eastAsia" w:ascii="宋体" w:hAnsi="宋体" w:cs="宋体"/>
          <w:color w:val="auto"/>
          <w:sz w:val="28"/>
          <w:szCs w:val="28"/>
          <w:highlight w:val="none"/>
        </w:rPr>
        <w:t>本项目</w:t>
      </w:r>
      <w:r>
        <w:rPr>
          <w:rFonts w:hint="eastAsia" w:ascii="宋体" w:hAnsi="宋体" w:cs="宋体"/>
          <w:color w:val="auto"/>
          <w:sz w:val="28"/>
          <w:szCs w:val="28"/>
          <w:highlight w:val="none"/>
          <w:lang w:val="en-US" w:eastAsia="zh-CN"/>
        </w:rPr>
        <w:t>依托主装置</w:t>
      </w:r>
      <w:r>
        <w:rPr>
          <w:rFonts w:hint="eastAsia" w:ascii="宋体" w:hAnsi="宋体" w:cs="宋体"/>
          <w:color w:val="auto"/>
          <w:sz w:val="28"/>
          <w:szCs w:val="28"/>
          <w:highlight w:val="none"/>
        </w:rPr>
        <w:t>操作</w:t>
      </w:r>
      <w:r>
        <w:rPr>
          <w:rFonts w:ascii="宋体" w:hAnsi="宋体" w:cs="宋体"/>
          <w:color w:val="auto"/>
          <w:sz w:val="28"/>
          <w:szCs w:val="28"/>
          <w:highlight w:val="none"/>
        </w:rPr>
        <w:t>8000</w:t>
      </w:r>
      <w:r>
        <w:rPr>
          <w:rFonts w:hint="eastAsia" w:ascii="宋体" w:hAnsi="宋体" w:cs="宋体"/>
          <w:color w:val="auto"/>
          <w:sz w:val="28"/>
          <w:szCs w:val="28"/>
          <w:highlight w:val="none"/>
        </w:rPr>
        <w:t>小时</w:t>
      </w:r>
      <w:r>
        <w:rPr>
          <w:rFonts w:ascii="宋体" w:hAnsi="宋体" w:cs="宋体"/>
          <w:color w:val="auto"/>
          <w:sz w:val="28"/>
          <w:szCs w:val="28"/>
          <w:highlight w:val="none"/>
        </w:rPr>
        <w:t>/</w:t>
      </w:r>
      <w:r>
        <w:rPr>
          <w:rFonts w:hint="eastAsia" w:ascii="宋体" w:hAnsi="宋体" w:cs="宋体"/>
          <w:color w:val="auto"/>
          <w:sz w:val="28"/>
          <w:szCs w:val="28"/>
          <w:highlight w:val="none"/>
        </w:rPr>
        <w:t>年，四班二运转，每班</w:t>
      </w:r>
      <w:r>
        <w:rPr>
          <w:rFonts w:ascii="宋体" w:hAnsi="宋体" w:cs="宋体"/>
          <w:color w:val="auto"/>
          <w:sz w:val="28"/>
          <w:szCs w:val="28"/>
          <w:highlight w:val="none"/>
        </w:rPr>
        <w:t>12</w:t>
      </w:r>
      <w:r>
        <w:rPr>
          <w:rFonts w:hint="eastAsia" w:ascii="宋体" w:hAnsi="宋体" w:cs="宋体"/>
          <w:color w:val="auto"/>
          <w:sz w:val="28"/>
          <w:szCs w:val="28"/>
          <w:highlight w:val="none"/>
        </w:rPr>
        <w:t>小时。</w:t>
      </w:r>
      <w:bookmarkEnd w:id="144"/>
      <w:bookmarkEnd w:id="145"/>
    </w:p>
    <w:p w14:paraId="28B79D67">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color w:val="auto"/>
          <w:sz w:val="28"/>
          <w:szCs w:val="28"/>
          <w:highlight w:val="none"/>
        </w:rPr>
      </w:pPr>
      <w:bookmarkStart w:id="146" w:name="_Toc11106"/>
      <w:bookmarkStart w:id="147" w:name="_Toc371"/>
      <w:bookmarkStart w:id="148" w:name="_Toc7165"/>
      <w:bookmarkStart w:id="149" w:name="_Toc4149"/>
      <w:bookmarkStart w:id="150" w:name="_Toc3500"/>
      <w:r>
        <w:rPr>
          <w:rFonts w:hint="eastAsia" w:ascii="宋体" w:hAnsi="宋体" w:cs="宋体"/>
          <w:color w:val="auto"/>
          <w:sz w:val="28"/>
          <w:szCs w:val="28"/>
          <w:highlight w:val="none"/>
          <w:lang w:val="en-US" w:eastAsia="zh-CN"/>
        </w:rPr>
        <w:t>2</w:t>
      </w:r>
      <w:r>
        <w:rPr>
          <w:rFonts w:ascii="宋体" w:hAnsi="宋体" w:cs="宋体"/>
          <w:color w:val="auto"/>
          <w:sz w:val="28"/>
          <w:szCs w:val="28"/>
          <w:highlight w:val="none"/>
        </w:rPr>
        <w:t>.3</w:t>
      </w:r>
      <w:r>
        <w:rPr>
          <w:rFonts w:hint="eastAsia" w:ascii="宋体" w:hAnsi="宋体" w:cs="宋体"/>
          <w:color w:val="auto"/>
          <w:sz w:val="28"/>
          <w:szCs w:val="28"/>
          <w:highlight w:val="none"/>
          <w:lang w:val="en-US" w:eastAsia="zh-CN"/>
        </w:rPr>
        <w:t xml:space="preserve"> 产品</w:t>
      </w:r>
      <w:r>
        <w:rPr>
          <w:rFonts w:hint="eastAsia" w:ascii="宋体" w:hAnsi="宋体" w:cs="宋体"/>
          <w:color w:val="auto"/>
          <w:sz w:val="28"/>
          <w:szCs w:val="28"/>
          <w:highlight w:val="none"/>
        </w:rPr>
        <w:t>标准</w:t>
      </w:r>
      <w:bookmarkEnd w:id="146"/>
      <w:bookmarkEnd w:id="147"/>
      <w:bookmarkEnd w:id="148"/>
      <w:bookmarkEnd w:id="149"/>
      <w:bookmarkEnd w:id="150"/>
    </w:p>
    <w:p w14:paraId="3FF47BDD">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hint="eastAsia" w:ascii="宋体" w:hAnsi="宋体" w:cs="宋体"/>
          <w:color w:val="auto"/>
          <w:sz w:val="28"/>
          <w:szCs w:val="28"/>
          <w:highlight w:val="none"/>
          <w:lang w:val="en-US" w:eastAsia="zh-CN"/>
        </w:rPr>
      </w:pPr>
      <w:bookmarkStart w:id="151" w:name="_Toc13326"/>
      <w:r>
        <w:rPr>
          <w:rFonts w:hint="eastAsia" w:ascii="宋体" w:hAnsi="宋体" w:cs="宋体"/>
          <w:color w:val="auto"/>
          <w:sz w:val="28"/>
          <w:szCs w:val="28"/>
          <w:highlight w:val="none"/>
          <w:lang w:val="en-US" w:eastAsia="zh-CN"/>
        </w:rPr>
        <w:t>（1）副产盐酸</w:t>
      </w:r>
      <w:bookmarkEnd w:id="151"/>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8"/>
        <w:gridCol w:w="1689"/>
        <w:gridCol w:w="1689"/>
        <w:gridCol w:w="1694"/>
      </w:tblGrid>
      <w:tr w14:paraId="000B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Merge w:val="restart"/>
            <w:vAlign w:val="center"/>
          </w:tcPr>
          <w:p w14:paraId="3FF54ADB">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  目</w:t>
            </w:r>
          </w:p>
        </w:tc>
        <w:tc>
          <w:tcPr>
            <w:tcW w:w="2976" w:type="pct"/>
            <w:gridSpan w:val="3"/>
            <w:vAlign w:val="center"/>
          </w:tcPr>
          <w:p w14:paraId="4A140B51">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HG/T 3783-2021</w:t>
            </w:r>
          </w:p>
        </w:tc>
      </w:tr>
      <w:tr w14:paraId="1952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Merge w:val="continue"/>
            <w:vAlign w:val="center"/>
          </w:tcPr>
          <w:p w14:paraId="73257C18">
            <w:pPr>
              <w:widowControl/>
              <w:jc w:val="center"/>
              <w:textAlignment w:val="center"/>
              <w:rPr>
                <w:rFonts w:hint="eastAsia" w:ascii="宋体" w:hAnsi="宋体" w:cs="宋体"/>
                <w:color w:val="auto"/>
                <w:kern w:val="0"/>
                <w:szCs w:val="21"/>
                <w:highlight w:val="none"/>
              </w:rPr>
            </w:pPr>
          </w:p>
        </w:tc>
        <w:tc>
          <w:tcPr>
            <w:tcW w:w="991" w:type="pct"/>
            <w:vAlign w:val="center"/>
          </w:tcPr>
          <w:p w14:paraId="4B4C8797">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Ⅰ</w:t>
            </w:r>
          </w:p>
        </w:tc>
        <w:tc>
          <w:tcPr>
            <w:tcW w:w="991" w:type="pct"/>
            <w:vAlign w:val="center"/>
          </w:tcPr>
          <w:p w14:paraId="2C82CB65">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Ⅱ</w:t>
            </w:r>
          </w:p>
        </w:tc>
        <w:tc>
          <w:tcPr>
            <w:tcW w:w="992" w:type="pct"/>
            <w:vAlign w:val="center"/>
          </w:tcPr>
          <w:p w14:paraId="4265AC85">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Ⅲ</w:t>
            </w:r>
          </w:p>
        </w:tc>
      </w:tr>
      <w:tr w14:paraId="2FE8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Align w:val="center"/>
          </w:tcPr>
          <w:p w14:paraId="3130096E">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外</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观</w:t>
            </w:r>
          </w:p>
        </w:tc>
        <w:tc>
          <w:tcPr>
            <w:tcW w:w="2976" w:type="pct"/>
            <w:gridSpan w:val="3"/>
            <w:vAlign w:val="center"/>
          </w:tcPr>
          <w:p w14:paraId="1BA6C89F">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为无色或浅黄色透明液体</w:t>
            </w:r>
          </w:p>
        </w:tc>
      </w:tr>
      <w:tr w14:paraId="2CF8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Align w:val="center"/>
          </w:tcPr>
          <w:p w14:paraId="56CECDC0">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总酸度（以HCl计），%</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w:t>
            </w:r>
          </w:p>
        </w:tc>
        <w:tc>
          <w:tcPr>
            <w:tcW w:w="991" w:type="pct"/>
            <w:vAlign w:val="center"/>
          </w:tcPr>
          <w:p w14:paraId="5BF770F4">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31.0</w:t>
            </w:r>
          </w:p>
        </w:tc>
        <w:tc>
          <w:tcPr>
            <w:tcW w:w="991" w:type="pct"/>
            <w:vAlign w:val="center"/>
          </w:tcPr>
          <w:p w14:paraId="1ADEC9F5">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20.0</w:t>
            </w:r>
          </w:p>
        </w:tc>
        <w:tc>
          <w:tcPr>
            <w:tcW w:w="992" w:type="pct"/>
            <w:vAlign w:val="center"/>
          </w:tcPr>
          <w:p w14:paraId="188CD48E">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10.0</w:t>
            </w:r>
          </w:p>
        </w:tc>
      </w:tr>
      <w:tr w14:paraId="696C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Align w:val="center"/>
          </w:tcPr>
          <w:p w14:paraId="4D5735D8">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*重金属（以Pb计）%≤</w:t>
            </w:r>
          </w:p>
        </w:tc>
        <w:tc>
          <w:tcPr>
            <w:tcW w:w="2976" w:type="pct"/>
            <w:gridSpan w:val="3"/>
            <w:vAlign w:val="center"/>
          </w:tcPr>
          <w:p w14:paraId="6C05B989">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0.005</w:t>
            </w:r>
          </w:p>
        </w:tc>
      </w:tr>
      <w:tr w14:paraId="088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Align w:val="center"/>
          </w:tcPr>
          <w:p w14:paraId="22E2FD2C">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浊度/NTU  ≤</w:t>
            </w:r>
          </w:p>
        </w:tc>
        <w:tc>
          <w:tcPr>
            <w:tcW w:w="2976" w:type="pct"/>
            <w:gridSpan w:val="3"/>
            <w:vAlign w:val="center"/>
          </w:tcPr>
          <w:p w14:paraId="5DF3513C">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10</w:t>
            </w:r>
          </w:p>
        </w:tc>
      </w:tr>
      <w:tr w14:paraId="4A63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3" w:type="pct"/>
            <w:vAlign w:val="center"/>
          </w:tcPr>
          <w:p w14:paraId="611620E6">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其他杂质</w:t>
            </w:r>
          </w:p>
        </w:tc>
        <w:tc>
          <w:tcPr>
            <w:tcW w:w="2976" w:type="pct"/>
            <w:gridSpan w:val="3"/>
            <w:vAlign w:val="center"/>
          </w:tcPr>
          <w:p w14:paraId="152D6E19">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按用户要求</w:t>
            </w:r>
          </w:p>
        </w:tc>
      </w:tr>
    </w:tbl>
    <w:p w14:paraId="706F758E">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cs="宋体" w:eastAsiaTheme="minorEastAsia"/>
          <w:color w:val="auto"/>
          <w:kern w:val="2"/>
          <w:sz w:val="28"/>
          <w:szCs w:val="28"/>
          <w:highlight w:val="none"/>
          <w:lang w:val="en-US" w:eastAsia="zh-CN" w:bidi="ar-SA"/>
        </w:rPr>
      </w:pPr>
      <w:r>
        <w:rPr>
          <w:rFonts w:hint="eastAsia" w:ascii="宋体" w:hAnsi="宋体" w:cs="宋体" w:eastAsiaTheme="minorEastAsia"/>
          <w:color w:val="auto"/>
          <w:kern w:val="2"/>
          <w:sz w:val="28"/>
          <w:szCs w:val="28"/>
          <w:highlight w:val="none"/>
          <w:lang w:val="en-US" w:eastAsia="zh-CN" w:bidi="ar-SA"/>
        </w:rPr>
        <w:t>重金属为抽检项目，每月至少进行一次检验。</w:t>
      </w:r>
    </w:p>
    <w:p w14:paraId="66630FBF">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cs="宋体" w:eastAsiaTheme="minorEastAsia"/>
          <w:color w:val="auto"/>
          <w:kern w:val="2"/>
          <w:sz w:val="28"/>
          <w:szCs w:val="28"/>
          <w:highlight w:val="none"/>
          <w:lang w:val="en-US" w:eastAsia="zh-CN" w:bidi="ar-SA"/>
        </w:rPr>
      </w:pPr>
    </w:p>
    <w:p w14:paraId="19DAF6A9">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cs="宋体" w:eastAsiaTheme="minorEastAsia"/>
          <w:color w:val="auto"/>
          <w:kern w:val="2"/>
          <w:sz w:val="28"/>
          <w:szCs w:val="28"/>
          <w:highlight w:val="none"/>
          <w:lang w:val="en-US" w:eastAsia="zh-CN" w:bidi="ar-SA"/>
        </w:rPr>
      </w:pPr>
    </w:p>
    <w:p w14:paraId="57C41214">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hint="eastAsia" w:ascii="宋体" w:hAnsi="宋体" w:cs="宋体"/>
          <w:color w:val="auto"/>
          <w:sz w:val="28"/>
          <w:szCs w:val="28"/>
          <w:highlight w:val="none"/>
          <w:lang w:val="en-US" w:eastAsia="zh-CN"/>
        </w:rPr>
      </w:pPr>
      <w:bookmarkStart w:id="152" w:name="_Toc23342"/>
      <w:r>
        <w:rPr>
          <w:rFonts w:hint="eastAsia" w:ascii="宋体" w:hAnsi="宋体" w:cs="宋体"/>
          <w:color w:val="auto"/>
          <w:sz w:val="28"/>
          <w:szCs w:val="28"/>
          <w:highlight w:val="none"/>
          <w:lang w:val="en-US" w:eastAsia="zh-CN"/>
        </w:rPr>
        <w:t>（2）醋酐</w:t>
      </w:r>
      <w:bookmarkEnd w:id="152"/>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2"/>
        <w:gridCol w:w="2756"/>
        <w:gridCol w:w="1311"/>
      </w:tblGrid>
      <w:tr w14:paraId="429C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Merge w:val="restart"/>
            <w:vAlign w:val="center"/>
          </w:tcPr>
          <w:p w14:paraId="44E525FF">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项 </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 xml:space="preserve"> 目</w:t>
            </w:r>
          </w:p>
        </w:tc>
        <w:tc>
          <w:tcPr>
            <w:tcW w:w="1617" w:type="pct"/>
            <w:vAlign w:val="center"/>
          </w:tcPr>
          <w:p w14:paraId="1F5FCB0D">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GB/T 10668-2000</w:t>
            </w:r>
          </w:p>
        </w:tc>
        <w:tc>
          <w:tcPr>
            <w:tcW w:w="769" w:type="pct"/>
            <w:vMerge w:val="restart"/>
            <w:vAlign w:val="center"/>
          </w:tcPr>
          <w:p w14:paraId="15A90E8A">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验收方式</w:t>
            </w:r>
          </w:p>
        </w:tc>
      </w:tr>
      <w:tr w14:paraId="2EA3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Merge w:val="continue"/>
            <w:vAlign w:val="center"/>
          </w:tcPr>
          <w:p w14:paraId="479467AD">
            <w:pPr>
              <w:widowControl/>
              <w:jc w:val="center"/>
              <w:textAlignment w:val="center"/>
              <w:rPr>
                <w:rFonts w:hint="eastAsia" w:ascii="宋体" w:hAnsi="宋体" w:cs="宋体"/>
                <w:color w:val="auto"/>
                <w:kern w:val="0"/>
                <w:szCs w:val="21"/>
                <w:highlight w:val="none"/>
              </w:rPr>
            </w:pPr>
          </w:p>
        </w:tc>
        <w:tc>
          <w:tcPr>
            <w:tcW w:w="1617" w:type="pct"/>
            <w:vAlign w:val="center"/>
          </w:tcPr>
          <w:p w14:paraId="10FB552B">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优等品</w:t>
            </w:r>
          </w:p>
        </w:tc>
        <w:tc>
          <w:tcPr>
            <w:tcW w:w="769" w:type="pct"/>
            <w:vMerge w:val="continue"/>
            <w:vAlign w:val="center"/>
          </w:tcPr>
          <w:p w14:paraId="46893BBA">
            <w:pPr>
              <w:widowControl/>
              <w:jc w:val="center"/>
              <w:textAlignment w:val="center"/>
              <w:rPr>
                <w:rFonts w:hint="eastAsia" w:ascii="宋体" w:hAnsi="宋体" w:cs="宋体"/>
                <w:color w:val="auto"/>
                <w:kern w:val="0"/>
                <w:szCs w:val="21"/>
                <w:highlight w:val="none"/>
              </w:rPr>
            </w:pPr>
          </w:p>
        </w:tc>
      </w:tr>
      <w:tr w14:paraId="2613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Align w:val="center"/>
          </w:tcPr>
          <w:p w14:paraId="08D1B1DF">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外   观</w:t>
            </w:r>
          </w:p>
        </w:tc>
        <w:tc>
          <w:tcPr>
            <w:tcW w:w="1617" w:type="pct"/>
            <w:vAlign w:val="center"/>
          </w:tcPr>
          <w:p w14:paraId="5D0B3BC1">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透明液体，无悬浮物</w:t>
            </w:r>
          </w:p>
          <w:p w14:paraId="669BBA3E">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和机械杂质。</w:t>
            </w:r>
          </w:p>
        </w:tc>
        <w:tc>
          <w:tcPr>
            <w:tcW w:w="769" w:type="pct"/>
            <w:vMerge w:val="restart"/>
            <w:vAlign w:val="center"/>
          </w:tcPr>
          <w:p w14:paraId="2D380C09">
            <w:pPr>
              <w:widowControl/>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检验</w:t>
            </w:r>
          </w:p>
        </w:tc>
      </w:tr>
      <w:tr w14:paraId="2265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Align w:val="center"/>
          </w:tcPr>
          <w:p w14:paraId="32023B4E">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色度，Hazen单位（铂—钴号）≤</w:t>
            </w:r>
          </w:p>
        </w:tc>
        <w:tc>
          <w:tcPr>
            <w:tcW w:w="1617" w:type="pct"/>
            <w:vAlign w:val="center"/>
          </w:tcPr>
          <w:p w14:paraId="38DA9C58">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10</w:t>
            </w:r>
          </w:p>
        </w:tc>
        <w:tc>
          <w:tcPr>
            <w:tcW w:w="769" w:type="pct"/>
            <w:vMerge w:val="continue"/>
            <w:vAlign w:val="center"/>
          </w:tcPr>
          <w:p w14:paraId="12906D79">
            <w:pPr>
              <w:widowControl/>
              <w:jc w:val="center"/>
              <w:textAlignment w:val="center"/>
              <w:rPr>
                <w:rFonts w:hint="eastAsia" w:ascii="宋体" w:hAnsi="宋体" w:cs="宋体"/>
                <w:color w:val="auto"/>
                <w:kern w:val="0"/>
                <w:szCs w:val="21"/>
                <w:highlight w:val="none"/>
              </w:rPr>
            </w:pPr>
          </w:p>
        </w:tc>
      </w:tr>
      <w:tr w14:paraId="73C4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Align w:val="center"/>
          </w:tcPr>
          <w:p w14:paraId="7D9730E3">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乙酸酐的质量分数，%≥</w:t>
            </w:r>
          </w:p>
        </w:tc>
        <w:tc>
          <w:tcPr>
            <w:tcW w:w="1617" w:type="pct"/>
            <w:vAlign w:val="center"/>
          </w:tcPr>
          <w:p w14:paraId="5258B60E">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99.0</w:t>
            </w:r>
          </w:p>
        </w:tc>
        <w:tc>
          <w:tcPr>
            <w:tcW w:w="769" w:type="pct"/>
            <w:vMerge w:val="continue"/>
            <w:vAlign w:val="center"/>
          </w:tcPr>
          <w:p w14:paraId="5C769BCE">
            <w:pPr>
              <w:widowControl/>
              <w:jc w:val="center"/>
              <w:textAlignment w:val="center"/>
              <w:rPr>
                <w:rFonts w:hint="eastAsia" w:ascii="宋体" w:hAnsi="宋体" w:cs="宋体"/>
                <w:color w:val="auto"/>
                <w:kern w:val="0"/>
                <w:szCs w:val="21"/>
                <w:highlight w:val="none"/>
              </w:rPr>
            </w:pPr>
          </w:p>
        </w:tc>
      </w:tr>
      <w:tr w14:paraId="25A8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Align w:val="center"/>
          </w:tcPr>
          <w:p w14:paraId="31010CC9">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蒸发残渣a的质量分数，% ≤</w:t>
            </w:r>
          </w:p>
        </w:tc>
        <w:tc>
          <w:tcPr>
            <w:tcW w:w="1617" w:type="pct"/>
            <w:vAlign w:val="center"/>
          </w:tcPr>
          <w:p w14:paraId="56957B57">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0.005</w:t>
            </w:r>
          </w:p>
        </w:tc>
        <w:tc>
          <w:tcPr>
            <w:tcW w:w="769" w:type="pct"/>
            <w:vMerge w:val="continue"/>
            <w:vAlign w:val="center"/>
          </w:tcPr>
          <w:p w14:paraId="69D62404">
            <w:pPr>
              <w:widowControl/>
              <w:jc w:val="center"/>
              <w:textAlignment w:val="center"/>
              <w:rPr>
                <w:rFonts w:hint="eastAsia" w:ascii="宋体" w:hAnsi="宋体" w:cs="宋体"/>
                <w:color w:val="auto"/>
                <w:kern w:val="0"/>
                <w:szCs w:val="21"/>
                <w:highlight w:val="none"/>
              </w:rPr>
            </w:pPr>
          </w:p>
        </w:tc>
      </w:tr>
      <w:tr w14:paraId="16B5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Align w:val="center"/>
          </w:tcPr>
          <w:p w14:paraId="4C0141D1">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铁的质量分数（以Fe计），%≤</w:t>
            </w:r>
          </w:p>
        </w:tc>
        <w:tc>
          <w:tcPr>
            <w:tcW w:w="1617" w:type="pct"/>
            <w:vAlign w:val="center"/>
          </w:tcPr>
          <w:p w14:paraId="66AC0048">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0.0001</w:t>
            </w:r>
          </w:p>
        </w:tc>
        <w:tc>
          <w:tcPr>
            <w:tcW w:w="769" w:type="pct"/>
            <w:vMerge w:val="continue"/>
            <w:vAlign w:val="center"/>
          </w:tcPr>
          <w:p w14:paraId="78C07E84">
            <w:pPr>
              <w:widowControl/>
              <w:jc w:val="center"/>
              <w:textAlignment w:val="center"/>
              <w:rPr>
                <w:rFonts w:hint="eastAsia" w:ascii="宋体" w:hAnsi="宋体" w:cs="宋体"/>
                <w:color w:val="auto"/>
                <w:kern w:val="0"/>
                <w:szCs w:val="21"/>
                <w:highlight w:val="none"/>
              </w:rPr>
            </w:pPr>
          </w:p>
        </w:tc>
      </w:tr>
      <w:tr w14:paraId="33C8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612" w:type="pct"/>
            <w:vAlign w:val="center"/>
          </w:tcPr>
          <w:p w14:paraId="1F05DA84">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还原高锰酸钾物质，指数（mg/100ml）≤</w:t>
            </w:r>
          </w:p>
        </w:tc>
        <w:tc>
          <w:tcPr>
            <w:tcW w:w="1617" w:type="pct"/>
            <w:vAlign w:val="center"/>
          </w:tcPr>
          <w:p w14:paraId="2D3D08E4">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60</w:t>
            </w:r>
          </w:p>
        </w:tc>
        <w:tc>
          <w:tcPr>
            <w:tcW w:w="769" w:type="pct"/>
            <w:vMerge w:val="continue"/>
            <w:vAlign w:val="center"/>
          </w:tcPr>
          <w:p w14:paraId="53B90B5B">
            <w:pPr>
              <w:widowControl/>
              <w:jc w:val="center"/>
              <w:textAlignment w:val="center"/>
              <w:rPr>
                <w:rFonts w:hint="eastAsia" w:ascii="宋体" w:hAnsi="宋体" w:cs="宋体"/>
                <w:color w:val="auto"/>
                <w:kern w:val="0"/>
                <w:szCs w:val="21"/>
                <w:highlight w:val="none"/>
              </w:rPr>
            </w:pPr>
          </w:p>
        </w:tc>
      </w:tr>
    </w:tbl>
    <w:p w14:paraId="6FC33A1D">
      <w:pPr>
        <w:numPr>
          <w:ilvl w:val="0"/>
          <w:numId w:val="0"/>
        </w:numPr>
        <w:spacing w:line="500" w:lineRule="exact"/>
        <w:jc w:val="left"/>
        <w:outlineLvl w:val="9"/>
        <w:rPr>
          <w:rFonts w:hint="default" w:ascii="宋体" w:hAnsi="宋体" w:cs="宋体" w:eastAsiaTheme="minorEastAsia"/>
          <w:color w:val="auto"/>
          <w:kern w:val="2"/>
          <w:sz w:val="28"/>
          <w:szCs w:val="28"/>
          <w:highlight w:val="none"/>
          <w:lang w:val="en-US" w:eastAsia="zh-CN" w:bidi="ar-SA"/>
        </w:rPr>
      </w:pPr>
    </w:p>
    <w:p w14:paraId="6D7DB016">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2AFB9D61">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eastAsia="zh-CN"/>
        </w:rPr>
      </w:pPr>
      <w:bookmarkStart w:id="153" w:name="_Toc7395"/>
      <w:bookmarkStart w:id="154" w:name="_Toc18906"/>
      <w:bookmarkStart w:id="155" w:name="_Toc11665_WPSOffice_Level1"/>
      <w:bookmarkStart w:id="156" w:name="_Toc12863_WPSOffice_Level1"/>
      <w:bookmarkStart w:id="157" w:name="_Toc16520"/>
      <w:bookmarkStart w:id="158" w:name="_Toc29644"/>
      <w:bookmarkStart w:id="159" w:name="_Toc14630"/>
      <w:r>
        <w:rPr>
          <w:rFonts w:hint="eastAsia" w:ascii="宋体" w:hAnsi="宋体" w:eastAsia="宋体" w:cs="宋体"/>
          <w:b/>
          <w:bCs w:val="0"/>
          <w:color w:val="auto"/>
          <w:sz w:val="32"/>
          <w:szCs w:val="32"/>
          <w:highlight w:val="none"/>
          <w:lang w:val="zh-CN" w:eastAsia="zh-CN"/>
        </w:rPr>
        <w:t>第</w:t>
      </w:r>
      <w:r>
        <w:rPr>
          <w:rFonts w:hint="eastAsia" w:ascii="宋体" w:hAnsi="宋体" w:eastAsia="宋体" w:cs="宋体"/>
          <w:b/>
          <w:bCs w:val="0"/>
          <w:color w:val="auto"/>
          <w:sz w:val="32"/>
          <w:szCs w:val="32"/>
          <w:highlight w:val="none"/>
          <w:lang w:val="en-US" w:eastAsia="zh-CN"/>
        </w:rPr>
        <w:t>三</w:t>
      </w:r>
      <w:r>
        <w:rPr>
          <w:rFonts w:hint="eastAsia" w:ascii="宋体" w:hAnsi="宋体" w:eastAsia="宋体" w:cs="宋体"/>
          <w:b/>
          <w:bCs w:val="0"/>
          <w:color w:val="auto"/>
          <w:sz w:val="32"/>
          <w:szCs w:val="32"/>
          <w:highlight w:val="none"/>
          <w:lang w:val="zh-CN" w:eastAsia="zh-CN"/>
        </w:rPr>
        <w:t>章 工艺技术方案</w:t>
      </w:r>
      <w:bookmarkEnd w:id="153"/>
      <w:bookmarkEnd w:id="154"/>
      <w:bookmarkEnd w:id="155"/>
      <w:bookmarkEnd w:id="156"/>
      <w:bookmarkEnd w:id="157"/>
      <w:bookmarkEnd w:id="158"/>
      <w:bookmarkEnd w:id="159"/>
    </w:p>
    <w:p w14:paraId="79D723D7">
      <w:pPr>
        <w:pStyle w:val="21"/>
        <w:numPr>
          <w:ilvl w:val="0"/>
          <w:numId w:val="2"/>
        </w:numPr>
        <w:spacing w:line="560" w:lineRule="exact"/>
        <w:ind w:firstLine="31680"/>
        <w:jc w:val="left"/>
        <w:outlineLvl w:val="1"/>
        <w:rPr>
          <w:rFonts w:ascii="宋体" w:cs="宋体"/>
          <w:vanish/>
          <w:color w:val="auto"/>
          <w:sz w:val="28"/>
          <w:szCs w:val="28"/>
          <w:highlight w:val="none"/>
        </w:rPr>
      </w:pPr>
      <w:bookmarkStart w:id="160" w:name="_Toc470509280"/>
      <w:bookmarkEnd w:id="160"/>
      <w:bookmarkStart w:id="161" w:name="_Toc485131115"/>
      <w:bookmarkEnd w:id="161"/>
      <w:bookmarkStart w:id="162" w:name="_Toc496512685"/>
      <w:bookmarkEnd w:id="162"/>
      <w:bookmarkStart w:id="163" w:name="_Toc493755102"/>
      <w:bookmarkEnd w:id="163"/>
      <w:bookmarkStart w:id="164" w:name="_Toc10162"/>
      <w:bookmarkEnd w:id="164"/>
      <w:bookmarkStart w:id="165" w:name="_Toc485072406"/>
      <w:bookmarkEnd w:id="165"/>
      <w:bookmarkStart w:id="166" w:name="_Toc485139463"/>
      <w:bookmarkEnd w:id="166"/>
      <w:bookmarkStart w:id="167" w:name="_Toc21373"/>
      <w:bookmarkEnd w:id="167"/>
      <w:bookmarkStart w:id="168" w:name="_Toc467418818"/>
      <w:bookmarkEnd w:id="168"/>
      <w:bookmarkStart w:id="169" w:name="_Toc485073012"/>
      <w:bookmarkEnd w:id="169"/>
      <w:bookmarkStart w:id="170" w:name="_Toc485139261"/>
      <w:bookmarkEnd w:id="170"/>
      <w:bookmarkStart w:id="171" w:name="_Toc485071720"/>
      <w:bookmarkEnd w:id="171"/>
      <w:bookmarkStart w:id="172" w:name="_Toc472090431"/>
      <w:bookmarkEnd w:id="172"/>
      <w:bookmarkStart w:id="173" w:name="_Toc486495532"/>
      <w:bookmarkEnd w:id="173"/>
      <w:bookmarkStart w:id="174" w:name="_Toc468189962"/>
      <w:bookmarkEnd w:id="174"/>
      <w:bookmarkStart w:id="175" w:name="_Toc475519990"/>
      <w:bookmarkEnd w:id="175"/>
      <w:bookmarkStart w:id="176" w:name="_Toc474941208"/>
      <w:bookmarkEnd w:id="176"/>
      <w:bookmarkStart w:id="177" w:name="_Toc485071518"/>
      <w:bookmarkEnd w:id="177"/>
      <w:bookmarkStart w:id="178" w:name="_Toc486495262"/>
      <w:bookmarkEnd w:id="178"/>
      <w:bookmarkStart w:id="179" w:name="_Toc9253"/>
      <w:bookmarkEnd w:id="179"/>
      <w:bookmarkStart w:id="180" w:name="_Toc485148716"/>
      <w:bookmarkEnd w:id="180"/>
      <w:bookmarkStart w:id="181" w:name="_Toc485072608"/>
      <w:bookmarkEnd w:id="181"/>
      <w:bookmarkStart w:id="182" w:name="_Toc497731103"/>
      <w:bookmarkEnd w:id="182"/>
      <w:bookmarkStart w:id="183" w:name="_Toc467419345"/>
      <w:bookmarkEnd w:id="183"/>
      <w:bookmarkStart w:id="184" w:name="_Toc467420190"/>
      <w:bookmarkEnd w:id="184"/>
      <w:bookmarkStart w:id="185" w:name="_Toc485072810"/>
      <w:bookmarkEnd w:id="185"/>
      <w:bookmarkStart w:id="186" w:name="_Toc20894"/>
      <w:bookmarkEnd w:id="186"/>
      <w:bookmarkStart w:id="187" w:name="_Toc485079085"/>
      <w:bookmarkEnd w:id="187"/>
      <w:bookmarkStart w:id="188" w:name="_Toc472090856"/>
      <w:bookmarkEnd w:id="188"/>
      <w:bookmarkStart w:id="189" w:name="_Toc492900201"/>
      <w:bookmarkEnd w:id="189"/>
      <w:bookmarkStart w:id="190" w:name="_Toc485130912"/>
      <w:bookmarkEnd w:id="190"/>
    </w:p>
    <w:p w14:paraId="7E08C0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default" w:ascii="宋体" w:eastAsia="宋体" w:cs="宋体"/>
          <w:color w:val="auto"/>
          <w:sz w:val="28"/>
          <w:szCs w:val="28"/>
          <w:highlight w:val="none"/>
          <w:lang w:val="en-US" w:eastAsia="zh-CN"/>
        </w:rPr>
      </w:pPr>
      <w:bookmarkStart w:id="191" w:name="_Toc4271"/>
      <w:bookmarkStart w:id="192" w:name="_Toc503433223"/>
      <w:bookmarkStart w:id="193" w:name="_Toc28403"/>
      <w:bookmarkStart w:id="194" w:name="_Toc30736"/>
      <w:bookmarkStart w:id="195" w:name="_Toc17983"/>
      <w:bookmarkStart w:id="196" w:name="_Toc18982_WPSOffice_Level2"/>
      <w:bookmarkStart w:id="197" w:name="_Toc14844"/>
      <w:bookmarkStart w:id="198" w:name="_Toc32551_WPSOffice_Level2"/>
      <w:bookmarkStart w:id="199" w:name="_Toc6332_WPSOffice_Level2"/>
      <w:bookmarkStart w:id="200" w:name="_Toc18494"/>
      <w:bookmarkStart w:id="201" w:name="_Toc23735_WPSOffice_Level2"/>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 xml:space="preserve">.1 </w:t>
      </w:r>
      <w:bookmarkEnd w:id="191"/>
      <w:bookmarkEnd w:id="192"/>
      <w:bookmarkEnd w:id="193"/>
      <w:bookmarkEnd w:id="194"/>
      <w:r>
        <w:rPr>
          <w:rFonts w:hint="eastAsia" w:ascii="宋体" w:hAnsi="宋体" w:cs="宋体"/>
          <w:color w:val="auto"/>
          <w:sz w:val="28"/>
          <w:szCs w:val="28"/>
          <w:highlight w:val="none"/>
          <w:lang w:val="en-US" w:eastAsia="zh-CN"/>
        </w:rPr>
        <w:t>工艺技术方案</w:t>
      </w:r>
      <w:bookmarkEnd w:id="195"/>
    </w:p>
    <w:p w14:paraId="08B507D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.1.1</w:t>
      </w:r>
      <w:bookmarkStart w:id="202" w:name="_Toc503433224"/>
      <w:r>
        <w:rPr>
          <w:rFonts w:hint="eastAsia" w:ascii="宋体" w:hAnsi="宋体" w:cs="宋体"/>
          <w:color w:val="auto"/>
          <w:sz w:val="28"/>
          <w:szCs w:val="28"/>
          <w:highlight w:val="none"/>
        </w:rPr>
        <w:t>工艺流程</w:t>
      </w:r>
      <w:bookmarkEnd w:id="202"/>
    </w:p>
    <w:p w14:paraId="6627276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none"/>
          <w:lang w:val="en-US" w:eastAsia="zh-CN"/>
        </w:rPr>
      </w:pPr>
      <w:r>
        <w:rPr>
          <w:rFonts w:hint="eastAsia" w:ascii="宋体" w:hAnsi="宋体" w:eastAsia="宋体" w:cs="宋体"/>
          <w:bCs/>
          <w:color w:val="auto"/>
          <w:kern w:val="0"/>
          <w:sz w:val="28"/>
          <w:szCs w:val="28"/>
          <w:highlight w:val="none"/>
          <w:lang w:eastAsia="zh-CN"/>
        </w:rPr>
        <w:t>（</w:t>
      </w:r>
      <w:r>
        <w:rPr>
          <w:rFonts w:hint="eastAsia" w:ascii="宋体" w:hAnsi="宋体" w:eastAsia="宋体" w:cs="宋体"/>
          <w:bCs/>
          <w:color w:val="auto"/>
          <w:kern w:val="0"/>
          <w:sz w:val="28"/>
          <w:szCs w:val="28"/>
          <w:highlight w:val="none"/>
          <w:lang w:val="en-US" w:eastAsia="zh-CN"/>
        </w:rPr>
        <w:t>1</w:t>
      </w:r>
      <w:r>
        <w:rPr>
          <w:rFonts w:hint="eastAsia" w:ascii="宋体" w:hAnsi="宋体" w:eastAsia="宋体" w:cs="宋体"/>
          <w:bCs/>
          <w:color w:val="auto"/>
          <w:kern w:val="0"/>
          <w:sz w:val="28"/>
          <w:szCs w:val="28"/>
          <w:highlight w:val="none"/>
          <w:lang w:eastAsia="zh-CN"/>
        </w:rPr>
        <w:t>）</w:t>
      </w:r>
      <w:r>
        <w:rPr>
          <w:rFonts w:hint="eastAsia" w:ascii="宋体" w:hAnsi="宋体" w:eastAsia="宋体" w:cs="宋体"/>
          <w:bCs/>
          <w:color w:val="auto"/>
          <w:kern w:val="0"/>
          <w:sz w:val="28"/>
          <w:szCs w:val="28"/>
          <w:highlight w:val="none"/>
          <w:lang w:val="en-US" w:eastAsia="zh-CN"/>
        </w:rPr>
        <w:t>氯</w:t>
      </w:r>
      <w:r>
        <w:rPr>
          <w:rFonts w:hint="eastAsia" w:ascii="宋体" w:hAnsi="宋体" w:eastAsia="宋体" w:cs="宋体"/>
          <w:bCs/>
          <w:color w:val="auto"/>
          <w:kern w:val="0"/>
          <w:sz w:val="28"/>
          <w:szCs w:val="28"/>
          <w:highlight w:val="none"/>
          <w:lang w:eastAsia="zh-CN"/>
        </w:rPr>
        <w:t>化</w:t>
      </w:r>
      <w:r>
        <w:rPr>
          <w:rFonts w:hint="eastAsia" w:ascii="宋体" w:hAnsi="宋体" w:eastAsia="宋体" w:cs="宋体"/>
          <w:bCs/>
          <w:color w:val="auto"/>
          <w:kern w:val="0"/>
          <w:sz w:val="28"/>
          <w:szCs w:val="28"/>
          <w:highlight w:val="none"/>
          <w:lang w:val="en-US" w:eastAsia="zh-CN"/>
        </w:rPr>
        <w:t>苯装置增加盐酸储罐工艺流程</w:t>
      </w:r>
    </w:p>
    <w:p w14:paraId="205C0AD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r>
        <w:rPr>
          <w:rFonts w:hint="eastAsia" w:ascii="宋体" w:hAnsi="宋体" w:eastAsia="宋体" w:cs="宋体"/>
          <w:bCs/>
          <w:color w:val="auto"/>
          <w:kern w:val="0"/>
          <w:sz w:val="28"/>
          <w:szCs w:val="28"/>
          <w:highlight w:val="none"/>
          <w:lang w:eastAsia="zh-CN"/>
        </w:rPr>
        <w:t>在盐酸泵PU-2201至V-906B泵出口接一路DN100管线进新副产盐酸储罐TK-2301</w:t>
      </w:r>
      <w:r>
        <w:rPr>
          <w:rFonts w:hint="eastAsia" w:ascii="宋体" w:hAnsi="宋体" w:eastAsia="宋体" w:cs="宋体"/>
          <w:bCs/>
          <w:color w:val="auto"/>
          <w:kern w:val="0"/>
          <w:sz w:val="28"/>
          <w:szCs w:val="28"/>
          <w:highlight w:val="none"/>
          <w:lang w:val="en-US" w:eastAsia="zh-CN"/>
        </w:rPr>
        <w:t>A</w:t>
      </w:r>
      <w:r>
        <w:rPr>
          <w:rFonts w:hint="eastAsia" w:ascii="宋体" w:hAnsi="宋体" w:eastAsia="宋体" w:cs="宋体"/>
          <w:bCs/>
          <w:color w:val="auto"/>
          <w:kern w:val="0"/>
          <w:sz w:val="28"/>
          <w:szCs w:val="28"/>
          <w:highlight w:val="none"/>
          <w:lang w:eastAsia="zh-CN"/>
        </w:rPr>
        <w:t>和TK-230</w:t>
      </w:r>
      <w:r>
        <w:rPr>
          <w:rFonts w:hint="eastAsia" w:ascii="宋体" w:hAnsi="宋体" w:eastAsia="宋体" w:cs="宋体"/>
          <w:bCs/>
          <w:color w:val="auto"/>
          <w:kern w:val="0"/>
          <w:sz w:val="28"/>
          <w:szCs w:val="28"/>
          <w:highlight w:val="none"/>
          <w:lang w:val="en-US" w:eastAsia="zh-CN"/>
        </w:rPr>
        <w:t>1B</w:t>
      </w:r>
      <w:r>
        <w:rPr>
          <w:rFonts w:hint="eastAsia" w:ascii="宋体" w:hAnsi="宋体" w:eastAsia="宋体" w:cs="宋体"/>
          <w:bCs/>
          <w:color w:val="auto"/>
          <w:kern w:val="0"/>
          <w:sz w:val="28"/>
          <w:szCs w:val="28"/>
          <w:highlight w:val="none"/>
          <w:lang w:eastAsia="zh-CN"/>
        </w:rPr>
        <w:t>，在TK-2301</w:t>
      </w:r>
      <w:r>
        <w:rPr>
          <w:rFonts w:hint="eastAsia" w:ascii="宋体" w:hAnsi="宋体" w:eastAsia="宋体" w:cs="宋体"/>
          <w:bCs/>
          <w:color w:val="auto"/>
          <w:kern w:val="0"/>
          <w:sz w:val="28"/>
          <w:szCs w:val="28"/>
          <w:highlight w:val="none"/>
          <w:lang w:val="en-US" w:eastAsia="zh-CN"/>
        </w:rPr>
        <w:t>A/B</w:t>
      </w:r>
      <w:r>
        <w:rPr>
          <w:rFonts w:hint="eastAsia" w:ascii="宋体" w:hAnsi="宋体" w:eastAsia="宋体" w:cs="宋体"/>
          <w:bCs/>
          <w:color w:val="auto"/>
          <w:kern w:val="0"/>
          <w:sz w:val="28"/>
          <w:szCs w:val="28"/>
          <w:highlight w:val="none"/>
          <w:lang w:eastAsia="zh-CN"/>
        </w:rPr>
        <w:t>储罐出口增加2台泵PU-2301A/B，返回至V-906B管线。储罐的尾气连接至TW-2107塔。TK-2301</w:t>
      </w:r>
      <w:r>
        <w:rPr>
          <w:rFonts w:hint="eastAsia" w:ascii="宋体" w:hAnsi="宋体" w:eastAsia="宋体" w:cs="宋体"/>
          <w:bCs/>
          <w:color w:val="auto"/>
          <w:kern w:val="0"/>
          <w:sz w:val="28"/>
          <w:szCs w:val="28"/>
          <w:highlight w:val="none"/>
          <w:lang w:val="en-US" w:eastAsia="zh-CN"/>
        </w:rPr>
        <w:t>A</w:t>
      </w:r>
      <w:r>
        <w:rPr>
          <w:rFonts w:hint="eastAsia" w:ascii="宋体" w:hAnsi="宋体" w:eastAsia="宋体" w:cs="宋体"/>
          <w:bCs/>
          <w:color w:val="auto"/>
          <w:kern w:val="0"/>
          <w:sz w:val="28"/>
          <w:szCs w:val="28"/>
          <w:highlight w:val="none"/>
          <w:lang w:eastAsia="zh-CN"/>
        </w:rPr>
        <w:t>的进口安装切断阀XV-23001，出口安装切断阀XV-23003，TK-230</w:t>
      </w:r>
      <w:r>
        <w:rPr>
          <w:rFonts w:hint="eastAsia" w:ascii="宋体" w:hAnsi="宋体" w:eastAsia="宋体" w:cs="宋体"/>
          <w:bCs/>
          <w:color w:val="auto"/>
          <w:kern w:val="0"/>
          <w:sz w:val="28"/>
          <w:szCs w:val="28"/>
          <w:highlight w:val="none"/>
          <w:lang w:val="en-US" w:eastAsia="zh-CN"/>
        </w:rPr>
        <w:t>1B</w:t>
      </w:r>
      <w:r>
        <w:rPr>
          <w:rFonts w:hint="eastAsia" w:ascii="宋体" w:hAnsi="宋体" w:eastAsia="宋体" w:cs="宋体"/>
          <w:bCs/>
          <w:color w:val="auto"/>
          <w:kern w:val="0"/>
          <w:sz w:val="28"/>
          <w:szCs w:val="28"/>
          <w:highlight w:val="none"/>
          <w:lang w:eastAsia="zh-CN"/>
        </w:rPr>
        <w:t>的进口安装切断阀XV-23002，出口安装切断阀XV-23004，并设置高低液位联锁。</w:t>
      </w:r>
    </w:p>
    <w:p w14:paraId="3FFAB21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r>
        <w:rPr>
          <w:rFonts w:hint="eastAsia" w:ascii="宋体" w:hAnsi="宋体" w:eastAsia="宋体" w:cs="宋体"/>
          <w:bCs/>
          <w:color w:val="auto"/>
          <w:kern w:val="0"/>
          <w:sz w:val="28"/>
          <w:szCs w:val="28"/>
          <w:highlight w:val="none"/>
          <w:lang w:eastAsia="zh-CN"/>
        </w:rPr>
        <w:t>（</w:t>
      </w:r>
      <w:r>
        <w:rPr>
          <w:rFonts w:hint="eastAsia" w:ascii="宋体" w:hAnsi="宋体" w:eastAsia="宋体" w:cs="宋体"/>
          <w:bCs/>
          <w:color w:val="auto"/>
          <w:kern w:val="0"/>
          <w:sz w:val="28"/>
          <w:szCs w:val="28"/>
          <w:highlight w:val="none"/>
          <w:lang w:val="en-US" w:eastAsia="zh-CN"/>
        </w:rPr>
        <w:t>2</w:t>
      </w:r>
      <w:r>
        <w:rPr>
          <w:rFonts w:hint="eastAsia" w:ascii="宋体" w:hAnsi="宋体" w:eastAsia="宋体" w:cs="宋体"/>
          <w:bCs/>
          <w:color w:val="auto"/>
          <w:kern w:val="0"/>
          <w:sz w:val="28"/>
          <w:szCs w:val="28"/>
          <w:highlight w:val="none"/>
          <w:lang w:eastAsia="zh-CN"/>
        </w:rPr>
        <w:t>）氯</w:t>
      </w:r>
      <w:r>
        <w:rPr>
          <w:rFonts w:hint="eastAsia" w:ascii="宋体" w:hAnsi="宋体" w:eastAsia="宋体" w:cs="宋体"/>
          <w:bCs/>
          <w:color w:val="auto"/>
          <w:kern w:val="0"/>
          <w:sz w:val="28"/>
          <w:szCs w:val="28"/>
          <w:highlight w:val="none"/>
          <w:lang w:val="en-US" w:eastAsia="zh-CN"/>
        </w:rPr>
        <w:t>乙酸</w:t>
      </w:r>
      <w:r>
        <w:rPr>
          <w:rFonts w:hint="eastAsia" w:ascii="宋体" w:hAnsi="宋体" w:eastAsia="宋体" w:cs="宋体"/>
          <w:bCs/>
          <w:color w:val="auto"/>
          <w:kern w:val="0"/>
          <w:sz w:val="28"/>
          <w:szCs w:val="28"/>
          <w:highlight w:val="none"/>
          <w:lang w:eastAsia="zh-CN"/>
        </w:rPr>
        <w:t>装置</w:t>
      </w:r>
      <w:r>
        <w:rPr>
          <w:rFonts w:hint="eastAsia" w:ascii="宋体" w:hAnsi="宋体" w:eastAsia="宋体" w:cs="宋体"/>
          <w:bCs/>
          <w:color w:val="auto"/>
          <w:kern w:val="0"/>
          <w:sz w:val="28"/>
          <w:szCs w:val="28"/>
          <w:highlight w:val="none"/>
          <w:lang w:val="en-US" w:eastAsia="zh-CN"/>
        </w:rPr>
        <w:t>增加醋酐</w:t>
      </w:r>
      <w:r>
        <w:rPr>
          <w:rFonts w:hint="eastAsia" w:ascii="宋体" w:hAnsi="宋体" w:eastAsia="宋体" w:cs="宋体"/>
          <w:bCs/>
          <w:color w:val="auto"/>
          <w:kern w:val="0"/>
          <w:sz w:val="28"/>
          <w:szCs w:val="28"/>
          <w:highlight w:val="none"/>
          <w:lang w:eastAsia="zh-CN"/>
        </w:rPr>
        <w:t>储槽</w:t>
      </w:r>
      <w:r>
        <w:rPr>
          <w:rFonts w:hint="eastAsia" w:ascii="宋体" w:hAnsi="宋体" w:eastAsia="宋体" w:cs="宋体"/>
          <w:bCs/>
          <w:color w:val="auto"/>
          <w:kern w:val="0"/>
          <w:sz w:val="28"/>
          <w:szCs w:val="28"/>
          <w:highlight w:val="none"/>
          <w:lang w:val="en-US" w:eastAsia="zh-CN"/>
        </w:rPr>
        <w:t>工艺流程</w:t>
      </w:r>
    </w:p>
    <w:p w14:paraId="022FF98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r>
        <w:rPr>
          <w:rFonts w:hint="eastAsia" w:ascii="宋体" w:hAnsi="宋体" w:eastAsia="宋体" w:cs="宋体"/>
          <w:bCs/>
          <w:color w:val="auto"/>
          <w:kern w:val="0"/>
          <w:sz w:val="28"/>
          <w:szCs w:val="28"/>
          <w:highlight w:val="none"/>
          <w:lang w:val="en-US" w:eastAsia="zh-CN"/>
        </w:rPr>
        <w:t>将现有醋酐储罐南面围堰拆除并向外扩展，同步将醋酐进料泵拆除并移位，在醋酐B罐的南面空地处新建醋酐储罐，</w:t>
      </w:r>
      <w:r>
        <w:rPr>
          <w:rFonts w:hint="eastAsia" w:ascii="宋体" w:hAnsi="宋体" w:eastAsia="宋体" w:cs="宋体"/>
          <w:bCs/>
          <w:color w:val="auto"/>
          <w:kern w:val="0"/>
          <w:sz w:val="28"/>
          <w:szCs w:val="28"/>
          <w:highlight w:val="none"/>
          <w:lang w:eastAsia="zh-CN"/>
        </w:rPr>
        <w:t>并设置高低液位联锁。</w:t>
      </w:r>
    </w:p>
    <w:p w14:paraId="585D9F8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.1.</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工艺流图</w:t>
      </w:r>
    </w:p>
    <w:p w14:paraId="3776B4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none"/>
          <w:lang w:val="en-US" w:eastAsia="zh-CN"/>
        </w:rPr>
      </w:pPr>
      <w:bookmarkStart w:id="203" w:name="_Toc20491"/>
      <w:r>
        <w:rPr>
          <w:rFonts w:hint="eastAsia" w:ascii="宋体" w:hAnsi="宋体" w:eastAsia="宋体" w:cs="宋体"/>
          <w:bCs/>
          <w:color w:val="auto"/>
          <w:kern w:val="0"/>
          <w:sz w:val="28"/>
          <w:szCs w:val="28"/>
          <w:highlight w:val="none"/>
          <w:lang w:val="en-US" w:eastAsia="zh-CN"/>
        </w:rPr>
        <w:t>见附图2。</w:t>
      </w:r>
    </w:p>
    <w:p w14:paraId="52E346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ascii="宋体" w:cs="宋体"/>
          <w:color w:val="auto"/>
          <w:sz w:val="28"/>
          <w:szCs w:val="28"/>
          <w:highlight w:val="none"/>
        </w:rPr>
      </w:pPr>
      <w:bookmarkStart w:id="204" w:name="_Toc31335"/>
      <w:bookmarkStart w:id="205" w:name="_Toc504"/>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.2</w:t>
      </w:r>
      <w:r>
        <w:rPr>
          <w:rFonts w:hint="eastAsia" w:ascii="宋体" w:hAnsi="宋体" w:cs="宋体"/>
          <w:color w:val="auto"/>
          <w:sz w:val="28"/>
          <w:szCs w:val="28"/>
          <w:highlight w:val="none"/>
        </w:rPr>
        <w:t>公用工程消耗</w:t>
      </w:r>
      <w:bookmarkEnd w:id="196"/>
      <w:bookmarkEnd w:id="197"/>
      <w:bookmarkEnd w:id="198"/>
      <w:bookmarkEnd w:id="199"/>
      <w:bookmarkEnd w:id="200"/>
      <w:bookmarkEnd w:id="201"/>
      <w:bookmarkEnd w:id="203"/>
      <w:bookmarkEnd w:id="204"/>
      <w:bookmarkEnd w:id="205"/>
    </w:p>
    <w:p w14:paraId="091F53C9">
      <w:pPr>
        <w:pStyle w:val="21"/>
        <w:spacing w:line="560" w:lineRule="exact"/>
        <w:ind w:firstLine="31680"/>
        <w:jc w:val="left"/>
        <w:outlineLvl w:val="1"/>
        <w:rPr>
          <w:rFonts w:ascii="宋体" w:cs="宋体"/>
          <w:color w:val="auto"/>
          <w:sz w:val="28"/>
          <w:szCs w:val="28"/>
          <w:highlight w:val="yellow"/>
        </w:rPr>
      </w:pPr>
      <w:bookmarkStart w:id="206" w:name="_Toc23968"/>
      <w:bookmarkStart w:id="207" w:name="_Toc31107"/>
      <w:bookmarkStart w:id="208" w:name="_Toc30134"/>
      <w:bookmarkStart w:id="209" w:name="_Toc3147"/>
      <w:bookmarkStart w:id="210" w:name="_Toc27138"/>
      <w:bookmarkStart w:id="211" w:name="_Toc11446"/>
      <w:r>
        <w:rPr>
          <w:rFonts w:hint="eastAsia" w:ascii="宋体" w:hAnsi="宋体" w:cs="宋体"/>
          <w:color w:val="auto"/>
          <w:sz w:val="28"/>
          <w:szCs w:val="28"/>
          <w:highlight w:val="yellow"/>
        </w:rPr>
        <w:t>本项目主要消耗为</w:t>
      </w:r>
      <w:r>
        <w:rPr>
          <w:rFonts w:hint="eastAsia" w:ascii="宋体" w:hAnsi="宋体" w:cs="宋体"/>
          <w:color w:val="auto"/>
          <w:sz w:val="28"/>
          <w:szCs w:val="28"/>
          <w:highlight w:val="yellow"/>
          <w:lang w:val="en-US" w:eastAsia="zh-CN"/>
        </w:rPr>
        <w:t>仪表气、氮气</w:t>
      </w:r>
      <w:r>
        <w:rPr>
          <w:rFonts w:hint="eastAsia" w:ascii="宋体" w:hAnsi="宋体" w:cs="宋体"/>
          <w:color w:val="auto"/>
          <w:sz w:val="28"/>
          <w:szCs w:val="28"/>
          <w:highlight w:val="yellow"/>
        </w:rPr>
        <w:t>。</w:t>
      </w:r>
      <w:bookmarkEnd w:id="206"/>
      <w:bookmarkEnd w:id="207"/>
      <w:bookmarkEnd w:id="208"/>
      <w:bookmarkEnd w:id="209"/>
      <w:bookmarkEnd w:id="210"/>
      <w:bookmarkEnd w:id="211"/>
    </w:p>
    <w:tbl>
      <w:tblPr>
        <w:tblStyle w:val="15"/>
        <w:tblW w:w="4997" w:type="pct"/>
        <w:tblInd w:w="0" w:type="dxa"/>
        <w:tblLayout w:type="autofit"/>
        <w:tblCellMar>
          <w:top w:w="0" w:type="dxa"/>
          <w:left w:w="0" w:type="dxa"/>
          <w:bottom w:w="0" w:type="dxa"/>
          <w:right w:w="0" w:type="dxa"/>
        </w:tblCellMar>
      </w:tblPr>
      <w:tblGrid>
        <w:gridCol w:w="807"/>
        <w:gridCol w:w="2304"/>
        <w:gridCol w:w="1425"/>
        <w:gridCol w:w="2064"/>
        <w:gridCol w:w="1731"/>
      </w:tblGrid>
      <w:tr w14:paraId="5ABBC07D">
        <w:tblPrEx>
          <w:tblCellMar>
            <w:top w:w="0" w:type="dxa"/>
            <w:left w:w="0" w:type="dxa"/>
            <w:bottom w:w="0" w:type="dxa"/>
            <w:right w:w="0" w:type="dxa"/>
          </w:tblCellMar>
        </w:tblPrEx>
        <w:trPr>
          <w:trHeight w:val="567" w:hRule="atLeast"/>
        </w:trPr>
        <w:tc>
          <w:tcPr>
            <w:tcW w:w="4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6F2ED">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序号</w:t>
            </w:r>
          </w:p>
        </w:tc>
        <w:tc>
          <w:tcPr>
            <w:tcW w:w="13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842B86">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名称</w:t>
            </w:r>
          </w:p>
        </w:tc>
        <w:tc>
          <w:tcPr>
            <w:tcW w:w="85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F76CF">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单位</w:t>
            </w:r>
          </w:p>
        </w:tc>
        <w:tc>
          <w:tcPr>
            <w:tcW w:w="1238" w:type="pct"/>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342C7F0A">
            <w:pPr>
              <w:widowControl/>
              <w:jc w:val="center"/>
              <w:textAlignment w:val="center"/>
              <w:rPr>
                <w:rFonts w:hint="eastAsia" w:ascii="宋体" w:eastAsia="宋体" w:cs="宋体"/>
                <w:color w:val="auto"/>
                <w:szCs w:val="21"/>
                <w:highlight w:val="none"/>
                <w:lang w:eastAsia="zh-CN"/>
              </w:rPr>
            </w:pPr>
            <w:r>
              <w:rPr>
                <w:rFonts w:hint="eastAsia" w:ascii="宋体" w:hAnsi="宋体" w:cs="宋体"/>
                <w:color w:val="auto"/>
                <w:kern w:val="0"/>
                <w:szCs w:val="21"/>
                <w:highlight w:val="none"/>
              </w:rPr>
              <w:t>消耗量</w:t>
            </w:r>
            <w:r>
              <w:rPr>
                <w:rFonts w:ascii="宋体" w:hAnsi="宋体" w:cs="宋体"/>
                <w:color w:val="auto"/>
                <w:kern w:val="0"/>
                <w:szCs w:val="21"/>
                <w:highlight w:val="none"/>
              </w:rPr>
              <w:t>/</w:t>
            </w:r>
            <w:r>
              <w:rPr>
                <w:rFonts w:hint="eastAsia" w:ascii="宋体" w:hAnsi="宋体" w:cs="宋体"/>
                <w:color w:val="auto"/>
                <w:kern w:val="0"/>
                <w:szCs w:val="21"/>
                <w:highlight w:val="none"/>
                <w:lang w:val="en-US" w:eastAsia="zh-CN"/>
              </w:rPr>
              <w:t>a</w:t>
            </w:r>
          </w:p>
        </w:tc>
        <w:tc>
          <w:tcPr>
            <w:tcW w:w="1038"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0DE4F27E">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备注</w:t>
            </w:r>
          </w:p>
        </w:tc>
      </w:tr>
      <w:tr w14:paraId="2EA6B635">
        <w:tblPrEx>
          <w:tblCellMar>
            <w:top w:w="0" w:type="dxa"/>
            <w:left w:w="0" w:type="dxa"/>
            <w:bottom w:w="0" w:type="dxa"/>
            <w:right w:w="0" w:type="dxa"/>
          </w:tblCellMar>
        </w:tblPrEx>
        <w:trPr>
          <w:trHeight w:val="567" w:hRule="atLeast"/>
        </w:trPr>
        <w:tc>
          <w:tcPr>
            <w:tcW w:w="4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A7E81">
            <w:pPr>
              <w:widowControl/>
              <w:jc w:val="center"/>
              <w:textAlignment w:val="center"/>
              <w:rPr>
                <w:rFonts w:ascii="宋体" w:cs="宋体"/>
                <w:color w:val="auto"/>
                <w:szCs w:val="21"/>
                <w:highlight w:val="yellow"/>
              </w:rPr>
            </w:pPr>
            <w:r>
              <w:rPr>
                <w:rFonts w:ascii="宋体" w:hAnsi="宋体" w:cs="宋体"/>
                <w:color w:val="auto"/>
                <w:kern w:val="0"/>
                <w:szCs w:val="21"/>
                <w:highlight w:val="yellow"/>
              </w:rPr>
              <w:t>1</w:t>
            </w:r>
          </w:p>
        </w:tc>
        <w:tc>
          <w:tcPr>
            <w:tcW w:w="1382" w:type="pc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14:paraId="49D80276">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仪表气（0.6MPa）</w:t>
            </w:r>
          </w:p>
        </w:tc>
        <w:tc>
          <w:tcPr>
            <w:tcW w:w="855" w:type="pc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14:paraId="1C7686D3">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Nm³</w:t>
            </w:r>
          </w:p>
        </w:tc>
        <w:tc>
          <w:tcPr>
            <w:tcW w:w="1238" w:type="pct"/>
            <w:tcBorders>
              <w:top w:val="single" w:color="000000" w:sz="4" w:space="0"/>
              <w:left w:val="single" w:color="000000" w:sz="4" w:space="0"/>
              <w:bottom w:val="single" w:color="000000" w:sz="4" w:space="0"/>
              <w:right w:val="single" w:color="auto" w:sz="4" w:space="0"/>
            </w:tcBorders>
            <w:shd w:val="clear"/>
            <w:noWrap/>
            <w:tcMar>
              <w:top w:w="15" w:type="dxa"/>
              <w:left w:w="15" w:type="dxa"/>
              <w:right w:w="15" w:type="dxa"/>
            </w:tcMar>
            <w:vAlign w:val="center"/>
          </w:tcPr>
          <w:p w14:paraId="3FC596F4">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7800</w:t>
            </w:r>
          </w:p>
        </w:tc>
        <w:tc>
          <w:tcPr>
            <w:tcW w:w="1038"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45E76BED">
            <w:pPr>
              <w:widowControl/>
              <w:jc w:val="center"/>
              <w:textAlignment w:val="center"/>
              <w:rPr>
                <w:rFonts w:hint="eastAsia" w:ascii="宋体" w:hAnsi="宋体" w:eastAsia="宋体" w:cs="宋体"/>
                <w:color w:val="auto"/>
                <w:kern w:val="0"/>
                <w:szCs w:val="21"/>
                <w:highlight w:val="yellow"/>
                <w:lang w:val="en-US" w:eastAsia="zh-CN"/>
              </w:rPr>
            </w:pPr>
          </w:p>
        </w:tc>
      </w:tr>
      <w:tr w14:paraId="111FEB08">
        <w:tblPrEx>
          <w:tblCellMar>
            <w:top w:w="0" w:type="dxa"/>
            <w:left w:w="0" w:type="dxa"/>
            <w:bottom w:w="0" w:type="dxa"/>
            <w:right w:w="0" w:type="dxa"/>
          </w:tblCellMar>
        </w:tblPrEx>
        <w:trPr>
          <w:trHeight w:val="567" w:hRule="atLeast"/>
        </w:trPr>
        <w:tc>
          <w:tcPr>
            <w:tcW w:w="4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66AC8">
            <w:pPr>
              <w:widowControl/>
              <w:jc w:val="center"/>
              <w:textAlignment w:val="center"/>
              <w:rPr>
                <w:rFonts w:hint="eastAsia" w:ascii="宋体" w:hAnsi="宋体" w:eastAsia="宋体" w:cs="宋体"/>
                <w:color w:val="auto"/>
                <w:kern w:val="0"/>
                <w:szCs w:val="21"/>
                <w:highlight w:val="none"/>
                <w:lang w:val="en-US" w:eastAsia="zh-CN"/>
              </w:rPr>
            </w:pPr>
            <w:bookmarkStart w:id="212" w:name="_Toc10252"/>
            <w:bookmarkStart w:id="213" w:name="_Toc503433229"/>
            <w:bookmarkStart w:id="214" w:name="_Toc3179"/>
            <w:bookmarkStart w:id="215" w:name="_Toc26828"/>
            <w:bookmarkStart w:id="216" w:name="_Toc31370"/>
            <w:bookmarkStart w:id="217" w:name="_Toc24819_WPSOffice_Level2"/>
            <w:bookmarkStart w:id="218" w:name="_Toc15204"/>
            <w:bookmarkStart w:id="219" w:name="_Toc31895"/>
            <w:bookmarkStart w:id="220" w:name="_Toc10589_WPSOffice_Level2"/>
            <w:bookmarkStart w:id="221" w:name="_Toc25359_WPSOffice_Level2"/>
            <w:bookmarkStart w:id="222" w:name="_Toc7818_WPSOffice_Level2"/>
            <w:r>
              <w:rPr>
                <w:rFonts w:hint="eastAsia" w:ascii="宋体" w:hAnsi="宋体" w:cs="宋体"/>
                <w:color w:val="auto"/>
                <w:kern w:val="0"/>
                <w:szCs w:val="21"/>
                <w:highlight w:val="none"/>
                <w:lang w:val="en-US" w:eastAsia="zh-CN"/>
              </w:rPr>
              <w:t>2</w:t>
            </w:r>
          </w:p>
        </w:tc>
        <w:tc>
          <w:tcPr>
            <w:tcW w:w="13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521E0">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氮气（0.4MPa）</w:t>
            </w:r>
          </w:p>
        </w:tc>
        <w:tc>
          <w:tcPr>
            <w:tcW w:w="8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CDD30">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Nm³</w:t>
            </w:r>
          </w:p>
        </w:tc>
        <w:tc>
          <w:tcPr>
            <w:tcW w:w="1238"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7D18F64">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11700</w:t>
            </w:r>
          </w:p>
        </w:tc>
        <w:tc>
          <w:tcPr>
            <w:tcW w:w="1038"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AAFA3A8">
            <w:pPr>
              <w:widowControl/>
              <w:jc w:val="center"/>
              <w:textAlignment w:val="center"/>
              <w:rPr>
                <w:rFonts w:hint="eastAsia" w:ascii="宋体" w:hAnsi="宋体" w:eastAsia="宋体" w:cs="宋体"/>
                <w:color w:val="auto"/>
                <w:kern w:val="0"/>
                <w:szCs w:val="21"/>
                <w:highlight w:val="none"/>
              </w:rPr>
            </w:pPr>
          </w:p>
        </w:tc>
      </w:tr>
    </w:tbl>
    <w:p w14:paraId="424F8B6C">
      <w:pPr>
        <w:spacing w:line="560" w:lineRule="exact"/>
        <w:ind w:firstLine="560" w:firstLineChars="200"/>
        <w:outlineLvl w:val="1"/>
        <w:rPr>
          <w:rFonts w:ascii="宋体" w:cs="宋体"/>
          <w:color w:val="auto"/>
          <w:sz w:val="28"/>
          <w:szCs w:val="28"/>
          <w:highlight w:val="none"/>
        </w:rPr>
      </w:pPr>
      <w:bookmarkStart w:id="223" w:name="_Toc9342"/>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.3</w:t>
      </w:r>
      <w:r>
        <w:rPr>
          <w:rFonts w:hint="eastAsia" w:ascii="宋体" w:hAnsi="宋体" w:cs="宋体"/>
          <w:color w:val="auto"/>
          <w:sz w:val="28"/>
          <w:szCs w:val="28"/>
          <w:highlight w:val="none"/>
        </w:rPr>
        <w:t>主要设备的选择</w:t>
      </w:r>
      <w:bookmarkEnd w:id="212"/>
      <w:bookmarkEnd w:id="213"/>
      <w:bookmarkEnd w:id="214"/>
      <w:bookmarkEnd w:id="215"/>
      <w:bookmarkEnd w:id="223"/>
    </w:p>
    <w:p w14:paraId="070238C5">
      <w:pPr>
        <w:spacing w:line="560" w:lineRule="exact"/>
        <w:ind w:firstLine="560" w:firstLineChars="200"/>
        <w:rPr>
          <w:rFonts w:ascii="宋体" w:cs="宋体"/>
          <w:color w:val="auto"/>
          <w:sz w:val="28"/>
          <w:szCs w:val="28"/>
          <w:highlight w:val="none"/>
        </w:rPr>
      </w:pPr>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.3.1</w:t>
      </w:r>
      <w:r>
        <w:rPr>
          <w:rFonts w:hint="eastAsia" w:ascii="宋体" w:hAnsi="宋体" w:cs="宋体"/>
          <w:color w:val="auto"/>
          <w:sz w:val="28"/>
          <w:szCs w:val="28"/>
          <w:highlight w:val="none"/>
        </w:rPr>
        <w:t>概述</w:t>
      </w:r>
    </w:p>
    <w:p w14:paraId="06CB7B4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设备设计原则遵循国家现行法律法规、标准规范，在满足工艺要求的前提下，为加快工程进度，降低造价，节省投资</w:t>
      </w:r>
      <w:r>
        <w:rPr>
          <w:rFonts w:ascii="宋体" w:cs="宋体"/>
          <w:color w:val="auto"/>
          <w:sz w:val="28"/>
          <w:szCs w:val="28"/>
          <w:highlight w:val="none"/>
        </w:rPr>
        <w:t>,</w:t>
      </w:r>
      <w:r>
        <w:rPr>
          <w:rFonts w:hint="eastAsia" w:ascii="宋体" w:hAnsi="宋体" w:cs="宋体"/>
          <w:color w:val="auto"/>
          <w:sz w:val="28"/>
          <w:szCs w:val="28"/>
          <w:highlight w:val="none"/>
        </w:rPr>
        <w:t>设备设计尽量采用通用型和系列化的结构、尺寸以及配件。例如：容器筒体和封头，包括：球形、椭圆形、锥形等的直径；法兰及紧固件；液面计；除雾器；人手孔；支座；吊耳；梯子平台等配件均尽量按标准化、商品化产品选择和使用。</w:t>
      </w:r>
    </w:p>
    <w:p w14:paraId="0A26B5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 xml:space="preserve">.3.2 </w:t>
      </w:r>
      <w:r>
        <w:rPr>
          <w:rFonts w:hint="eastAsia" w:ascii="宋体" w:hAnsi="宋体" w:cs="宋体"/>
          <w:color w:val="auto"/>
          <w:sz w:val="28"/>
          <w:szCs w:val="28"/>
          <w:highlight w:val="none"/>
        </w:rPr>
        <w:t>采用的标准规范</w:t>
      </w:r>
    </w:p>
    <w:p w14:paraId="551537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工程中采用的技术和设备，应是先进、成熟、安全、可靠的。设备的设计和制造均采用现行国际标准和规范。</w:t>
      </w:r>
    </w:p>
    <w:p w14:paraId="3589734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常压储罐完整性管理</w:t>
      </w:r>
      <w:r>
        <w:rPr>
          <w:rFonts w:hint="eastAsia" w:ascii="宋体" w:hAnsi="宋体" w:eastAsia="宋体" w:cs="宋体"/>
          <w:color w:val="auto"/>
          <w:sz w:val="28"/>
          <w:szCs w:val="28"/>
          <w:highlight w:val="none"/>
          <w:lang w:val="en-US" w:eastAsia="zh-CN"/>
        </w:rPr>
        <w:t>》GB/T 37327-2019</w:t>
      </w:r>
    </w:p>
    <w:p w14:paraId="499108D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立式圆筒形钢制焊接储罐施工规范</w:t>
      </w:r>
      <w:r>
        <w:rPr>
          <w:rFonts w:hint="eastAsia" w:ascii="宋体" w:hAnsi="宋体" w:eastAsia="宋体" w:cs="宋体"/>
          <w:color w:val="auto"/>
          <w:sz w:val="28"/>
          <w:szCs w:val="28"/>
          <w:highlight w:val="none"/>
          <w:lang w:val="en-US" w:eastAsia="zh-CN"/>
        </w:rPr>
        <w:t>》GB 50128-2014</w:t>
      </w:r>
    </w:p>
    <w:p w14:paraId="1AA3F9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《钢质储罐内衬环氧玻璃钢技术标准》SH/T 3560-2017</w:t>
      </w:r>
    </w:p>
    <w:p w14:paraId="4E7946E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工厂焊接液体储罐规范</w:t>
      </w:r>
      <w:r>
        <w:rPr>
          <w:rFonts w:hint="eastAsia" w:ascii="宋体" w:hAnsi="宋体" w:eastAsia="宋体" w:cs="宋体"/>
          <w:color w:val="auto"/>
          <w:sz w:val="28"/>
          <w:szCs w:val="28"/>
          <w:highlight w:val="none"/>
          <w:lang w:val="en-US" w:eastAsia="zh-CN"/>
        </w:rPr>
        <w:t>》SY/T 0604-2020</w:t>
      </w:r>
    </w:p>
    <w:p w14:paraId="5C95A34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现场焊接液体储罐规范</w:t>
      </w:r>
      <w:r>
        <w:rPr>
          <w:rFonts w:hint="eastAsia" w:ascii="宋体" w:hAnsi="宋体" w:eastAsia="宋体" w:cs="宋体"/>
          <w:color w:val="auto"/>
          <w:sz w:val="28"/>
          <w:szCs w:val="28"/>
          <w:highlight w:val="none"/>
          <w:lang w:val="en-US" w:eastAsia="zh-CN"/>
        </w:rPr>
        <w:t>》SY/T 0606-2014</w:t>
      </w:r>
    </w:p>
    <w:p w14:paraId="6E6DB22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钢质储罐腐蚀控制技术规范</w:t>
      </w:r>
      <w:r>
        <w:rPr>
          <w:rFonts w:hint="eastAsia" w:ascii="宋体" w:hAnsi="宋体" w:eastAsia="宋体" w:cs="宋体"/>
          <w:color w:val="auto"/>
          <w:sz w:val="28"/>
          <w:szCs w:val="28"/>
          <w:highlight w:val="none"/>
          <w:lang w:val="en-US" w:eastAsia="zh-CN"/>
        </w:rPr>
        <w:t>》SY/T 6784-2023</w:t>
      </w:r>
    </w:p>
    <w:p w14:paraId="0447839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化工设备衬里钢壳设计标准</w:t>
      </w:r>
      <w:r>
        <w:rPr>
          <w:rFonts w:hint="eastAsia" w:ascii="宋体" w:hAnsi="宋体" w:eastAsia="宋体" w:cs="宋体"/>
          <w:color w:val="auto"/>
          <w:sz w:val="28"/>
          <w:szCs w:val="28"/>
          <w:highlight w:val="none"/>
          <w:lang w:val="en-US" w:eastAsia="zh-CN"/>
        </w:rPr>
        <w:t>》HG/T20678-2023</w:t>
      </w:r>
    </w:p>
    <w:p w14:paraId="6A3D82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化工储罐施工及验收规范</w:t>
      </w:r>
      <w:r>
        <w:rPr>
          <w:rFonts w:hint="eastAsia" w:ascii="宋体" w:hAnsi="宋体" w:eastAsia="宋体" w:cs="宋体"/>
          <w:color w:val="auto"/>
          <w:sz w:val="28"/>
          <w:szCs w:val="28"/>
          <w:highlight w:val="none"/>
          <w:lang w:val="en-US" w:eastAsia="zh-CN"/>
        </w:rPr>
        <w:t>》HG/T 20277-2019</w:t>
      </w:r>
    </w:p>
    <w:p w14:paraId="67ACA37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 xml:space="preserve">.3.3 </w:t>
      </w:r>
      <w:r>
        <w:rPr>
          <w:rFonts w:hint="eastAsia" w:ascii="宋体" w:hAnsi="宋体" w:cs="宋体"/>
          <w:color w:val="auto"/>
          <w:sz w:val="28"/>
          <w:szCs w:val="28"/>
          <w:highlight w:val="none"/>
        </w:rPr>
        <w:t>主要设备一览表</w:t>
      </w:r>
    </w:p>
    <w:p w14:paraId="6971DC9C">
      <w:pPr>
        <w:keepNext w:val="0"/>
        <w:keepLines w:val="0"/>
        <w:pageBreakBefore w:val="0"/>
        <w:widowControl w:val="0"/>
        <w:kinsoku/>
        <w:wordWrap/>
        <w:overflowPunct/>
        <w:topLinePunct w:val="0"/>
        <w:autoSpaceDE/>
        <w:autoSpaceDN/>
        <w:bidi w:val="0"/>
        <w:snapToGrid/>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本项目主要设备见表</w:t>
      </w:r>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.3-1</w:t>
      </w:r>
      <w:r>
        <w:rPr>
          <w:rFonts w:hint="eastAsia" w:ascii="宋体" w:hAnsi="宋体" w:cs="宋体"/>
          <w:color w:val="auto"/>
          <w:sz w:val="28"/>
          <w:szCs w:val="28"/>
          <w:highlight w:val="none"/>
        </w:rPr>
        <w:t>。</w:t>
      </w:r>
    </w:p>
    <w:p w14:paraId="20492B95">
      <w:pPr>
        <w:keepNext w:val="0"/>
        <w:keepLines w:val="0"/>
        <w:pageBreakBefore w:val="0"/>
        <w:widowControl w:val="0"/>
        <w:kinsoku/>
        <w:wordWrap/>
        <w:overflowPunct/>
        <w:topLinePunct w:val="0"/>
        <w:autoSpaceDE/>
        <w:autoSpaceDN/>
        <w:bidi w:val="0"/>
        <w:snapToGrid/>
        <w:spacing w:line="560" w:lineRule="exact"/>
        <w:ind w:firstLine="492" w:firstLineChars="200"/>
        <w:jc w:val="center"/>
        <w:rPr>
          <w:rFonts w:hint="eastAsia" w:ascii="宋体" w:hAnsi="宋体" w:eastAsia="宋体" w:cs="宋体"/>
          <w:color w:val="auto"/>
          <w:spacing w:val="3"/>
          <w:sz w:val="24"/>
          <w:szCs w:val="24"/>
          <w:highlight w:val="yellow"/>
        </w:rPr>
      </w:pPr>
      <w:r>
        <w:rPr>
          <w:rFonts w:hint="eastAsia" w:ascii="宋体" w:hAnsi="宋体" w:eastAsia="宋体" w:cs="宋体"/>
          <w:color w:val="auto"/>
          <w:spacing w:val="3"/>
          <w:sz w:val="24"/>
          <w:szCs w:val="24"/>
          <w:highlight w:val="yellow"/>
        </w:rPr>
        <w:t>表</w:t>
      </w:r>
      <w:r>
        <w:rPr>
          <w:rFonts w:hint="eastAsia" w:ascii="宋体" w:hAnsi="宋体" w:eastAsia="宋体" w:cs="宋体"/>
          <w:color w:val="auto"/>
          <w:spacing w:val="3"/>
          <w:sz w:val="24"/>
          <w:szCs w:val="24"/>
          <w:highlight w:val="yellow"/>
          <w:lang w:val="en-US" w:eastAsia="zh-CN"/>
        </w:rPr>
        <w:t>3</w:t>
      </w:r>
      <w:r>
        <w:rPr>
          <w:rFonts w:hint="eastAsia" w:ascii="宋体" w:hAnsi="宋体" w:eastAsia="宋体" w:cs="宋体"/>
          <w:color w:val="auto"/>
          <w:spacing w:val="3"/>
          <w:sz w:val="24"/>
          <w:szCs w:val="24"/>
          <w:highlight w:val="yellow"/>
        </w:rPr>
        <w:t>.3-1 主要设备一览表</w:t>
      </w:r>
    </w:p>
    <w:tbl>
      <w:tblPr>
        <w:tblStyle w:val="1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4"/>
        <w:gridCol w:w="975"/>
        <w:gridCol w:w="1163"/>
        <w:gridCol w:w="1218"/>
        <w:gridCol w:w="772"/>
        <w:gridCol w:w="924"/>
        <w:gridCol w:w="924"/>
        <w:gridCol w:w="924"/>
        <w:gridCol w:w="925"/>
      </w:tblGrid>
      <w:tr w14:paraId="58DA0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6473E">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序号</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1BABC">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名  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8F6C5">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材  质</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E7F61">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规  格</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AD3FD">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类型</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1165B">
            <w:pPr>
              <w:widowControl/>
              <w:jc w:val="center"/>
              <w:textAlignment w:val="center"/>
              <w:rPr>
                <w:rFonts w:hint="default" w:ascii="宋体" w:hAnsi="宋体" w:eastAsia="宋体" w:cs="宋体"/>
                <w:color w:val="auto"/>
                <w:kern w:val="0"/>
                <w:szCs w:val="21"/>
                <w:highlight w:val="none"/>
                <w:lang w:val="en-US"/>
              </w:rPr>
            </w:pPr>
            <w:r>
              <w:rPr>
                <w:rFonts w:hint="eastAsia" w:ascii="宋体" w:hAnsi="宋体" w:eastAsia="宋体" w:cs="宋体"/>
                <w:color w:val="auto"/>
                <w:kern w:val="0"/>
                <w:szCs w:val="21"/>
                <w:highlight w:val="none"/>
                <w:lang w:val="en-US" w:eastAsia="zh-CN"/>
              </w:rPr>
              <w:t>设计温度</w:t>
            </w:r>
            <w:r>
              <w:rPr>
                <w:rFonts w:hint="eastAsia" w:ascii="宋体" w:hAnsi="宋体" w:cs="宋体"/>
                <w:color w:val="auto"/>
                <w:kern w:val="0"/>
                <w:szCs w:val="21"/>
                <w:highlight w:val="none"/>
                <w:lang w:val="en-US" w:eastAsia="zh-CN"/>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65BE1">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设计压力</w:t>
            </w:r>
            <w:r>
              <w:rPr>
                <w:rFonts w:hint="eastAsia"/>
                <w:color w:val="auto"/>
                <w:highlight w:val="none"/>
                <w:lang w:val="en-US" w:eastAsia="zh-CN"/>
              </w:rPr>
              <w:t>MPa</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46BC8">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数量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BA7B1">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备  注</w:t>
            </w:r>
          </w:p>
        </w:tc>
      </w:tr>
      <w:tr w14:paraId="42C22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2F99">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78FC8">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盐酸储罐</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7329">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内衬环氧树脂玻璃钢</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C1463">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600m³</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060B">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立式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F19E8">
            <w:pPr>
              <w:widowControl/>
              <w:jc w:val="center"/>
              <w:textAlignment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CF37">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常压</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69CF1">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5E098">
            <w:pPr>
              <w:widowControl/>
              <w:jc w:val="center"/>
              <w:textAlignment w:val="center"/>
              <w:rPr>
                <w:rFonts w:hint="eastAsia" w:ascii="宋体" w:hAnsi="宋体" w:eastAsia="宋体" w:cs="宋体"/>
                <w:color w:val="auto"/>
                <w:kern w:val="0"/>
                <w:szCs w:val="21"/>
                <w:highlight w:val="none"/>
              </w:rPr>
            </w:pPr>
          </w:p>
        </w:tc>
      </w:tr>
      <w:tr w14:paraId="6CE0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6F8E5">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1A3A0">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盐酸储罐</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8460B">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内衬环氧树脂玻璃钢</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EEB93">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1500m³</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2170">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立式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A8F68">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60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04D7">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常压</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F48CC">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CD4CA">
            <w:pPr>
              <w:widowControl/>
              <w:jc w:val="center"/>
              <w:textAlignment w:val="center"/>
              <w:rPr>
                <w:rFonts w:hint="eastAsia" w:ascii="宋体" w:hAnsi="宋体" w:eastAsia="宋体" w:cs="宋体"/>
                <w:color w:val="auto"/>
                <w:kern w:val="0"/>
                <w:szCs w:val="21"/>
                <w:highlight w:val="none"/>
              </w:rPr>
            </w:pPr>
          </w:p>
        </w:tc>
      </w:tr>
      <w:tr w14:paraId="7910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F79D4">
            <w:pPr>
              <w:widowControl/>
              <w:jc w:val="center"/>
              <w:textAlignment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3</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5CB13">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醋酐储罐</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3A817">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316L不锈钢</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424E4">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35m³</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1814A">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立式</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AEF50">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80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95BF2">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0.05</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2593B">
            <w:pPr>
              <w:widowControl/>
              <w:jc w:val="center"/>
              <w:textAlignment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1</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610F1">
            <w:pPr>
              <w:widowControl/>
              <w:jc w:val="center"/>
              <w:textAlignment w:val="center"/>
              <w:rPr>
                <w:rFonts w:hint="eastAsia" w:ascii="宋体" w:hAnsi="宋体" w:eastAsia="宋体" w:cs="宋体"/>
                <w:color w:val="auto"/>
                <w:kern w:val="0"/>
                <w:sz w:val="21"/>
                <w:szCs w:val="21"/>
                <w:highlight w:val="none"/>
                <w:lang w:val="en-US" w:eastAsia="zh-CN" w:bidi="ar-SA"/>
              </w:rPr>
            </w:pPr>
          </w:p>
        </w:tc>
      </w:tr>
    </w:tbl>
    <w:p w14:paraId="1DE02E67">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1"/>
        <w:rPr>
          <w:rFonts w:ascii="宋体" w:cs="宋体"/>
          <w:color w:val="auto"/>
          <w:sz w:val="28"/>
          <w:szCs w:val="28"/>
          <w:highlight w:val="none"/>
        </w:rPr>
      </w:pPr>
      <w:bookmarkStart w:id="224" w:name="_Toc25202"/>
      <w:bookmarkStart w:id="225" w:name="_Toc20685"/>
      <w:bookmarkStart w:id="226" w:name="_Toc16855"/>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rPr>
        <w:t>.4</w:t>
      </w:r>
      <w:r>
        <w:rPr>
          <w:rFonts w:hint="eastAsia" w:ascii="宋体" w:hAnsi="宋体" w:cs="宋体"/>
          <w:color w:val="auto"/>
          <w:sz w:val="28"/>
          <w:szCs w:val="28"/>
          <w:highlight w:val="none"/>
        </w:rPr>
        <w:t>自控</w:t>
      </w:r>
      <w:bookmarkEnd w:id="216"/>
      <w:bookmarkEnd w:id="217"/>
      <w:bookmarkEnd w:id="218"/>
      <w:bookmarkEnd w:id="219"/>
      <w:bookmarkEnd w:id="220"/>
      <w:bookmarkEnd w:id="221"/>
      <w:bookmarkEnd w:id="222"/>
      <w:r>
        <w:rPr>
          <w:rFonts w:hint="eastAsia" w:ascii="宋体" w:hAnsi="宋体" w:cs="宋体"/>
          <w:color w:val="auto"/>
          <w:sz w:val="28"/>
          <w:szCs w:val="28"/>
          <w:highlight w:val="none"/>
        </w:rPr>
        <w:t>系统</w:t>
      </w:r>
      <w:bookmarkEnd w:id="224"/>
      <w:bookmarkEnd w:id="225"/>
      <w:bookmarkEnd w:id="226"/>
    </w:p>
    <w:p w14:paraId="7FF12FB4">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lang w:val="zh-CN"/>
        </w:rPr>
      </w:pPr>
      <w:bookmarkStart w:id="227" w:name="_Toc10440"/>
      <w:bookmarkStart w:id="228" w:name="_Toc18964"/>
      <w:bookmarkStart w:id="229" w:name="_Toc503433233"/>
      <w:bookmarkStart w:id="230" w:name="_Toc8655"/>
      <w:bookmarkStart w:id="231" w:name="_Toc8317_WPSOffice_Level2"/>
      <w:bookmarkStart w:id="232" w:name="_Toc16916"/>
      <w:bookmarkStart w:id="233" w:name="_Toc10194"/>
      <w:bookmarkStart w:id="234" w:name="_Toc13610_WPSOffice_Level2"/>
      <w:bookmarkStart w:id="235" w:name="_Toc4182_WPSOffice_Level2"/>
      <w:bookmarkStart w:id="236" w:name="_Toc21923_WPSOffice_Level2"/>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lang w:val="zh-CN"/>
        </w:rPr>
        <w:t>.</w:t>
      </w:r>
      <w:r>
        <w:rPr>
          <w:rFonts w:ascii="宋体" w:hAnsi="宋体" w:cs="宋体"/>
          <w:color w:val="auto"/>
          <w:sz w:val="28"/>
          <w:szCs w:val="28"/>
          <w:highlight w:val="none"/>
        </w:rPr>
        <w:t>4</w:t>
      </w:r>
      <w:r>
        <w:rPr>
          <w:rFonts w:ascii="宋体" w:hAnsi="宋体" w:cs="宋体"/>
          <w:color w:val="auto"/>
          <w:sz w:val="28"/>
          <w:szCs w:val="28"/>
          <w:highlight w:val="none"/>
          <w:lang w:val="zh-CN"/>
        </w:rPr>
        <w:t xml:space="preserve">.1 </w:t>
      </w:r>
      <w:r>
        <w:rPr>
          <w:rFonts w:hint="eastAsia" w:ascii="宋体" w:hAnsi="宋体" w:cs="宋体"/>
          <w:color w:val="auto"/>
          <w:sz w:val="28"/>
          <w:szCs w:val="28"/>
          <w:highlight w:val="none"/>
          <w:lang w:val="zh-CN"/>
        </w:rPr>
        <w:t>设计标准及规定</w:t>
      </w:r>
      <w:bookmarkEnd w:id="227"/>
    </w:p>
    <w:bookmarkEnd w:id="228"/>
    <w:p w14:paraId="79FD4AD1">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《自动化仪表选型设计规范》</w:t>
      </w:r>
      <w:r>
        <w:rPr>
          <w:rFonts w:ascii="宋体" w:hAnsi="宋体" w:cs="宋体"/>
          <w:color w:val="auto"/>
          <w:sz w:val="28"/>
          <w:szCs w:val="28"/>
          <w:highlight w:val="none"/>
        </w:rPr>
        <w:t>HG/T 20507-2014</w:t>
      </w:r>
    </w:p>
    <w:p w14:paraId="7B82506D">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《控制室设计规范》</w:t>
      </w:r>
      <w:r>
        <w:rPr>
          <w:rFonts w:ascii="宋体" w:hAnsi="宋体" w:cs="宋体"/>
          <w:color w:val="auto"/>
          <w:sz w:val="28"/>
          <w:szCs w:val="28"/>
          <w:highlight w:val="none"/>
        </w:rPr>
        <w:t>HG/T 20508-2014</w:t>
      </w:r>
    </w:p>
    <w:p w14:paraId="5C80EF0E">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《分散型控制系统工程设计规范》</w:t>
      </w:r>
      <w:r>
        <w:rPr>
          <w:rFonts w:ascii="宋体" w:hAnsi="宋体" w:cs="宋体"/>
          <w:color w:val="auto"/>
          <w:sz w:val="28"/>
          <w:szCs w:val="28"/>
          <w:highlight w:val="none"/>
        </w:rPr>
        <w:t>HG/T 20573-2012</w:t>
      </w:r>
    </w:p>
    <w:p w14:paraId="7C246444">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《可编程控制器系统工程设计规范》</w:t>
      </w:r>
      <w:r>
        <w:rPr>
          <w:rFonts w:ascii="宋体" w:hAnsi="宋体" w:cs="宋体"/>
          <w:color w:val="auto"/>
          <w:sz w:val="28"/>
          <w:szCs w:val="28"/>
          <w:highlight w:val="none"/>
        </w:rPr>
        <w:t>HG/T 20700-2014</w:t>
      </w:r>
    </w:p>
    <w:p w14:paraId="40D6E573">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《石油化工安全仪表系统设计规范》</w:t>
      </w:r>
      <w:r>
        <w:rPr>
          <w:rFonts w:ascii="宋体" w:hAnsi="宋体" w:cs="宋体"/>
          <w:color w:val="auto"/>
          <w:sz w:val="28"/>
          <w:szCs w:val="28"/>
          <w:highlight w:val="none"/>
        </w:rPr>
        <w:t>GB/T 50770-2013</w:t>
      </w:r>
    </w:p>
    <w:p w14:paraId="46C26F6A">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z w:val="28"/>
          <w:szCs w:val="28"/>
          <w:highlight w:val="none"/>
        </w:rPr>
      </w:pPr>
      <w:r>
        <w:rPr>
          <w:rFonts w:hint="eastAsia" w:ascii="宋体" w:hAnsi="宋体" w:cs="宋体"/>
          <w:color w:val="auto"/>
          <w:sz w:val="28"/>
          <w:szCs w:val="28"/>
          <w:highlight w:val="none"/>
        </w:rPr>
        <w:t>《爆炸危险环境电力装置设计规范》</w:t>
      </w:r>
      <w:r>
        <w:rPr>
          <w:rFonts w:ascii="宋体" w:hAnsi="宋体" w:cs="宋体"/>
          <w:color w:val="auto"/>
          <w:sz w:val="28"/>
          <w:szCs w:val="28"/>
          <w:highlight w:val="none"/>
        </w:rPr>
        <w:t>GB 50058-2014</w:t>
      </w:r>
    </w:p>
    <w:p w14:paraId="4894E5CE">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《石油化工可燃气体和有毒气体检测报警设计规范》GB/T50493-2019</w:t>
      </w:r>
    </w:p>
    <w:p w14:paraId="1BD54E6A">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hint="eastAsia" w:ascii="宋体" w:hAnsi="宋体" w:eastAsia="宋体" w:cs="宋体"/>
          <w:color w:val="auto"/>
          <w:sz w:val="28"/>
          <w:szCs w:val="28"/>
          <w:highlight w:val="none"/>
          <w:lang w:val="en-US" w:eastAsia="zh-CN"/>
        </w:rPr>
      </w:pPr>
      <w:bookmarkStart w:id="237" w:name="_Toc8787"/>
      <w:r>
        <w:rPr>
          <w:rFonts w:hint="eastAsia" w:ascii="宋体" w:hAnsi="宋体" w:eastAsia="宋体" w:cs="宋体"/>
          <w:color w:val="auto"/>
          <w:sz w:val="28"/>
          <w:szCs w:val="28"/>
          <w:highlight w:val="none"/>
          <w:lang w:val="en-US" w:eastAsia="zh-CN"/>
        </w:rPr>
        <w:t xml:space="preserve">3.4.2 </w:t>
      </w:r>
      <w:bookmarkEnd w:id="237"/>
      <w:r>
        <w:rPr>
          <w:rFonts w:hint="eastAsia" w:ascii="宋体" w:hAnsi="宋体" w:eastAsia="宋体" w:cs="宋体"/>
          <w:color w:val="auto"/>
          <w:sz w:val="28"/>
          <w:szCs w:val="28"/>
          <w:highlight w:val="none"/>
          <w:lang w:val="en-US" w:eastAsia="zh-CN"/>
        </w:rPr>
        <w:t>自动控制</w:t>
      </w:r>
    </w:p>
    <w:p w14:paraId="45887CE5">
      <w:pPr>
        <w:keepNext w:val="0"/>
        <w:keepLines w:val="0"/>
        <w:pageBreakBefore w:val="0"/>
        <w:widowControl w:val="0"/>
        <w:kinsoku/>
        <w:wordWrap/>
        <w:overflowPunct/>
        <w:topLinePunct w:val="0"/>
        <w:autoSpaceDE/>
        <w:autoSpaceDN/>
        <w:bidi w:val="0"/>
        <w:spacing w:line="560" w:lineRule="exact"/>
        <w:ind w:firstLine="560" w:firstLineChars="200"/>
        <w:textAlignment w:val="auto"/>
        <w:rPr>
          <w:rFonts w:ascii="宋体" w:cs="宋体"/>
          <w:color w:val="auto"/>
          <w:spacing w:val="3"/>
          <w:sz w:val="28"/>
          <w:szCs w:val="28"/>
          <w:highlight w:val="none"/>
          <w:lang w:eastAsia="zh-CN"/>
        </w:rPr>
      </w:pPr>
      <w:r>
        <w:rPr>
          <w:rFonts w:hint="eastAsia" w:ascii="宋体" w:hAnsi="宋体" w:eastAsia="宋体" w:cs="宋体"/>
          <w:color w:val="auto"/>
          <w:sz w:val="28"/>
          <w:szCs w:val="28"/>
          <w:highlight w:val="none"/>
          <w:lang w:val="en-US" w:eastAsia="zh-CN"/>
        </w:rPr>
        <w:t>根据装置工艺生产过程的重要性、检测点和控制回路数量、全厂自动化水平要求和社会发展的情况，生产装置及配套公用工程和</w:t>
      </w:r>
      <w:r>
        <w:rPr>
          <w:rFonts w:hint="eastAsia" w:ascii="宋体" w:hAnsi="宋体" w:cs="宋体"/>
          <w:color w:val="auto"/>
          <w:spacing w:val="3"/>
          <w:sz w:val="28"/>
          <w:szCs w:val="28"/>
          <w:highlight w:val="none"/>
          <w:lang w:eastAsia="zh-CN"/>
        </w:rPr>
        <w:t>辅助设施过程控制系统设置情况为：</w:t>
      </w:r>
    </w:p>
    <w:p w14:paraId="2C19A8A5">
      <w:pPr>
        <w:pStyle w:val="22"/>
        <w:keepNext w:val="0"/>
        <w:keepLines w:val="0"/>
        <w:pageBreakBefore w:val="0"/>
        <w:widowControl w:val="0"/>
        <w:kinsoku/>
        <w:wordWrap/>
        <w:overflowPunct/>
        <w:topLinePunct w:val="0"/>
        <w:autoSpaceDE/>
        <w:autoSpaceDN/>
        <w:bidi w:val="0"/>
        <w:spacing w:line="560" w:lineRule="exact"/>
        <w:ind w:firstLine="31680"/>
        <w:textAlignment w:val="auto"/>
        <w:rPr>
          <w:rFonts w:ascii="宋体" w:cs="宋体"/>
          <w:color w:val="auto"/>
          <w:spacing w:val="3"/>
          <w:sz w:val="28"/>
          <w:szCs w:val="28"/>
          <w:highlight w:val="none"/>
          <w:lang w:eastAsia="zh-CN"/>
        </w:rPr>
      </w:pPr>
      <w:r>
        <w:rPr>
          <w:rFonts w:ascii="宋体" w:hAnsi="宋体" w:cs="宋体"/>
          <w:color w:val="auto"/>
          <w:spacing w:val="3"/>
          <w:sz w:val="28"/>
          <w:szCs w:val="28"/>
          <w:highlight w:val="none"/>
          <w:lang w:eastAsia="zh-CN"/>
        </w:rPr>
        <w:t xml:space="preserve">(1) </w:t>
      </w:r>
      <w:r>
        <w:rPr>
          <w:rFonts w:hint="eastAsia" w:ascii="宋体" w:hAnsi="宋体" w:cs="宋体"/>
          <w:color w:val="auto"/>
          <w:spacing w:val="3"/>
          <w:sz w:val="28"/>
          <w:szCs w:val="28"/>
          <w:highlight w:val="none"/>
          <w:lang w:eastAsia="zh-CN"/>
        </w:rPr>
        <w:t>分散型控制系统（</w:t>
      </w: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w:t>
      </w:r>
    </w:p>
    <w:p w14:paraId="43F71CA2">
      <w:pPr>
        <w:pStyle w:val="22"/>
        <w:keepNext w:val="0"/>
        <w:keepLines w:val="0"/>
        <w:pageBreakBefore w:val="0"/>
        <w:widowControl w:val="0"/>
        <w:kinsoku/>
        <w:wordWrap/>
        <w:overflowPunct/>
        <w:topLinePunct w:val="0"/>
        <w:autoSpaceDE/>
        <w:autoSpaceDN/>
        <w:bidi w:val="0"/>
        <w:spacing w:line="560" w:lineRule="exact"/>
        <w:ind w:firstLine="31680"/>
        <w:textAlignment w:val="auto"/>
        <w:rPr>
          <w:rFonts w:ascii="宋体" w:cs="宋体"/>
          <w:color w:val="auto"/>
          <w:spacing w:val="3"/>
          <w:sz w:val="28"/>
          <w:szCs w:val="28"/>
          <w:highlight w:val="none"/>
          <w:lang w:eastAsia="zh-CN"/>
        </w:rPr>
      </w:pPr>
      <w:r>
        <w:rPr>
          <w:rFonts w:hint="eastAsia" w:ascii="宋体" w:hAnsi="宋体" w:cs="宋体"/>
          <w:color w:val="auto"/>
          <w:spacing w:val="3"/>
          <w:sz w:val="28"/>
          <w:szCs w:val="28"/>
          <w:highlight w:val="none"/>
          <w:lang w:eastAsia="zh-CN"/>
        </w:rPr>
        <w:t>采用分散型控制系统（</w:t>
      </w: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）对各装置及其配套的公用工程装置的生产实施过程检测、数据处理、过程控制、能量平衡核算、计量管理、用电设备状态显示等，以提高全厂自动化水平、减轻劳动强度，降低生产成本。</w:t>
      </w:r>
    </w:p>
    <w:p w14:paraId="1C1C8552">
      <w:pPr>
        <w:pStyle w:val="22"/>
        <w:keepNext w:val="0"/>
        <w:keepLines w:val="0"/>
        <w:pageBreakBefore w:val="0"/>
        <w:widowControl w:val="0"/>
        <w:kinsoku/>
        <w:wordWrap/>
        <w:overflowPunct/>
        <w:topLinePunct w:val="0"/>
        <w:autoSpaceDE/>
        <w:autoSpaceDN/>
        <w:bidi w:val="0"/>
        <w:spacing w:line="560" w:lineRule="exact"/>
        <w:ind w:firstLine="31680"/>
        <w:textAlignment w:val="auto"/>
        <w:rPr>
          <w:rFonts w:ascii="宋体" w:cs="宋体"/>
          <w:color w:val="auto"/>
          <w:spacing w:val="3"/>
          <w:sz w:val="28"/>
          <w:szCs w:val="28"/>
          <w:highlight w:val="none"/>
          <w:lang w:eastAsia="zh-CN"/>
        </w:rPr>
      </w:pP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控制系统是集成的、标准化、先进的过程控制和生产管理系统，是具有运行经验、成熟可靠的系统。所提供的通信系统属国际公认的开放式通讯系统。采用冗余或容错的高速通讯网络</w:t>
      </w:r>
      <w:r>
        <w:rPr>
          <w:rFonts w:ascii="宋体" w:cs="宋体"/>
          <w:color w:val="auto"/>
          <w:spacing w:val="3"/>
          <w:sz w:val="28"/>
          <w:szCs w:val="28"/>
          <w:highlight w:val="none"/>
          <w:lang w:eastAsia="zh-CN"/>
        </w:rPr>
        <w:t>,</w:t>
      </w:r>
      <w:r>
        <w:rPr>
          <w:rFonts w:hint="eastAsia" w:ascii="宋体" w:hAnsi="宋体" w:cs="宋体"/>
          <w:color w:val="auto"/>
          <w:spacing w:val="3"/>
          <w:sz w:val="28"/>
          <w:szCs w:val="28"/>
          <w:highlight w:val="none"/>
          <w:lang w:eastAsia="zh-CN"/>
        </w:rPr>
        <w:t>过程控制级至少为</w:t>
      </w:r>
      <w:r>
        <w:rPr>
          <w:rFonts w:ascii="宋体" w:hAnsi="宋体" w:cs="宋体"/>
          <w:color w:val="auto"/>
          <w:spacing w:val="3"/>
          <w:sz w:val="28"/>
          <w:szCs w:val="28"/>
          <w:highlight w:val="none"/>
          <w:lang w:eastAsia="zh-CN"/>
        </w:rPr>
        <w:t>10Mb/s</w:t>
      </w:r>
      <w:r>
        <w:rPr>
          <w:rFonts w:hint="eastAsia" w:ascii="宋体" w:hAnsi="宋体" w:cs="宋体"/>
          <w:color w:val="auto"/>
          <w:spacing w:val="3"/>
          <w:sz w:val="28"/>
          <w:szCs w:val="28"/>
          <w:highlight w:val="none"/>
          <w:lang w:eastAsia="zh-CN"/>
        </w:rPr>
        <w:t>，监控级与管理级至少为</w:t>
      </w:r>
      <w:r>
        <w:rPr>
          <w:rFonts w:ascii="宋体" w:hAnsi="宋体" w:cs="宋体"/>
          <w:color w:val="auto"/>
          <w:spacing w:val="3"/>
          <w:sz w:val="28"/>
          <w:szCs w:val="28"/>
          <w:highlight w:val="none"/>
          <w:lang w:eastAsia="zh-CN"/>
        </w:rPr>
        <w:t>100 Mb/s</w:t>
      </w:r>
      <w:r>
        <w:rPr>
          <w:rFonts w:hint="eastAsia" w:ascii="宋体" w:hAnsi="宋体" w:cs="宋体"/>
          <w:color w:val="auto"/>
          <w:spacing w:val="3"/>
          <w:sz w:val="28"/>
          <w:szCs w:val="28"/>
          <w:highlight w:val="none"/>
          <w:lang w:eastAsia="zh-CN"/>
        </w:rPr>
        <w:t>。</w:t>
      </w:r>
    </w:p>
    <w:p w14:paraId="477C2772">
      <w:pPr>
        <w:pStyle w:val="22"/>
        <w:spacing w:line="560" w:lineRule="exact"/>
        <w:ind w:firstLine="31680"/>
        <w:rPr>
          <w:rFonts w:ascii="宋体" w:cs="宋体"/>
          <w:color w:val="auto"/>
          <w:spacing w:val="3"/>
          <w:sz w:val="28"/>
          <w:szCs w:val="28"/>
          <w:highlight w:val="none"/>
          <w:lang w:eastAsia="zh-CN"/>
        </w:rPr>
      </w:pP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控制系统具有过程控制（连续控制和离散控制）、操作、显示记录、报警、制表打印、信息管理、系统组态以及自诊断等基本功能。</w:t>
      </w:r>
    </w:p>
    <w:p w14:paraId="12A374C5">
      <w:pPr>
        <w:pStyle w:val="22"/>
        <w:spacing w:line="560" w:lineRule="exact"/>
        <w:ind w:firstLine="31680"/>
        <w:rPr>
          <w:rFonts w:ascii="宋体" w:cs="宋体"/>
          <w:color w:val="auto"/>
          <w:spacing w:val="3"/>
          <w:sz w:val="28"/>
          <w:szCs w:val="28"/>
          <w:highlight w:val="none"/>
          <w:lang w:eastAsia="zh-CN"/>
        </w:rPr>
      </w:pPr>
      <w:r>
        <w:rPr>
          <w:rFonts w:hint="eastAsia" w:ascii="宋体" w:hAnsi="宋体" w:cs="宋体"/>
          <w:color w:val="auto"/>
          <w:spacing w:val="3"/>
          <w:sz w:val="28"/>
          <w:szCs w:val="28"/>
          <w:highlight w:val="none"/>
          <w:lang w:eastAsia="zh-CN"/>
        </w:rPr>
        <w:t>操作站及工程师站均带液晶显示器</w:t>
      </w:r>
      <w:r>
        <w:rPr>
          <w:rFonts w:ascii="宋体" w:cs="宋体"/>
          <w:color w:val="auto"/>
          <w:spacing w:val="3"/>
          <w:sz w:val="28"/>
          <w:szCs w:val="28"/>
          <w:highlight w:val="none"/>
          <w:lang w:eastAsia="zh-CN"/>
        </w:rPr>
        <w:t>,</w:t>
      </w:r>
      <w:r>
        <w:rPr>
          <w:rFonts w:hint="eastAsia" w:ascii="宋体" w:hAnsi="宋体" w:cs="宋体"/>
          <w:color w:val="auto"/>
          <w:spacing w:val="3"/>
          <w:sz w:val="28"/>
          <w:szCs w:val="28"/>
          <w:highlight w:val="none"/>
          <w:lang w:eastAsia="zh-CN"/>
        </w:rPr>
        <w:t>硬件配置采用当前主流产品。</w:t>
      </w:r>
    </w:p>
    <w:p w14:paraId="0D45D37C">
      <w:pPr>
        <w:pStyle w:val="22"/>
        <w:spacing w:line="560" w:lineRule="exact"/>
        <w:ind w:firstLine="31680"/>
        <w:rPr>
          <w:rFonts w:ascii="宋体" w:cs="宋体"/>
          <w:color w:val="auto"/>
          <w:spacing w:val="3"/>
          <w:sz w:val="28"/>
          <w:szCs w:val="28"/>
          <w:highlight w:val="none"/>
          <w:lang w:eastAsia="zh-CN"/>
        </w:rPr>
      </w:pP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通讯系统、电源系统和控制器均为</w:t>
      </w:r>
      <w:r>
        <w:rPr>
          <w:rFonts w:ascii="宋体" w:hAnsi="宋体" w:cs="宋体"/>
          <w:color w:val="auto"/>
          <w:spacing w:val="3"/>
          <w:sz w:val="28"/>
          <w:szCs w:val="28"/>
          <w:highlight w:val="none"/>
          <w:lang w:eastAsia="zh-CN"/>
        </w:rPr>
        <w:t>1:1</w:t>
      </w:r>
      <w:r>
        <w:rPr>
          <w:rFonts w:hint="eastAsia" w:ascii="宋体" w:hAnsi="宋体" w:cs="宋体"/>
          <w:color w:val="auto"/>
          <w:spacing w:val="3"/>
          <w:sz w:val="28"/>
          <w:szCs w:val="28"/>
          <w:highlight w:val="none"/>
          <w:lang w:eastAsia="zh-CN"/>
        </w:rPr>
        <w:t>冗余，控制回路和操作联锁回路的</w:t>
      </w:r>
      <w:r>
        <w:rPr>
          <w:rFonts w:ascii="宋体" w:hAnsi="宋体" w:cs="宋体"/>
          <w:color w:val="auto"/>
          <w:spacing w:val="3"/>
          <w:sz w:val="28"/>
          <w:szCs w:val="28"/>
          <w:highlight w:val="none"/>
          <w:lang w:eastAsia="zh-CN"/>
        </w:rPr>
        <w:t>I/O</w:t>
      </w:r>
      <w:r>
        <w:rPr>
          <w:rFonts w:hint="eastAsia" w:ascii="宋体" w:hAnsi="宋体" w:cs="宋体"/>
          <w:color w:val="auto"/>
          <w:spacing w:val="3"/>
          <w:sz w:val="28"/>
          <w:szCs w:val="28"/>
          <w:highlight w:val="none"/>
          <w:lang w:eastAsia="zh-CN"/>
        </w:rPr>
        <w:t>卡件</w:t>
      </w:r>
      <w:r>
        <w:rPr>
          <w:rFonts w:ascii="宋体" w:hAnsi="宋体" w:cs="宋体"/>
          <w:color w:val="auto"/>
          <w:spacing w:val="3"/>
          <w:sz w:val="28"/>
          <w:szCs w:val="28"/>
          <w:highlight w:val="none"/>
          <w:lang w:eastAsia="zh-CN"/>
        </w:rPr>
        <w:t>1:1</w:t>
      </w:r>
      <w:r>
        <w:rPr>
          <w:rFonts w:hint="eastAsia" w:ascii="宋体" w:hAnsi="宋体" w:cs="宋体"/>
          <w:color w:val="auto"/>
          <w:spacing w:val="3"/>
          <w:sz w:val="28"/>
          <w:szCs w:val="28"/>
          <w:highlight w:val="none"/>
          <w:lang w:eastAsia="zh-CN"/>
        </w:rPr>
        <w:t>冗余配置。</w:t>
      </w:r>
    </w:p>
    <w:p w14:paraId="33BC2B7B">
      <w:pPr>
        <w:pStyle w:val="22"/>
        <w:spacing w:line="560" w:lineRule="exact"/>
        <w:ind w:firstLine="31680"/>
        <w:rPr>
          <w:rFonts w:ascii="宋体" w:cs="宋体"/>
          <w:color w:val="auto"/>
          <w:spacing w:val="3"/>
          <w:sz w:val="28"/>
          <w:szCs w:val="28"/>
          <w:highlight w:val="none"/>
          <w:lang w:eastAsia="zh-CN"/>
        </w:rPr>
      </w:pPr>
      <w:r>
        <w:rPr>
          <w:rFonts w:hint="eastAsia" w:ascii="宋体" w:hAnsi="宋体" w:cs="宋体"/>
          <w:color w:val="auto"/>
          <w:spacing w:val="3"/>
          <w:sz w:val="28"/>
          <w:szCs w:val="28"/>
          <w:highlight w:val="none"/>
          <w:lang w:eastAsia="zh-CN"/>
        </w:rPr>
        <w:t>控制站的负荷不应超过</w:t>
      </w:r>
      <w:r>
        <w:rPr>
          <w:rFonts w:ascii="宋体" w:hAnsi="宋体" w:cs="宋体"/>
          <w:color w:val="auto"/>
          <w:spacing w:val="3"/>
          <w:sz w:val="28"/>
          <w:szCs w:val="28"/>
          <w:highlight w:val="none"/>
          <w:lang w:eastAsia="zh-CN"/>
        </w:rPr>
        <w:t>60%</w:t>
      </w:r>
      <w:r>
        <w:rPr>
          <w:rFonts w:hint="eastAsia" w:ascii="宋体" w:hAnsi="宋体" w:cs="宋体"/>
          <w:color w:val="auto"/>
          <w:spacing w:val="3"/>
          <w:sz w:val="28"/>
          <w:szCs w:val="28"/>
          <w:highlight w:val="none"/>
          <w:lang w:eastAsia="zh-CN"/>
        </w:rPr>
        <w:t>。</w:t>
      </w:r>
    </w:p>
    <w:p w14:paraId="3278E2E5">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pacing w:val="3"/>
          <w:sz w:val="28"/>
          <w:szCs w:val="28"/>
          <w:highlight w:val="none"/>
          <w:lang w:eastAsia="zh-CN"/>
        </w:rPr>
      </w:pPr>
      <w:r>
        <w:rPr>
          <w:rFonts w:hint="eastAsia" w:ascii="宋体" w:hAnsi="宋体" w:cs="宋体"/>
          <w:color w:val="auto"/>
          <w:spacing w:val="3"/>
          <w:sz w:val="28"/>
          <w:szCs w:val="28"/>
          <w:highlight w:val="none"/>
          <w:lang w:eastAsia="zh-CN"/>
        </w:rPr>
        <w:t>各类控制、检测点备用点数不少于实际设计点数的</w:t>
      </w:r>
      <w:r>
        <w:rPr>
          <w:rFonts w:ascii="宋体" w:hAnsi="宋体" w:cs="宋体"/>
          <w:color w:val="auto"/>
          <w:spacing w:val="3"/>
          <w:sz w:val="28"/>
          <w:szCs w:val="28"/>
          <w:highlight w:val="none"/>
          <w:lang w:eastAsia="zh-CN"/>
        </w:rPr>
        <w:t>15%</w:t>
      </w:r>
      <w:r>
        <w:rPr>
          <w:rFonts w:hint="eastAsia" w:ascii="宋体" w:hAnsi="宋体" w:cs="宋体"/>
          <w:color w:val="auto"/>
          <w:spacing w:val="3"/>
          <w:sz w:val="28"/>
          <w:szCs w:val="28"/>
          <w:highlight w:val="none"/>
          <w:lang w:eastAsia="zh-CN"/>
        </w:rPr>
        <w:t>，</w:t>
      </w:r>
      <w:r>
        <w:rPr>
          <w:rFonts w:ascii="宋体" w:hAnsi="宋体" w:cs="宋体"/>
          <w:color w:val="auto"/>
          <w:spacing w:val="3"/>
          <w:sz w:val="28"/>
          <w:szCs w:val="28"/>
          <w:highlight w:val="none"/>
          <w:lang w:eastAsia="zh-CN"/>
        </w:rPr>
        <w:t>I/O</w:t>
      </w:r>
      <w:r>
        <w:rPr>
          <w:rFonts w:hint="eastAsia" w:ascii="宋体" w:hAnsi="宋体" w:cs="宋体"/>
          <w:color w:val="auto"/>
          <w:spacing w:val="3"/>
          <w:sz w:val="28"/>
          <w:szCs w:val="28"/>
          <w:highlight w:val="none"/>
          <w:lang w:eastAsia="zh-CN"/>
        </w:rPr>
        <w:t>输入输出模件及槽位的备用空间不少于</w:t>
      </w:r>
      <w:r>
        <w:rPr>
          <w:rFonts w:ascii="宋体" w:hAnsi="宋体" w:cs="宋体"/>
          <w:color w:val="auto"/>
          <w:spacing w:val="3"/>
          <w:sz w:val="28"/>
          <w:szCs w:val="28"/>
          <w:highlight w:val="none"/>
          <w:lang w:eastAsia="zh-CN"/>
        </w:rPr>
        <w:t>15%</w:t>
      </w:r>
      <w:r>
        <w:rPr>
          <w:rFonts w:hint="eastAsia" w:ascii="宋体" w:hAnsi="宋体" w:cs="宋体"/>
          <w:color w:val="auto"/>
          <w:spacing w:val="3"/>
          <w:sz w:val="28"/>
          <w:szCs w:val="28"/>
          <w:highlight w:val="none"/>
          <w:lang w:eastAsia="zh-CN"/>
        </w:rPr>
        <w:t>。各类机柜留有</w:t>
      </w:r>
      <w:r>
        <w:rPr>
          <w:rFonts w:ascii="宋体" w:hAnsi="宋体" w:cs="宋体"/>
          <w:color w:val="auto"/>
          <w:spacing w:val="3"/>
          <w:sz w:val="28"/>
          <w:szCs w:val="28"/>
          <w:highlight w:val="none"/>
          <w:lang w:eastAsia="zh-CN"/>
        </w:rPr>
        <w:t>15%</w:t>
      </w:r>
      <w:r>
        <w:rPr>
          <w:rFonts w:hint="eastAsia" w:ascii="宋体" w:hAnsi="宋体" w:cs="宋体"/>
          <w:color w:val="auto"/>
          <w:spacing w:val="3"/>
          <w:sz w:val="28"/>
          <w:szCs w:val="28"/>
          <w:highlight w:val="none"/>
          <w:lang w:eastAsia="zh-CN"/>
        </w:rPr>
        <w:t>的备用空间。</w:t>
      </w:r>
    </w:p>
    <w:p w14:paraId="7B72FB6D">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pacing w:val="3"/>
          <w:sz w:val="28"/>
          <w:szCs w:val="28"/>
          <w:highlight w:val="none"/>
          <w:lang w:eastAsia="zh-CN"/>
        </w:rPr>
      </w:pP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控制系统具有与上位机或其它控制系统（</w:t>
      </w:r>
      <w:r>
        <w:rPr>
          <w:rFonts w:ascii="宋体" w:hAnsi="宋体" w:cs="宋体"/>
          <w:color w:val="auto"/>
          <w:spacing w:val="3"/>
          <w:sz w:val="28"/>
          <w:szCs w:val="28"/>
          <w:highlight w:val="none"/>
          <w:lang w:eastAsia="zh-CN"/>
        </w:rPr>
        <w:t>SIS</w:t>
      </w:r>
      <w:r>
        <w:rPr>
          <w:rFonts w:hint="eastAsia" w:ascii="宋体" w:hAnsi="宋体" w:cs="宋体"/>
          <w:color w:val="auto"/>
          <w:spacing w:val="3"/>
          <w:sz w:val="28"/>
          <w:szCs w:val="28"/>
          <w:highlight w:val="none"/>
          <w:lang w:eastAsia="zh-CN"/>
        </w:rPr>
        <w:t>等）通讯的功能；带</w:t>
      </w:r>
      <w:r>
        <w:rPr>
          <w:rFonts w:ascii="宋体" w:hAnsi="宋体" w:cs="宋体"/>
          <w:color w:val="auto"/>
          <w:spacing w:val="3"/>
          <w:sz w:val="28"/>
          <w:szCs w:val="28"/>
          <w:highlight w:val="none"/>
          <w:lang w:eastAsia="zh-CN"/>
        </w:rPr>
        <w:t>OPC</w:t>
      </w:r>
      <w:r>
        <w:rPr>
          <w:rFonts w:hint="eastAsia" w:ascii="宋体" w:hAnsi="宋体" w:cs="宋体"/>
          <w:color w:val="auto"/>
          <w:spacing w:val="3"/>
          <w:sz w:val="28"/>
          <w:szCs w:val="28"/>
          <w:highlight w:val="none"/>
          <w:lang w:eastAsia="zh-CN"/>
        </w:rPr>
        <w:t>数据访问接口。</w:t>
      </w:r>
    </w:p>
    <w:p w14:paraId="49F5E13A">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pacing w:val="3"/>
          <w:sz w:val="28"/>
          <w:szCs w:val="28"/>
          <w:highlight w:val="none"/>
          <w:lang w:eastAsia="zh-CN"/>
        </w:rPr>
      </w:pPr>
      <w:r>
        <w:rPr>
          <w:rFonts w:ascii="宋体" w:hAnsi="宋体" w:cs="宋体"/>
          <w:color w:val="auto"/>
          <w:spacing w:val="3"/>
          <w:sz w:val="28"/>
          <w:szCs w:val="28"/>
          <w:highlight w:val="none"/>
          <w:lang w:eastAsia="zh-CN"/>
        </w:rPr>
        <w:t>DCS</w:t>
      </w:r>
      <w:r>
        <w:rPr>
          <w:rFonts w:hint="eastAsia" w:ascii="宋体" w:hAnsi="宋体" w:cs="宋体"/>
          <w:color w:val="auto"/>
          <w:spacing w:val="3"/>
          <w:sz w:val="28"/>
          <w:szCs w:val="28"/>
          <w:highlight w:val="none"/>
          <w:lang w:eastAsia="zh-CN"/>
        </w:rPr>
        <w:t>控制系统配置操作站、工程师站、打印机、操作台等。</w:t>
      </w:r>
    </w:p>
    <w:p w14:paraId="22629DD3">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hAnsi="宋体" w:eastAsia="宋体" w:cs="宋体"/>
          <w:color w:val="auto"/>
          <w:spacing w:val="3"/>
          <w:sz w:val="28"/>
          <w:szCs w:val="28"/>
          <w:highlight w:val="none"/>
          <w:lang w:eastAsia="zh-CN"/>
        </w:rPr>
      </w:pPr>
      <w:r>
        <w:rPr>
          <w:rFonts w:ascii="宋体" w:hAnsi="宋体" w:eastAsia="宋体" w:cs="宋体"/>
          <w:color w:val="auto"/>
          <w:spacing w:val="3"/>
          <w:sz w:val="28"/>
          <w:szCs w:val="28"/>
          <w:highlight w:val="none"/>
          <w:lang w:eastAsia="zh-CN"/>
        </w:rPr>
        <w:t>DCS</w:t>
      </w:r>
      <w:r>
        <w:rPr>
          <w:rFonts w:hint="eastAsia" w:ascii="宋体" w:hAnsi="宋体" w:eastAsia="宋体" w:cs="宋体"/>
          <w:color w:val="auto"/>
          <w:spacing w:val="3"/>
          <w:sz w:val="28"/>
          <w:szCs w:val="28"/>
          <w:highlight w:val="none"/>
          <w:lang w:eastAsia="zh-CN"/>
        </w:rPr>
        <w:t>控制系统所配置的软件应包括满足过程监控所必需的过程控制软件、过程检测软件和操作软件。</w:t>
      </w:r>
    </w:p>
    <w:p w14:paraId="2D87A5ED">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hAnsi="宋体" w:eastAsia="宋体" w:cs="宋体"/>
          <w:color w:val="auto"/>
          <w:spacing w:val="3"/>
          <w:sz w:val="28"/>
          <w:szCs w:val="28"/>
          <w:highlight w:val="none"/>
          <w:lang w:eastAsia="zh-CN"/>
        </w:rPr>
      </w:pPr>
      <w:r>
        <w:rPr>
          <w:rFonts w:hint="eastAsia" w:ascii="宋体" w:hAnsi="宋体" w:eastAsia="宋体" w:cs="宋体"/>
          <w:color w:val="auto"/>
          <w:spacing w:val="3"/>
          <w:sz w:val="28"/>
          <w:szCs w:val="28"/>
          <w:highlight w:val="none"/>
          <w:lang w:eastAsia="zh-CN"/>
        </w:rPr>
        <w:t>（</w:t>
      </w:r>
      <w:r>
        <w:rPr>
          <w:rFonts w:ascii="宋体" w:hAnsi="宋体" w:eastAsia="宋体" w:cs="宋体"/>
          <w:color w:val="auto"/>
          <w:spacing w:val="3"/>
          <w:sz w:val="28"/>
          <w:szCs w:val="28"/>
          <w:highlight w:val="none"/>
          <w:lang w:eastAsia="zh-CN"/>
        </w:rPr>
        <w:t>2</w:t>
      </w:r>
      <w:r>
        <w:rPr>
          <w:rFonts w:hint="eastAsia" w:ascii="宋体" w:hAnsi="宋体" w:eastAsia="宋体" w:cs="宋体"/>
          <w:color w:val="auto"/>
          <w:spacing w:val="3"/>
          <w:sz w:val="28"/>
          <w:szCs w:val="28"/>
          <w:highlight w:val="none"/>
          <w:lang w:eastAsia="zh-CN"/>
        </w:rPr>
        <w:t>）</w:t>
      </w:r>
      <w:r>
        <w:rPr>
          <w:rFonts w:ascii="宋体" w:hAnsi="宋体" w:eastAsia="宋体" w:cs="宋体"/>
          <w:color w:val="auto"/>
          <w:spacing w:val="3"/>
          <w:sz w:val="28"/>
          <w:szCs w:val="28"/>
          <w:highlight w:val="none"/>
          <w:lang w:eastAsia="zh-CN"/>
        </w:rPr>
        <w:t xml:space="preserve"> </w:t>
      </w:r>
      <w:r>
        <w:rPr>
          <w:rFonts w:hint="eastAsia" w:ascii="宋体" w:hAnsi="宋体" w:eastAsia="宋体" w:cs="宋体"/>
          <w:color w:val="auto"/>
          <w:spacing w:val="3"/>
          <w:sz w:val="28"/>
          <w:szCs w:val="28"/>
          <w:highlight w:val="none"/>
          <w:lang w:eastAsia="zh-CN"/>
        </w:rPr>
        <w:t>可燃气体</w:t>
      </w:r>
      <w:r>
        <w:rPr>
          <w:rFonts w:ascii="宋体" w:hAnsi="宋体" w:eastAsia="宋体" w:cs="宋体"/>
          <w:color w:val="auto"/>
          <w:spacing w:val="3"/>
          <w:sz w:val="28"/>
          <w:szCs w:val="28"/>
          <w:highlight w:val="none"/>
          <w:lang w:eastAsia="zh-CN"/>
        </w:rPr>
        <w:t>/</w:t>
      </w:r>
      <w:r>
        <w:rPr>
          <w:rFonts w:hint="eastAsia" w:ascii="宋体" w:hAnsi="宋体" w:eastAsia="宋体" w:cs="宋体"/>
          <w:color w:val="auto"/>
          <w:spacing w:val="3"/>
          <w:sz w:val="28"/>
          <w:szCs w:val="28"/>
          <w:highlight w:val="none"/>
          <w:lang w:eastAsia="zh-CN"/>
        </w:rPr>
        <w:t>有毒气体检测（</w:t>
      </w:r>
      <w:r>
        <w:rPr>
          <w:rFonts w:ascii="宋体" w:hAnsi="宋体" w:eastAsia="宋体" w:cs="宋体"/>
          <w:color w:val="auto"/>
          <w:spacing w:val="3"/>
          <w:sz w:val="28"/>
          <w:szCs w:val="28"/>
          <w:highlight w:val="none"/>
          <w:lang w:eastAsia="zh-CN"/>
        </w:rPr>
        <w:t>GDS</w:t>
      </w:r>
      <w:r>
        <w:rPr>
          <w:rFonts w:hint="eastAsia" w:ascii="宋体" w:hAnsi="宋体" w:eastAsia="宋体" w:cs="宋体"/>
          <w:color w:val="auto"/>
          <w:spacing w:val="3"/>
          <w:sz w:val="28"/>
          <w:szCs w:val="28"/>
          <w:highlight w:val="none"/>
          <w:lang w:eastAsia="zh-CN"/>
        </w:rPr>
        <w:t>）</w:t>
      </w:r>
    </w:p>
    <w:p w14:paraId="6AB99052">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pacing w:val="3"/>
          <w:sz w:val="28"/>
          <w:szCs w:val="28"/>
          <w:highlight w:val="none"/>
          <w:lang w:eastAsia="zh-CN"/>
        </w:rPr>
      </w:pPr>
      <w:r>
        <w:rPr>
          <w:rFonts w:hint="eastAsia" w:ascii="宋体" w:hAnsi="宋体" w:eastAsia="宋体" w:cs="宋体"/>
          <w:color w:val="auto"/>
          <w:spacing w:val="3"/>
          <w:sz w:val="28"/>
          <w:szCs w:val="28"/>
          <w:highlight w:val="none"/>
          <w:lang w:eastAsia="zh-CN"/>
        </w:rPr>
        <w:t>生产装置、公用工程及辅助设施内可能泄漏或聚集可燃、有毒气体的地方，设置可燃有毒气体检测器，并将信号接至DCS系统的单独I/O卡笼，在中央控制室的DCS系统的操作站（LCD）上显示报警。</w:t>
      </w:r>
    </w:p>
    <w:p w14:paraId="11115A25">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pacing w:val="3"/>
          <w:sz w:val="28"/>
          <w:szCs w:val="28"/>
          <w:highlight w:val="none"/>
          <w:lang w:eastAsia="zh-CN"/>
        </w:rPr>
      </w:pPr>
      <w:r>
        <w:rPr>
          <w:rFonts w:hint="eastAsia" w:ascii="宋体" w:hAnsi="宋体" w:eastAsia="宋体" w:cs="宋体"/>
          <w:color w:val="auto"/>
          <w:spacing w:val="3"/>
          <w:sz w:val="28"/>
          <w:szCs w:val="28"/>
          <w:highlight w:val="none"/>
          <w:lang w:eastAsia="zh-CN"/>
        </w:rPr>
        <w:t>本项目设置</w:t>
      </w:r>
      <w:r>
        <w:rPr>
          <w:rFonts w:hint="eastAsia" w:ascii="宋体" w:hAnsi="宋体" w:eastAsia="宋体" w:cs="宋体"/>
          <w:color w:val="auto"/>
          <w:spacing w:val="3"/>
          <w:sz w:val="28"/>
          <w:szCs w:val="28"/>
          <w:highlight w:val="none"/>
          <w:lang w:val="en-US" w:eastAsia="zh-CN"/>
        </w:rPr>
        <w:t>可燃</w:t>
      </w:r>
      <w:r>
        <w:rPr>
          <w:rFonts w:hint="eastAsia" w:ascii="宋体" w:hAnsi="宋体" w:eastAsia="宋体" w:cs="宋体"/>
          <w:color w:val="auto"/>
          <w:spacing w:val="3"/>
          <w:sz w:val="28"/>
          <w:szCs w:val="28"/>
          <w:highlight w:val="none"/>
          <w:lang w:eastAsia="zh-CN"/>
        </w:rPr>
        <w:t>气体检测器（</w:t>
      </w:r>
      <w:r>
        <w:rPr>
          <w:rFonts w:hint="eastAsia" w:ascii="宋体" w:hAnsi="宋体" w:eastAsia="宋体" w:cs="宋体"/>
          <w:color w:val="auto"/>
          <w:spacing w:val="3"/>
          <w:sz w:val="28"/>
          <w:szCs w:val="28"/>
          <w:highlight w:val="none"/>
          <w:lang w:val="en-US" w:eastAsia="zh-CN"/>
        </w:rPr>
        <w:t>醋酐</w:t>
      </w:r>
      <w:r>
        <w:rPr>
          <w:rFonts w:hint="eastAsia" w:ascii="宋体" w:hAnsi="宋体" w:eastAsia="宋体" w:cs="宋体"/>
          <w:color w:val="auto"/>
          <w:spacing w:val="3"/>
          <w:sz w:val="28"/>
          <w:szCs w:val="28"/>
          <w:highlight w:val="none"/>
          <w:lang w:eastAsia="zh-CN"/>
        </w:rPr>
        <w:t>），布置在</w:t>
      </w:r>
      <w:r>
        <w:rPr>
          <w:rFonts w:hint="eastAsia" w:ascii="宋体" w:hAnsi="宋体" w:eastAsia="宋体" w:cs="宋体"/>
          <w:color w:val="auto"/>
          <w:spacing w:val="3"/>
          <w:sz w:val="28"/>
          <w:szCs w:val="28"/>
          <w:highlight w:val="none"/>
          <w:lang w:val="en-US" w:eastAsia="zh-CN"/>
        </w:rPr>
        <w:t>醋酐储罐旁</w:t>
      </w:r>
      <w:r>
        <w:rPr>
          <w:rFonts w:hint="eastAsia" w:ascii="宋体" w:hAnsi="宋体" w:eastAsia="宋体" w:cs="宋体"/>
          <w:color w:val="auto"/>
          <w:spacing w:val="3"/>
          <w:sz w:val="28"/>
          <w:szCs w:val="28"/>
          <w:highlight w:val="none"/>
          <w:lang w:eastAsia="zh-CN"/>
        </w:rPr>
        <w:t>，有效半径</w:t>
      </w:r>
      <w:r>
        <w:rPr>
          <w:rFonts w:hint="eastAsia" w:ascii="宋体" w:hAnsi="宋体" w:eastAsia="宋体" w:cs="宋体"/>
          <w:color w:val="auto"/>
          <w:spacing w:val="3"/>
          <w:sz w:val="28"/>
          <w:szCs w:val="28"/>
          <w:highlight w:val="none"/>
          <w:lang w:val="en-US" w:eastAsia="zh-CN"/>
        </w:rPr>
        <w:t>10</w:t>
      </w:r>
      <w:r>
        <w:rPr>
          <w:rFonts w:hint="eastAsia" w:ascii="宋体" w:hAnsi="宋体" w:eastAsia="宋体" w:cs="宋体"/>
          <w:color w:val="auto"/>
          <w:spacing w:val="3"/>
          <w:sz w:val="28"/>
          <w:szCs w:val="28"/>
          <w:highlight w:val="none"/>
          <w:lang w:eastAsia="zh-CN"/>
        </w:rPr>
        <w:t>米，安装高度0.3-0.6米，</w:t>
      </w:r>
      <w:r>
        <w:rPr>
          <w:rFonts w:hint="eastAsia" w:ascii="宋体" w:hAnsi="宋体" w:cs="宋体"/>
          <w:color w:val="auto"/>
          <w:spacing w:val="3"/>
          <w:sz w:val="28"/>
          <w:szCs w:val="28"/>
          <w:highlight w:val="yellow"/>
          <w:lang w:val="en-US" w:eastAsia="zh-CN"/>
        </w:rPr>
        <w:t>可</w:t>
      </w:r>
      <w:r>
        <w:rPr>
          <w:rFonts w:hint="eastAsia" w:ascii="宋体" w:hAnsi="宋体" w:eastAsia="宋体" w:cs="宋体"/>
          <w:color w:val="auto"/>
          <w:spacing w:val="3"/>
          <w:sz w:val="28"/>
          <w:szCs w:val="28"/>
          <w:highlight w:val="yellow"/>
          <w:lang w:val="en-US" w:eastAsia="zh-CN"/>
        </w:rPr>
        <w:t>燃</w:t>
      </w:r>
      <w:r>
        <w:rPr>
          <w:rFonts w:hint="eastAsia" w:ascii="宋体" w:hAnsi="宋体" w:eastAsia="宋体" w:cs="宋体"/>
          <w:color w:val="auto"/>
          <w:spacing w:val="3"/>
          <w:sz w:val="28"/>
          <w:szCs w:val="28"/>
          <w:highlight w:val="yellow"/>
          <w:lang w:eastAsia="zh-CN"/>
        </w:rPr>
        <w:t>气体检</w:t>
      </w:r>
      <w:r>
        <w:rPr>
          <w:rFonts w:hint="eastAsia" w:ascii="宋体" w:hAnsi="宋体" w:eastAsia="宋体" w:cs="宋体"/>
          <w:color w:val="auto"/>
          <w:spacing w:val="3"/>
          <w:sz w:val="28"/>
          <w:szCs w:val="28"/>
          <w:highlight w:val="none"/>
          <w:lang w:eastAsia="zh-CN"/>
        </w:rPr>
        <w:t>测器（</w:t>
      </w:r>
      <w:r>
        <w:rPr>
          <w:rFonts w:hint="eastAsia" w:ascii="宋体" w:hAnsi="宋体" w:eastAsia="宋体" w:cs="宋体"/>
          <w:color w:val="auto"/>
          <w:spacing w:val="3"/>
          <w:sz w:val="28"/>
          <w:szCs w:val="28"/>
          <w:highlight w:val="none"/>
          <w:lang w:val="en-US" w:eastAsia="zh-CN"/>
        </w:rPr>
        <w:t>醋酐</w:t>
      </w:r>
      <w:r>
        <w:rPr>
          <w:rFonts w:hint="eastAsia" w:ascii="宋体" w:hAnsi="宋体" w:eastAsia="宋体" w:cs="宋体"/>
          <w:color w:val="auto"/>
          <w:spacing w:val="3"/>
          <w:sz w:val="28"/>
          <w:szCs w:val="28"/>
          <w:highlight w:val="none"/>
          <w:lang w:eastAsia="zh-CN"/>
        </w:rPr>
        <w:t>）的布置依据《石油化工可燃气体和有毒气体检测报警设计标准》（GB/T 50493-2019）设计。</w:t>
      </w:r>
    </w:p>
    <w:bookmarkEnd w:id="229"/>
    <w:p w14:paraId="1E392073">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hAnsi="宋体" w:eastAsia="宋体" w:cs="宋体"/>
          <w:color w:val="auto"/>
          <w:spacing w:val="3"/>
          <w:sz w:val="28"/>
          <w:szCs w:val="28"/>
          <w:highlight w:val="none"/>
          <w:lang w:val="zh-CN" w:eastAsia="zh-CN"/>
        </w:rPr>
      </w:pPr>
      <w:bookmarkStart w:id="238" w:name="_Toc19642"/>
      <w:r>
        <w:rPr>
          <w:rFonts w:hint="eastAsia" w:ascii="宋体" w:hAnsi="宋体" w:eastAsia="宋体" w:cs="宋体"/>
          <w:color w:val="auto"/>
          <w:spacing w:val="3"/>
          <w:sz w:val="28"/>
          <w:szCs w:val="28"/>
          <w:highlight w:val="none"/>
          <w:lang w:val="en-US" w:eastAsia="zh-CN"/>
        </w:rPr>
        <w:t>3.</w:t>
      </w:r>
      <w:r>
        <w:rPr>
          <w:rFonts w:ascii="宋体" w:hAnsi="宋体" w:eastAsia="宋体" w:cs="宋体"/>
          <w:color w:val="auto"/>
          <w:spacing w:val="3"/>
          <w:sz w:val="28"/>
          <w:szCs w:val="28"/>
          <w:highlight w:val="none"/>
          <w:lang w:val="zh-CN" w:eastAsia="zh-CN"/>
        </w:rPr>
        <w:t xml:space="preserve">4.3 </w:t>
      </w:r>
      <w:r>
        <w:rPr>
          <w:rFonts w:hint="eastAsia" w:ascii="宋体" w:hAnsi="宋体" w:eastAsia="宋体" w:cs="宋体"/>
          <w:color w:val="auto"/>
          <w:spacing w:val="3"/>
          <w:sz w:val="28"/>
          <w:szCs w:val="28"/>
          <w:highlight w:val="none"/>
          <w:lang w:val="zh-CN" w:eastAsia="zh-CN"/>
        </w:rPr>
        <w:t>主要检测仪表选型</w:t>
      </w:r>
    </w:p>
    <w:p w14:paraId="3B6A86FA">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1</w:t>
      </w:r>
      <w:r>
        <w:rPr>
          <w:rFonts w:hint="eastAsia" w:ascii="宋体" w:hAnsi="宋体" w:cs="宋体"/>
          <w:color w:val="auto"/>
          <w:sz w:val="28"/>
          <w:szCs w:val="28"/>
          <w:highlight w:val="none"/>
          <w:lang w:val="zh-CN" w:eastAsia="zh-CN"/>
        </w:rPr>
        <w:t>）温度仪表</w:t>
      </w:r>
    </w:p>
    <w:p w14:paraId="59416AA8">
      <w:pPr>
        <w:pStyle w:val="7"/>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测温元件均带温度计套管，除特殊工况外均采用整体钻孔温度计套管，套管连接宜采用法兰连接形式，温度计套管的材质一般采用不锈钢、</w:t>
      </w:r>
      <w:r>
        <w:rPr>
          <w:rFonts w:hint="eastAsia" w:ascii="宋体" w:hAnsi="宋体" w:cs="宋体"/>
          <w:color w:val="auto"/>
          <w:sz w:val="28"/>
          <w:szCs w:val="28"/>
          <w:highlight w:val="none"/>
          <w:lang w:val="en-US" w:eastAsia="zh-CN"/>
        </w:rPr>
        <w:t>四氟材质</w:t>
      </w:r>
      <w:r>
        <w:rPr>
          <w:rFonts w:hint="eastAsia" w:ascii="宋体" w:hAnsi="宋体" w:cs="宋体"/>
          <w:color w:val="auto"/>
          <w:sz w:val="28"/>
          <w:szCs w:val="28"/>
          <w:highlight w:val="none"/>
          <w:lang w:val="zh-CN" w:eastAsia="zh-CN"/>
        </w:rPr>
        <w:t>；对高温、高压管道采用特种钢的</w:t>
      </w:r>
      <w:r>
        <w:rPr>
          <w:rFonts w:ascii="宋体" w:cs="宋体"/>
          <w:color w:val="auto"/>
          <w:sz w:val="28"/>
          <w:szCs w:val="28"/>
          <w:highlight w:val="none"/>
          <w:lang w:val="zh-CN" w:eastAsia="zh-CN"/>
        </w:rPr>
        <w:t>,</w:t>
      </w:r>
      <w:r>
        <w:rPr>
          <w:rFonts w:hint="eastAsia" w:ascii="宋体" w:hAnsi="宋体" w:cs="宋体"/>
          <w:color w:val="auto"/>
          <w:sz w:val="28"/>
          <w:szCs w:val="28"/>
          <w:highlight w:val="none"/>
          <w:lang w:val="zh-CN" w:eastAsia="zh-CN"/>
        </w:rPr>
        <w:t>套管材质不低于管道材质。</w:t>
      </w:r>
    </w:p>
    <w:p w14:paraId="4674E839">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当温度小于等于</w:t>
      </w:r>
      <w:r>
        <w:rPr>
          <w:rFonts w:ascii="宋体" w:hAnsi="宋体" w:cs="宋体"/>
          <w:color w:val="auto"/>
          <w:sz w:val="28"/>
          <w:szCs w:val="28"/>
          <w:highlight w:val="none"/>
          <w:lang w:val="zh-CN" w:eastAsia="zh-CN"/>
        </w:rPr>
        <w:t>300</w:t>
      </w:r>
      <w:r>
        <w:rPr>
          <w:rFonts w:hint="eastAsia" w:ascii="宋体" w:hAnsi="宋体" w:cs="宋体"/>
          <w:color w:val="auto"/>
          <w:sz w:val="28"/>
          <w:szCs w:val="28"/>
          <w:highlight w:val="none"/>
          <w:lang w:val="zh-CN" w:eastAsia="zh-CN"/>
        </w:rPr>
        <w:t>℃时宜选用</w:t>
      </w:r>
      <w:r>
        <w:rPr>
          <w:rFonts w:ascii="宋体" w:hAnsi="宋体" w:cs="宋体"/>
          <w:color w:val="auto"/>
          <w:sz w:val="28"/>
          <w:szCs w:val="28"/>
          <w:highlight w:val="none"/>
          <w:lang w:val="zh-CN" w:eastAsia="zh-CN"/>
        </w:rPr>
        <w:t>Pt100</w:t>
      </w:r>
      <w:r>
        <w:rPr>
          <w:rFonts w:hint="eastAsia" w:ascii="宋体" w:hAnsi="宋体" w:cs="宋体"/>
          <w:color w:val="auto"/>
          <w:sz w:val="28"/>
          <w:szCs w:val="28"/>
          <w:highlight w:val="none"/>
          <w:lang w:val="zh-CN" w:eastAsia="zh-CN"/>
        </w:rPr>
        <w:t>热电阻，当温度大于</w:t>
      </w:r>
      <w:r>
        <w:rPr>
          <w:rFonts w:ascii="宋体" w:hAnsi="宋体" w:cs="宋体"/>
          <w:color w:val="auto"/>
          <w:sz w:val="28"/>
          <w:szCs w:val="28"/>
          <w:highlight w:val="none"/>
          <w:lang w:val="zh-CN" w:eastAsia="zh-CN"/>
        </w:rPr>
        <w:t>300</w:t>
      </w:r>
      <w:r>
        <w:rPr>
          <w:rFonts w:hint="eastAsia" w:ascii="宋体" w:hAnsi="宋体" w:cs="宋体"/>
          <w:color w:val="auto"/>
          <w:sz w:val="28"/>
          <w:szCs w:val="28"/>
          <w:highlight w:val="none"/>
          <w:lang w:val="zh-CN" w:eastAsia="zh-CN"/>
        </w:rPr>
        <w:t>℃时宜选用</w:t>
      </w:r>
      <w:r>
        <w:rPr>
          <w:rFonts w:ascii="宋体" w:hAnsi="宋体" w:cs="宋体"/>
          <w:color w:val="auto"/>
          <w:sz w:val="28"/>
          <w:szCs w:val="28"/>
          <w:highlight w:val="none"/>
          <w:lang w:val="zh-CN" w:eastAsia="zh-CN"/>
        </w:rPr>
        <w:t>K</w:t>
      </w:r>
      <w:r>
        <w:rPr>
          <w:rFonts w:hint="eastAsia" w:ascii="宋体" w:hAnsi="宋体" w:cs="宋体"/>
          <w:color w:val="auto"/>
          <w:sz w:val="28"/>
          <w:szCs w:val="28"/>
          <w:highlight w:val="none"/>
          <w:lang w:val="zh-CN" w:eastAsia="zh-CN"/>
        </w:rPr>
        <w:t>或</w:t>
      </w:r>
      <w:r>
        <w:rPr>
          <w:rFonts w:ascii="宋体" w:hAnsi="宋体" w:cs="宋体"/>
          <w:color w:val="auto"/>
          <w:sz w:val="28"/>
          <w:szCs w:val="28"/>
          <w:highlight w:val="none"/>
          <w:lang w:val="zh-CN" w:eastAsia="zh-CN"/>
        </w:rPr>
        <w:t>S</w:t>
      </w:r>
      <w:r>
        <w:rPr>
          <w:rFonts w:hint="eastAsia" w:ascii="宋体" w:hAnsi="宋体" w:cs="宋体"/>
          <w:color w:val="auto"/>
          <w:sz w:val="28"/>
          <w:szCs w:val="28"/>
          <w:highlight w:val="none"/>
          <w:lang w:val="zh-CN" w:eastAsia="zh-CN"/>
        </w:rPr>
        <w:t>分度等热电偶。</w:t>
      </w:r>
    </w:p>
    <w:p w14:paraId="7C241914">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就地温度指示采用抽芯式、万向型双金属温度计。</w:t>
      </w:r>
    </w:p>
    <w:p w14:paraId="0515216A">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2</w:t>
      </w:r>
      <w:r>
        <w:rPr>
          <w:rFonts w:hint="eastAsia" w:ascii="宋体" w:hAnsi="宋体" w:cs="宋体"/>
          <w:color w:val="auto"/>
          <w:sz w:val="28"/>
          <w:szCs w:val="28"/>
          <w:highlight w:val="none"/>
          <w:lang w:val="zh-CN" w:eastAsia="zh-CN"/>
        </w:rPr>
        <w:t>）压力（差压）仪表</w:t>
      </w:r>
    </w:p>
    <w:p w14:paraId="7D298A03">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一般情况下，采用压力</w:t>
      </w:r>
      <w:r>
        <w:rPr>
          <w:rFonts w:ascii="宋体" w:hAnsi="宋体" w:cs="宋体"/>
          <w:color w:val="auto"/>
          <w:sz w:val="28"/>
          <w:szCs w:val="28"/>
          <w:highlight w:val="none"/>
          <w:lang w:val="zh-CN" w:eastAsia="zh-CN"/>
        </w:rPr>
        <w:t>(</w:t>
      </w:r>
      <w:r>
        <w:rPr>
          <w:rFonts w:hint="eastAsia" w:ascii="宋体" w:hAnsi="宋体" w:cs="宋体"/>
          <w:color w:val="auto"/>
          <w:sz w:val="28"/>
          <w:szCs w:val="28"/>
          <w:highlight w:val="none"/>
          <w:lang w:val="zh-CN" w:eastAsia="zh-CN"/>
        </w:rPr>
        <w:t>差压</w:t>
      </w:r>
      <w:r>
        <w:rPr>
          <w:rFonts w:ascii="宋体" w:hAnsi="宋体" w:cs="宋体"/>
          <w:color w:val="auto"/>
          <w:sz w:val="28"/>
          <w:szCs w:val="28"/>
          <w:highlight w:val="none"/>
          <w:lang w:val="zh-CN" w:eastAsia="zh-CN"/>
        </w:rPr>
        <w:t>)</w:t>
      </w:r>
      <w:r>
        <w:rPr>
          <w:rFonts w:hint="eastAsia" w:ascii="宋体" w:hAnsi="宋体" w:cs="宋体"/>
          <w:color w:val="auto"/>
          <w:sz w:val="28"/>
          <w:szCs w:val="28"/>
          <w:highlight w:val="none"/>
          <w:lang w:val="zh-CN" w:eastAsia="zh-CN"/>
        </w:rPr>
        <w:t>变送器；另根据介质粘堵、腐蚀等情况，分别选用远传式隔膜压力</w:t>
      </w:r>
      <w:r>
        <w:rPr>
          <w:rFonts w:ascii="宋体" w:hAnsi="宋体" w:cs="宋体"/>
          <w:color w:val="auto"/>
          <w:sz w:val="28"/>
          <w:szCs w:val="28"/>
          <w:highlight w:val="none"/>
          <w:lang w:val="zh-CN" w:eastAsia="zh-CN"/>
        </w:rPr>
        <w:t>(</w:t>
      </w:r>
      <w:r>
        <w:rPr>
          <w:rFonts w:hint="eastAsia" w:ascii="宋体" w:hAnsi="宋体" w:cs="宋体"/>
          <w:color w:val="auto"/>
          <w:sz w:val="28"/>
          <w:szCs w:val="28"/>
          <w:highlight w:val="none"/>
          <w:lang w:val="zh-CN" w:eastAsia="zh-CN"/>
        </w:rPr>
        <w:t>差压</w:t>
      </w:r>
      <w:r>
        <w:rPr>
          <w:rFonts w:ascii="宋体" w:hAnsi="宋体" w:cs="宋体"/>
          <w:color w:val="auto"/>
          <w:sz w:val="28"/>
          <w:szCs w:val="28"/>
          <w:highlight w:val="none"/>
          <w:lang w:val="zh-CN" w:eastAsia="zh-CN"/>
        </w:rPr>
        <w:t>)</w:t>
      </w:r>
      <w:r>
        <w:rPr>
          <w:rFonts w:hint="eastAsia" w:ascii="宋体" w:hAnsi="宋体" w:cs="宋体"/>
          <w:color w:val="auto"/>
          <w:sz w:val="28"/>
          <w:szCs w:val="28"/>
          <w:highlight w:val="none"/>
          <w:lang w:val="zh-CN" w:eastAsia="zh-CN"/>
        </w:rPr>
        <w:t>变送器，毛细管填充液根据环境温度和介质温度选择。</w:t>
      </w:r>
    </w:p>
    <w:p w14:paraId="2FE1737A">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压力表原则上选用不锈钢弹簧管压力表。另根据介质粘堵、腐蚀等情况选用不</w:t>
      </w:r>
      <w:r>
        <w:rPr>
          <w:rFonts w:hint="eastAsia" w:ascii="宋体" w:hAnsi="宋体" w:eastAsia="宋体" w:cs="宋体"/>
          <w:color w:val="auto"/>
          <w:kern w:val="2"/>
          <w:sz w:val="28"/>
          <w:szCs w:val="28"/>
          <w:highlight w:val="none"/>
          <w:lang w:val="zh-CN" w:eastAsia="zh-CN" w:bidi="ar-SA"/>
        </w:rPr>
        <w:t>锈钢、</w:t>
      </w:r>
      <w:r>
        <w:rPr>
          <w:rFonts w:hint="eastAsia" w:ascii="宋体" w:hAnsi="宋体" w:eastAsia="宋体" w:cs="宋体"/>
          <w:color w:val="auto"/>
          <w:kern w:val="2"/>
          <w:sz w:val="28"/>
          <w:szCs w:val="28"/>
          <w:highlight w:val="none"/>
          <w:lang w:val="en-US" w:eastAsia="zh-CN" w:bidi="ar-SA"/>
        </w:rPr>
        <w:t>钽材</w:t>
      </w:r>
      <w:r>
        <w:rPr>
          <w:rFonts w:hint="eastAsia" w:ascii="宋体" w:hAnsi="宋体" w:eastAsia="宋体" w:cs="宋体"/>
          <w:color w:val="auto"/>
          <w:kern w:val="2"/>
          <w:sz w:val="28"/>
          <w:szCs w:val="28"/>
          <w:highlight w:val="none"/>
          <w:lang w:val="zh-CN" w:eastAsia="zh-CN" w:bidi="ar-SA"/>
        </w:rPr>
        <w:t>隔膜</w:t>
      </w:r>
      <w:r>
        <w:rPr>
          <w:rFonts w:hint="eastAsia" w:ascii="宋体" w:hAnsi="宋体" w:cs="宋体"/>
          <w:color w:val="auto"/>
          <w:sz w:val="28"/>
          <w:szCs w:val="28"/>
          <w:highlight w:val="none"/>
          <w:lang w:val="zh-CN" w:eastAsia="zh-CN"/>
        </w:rPr>
        <w:t>压力表。泵出口选用耐震压力表。</w:t>
      </w:r>
      <w:r>
        <w:rPr>
          <w:rFonts w:ascii="宋体" w:hAnsi="宋体" w:cs="宋体"/>
          <w:color w:val="auto"/>
          <w:sz w:val="28"/>
          <w:szCs w:val="28"/>
          <w:highlight w:val="none"/>
          <w:lang w:val="zh-CN" w:eastAsia="zh-CN"/>
        </w:rPr>
        <w:t xml:space="preserve">    </w:t>
      </w:r>
    </w:p>
    <w:p w14:paraId="1396914A">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3</w:t>
      </w:r>
      <w:r>
        <w:rPr>
          <w:rFonts w:hint="eastAsia" w:ascii="宋体" w:hAnsi="宋体" w:cs="宋体"/>
          <w:color w:val="auto"/>
          <w:sz w:val="28"/>
          <w:szCs w:val="28"/>
          <w:highlight w:val="none"/>
          <w:lang w:val="zh-CN" w:eastAsia="zh-CN"/>
        </w:rPr>
        <w:t>）流量仪表</w:t>
      </w:r>
    </w:p>
    <w:p w14:paraId="0711C967">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一般情况下，流量测量选用法兰取压孔板配差压变送器，</w:t>
      </w:r>
      <w:r>
        <w:rPr>
          <w:rFonts w:ascii="宋体" w:hAnsi="宋体" w:cs="宋体"/>
          <w:color w:val="auto"/>
          <w:sz w:val="28"/>
          <w:szCs w:val="28"/>
          <w:highlight w:val="none"/>
          <w:lang w:val="zh-CN" w:eastAsia="zh-CN"/>
        </w:rPr>
        <w:t>DN50</w:t>
      </w:r>
      <w:r>
        <w:rPr>
          <w:rFonts w:hint="eastAsia" w:ascii="宋体" w:hAnsi="宋体" w:cs="宋体"/>
          <w:color w:val="auto"/>
          <w:sz w:val="28"/>
          <w:szCs w:val="28"/>
          <w:highlight w:val="none"/>
          <w:lang w:val="zh-CN" w:eastAsia="zh-CN"/>
        </w:rPr>
        <w:t>以下选用整体孔板，</w:t>
      </w:r>
      <w:r>
        <w:rPr>
          <w:rFonts w:ascii="宋体" w:hAnsi="宋体" w:cs="宋体"/>
          <w:color w:val="auto"/>
          <w:sz w:val="28"/>
          <w:szCs w:val="28"/>
          <w:highlight w:val="none"/>
          <w:lang w:val="zh-CN" w:eastAsia="zh-CN"/>
        </w:rPr>
        <w:t>DN300</w:t>
      </w:r>
      <w:r>
        <w:rPr>
          <w:rFonts w:hint="eastAsia" w:ascii="宋体" w:hAnsi="宋体" w:cs="宋体"/>
          <w:color w:val="auto"/>
          <w:sz w:val="28"/>
          <w:szCs w:val="28"/>
          <w:highlight w:val="none"/>
          <w:lang w:val="zh-CN" w:eastAsia="zh-CN"/>
        </w:rPr>
        <w:t>以上管道的流量检测选用插入式涡街或巴类流量元件，非关键场所选用远传金属管转子流量计。关键场合的气体测量要进行温压补偿。对于干净介质的气体、蒸汽和液体采用旋涡流量计。</w:t>
      </w:r>
    </w:p>
    <w:p w14:paraId="25968E9E">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对于原料和成品的流量测量采用高精度的流量仪表如质量流量计。</w:t>
      </w:r>
    </w:p>
    <w:p w14:paraId="00F04CB9">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对于测量常温下易冷凝、结晶或变粘稠的介质流量时采用电磁流量计、楔式流量计或带夹套流量计等。</w:t>
      </w:r>
    </w:p>
    <w:p w14:paraId="3C71B5D7">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就地流量指示原则上选用金属管转子流量计或水表。</w:t>
      </w:r>
    </w:p>
    <w:p w14:paraId="6ABF553B">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4</w:t>
      </w:r>
      <w:r>
        <w:rPr>
          <w:rFonts w:hint="eastAsia" w:ascii="宋体" w:hAnsi="宋体" w:cs="宋体"/>
          <w:color w:val="auto"/>
          <w:sz w:val="28"/>
          <w:szCs w:val="28"/>
          <w:highlight w:val="none"/>
          <w:lang w:val="zh-CN" w:eastAsia="zh-CN"/>
        </w:rPr>
        <w:t>）液位仪表</w:t>
      </w:r>
    </w:p>
    <w:p w14:paraId="7DD38D05">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液位测量一般选用单法兰或双法兰液位变送器，当液位小于</w:t>
      </w:r>
      <w:r>
        <w:rPr>
          <w:rFonts w:ascii="宋体" w:hAnsi="宋体" w:cs="宋体"/>
          <w:color w:val="auto"/>
          <w:sz w:val="28"/>
          <w:szCs w:val="28"/>
          <w:highlight w:val="none"/>
          <w:lang w:val="zh-CN" w:eastAsia="zh-CN"/>
        </w:rPr>
        <w:t>1500mm</w:t>
      </w:r>
      <w:r>
        <w:rPr>
          <w:rFonts w:hint="eastAsia" w:ascii="宋体" w:hAnsi="宋体" w:cs="宋体"/>
          <w:color w:val="auto"/>
          <w:sz w:val="28"/>
          <w:szCs w:val="28"/>
          <w:highlight w:val="none"/>
          <w:lang w:val="zh-CN" w:eastAsia="zh-CN"/>
        </w:rPr>
        <w:t>且介质洁净不易粘堵时，可采用磁致伸缩液位计、浮筒液位计。</w:t>
      </w:r>
    </w:p>
    <w:p w14:paraId="4FCE0EEE">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罐区液位测量采用雷达液位计或雷达液位计。</w:t>
      </w:r>
    </w:p>
    <w:p w14:paraId="49223F87">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物位联锁选用浮筒式液位开关、浮球液位开关、音叉开关等。</w:t>
      </w:r>
    </w:p>
    <w:p w14:paraId="629783BA">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水池等可采用超声波液位计。</w:t>
      </w:r>
    </w:p>
    <w:p w14:paraId="7EC0D90B">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5</w:t>
      </w:r>
      <w:r>
        <w:rPr>
          <w:rFonts w:hint="eastAsia" w:ascii="宋体" w:hAnsi="宋体" w:cs="宋体"/>
          <w:color w:val="auto"/>
          <w:sz w:val="28"/>
          <w:szCs w:val="28"/>
          <w:highlight w:val="none"/>
          <w:lang w:val="zh-CN" w:eastAsia="zh-CN"/>
        </w:rPr>
        <w:t>）控制阀</w:t>
      </w:r>
    </w:p>
    <w:p w14:paraId="65AB8CB8">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原则上采用单、双座阀；蒸汽选用笼式阀；有气蚀的场合选用低噪音、抗气蚀阀；低差压大流量场合选用蝶阀。</w:t>
      </w:r>
    </w:p>
    <w:p w14:paraId="6A6A496A">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用于放空场合的控制阀，其泄漏量等级应不低于</w:t>
      </w:r>
      <w:r>
        <w:rPr>
          <w:rFonts w:ascii="宋体" w:hAnsi="宋体" w:cs="宋体"/>
          <w:color w:val="auto"/>
          <w:sz w:val="28"/>
          <w:szCs w:val="28"/>
          <w:highlight w:val="none"/>
          <w:lang w:val="zh-CN" w:eastAsia="zh-CN"/>
        </w:rPr>
        <w:t>ANSI Class V</w:t>
      </w:r>
      <w:r>
        <w:rPr>
          <w:rFonts w:hint="eastAsia" w:ascii="宋体" w:hAnsi="宋体" w:cs="宋体"/>
          <w:color w:val="auto"/>
          <w:sz w:val="28"/>
          <w:szCs w:val="28"/>
          <w:highlight w:val="none"/>
          <w:lang w:val="zh-CN" w:eastAsia="zh-CN"/>
        </w:rPr>
        <w:t>。</w:t>
      </w:r>
    </w:p>
    <w:p w14:paraId="3FB3FFDE">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对控制阀的阀体及阀内组件材质，应根据工艺介质情况加以选择。</w:t>
      </w:r>
    </w:p>
    <w:p w14:paraId="0DAAC0A6">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当能源发生故障或控制信号突然中断时，控制阀应处于使生产装置处于安全的位置。</w:t>
      </w:r>
    </w:p>
    <w:p w14:paraId="5C5A4192">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控制阀的所有附件，包括电气阀门定位器、电磁阀、阀位传送器、阀位开关及过滤减压器等均随控制阀成套供货。</w:t>
      </w:r>
    </w:p>
    <w:p w14:paraId="785D18F7">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6</w:t>
      </w:r>
      <w:r>
        <w:rPr>
          <w:rFonts w:hint="eastAsia" w:ascii="宋体" w:hAnsi="宋体" w:cs="宋体"/>
          <w:color w:val="auto"/>
          <w:sz w:val="28"/>
          <w:szCs w:val="28"/>
          <w:highlight w:val="none"/>
          <w:lang w:val="zh-CN" w:eastAsia="zh-CN"/>
        </w:rPr>
        <w:t>）分析仪</w:t>
      </w:r>
    </w:p>
    <w:p w14:paraId="27BF74BC">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分析仪根据工艺要求设置，特殊的分析仪应按软件包指定厂家采购，以确保测量准确可靠。</w:t>
      </w:r>
    </w:p>
    <w:p w14:paraId="4FBEAA9F">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bookmarkStart w:id="239" w:name="_Toc514076834"/>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lang w:val="zh-CN" w:eastAsia="zh-CN"/>
        </w:rPr>
        <w:t xml:space="preserve">.4.4 </w:t>
      </w:r>
      <w:r>
        <w:rPr>
          <w:rFonts w:hint="eastAsia" w:ascii="宋体" w:hAnsi="宋体" w:cs="宋体"/>
          <w:color w:val="auto"/>
          <w:sz w:val="28"/>
          <w:szCs w:val="28"/>
          <w:highlight w:val="none"/>
          <w:lang w:val="zh-CN" w:eastAsia="zh-CN"/>
        </w:rPr>
        <w:t>仪表的供电和供气</w:t>
      </w:r>
      <w:bookmarkEnd w:id="239"/>
    </w:p>
    <w:p w14:paraId="3A3FAE21">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1</w:t>
      </w:r>
      <w:r>
        <w:rPr>
          <w:rFonts w:hint="eastAsia" w:ascii="宋体" w:hAnsi="宋体" w:cs="宋体"/>
          <w:color w:val="auto"/>
          <w:sz w:val="28"/>
          <w:szCs w:val="28"/>
          <w:highlight w:val="none"/>
          <w:lang w:val="zh-CN" w:eastAsia="zh-CN"/>
        </w:rPr>
        <w:t>）仪表用电源</w:t>
      </w:r>
    </w:p>
    <w:p w14:paraId="59D960AD">
      <w:pPr>
        <w:pStyle w:val="22"/>
        <w:spacing w:line="560" w:lineRule="exact"/>
        <w:ind w:firstLine="31680"/>
        <w:rPr>
          <w:rFonts w:ascii="宋体" w:cs="宋体"/>
          <w:color w:val="auto"/>
          <w:sz w:val="28"/>
          <w:szCs w:val="28"/>
          <w:highlight w:val="none"/>
          <w:lang w:val="zh-CN" w:eastAsia="zh-CN"/>
        </w:rPr>
      </w:pPr>
      <w:r>
        <w:rPr>
          <w:rFonts w:ascii="宋体" w:hAnsi="宋体" w:cs="宋体"/>
          <w:color w:val="auto"/>
          <w:sz w:val="28"/>
          <w:szCs w:val="28"/>
          <w:highlight w:val="none"/>
          <w:lang w:val="zh-CN" w:eastAsia="zh-CN"/>
        </w:rPr>
        <w:t>UPS</w:t>
      </w:r>
      <w:r>
        <w:rPr>
          <w:rFonts w:hint="eastAsia" w:ascii="宋体" w:hAnsi="宋体" w:cs="宋体"/>
          <w:color w:val="auto"/>
          <w:sz w:val="28"/>
          <w:szCs w:val="28"/>
          <w:highlight w:val="none"/>
          <w:lang w:val="zh-CN" w:eastAsia="zh-CN"/>
        </w:rPr>
        <w:t>电源的质量要求是：</w:t>
      </w:r>
    </w:p>
    <w:p w14:paraId="5E5B91BB">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电压</w:t>
      </w:r>
      <w:r>
        <w:rPr>
          <w:rFonts w:ascii="宋体" w:hAnsi="宋体" w:cs="宋体"/>
          <w:color w:val="auto"/>
          <w:sz w:val="28"/>
          <w:szCs w:val="28"/>
          <w:highlight w:val="none"/>
          <w:lang w:val="zh-CN" w:eastAsia="zh-CN"/>
        </w:rPr>
        <w:t>220VAC</w:t>
      </w: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5%</w:t>
      </w:r>
    </w:p>
    <w:p w14:paraId="60806B71">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频率</w:t>
      </w:r>
      <w:r>
        <w:rPr>
          <w:rFonts w:ascii="宋体" w:hAnsi="宋体" w:cs="宋体"/>
          <w:color w:val="auto"/>
          <w:sz w:val="28"/>
          <w:szCs w:val="28"/>
          <w:highlight w:val="none"/>
          <w:lang w:val="zh-CN" w:eastAsia="zh-CN"/>
        </w:rPr>
        <w:t>50Hz</w:t>
      </w: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0.5%</w:t>
      </w:r>
    </w:p>
    <w:p w14:paraId="6D102DDE">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波形失真率＜</w:t>
      </w:r>
      <w:r>
        <w:rPr>
          <w:rFonts w:ascii="宋体" w:hAnsi="宋体" w:cs="宋体"/>
          <w:color w:val="auto"/>
          <w:sz w:val="28"/>
          <w:szCs w:val="28"/>
          <w:highlight w:val="none"/>
          <w:lang w:val="zh-CN" w:eastAsia="zh-CN"/>
        </w:rPr>
        <w:t>5%</w:t>
      </w:r>
    </w:p>
    <w:p w14:paraId="21EEA6C5">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本项目</w:t>
      </w:r>
      <w:r>
        <w:rPr>
          <w:rFonts w:ascii="宋体" w:hAnsi="宋体" w:cs="宋体"/>
          <w:color w:val="auto"/>
          <w:sz w:val="28"/>
          <w:szCs w:val="28"/>
          <w:highlight w:val="none"/>
          <w:lang w:val="zh-CN" w:eastAsia="zh-CN"/>
        </w:rPr>
        <w:t>UPS</w:t>
      </w:r>
      <w:r>
        <w:rPr>
          <w:rFonts w:hint="eastAsia" w:ascii="宋体" w:hAnsi="宋体" w:cs="宋体"/>
          <w:color w:val="auto"/>
          <w:sz w:val="28"/>
          <w:szCs w:val="28"/>
          <w:highlight w:val="none"/>
          <w:lang w:val="zh-CN" w:eastAsia="zh-CN"/>
        </w:rPr>
        <w:t>电源由电气专业送至机柜室，蓄电子供电时间为</w:t>
      </w:r>
      <w:r>
        <w:rPr>
          <w:rFonts w:ascii="宋体" w:hAnsi="宋体" w:cs="宋体"/>
          <w:color w:val="auto"/>
          <w:sz w:val="28"/>
          <w:szCs w:val="28"/>
          <w:highlight w:val="none"/>
          <w:lang w:val="zh-CN" w:eastAsia="zh-CN"/>
        </w:rPr>
        <w:t>30</w:t>
      </w:r>
      <w:r>
        <w:rPr>
          <w:rFonts w:hint="eastAsia" w:ascii="宋体" w:hAnsi="宋体" w:cs="宋体"/>
          <w:color w:val="auto"/>
          <w:sz w:val="28"/>
          <w:szCs w:val="28"/>
          <w:highlight w:val="none"/>
          <w:lang w:val="zh-CN" w:eastAsia="zh-CN"/>
        </w:rPr>
        <w:t>分钟。</w:t>
      </w:r>
    </w:p>
    <w:p w14:paraId="4F4706AF">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2</w:t>
      </w:r>
      <w:r>
        <w:rPr>
          <w:rFonts w:hint="eastAsia" w:ascii="宋体" w:hAnsi="宋体" w:cs="宋体"/>
          <w:color w:val="auto"/>
          <w:sz w:val="28"/>
          <w:szCs w:val="28"/>
          <w:highlight w:val="none"/>
          <w:lang w:val="zh-CN" w:eastAsia="zh-CN"/>
        </w:rPr>
        <w:t>）仪表用压缩空气</w:t>
      </w:r>
    </w:p>
    <w:p w14:paraId="0EC0C62F">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仪表用压缩空气来自</w:t>
      </w:r>
      <w:r>
        <w:rPr>
          <w:rFonts w:hint="eastAsia" w:ascii="宋体" w:hAnsi="宋体" w:cs="宋体"/>
          <w:color w:val="auto"/>
          <w:sz w:val="28"/>
          <w:szCs w:val="28"/>
          <w:highlight w:val="none"/>
          <w:lang w:eastAsia="zh-CN"/>
        </w:rPr>
        <w:t>来自空压站，压力</w:t>
      </w:r>
      <w:r>
        <w:rPr>
          <w:rFonts w:hint="eastAsia" w:ascii="宋体" w:hAnsi="宋体" w:cs="宋体"/>
          <w:color w:val="auto"/>
          <w:sz w:val="28"/>
          <w:szCs w:val="28"/>
          <w:highlight w:val="none"/>
          <w:lang w:val="zh-CN" w:eastAsia="zh-CN"/>
        </w:rPr>
        <w:t>不低于</w:t>
      </w:r>
      <w:r>
        <w:rPr>
          <w:rFonts w:ascii="宋体" w:cs="宋体"/>
          <w:color w:val="auto"/>
          <w:sz w:val="28"/>
          <w:szCs w:val="28"/>
          <w:highlight w:val="none"/>
          <w:lang w:val="zh-CN" w:eastAsia="zh-CN"/>
        </w:rPr>
        <w:t>0.</w:t>
      </w:r>
      <w:r>
        <w:rPr>
          <w:rFonts w:ascii="宋体" w:hAnsi="宋体" w:cs="宋体"/>
          <w:color w:val="auto"/>
          <w:sz w:val="28"/>
          <w:szCs w:val="28"/>
          <w:highlight w:val="none"/>
          <w:lang w:eastAsia="zh-CN"/>
        </w:rPr>
        <w:t>6</w:t>
      </w:r>
      <w:r>
        <w:rPr>
          <w:rFonts w:ascii="宋体" w:hAnsi="宋体" w:cs="宋体"/>
          <w:color w:val="auto"/>
          <w:sz w:val="28"/>
          <w:szCs w:val="28"/>
          <w:highlight w:val="none"/>
          <w:lang w:val="zh-CN" w:eastAsia="zh-CN"/>
        </w:rPr>
        <w:t>MPa</w:t>
      </w:r>
      <w:r>
        <w:rPr>
          <w:rFonts w:hint="eastAsia" w:ascii="宋体" w:hAnsi="宋体" w:cs="宋体"/>
          <w:color w:val="auto"/>
          <w:sz w:val="28"/>
          <w:szCs w:val="28"/>
          <w:highlight w:val="none"/>
          <w:lang w:val="zh-CN" w:eastAsia="zh-CN"/>
        </w:rPr>
        <w:t>（</w:t>
      </w:r>
      <w:r>
        <w:rPr>
          <w:rFonts w:ascii="宋体" w:hAnsi="宋体" w:cs="宋体"/>
          <w:color w:val="auto"/>
          <w:sz w:val="28"/>
          <w:szCs w:val="28"/>
          <w:highlight w:val="none"/>
          <w:lang w:val="zh-CN" w:eastAsia="zh-CN"/>
        </w:rPr>
        <w:t>G</w:t>
      </w:r>
      <w:r>
        <w:rPr>
          <w:rFonts w:hint="eastAsia" w:ascii="宋体" w:hAnsi="宋体" w:cs="宋体"/>
          <w:color w:val="auto"/>
          <w:sz w:val="28"/>
          <w:szCs w:val="28"/>
          <w:highlight w:val="none"/>
          <w:lang w:val="zh-CN" w:eastAsia="zh-CN"/>
        </w:rPr>
        <w:t>）。</w:t>
      </w:r>
    </w:p>
    <w:p w14:paraId="60EF266A">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气源质量要求：</w:t>
      </w:r>
    </w:p>
    <w:p w14:paraId="3ED69CD6">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露点：操作压力下</w:t>
      </w:r>
      <w:r>
        <w:rPr>
          <w:rFonts w:ascii="宋体" w:hAnsi="宋体" w:cs="宋体"/>
          <w:color w:val="auto"/>
          <w:sz w:val="28"/>
          <w:szCs w:val="28"/>
          <w:highlight w:val="none"/>
          <w:lang w:val="zh-CN" w:eastAsia="zh-CN"/>
        </w:rPr>
        <w:t xml:space="preserve">, </w:t>
      </w:r>
      <w:r>
        <w:rPr>
          <w:rFonts w:hint="eastAsia" w:ascii="宋体" w:hAnsi="宋体" w:cs="宋体"/>
          <w:color w:val="auto"/>
          <w:sz w:val="28"/>
          <w:szCs w:val="28"/>
          <w:highlight w:val="none"/>
          <w:lang w:val="zh-CN" w:eastAsia="zh-CN"/>
        </w:rPr>
        <w:t>至少低于当地极端温度</w:t>
      </w:r>
      <w:r>
        <w:rPr>
          <w:rFonts w:ascii="宋体" w:hAnsi="宋体" w:cs="宋体"/>
          <w:color w:val="auto"/>
          <w:sz w:val="28"/>
          <w:szCs w:val="28"/>
          <w:highlight w:val="none"/>
          <w:lang w:val="zh-CN" w:eastAsia="zh-CN"/>
        </w:rPr>
        <w:t>10</w:t>
      </w:r>
      <w:r>
        <w:rPr>
          <w:rFonts w:hint="eastAsia" w:ascii="宋体" w:hAnsi="宋体" w:cs="宋体"/>
          <w:color w:val="auto"/>
          <w:sz w:val="28"/>
          <w:szCs w:val="28"/>
          <w:highlight w:val="none"/>
          <w:lang w:val="zh-CN" w:eastAsia="zh-CN"/>
        </w:rPr>
        <w:t>℃</w:t>
      </w:r>
    </w:p>
    <w:p w14:paraId="21D35329">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含尘：粒径＜</w:t>
      </w:r>
      <w:r>
        <w:rPr>
          <w:rFonts w:ascii="宋体" w:hAnsi="宋体" w:cs="宋体"/>
          <w:color w:val="auto"/>
          <w:sz w:val="28"/>
          <w:szCs w:val="28"/>
          <w:highlight w:val="none"/>
          <w:lang w:val="zh-CN" w:eastAsia="zh-CN"/>
        </w:rPr>
        <w:t>3</w:t>
      </w:r>
      <w:r>
        <w:rPr>
          <w:rFonts w:hint="eastAsia" w:ascii="宋体" w:hAnsi="宋体" w:cs="宋体"/>
          <w:color w:val="auto"/>
          <w:sz w:val="28"/>
          <w:szCs w:val="28"/>
          <w:highlight w:val="none"/>
          <w:lang w:val="zh-CN" w:eastAsia="zh-CN"/>
        </w:rPr>
        <w:t>μｍ，含尘量＜</w:t>
      </w:r>
      <w:r>
        <w:rPr>
          <w:rFonts w:ascii="宋体" w:hAnsi="宋体" w:cs="宋体"/>
          <w:color w:val="auto"/>
          <w:sz w:val="28"/>
          <w:szCs w:val="28"/>
          <w:highlight w:val="none"/>
          <w:lang w:val="zh-CN" w:eastAsia="zh-CN"/>
        </w:rPr>
        <w:t>1 mg/m</w:t>
      </w:r>
      <w:r>
        <w:rPr>
          <w:rFonts w:ascii="宋体" w:hAnsi="宋体" w:cs="宋体"/>
          <w:color w:val="auto"/>
          <w:sz w:val="28"/>
          <w:szCs w:val="28"/>
          <w:highlight w:val="none"/>
          <w:vertAlign w:val="superscript"/>
          <w:lang w:val="zh-CN" w:eastAsia="zh-CN"/>
        </w:rPr>
        <w:t>3</w:t>
      </w:r>
    </w:p>
    <w:p w14:paraId="3C2E71C5">
      <w:pPr>
        <w:pStyle w:val="22"/>
        <w:spacing w:line="560" w:lineRule="exact"/>
        <w:ind w:firstLine="31680"/>
        <w:rPr>
          <w:rFonts w:ascii="宋体" w:cs="宋体"/>
          <w:color w:val="auto"/>
          <w:sz w:val="28"/>
          <w:szCs w:val="28"/>
          <w:highlight w:val="none"/>
          <w:lang w:val="zh-CN" w:eastAsia="zh-CN"/>
        </w:rPr>
      </w:pPr>
      <w:r>
        <w:rPr>
          <w:rFonts w:hint="eastAsia" w:ascii="宋体" w:hAnsi="宋体" w:cs="宋体"/>
          <w:color w:val="auto"/>
          <w:sz w:val="28"/>
          <w:szCs w:val="28"/>
          <w:highlight w:val="none"/>
          <w:lang w:val="zh-CN" w:eastAsia="zh-CN"/>
        </w:rPr>
        <w:t>含油：＜</w:t>
      </w:r>
      <w:r>
        <w:rPr>
          <w:rFonts w:ascii="宋体" w:hAnsi="宋体" w:cs="宋体"/>
          <w:color w:val="auto"/>
          <w:sz w:val="28"/>
          <w:szCs w:val="28"/>
          <w:highlight w:val="none"/>
          <w:lang w:val="zh-CN" w:eastAsia="zh-CN"/>
        </w:rPr>
        <w:t>1ppm</w:t>
      </w:r>
    </w:p>
    <w:p w14:paraId="76E4C3B2">
      <w:pPr>
        <w:pStyle w:val="22"/>
        <w:spacing w:line="560" w:lineRule="exact"/>
        <w:ind w:firstLine="31680"/>
        <w:rPr>
          <w:rFonts w:ascii="宋体" w:cs="宋体"/>
          <w:color w:val="auto"/>
          <w:sz w:val="28"/>
          <w:szCs w:val="28"/>
          <w:highlight w:val="none"/>
          <w:lang w:val="zh-CN" w:eastAsia="zh-CN"/>
        </w:rPr>
      </w:pPr>
      <w:bookmarkStart w:id="240" w:name="_Toc29955"/>
      <w:bookmarkStart w:id="241" w:name="_Toc479929530"/>
      <w:bookmarkStart w:id="242" w:name="_Toc399683759"/>
      <w:bookmarkStart w:id="243" w:name="_Toc514076835"/>
      <w:r>
        <w:rPr>
          <w:rFonts w:hint="eastAsia" w:ascii="宋体" w:hAnsi="宋体" w:cs="宋体"/>
          <w:color w:val="auto"/>
          <w:sz w:val="28"/>
          <w:szCs w:val="28"/>
          <w:highlight w:val="none"/>
          <w:lang w:val="en-US" w:eastAsia="zh-CN"/>
        </w:rPr>
        <w:t>3</w:t>
      </w:r>
      <w:r>
        <w:rPr>
          <w:rFonts w:ascii="宋体" w:hAnsi="宋体" w:cs="宋体"/>
          <w:color w:val="auto"/>
          <w:sz w:val="28"/>
          <w:szCs w:val="28"/>
          <w:highlight w:val="none"/>
          <w:lang w:val="zh-CN" w:eastAsia="zh-CN"/>
        </w:rPr>
        <w:t xml:space="preserve">.4.5 </w:t>
      </w:r>
      <w:r>
        <w:rPr>
          <w:rFonts w:hint="eastAsia" w:ascii="宋体" w:hAnsi="宋体" w:cs="宋体"/>
          <w:color w:val="auto"/>
          <w:sz w:val="28"/>
          <w:szCs w:val="28"/>
          <w:highlight w:val="none"/>
          <w:lang w:val="zh-CN" w:eastAsia="zh-CN"/>
        </w:rPr>
        <w:t>仪表接地系统</w:t>
      </w:r>
      <w:bookmarkEnd w:id="240"/>
      <w:bookmarkEnd w:id="241"/>
      <w:bookmarkEnd w:id="242"/>
    </w:p>
    <w:p w14:paraId="544D1EA9">
      <w:pPr>
        <w:pStyle w:val="22"/>
        <w:spacing w:line="560" w:lineRule="exact"/>
        <w:ind w:firstLine="31680"/>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t>仪表的保护接地(仪表、盘、柜的外壳接地)接至电气专业的接地系统，DCS的接地设置应按照DCS系统厂家的要求进行，接入原有接地极。</w:t>
      </w:r>
    </w:p>
    <w:bookmarkEnd w:id="243"/>
    <w:p w14:paraId="6F19B020">
      <w:pPr>
        <w:pStyle w:val="22"/>
        <w:spacing w:line="560" w:lineRule="exact"/>
        <w:ind w:firstLine="31680"/>
        <w:outlineLvl w:val="1"/>
        <w:rPr>
          <w:rFonts w:hint="eastAsia" w:ascii="宋体" w:hAnsi="宋体" w:eastAsia="宋体" w:cs="宋体"/>
          <w:color w:val="auto"/>
          <w:sz w:val="28"/>
          <w:szCs w:val="28"/>
          <w:highlight w:val="none"/>
          <w:lang w:val="zh-CN" w:eastAsia="zh-CN"/>
        </w:rPr>
      </w:pPr>
      <w:bookmarkStart w:id="244" w:name="_Toc11618"/>
      <w:bookmarkStart w:id="245" w:name="_Toc21496"/>
      <w:bookmarkStart w:id="246" w:name="_Toc30431"/>
      <w:bookmarkStart w:id="247" w:name="_Toc15007"/>
      <w:bookmarkStart w:id="248" w:name="_Toc479929531"/>
      <w:bookmarkStart w:id="249" w:name="_Toc5063"/>
      <w:bookmarkStart w:id="250" w:name="_Toc3404"/>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val="zh-CN" w:eastAsia="zh-CN"/>
        </w:rPr>
        <w:t>.5 装置界内公用工程设施</w:t>
      </w:r>
      <w:bookmarkEnd w:id="244"/>
      <w:bookmarkEnd w:id="245"/>
      <w:bookmarkEnd w:id="246"/>
      <w:bookmarkEnd w:id="247"/>
      <w:bookmarkEnd w:id="248"/>
      <w:bookmarkEnd w:id="249"/>
      <w:bookmarkEnd w:id="250"/>
    </w:p>
    <w:p w14:paraId="301A6CB7">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t>本项目界内公用工程和辅助设施，合理布局，使工艺流程顺畅，装置单元布置紧凑合理，并满足消防、劳动安全、卫生、检修、运输等要求。做到布置最佳并尽量减少投资。</w:t>
      </w:r>
    </w:p>
    <w:p w14:paraId="3D747193">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color w:val="auto"/>
          <w:sz w:val="28"/>
          <w:szCs w:val="28"/>
          <w:highlight w:val="none"/>
          <w:lang w:val="zh-CN" w:eastAsia="zh-CN"/>
        </w:rPr>
      </w:pPr>
      <w:bookmarkStart w:id="251" w:name="_Toc5585"/>
      <w:bookmarkStart w:id="252" w:name="_Toc19624"/>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val="zh-CN" w:eastAsia="zh-CN"/>
        </w:rPr>
        <w:t>.6装置的占地</w:t>
      </w:r>
      <w:bookmarkEnd w:id="230"/>
      <w:bookmarkEnd w:id="231"/>
      <w:bookmarkEnd w:id="232"/>
      <w:bookmarkEnd w:id="233"/>
      <w:bookmarkEnd w:id="234"/>
      <w:bookmarkEnd w:id="235"/>
      <w:bookmarkEnd w:id="236"/>
      <w:bookmarkEnd w:id="238"/>
      <w:bookmarkEnd w:id="251"/>
      <w:bookmarkEnd w:id="252"/>
    </w:p>
    <w:p w14:paraId="03F8A2B7">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yellow"/>
          <w:lang w:val="zh-CN" w:eastAsia="zh-CN"/>
        </w:rPr>
      </w:pPr>
      <w:r>
        <w:rPr>
          <w:rFonts w:hint="eastAsia" w:ascii="宋体" w:hAnsi="宋体" w:eastAsia="宋体" w:cs="宋体"/>
          <w:color w:val="auto"/>
          <w:sz w:val="28"/>
          <w:szCs w:val="28"/>
          <w:highlight w:val="yellow"/>
          <w:lang w:val="zh-CN" w:eastAsia="zh-CN"/>
        </w:rPr>
        <w:t>本项目</w:t>
      </w:r>
      <w:r>
        <w:rPr>
          <w:rFonts w:hint="eastAsia" w:ascii="宋体" w:hAnsi="宋体" w:eastAsia="宋体" w:cs="宋体"/>
          <w:color w:val="auto"/>
          <w:sz w:val="28"/>
          <w:szCs w:val="28"/>
          <w:highlight w:val="yellow"/>
          <w:lang w:val="en-US" w:eastAsia="zh-CN"/>
        </w:rPr>
        <w:t>占地</w:t>
      </w:r>
      <w:r>
        <w:rPr>
          <w:rFonts w:hint="eastAsia" w:ascii="宋体" w:hAnsi="宋体" w:eastAsia="宋体" w:cs="宋体"/>
          <w:color w:val="auto"/>
          <w:sz w:val="28"/>
          <w:szCs w:val="28"/>
          <w:highlight w:val="yellow"/>
          <w:lang w:val="zh-CN" w:eastAsia="zh-CN"/>
        </w:rPr>
        <w:t>面积</w:t>
      </w:r>
      <w:r>
        <w:rPr>
          <w:rFonts w:hint="eastAsia" w:ascii="宋体" w:hAnsi="宋体" w:eastAsia="宋体" w:cs="宋体"/>
          <w:color w:val="auto"/>
          <w:sz w:val="28"/>
          <w:szCs w:val="28"/>
          <w:highlight w:val="yellow"/>
          <w:lang w:val="en-US" w:eastAsia="zh-CN"/>
        </w:rPr>
        <w:t>约95</w:t>
      </w:r>
      <w:r>
        <w:rPr>
          <w:rFonts w:hint="eastAsia" w:ascii="宋体" w:hAnsi="宋体" w:eastAsia="宋体" w:cs="宋体"/>
          <w:color w:val="auto"/>
          <w:sz w:val="28"/>
          <w:szCs w:val="28"/>
          <w:highlight w:val="yellow"/>
          <w:lang w:val="zh-CN" w:eastAsia="zh-CN"/>
        </w:rPr>
        <w:t>0㎡</w:t>
      </w:r>
      <w:r>
        <w:rPr>
          <w:rFonts w:hint="eastAsia" w:ascii="宋体" w:hAnsi="宋体" w:cs="宋体"/>
          <w:color w:val="auto"/>
          <w:sz w:val="28"/>
          <w:szCs w:val="28"/>
          <w:highlight w:val="yellow"/>
          <w:lang w:val="zh-CN" w:eastAsia="zh-CN"/>
        </w:rPr>
        <w:t>，</w:t>
      </w:r>
      <w:r>
        <w:rPr>
          <w:rFonts w:hint="eastAsia" w:ascii="宋体" w:hAnsi="宋体" w:cs="宋体"/>
          <w:color w:val="auto"/>
          <w:sz w:val="28"/>
          <w:szCs w:val="28"/>
          <w:highlight w:val="yellow"/>
          <w:lang w:val="en-US" w:eastAsia="zh-CN"/>
        </w:rPr>
        <w:t>详见表6.3-1</w:t>
      </w:r>
      <w:r>
        <w:rPr>
          <w:rFonts w:hint="eastAsia" w:ascii="宋体" w:hAnsi="宋体" w:eastAsia="宋体" w:cs="宋体"/>
          <w:color w:val="auto"/>
          <w:sz w:val="28"/>
          <w:szCs w:val="28"/>
          <w:highlight w:val="yellow"/>
          <w:lang w:val="zh-CN" w:eastAsia="zh-CN"/>
        </w:rPr>
        <w:t>。</w:t>
      </w:r>
    </w:p>
    <w:p w14:paraId="74E5D26D">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color w:val="auto"/>
          <w:sz w:val="28"/>
          <w:szCs w:val="28"/>
          <w:highlight w:val="none"/>
          <w:lang w:val="zh-CN" w:eastAsia="zh-CN"/>
        </w:rPr>
      </w:pPr>
      <w:bookmarkStart w:id="253" w:name="_Toc3876"/>
      <w:bookmarkStart w:id="254" w:name="_Toc22631"/>
      <w:bookmarkStart w:id="255" w:name="_Toc16777"/>
      <w:bookmarkStart w:id="256" w:name="_Toc15525_WPSOffice_Level2"/>
      <w:bookmarkStart w:id="257" w:name="_Toc14234_WPSOffice_Level2"/>
      <w:bookmarkStart w:id="258" w:name="_Toc2855"/>
      <w:bookmarkStart w:id="259" w:name="_Toc6338"/>
      <w:bookmarkStart w:id="260" w:name="_Toc32589"/>
      <w:bookmarkStart w:id="261" w:name="_Toc13171_WPSOffice_Level2"/>
      <w:bookmarkStart w:id="262" w:name="_Toc17152_WPSOffice_Level2"/>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val="zh-CN" w:eastAsia="zh-CN"/>
        </w:rPr>
        <w:t>.7工艺技术及设备风险分析</w:t>
      </w:r>
      <w:bookmarkEnd w:id="253"/>
      <w:bookmarkEnd w:id="254"/>
      <w:bookmarkEnd w:id="255"/>
      <w:bookmarkEnd w:id="256"/>
      <w:bookmarkEnd w:id="257"/>
      <w:bookmarkEnd w:id="258"/>
      <w:bookmarkEnd w:id="259"/>
      <w:bookmarkEnd w:id="260"/>
      <w:bookmarkEnd w:id="261"/>
      <w:bookmarkEnd w:id="262"/>
    </w:p>
    <w:p w14:paraId="558FC22C">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t>本项目采用的工艺技术成熟、可靠，已有大量运行经验，其工艺和设备基本实现国产化，风险较低。</w:t>
      </w:r>
    </w:p>
    <w:p w14:paraId="1C2FA912">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zh-CN" w:eastAsia="zh-CN"/>
        </w:rPr>
        <w:sectPr>
          <w:pgSz w:w="11906" w:h="16838"/>
          <w:pgMar w:top="1440" w:right="1800" w:bottom="1440" w:left="1800" w:header="851" w:footer="992" w:gutter="0"/>
          <w:pgNumType w:fmt="decimal"/>
          <w:cols w:space="425" w:num="1"/>
          <w:docGrid w:type="lines" w:linePitch="312" w:charSpace="0"/>
        </w:sectPr>
      </w:pPr>
    </w:p>
    <w:p w14:paraId="087F1596">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263" w:name="_Toc7330"/>
      <w:bookmarkStart w:id="264" w:name="_Toc8511"/>
      <w:bookmarkStart w:id="265" w:name="_Toc14596"/>
      <w:bookmarkStart w:id="266" w:name="_Toc20479"/>
      <w:bookmarkStart w:id="267" w:name="_Toc11516"/>
      <w:bookmarkStart w:id="268" w:name="_Toc21891"/>
      <w:bookmarkStart w:id="269" w:name="_Toc2364"/>
      <w:bookmarkStart w:id="270" w:name="_Toc8439"/>
      <w:bookmarkStart w:id="271" w:name="_Toc5170"/>
      <w:bookmarkStart w:id="272" w:name="_Toc16667"/>
      <w:bookmarkStart w:id="273" w:name="_Toc15717"/>
      <w:bookmarkStart w:id="274" w:name="_Toc22386"/>
      <w:bookmarkStart w:id="275" w:name="_Toc1554"/>
      <w:bookmarkStart w:id="276" w:name="_Toc28055"/>
      <w:bookmarkStart w:id="277" w:name="_Toc23383"/>
      <w:bookmarkStart w:id="278" w:name="_Toc27341"/>
      <w:bookmarkStart w:id="279" w:name="_Toc19608"/>
      <w:bookmarkStart w:id="280" w:name="_Toc25879"/>
      <w:bookmarkStart w:id="281" w:name="_Toc3428"/>
      <w:bookmarkStart w:id="282" w:name="_Toc18265"/>
      <w:bookmarkStart w:id="283" w:name="_Toc14320"/>
      <w:bookmarkStart w:id="284" w:name="_Toc15072"/>
      <w:bookmarkStart w:id="285" w:name="_Toc11580"/>
      <w:r>
        <w:rPr>
          <w:rFonts w:hint="eastAsia" w:ascii="宋体" w:hAnsi="宋体" w:eastAsia="宋体" w:cs="宋体"/>
          <w:b/>
          <w:bCs w:val="0"/>
          <w:color w:val="auto"/>
          <w:sz w:val="32"/>
          <w:szCs w:val="32"/>
          <w:highlight w:val="none"/>
          <w:lang w:val="zh-CN"/>
        </w:rPr>
        <w:t>第</w:t>
      </w:r>
      <w:r>
        <w:rPr>
          <w:rFonts w:hint="eastAsia" w:ascii="宋体" w:hAnsi="宋体" w:eastAsia="宋体" w:cs="宋体"/>
          <w:b/>
          <w:bCs w:val="0"/>
          <w:color w:val="auto"/>
          <w:sz w:val="32"/>
          <w:szCs w:val="32"/>
          <w:highlight w:val="none"/>
          <w:lang w:val="en-US" w:eastAsia="zh-CN"/>
        </w:rPr>
        <w:t>四</w:t>
      </w:r>
      <w:r>
        <w:rPr>
          <w:rFonts w:hint="eastAsia" w:ascii="宋体" w:hAnsi="宋体" w:eastAsia="宋体" w:cs="宋体"/>
          <w:b/>
          <w:bCs w:val="0"/>
          <w:color w:val="auto"/>
          <w:sz w:val="32"/>
          <w:szCs w:val="32"/>
          <w:highlight w:val="none"/>
          <w:lang w:val="zh-CN"/>
        </w:rPr>
        <w:t>章 原材料、动力供应</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197633CC">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color w:val="auto"/>
          <w:sz w:val="28"/>
          <w:szCs w:val="28"/>
          <w:highlight w:val="none"/>
          <w:lang w:val="en-US" w:eastAsia="zh-CN"/>
        </w:rPr>
      </w:pPr>
      <w:bookmarkStart w:id="286" w:name="_Toc11845"/>
      <w:bookmarkStart w:id="287" w:name="_Toc29284"/>
      <w:bookmarkStart w:id="288" w:name="_Toc25501"/>
      <w:bookmarkStart w:id="289" w:name="_Toc5676"/>
      <w:bookmarkStart w:id="290" w:name="_Toc20461"/>
      <w:bookmarkStart w:id="291" w:name="_Toc4466"/>
      <w:bookmarkStart w:id="292" w:name="_Toc28166"/>
      <w:bookmarkStart w:id="293" w:name="_Toc6736"/>
      <w:bookmarkStart w:id="294" w:name="_Toc18538"/>
      <w:bookmarkStart w:id="295" w:name="_Toc25399"/>
      <w:bookmarkStart w:id="296" w:name="_Toc2929"/>
      <w:bookmarkStart w:id="297" w:name="_Toc29088"/>
      <w:bookmarkStart w:id="298" w:name="_Toc7297"/>
      <w:bookmarkStart w:id="299" w:name="_Toc17796"/>
      <w:bookmarkStart w:id="300" w:name="_Toc3149"/>
      <w:r>
        <w:rPr>
          <w:rFonts w:hint="eastAsia" w:ascii="宋体" w:hAnsi="宋体" w:eastAsia="宋体" w:cs="宋体"/>
          <w:color w:val="auto"/>
          <w:sz w:val="28"/>
          <w:szCs w:val="28"/>
          <w:highlight w:val="none"/>
          <w:lang w:val="en-US" w:eastAsia="zh-CN"/>
        </w:rPr>
        <w:t>4.1 主要原材料供应</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rFonts w:hint="eastAsia" w:ascii="宋体" w:hAnsi="宋体" w:eastAsia="宋体" w:cs="宋体"/>
          <w:color w:val="auto"/>
          <w:sz w:val="28"/>
          <w:szCs w:val="28"/>
          <w:highlight w:val="none"/>
          <w:lang w:val="en-US" w:eastAsia="zh-CN"/>
        </w:rPr>
        <w:tab/>
      </w:r>
    </w:p>
    <w:p w14:paraId="619D5300">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bookmarkStart w:id="301" w:name="_Toc29115"/>
      <w:bookmarkStart w:id="302" w:name="_Toc18407"/>
      <w:bookmarkStart w:id="303" w:name="_Toc22454"/>
      <w:bookmarkStart w:id="304" w:name="_Toc578"/>
      <w:bookmarkStart w:id="305" w:name="_Toc5391"/>
      <w:bookmarkStart w:id="306" w:name="_Toc7307"/>
      <w:bookmarkStart w:id="307" w:name="_Toc2652"/>
      <w:bookmarkStart w:id="308" w:name="_Toc31461"/>
      <w:bookmarkStart w:id="309" w:name="_Toc26204"/>
      <w:bookmarkStart w:id="310" w:name="_Toc28998"/>
      <w:bookmarkStart w:id="311" w:name="_Toc27927"/>
      <w:bookmarkStart w:id="312" w:name="_Toc6569"/>
      <w:bookmarkStart w:id="313" w:name="_Toc17890"/>
      <w:bookmarkStart w:id="314" w:name="_Toc7706"/>
      <w:bookmarkStart w:id="315" w:name="_Toc26452"/>
      <w:bookmarkStart w:id="316" w:name="_Toc16464"/>
      <w:bookmarkStart w:id="317" w:name="_Toc29184"/>
      <w:r>
        <w:rPr>
          <w:rFonts w:hint="eastAsia" w:ascii="宋体" w:hAnsi="宋体" w:eastAsia="宋体" w:cs="宋体"/>
          <w:color w:val="auto"/>
          <w:sz w:val="28"/>
          <w:szCs w:val="28"/>
          <w:highlight w:val="none"/>
          <w:lang w:val="en-US" w:eastAsia="zh-CN"/>
        </w:rPr>
        <w:t>4.1.1 主要原辅材料品种、质量与年需要量</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8E49D8F">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bookmarkStart w:id="318" w:name="_Toc10654"/>
      <w:bookmarkStart w:id="319" w:name="_Toc2754"/>
      <w:bookmarkStart w:id="320" w:name="_Toc27083"/>
      <w:bookmarkStart w:id="321" w:name="_Toc24689"/>
      <w:bookmarkStart w:id="322" w:name="_Toc6613"/>
      <w:bookmarkStart w:id="323" w:name="_Toc17219"/>
      <w:bookmarkStart w:id="324" w:name="_Toc11587"/>
      <w:bookmarkStart w:id="325" w:name="_Toc27952"/>
      <w:bookmarkStart w:id="326" w:name="_Toc24538"/>
      <w:bookmarkStart w:id="327" w:name="_Toc8661"/>
      <w:bookmarkStart w:id="328" w:name="_Toc7741"/>
      <w:bookmarkStart w:id="329" w:name="_Toc20571"/>
      <w:bookmarkStart w:id="330" w:name="_Toc25991"/>
      <w:bookmarkStart w:id="331" w:name="_Toc19727"/>
      <w:bookmarkStart w:id="332" w:name="_Toc21196"/>
      <w:bookmarkStart w:id="333" w:name="_Toc22714"/>
      <w:bookmarkStart w:id="334" w:name="_Toc15685"/>
      <w:r>
        <w:rPr>
          <w:rFonts w:hint="eastAsia" w:ascii="宋体" w:hAnsi="宋体" w:eastAsia="宋体" w:cs="宋体"/>
          <w:color w:val="auto"/>
          <w:sz w:val="28"/>
          <w:szCs w:val="28"/>
          <w:highlight w:val="none"/>
          <w:lang w:val="en-US" w:eastAsia="zh-CN"/>
        </w:rPr>
        <w:t>原料、主要辅助材料年需量及来源见表4.1-1。</w:t>
      </w:r>
    </w:p>
    <w:p w14:paraId="0A7B8C62">
      <w:pPr>
        <w:spacing w:line="560" w:lineRule="exact"/>
        <w:ind w:firstLine="492" w:firstLineChars="200"/>
        <w:jc w:val="center"/>
        <w:rPr>
          <w:rFonts w:hint="eastAsia" w:ascii="宋体" w:hAnsi="宋体" w:eastAsia="宋体" w:cs="宋体"/>
          <w:color w:val="auto"/>
          <w:spacing w:val="3"/>
          <w:sz w:val="24"/>
          <w:szCs w:val="24"/>
          <w:highlight w:val="none"/>
          <w:lang w:val="zh-CN"/>
        </w:rPr>
      </w:pPr>
      <w:r>
        <w:rPr>
          <w:rFonts w:hint="eastAsia" w:ascii="宋体" w:hAnsi="宋体" w:eastAsia="宋体" w:cs="宋体"/>
          <w:color w:val="auto"/>
          <w:spacing w:val="3"/>
          <w:sz w:val="24"/>
          <w:szCs w:val="24"/>
          <w:highlight w:val="none"/>
          <w:lang w:val="zh-CN"/>
        </w:rPr>
        <w:t>表</w:t>
      </w:r>
      <w:r>
        <w:rPr>
          <w:rFonts w:hint="eastAsia" w:ascii="宋体" w:hAnsi="宋体" w:eastAsia="宋体" w:cs="宋体"/>
          <w:color w:val="auto"/>
          <w:spacing w:val="3"/>
          <w:sz w:val="24"/>
          <w:szCs w:val="24"/>
          <w:highlight w:val="none"/>
          <w:lang w:val="zh-CN" w:eastAsia="zh-CN"/>
        </w:rPr>
        <w:t>4.</w:t>
      </w:r>
      <w:r>
        <w:rPr>
          <w:rFonts w:hint="eastAsia" w:ascii="宋体" w:hAnsi="宋体" w:eastAsia="宋体" w:cs="宋体"/>
          <w:color w:val="auto"/>
          <w:spacing w:val="3"/>
          <w:sz w:val="24"/>
          <w:szCs w:val="24"/>
          <w:highlight w:val="none"/>
          <w:lang w:val="zh-CN"/>
        </w:rPr>
        <w:t>1-1  原料、主要辅助材料年需量及来源</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899"/>
        <w:gridCol w:w="1349"/>
        <w:gridCol w:w="1654"/>
        <w:gridCol w:w="2552"/>
      </w:tblGrid>
      <w:tr w14:paraId="6CEE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pct"/>
            <w:vAlign w:val="center"/>
          </w:tcPr>
          <w:p w14:paraId="1FA24421">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序号</w:t>
            </w:r>
          </w:p>
        </w:tc>
        <w:tc>
          <w:tcPr>
            <w:tcW w:w="1115" w:type="pct"/>
            <w:vAlign w:val="center"/>
          </w:tcPr>
          <w:p w14:paraId="5F4BF1BA">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名称</w:t>
            </w:r>
          </w:p>
        </w:tc>
        <w:tc>
          <w:tcPr>
            <w:tcW w:w="1350" w:type="dxa"/>
            <w:vAlign w:val="center"/>
          </w:tcPr>
          <w:p w14:paraId="44943BD8">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单位</w:t>
            </w:r>
          </w:p>
        </w:tc>
        <w:tc>
          <w:tcPr>
            <w:tcW w:w="1650" w:type="dxa"/>
            <w:vAlign w:val="center"/>
          </w:tcPr>
          <w:p w14:paraId="7B2862E3">
            <w:pPr>
              <w:pStyle w:val="23"/>
              <w:rPr>
                <w:rFonts w:hint="eastAsia" w:ascii="宋体" w:hAnsi="宋体" w:cs="宋体"/>
                <w:color w:val="auto"/>
                <w:kern w:val="2"/>
                <w:szCs w:val="21"/>
                <w:highlight w:val="none"/>
                <w:lang w:val="zh-CN" w:eastAsia="zh-CN"/>
              </w:rPr>
            </w:pPr>
            <w:r>
              <w:rPr>
                <w:rFonts w:hint="eastAsia" w:ascii="宋体" w:hAnsi="宋体" w:cs="宋体"/>
                <w:color w:val="auto"/>
                <w:kern w:val="2"/>
                <w:szCs w:val="21"/>
                <w:highlight w:val="none"/>
                <w:lang w:val="zh-CN" w:eastAsia="zh-CN"/>
              </w:rPr>
              <w:t>年</w:t>
            </w:r>
            <w:r>
              <w:rPr>
                <w:rFonts w:hint="eastAsia" w:ascii="宋体" w:hAnsi="宋体" w:cs="宋体"/>
                <w:color w:val="auto"/>
                <w:kern w:val="2"/>
                <w:szCs w:val="21"/>
                <w:highlight w:val="none"/>
                <w:lang w:val="en-US" w:eastAsia="zh-CN"/>
              </w:rPr>
              <w:t>储存</w:t>
            </w:r>
            <w:r>
              <w:rPr>
                <w:rFonts w:hint="eastAsia" w:ascii="宋体" w:hAnsi="宋体" w:cs="宋体"/>
                <w:color w:val="auto"/>
                <w:kern w:val="2"/>
                <w:szCs w:val="21"/>
                <w:highlight w:val="none"/>
                <w:lang w:val="zh-CN" w:eastAsia="zh-CN"/>
              </w:rPr>
              <w:t>量</w:t>
            </w:r>
          </w:p>
        </w:tc>
        <w:tc>
          <w:tcPr>
            <w:tcW w:w="1498" w:type="pct"/>
            <w:vAlign w:val="center"/>
          </w:tcPr>
          <w:p w14:paraId="70F8A31A">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主要来源</w:t>
            </w:r>
          </w:p>
        </w:tc>
      </w:tr>
      <w:tr w14:paraId="5DA5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pct"/>
            <w:vAlign w:val="center"/>
          </w:tcPr>
          <w:p w14:paraId="36558121">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1</w:t>
            </w:r>
          </w:p>
        </w:tc>
        <w:tc>
          <w:tcPr>
            <w:tcW w:w="1115" w:type="pct"/>
            <w:vAlign w:val="center"/>
          </w:tcPr>
          <w:p w14:paraId="4DB350CC">
            <w:pPr>
              <w:pStyle w:val="23"/>
              <w:rPr>
                <w:rFonts w:hint="eastAsia" w:ascii="宋体" w:hAnsi="宋体" w:eastAsia="宋体" w:cs="宋体"/>
                <w:color w:val="auto"/>
                <w:kern w:val="2"/>
                <w:szCs w:val="21"/>
                <w:highlight w:val="none"/>
                <w:lang w:val="zh-CN" w:eastAsia="zh-CN"/>
              </w:rPr>
            </w:pPr>
            <w:r>
              <w:rPr>
                <w:rFonts w:hint="eastAsia" w:ascii="宋体" w:hAnsi="宋体" w:eastAsia="宋体" w:cs="宋体"/>
                <w:color w:val="auto"/>
                <w:kern w:val="2"/>
                <w:szCs w:val="21"/>
                <w:highlight w:val="none"/>
                <w:lang w:val="en-US" w:eastAsia="zh-CN"/>
              </w:rPr>
              <w:t>盐酸</w:t>
            </w:r>
          </w:p>
        </w:tc>
        <w:tc>
          <w:tcPr>
            <w:tcW w:w="792" w:type="pct"/>
            <w:vAlign w:val="center"/>
          </w:tcPr>
          <w:p w14:paraId="26C40354">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吨</w:t>
            </w:r>
          </w:p>
        </w:tc>
        <w:tc>
          <w:tcPr>
            <w:tcW w:w="1650" w:type="dxa"/>
            <w:vAlign w:val="center"/>
          </w:tcPr>
          <w:p w14:paraId="4F54D5C8">
            <w:pPr>
              <w:pStyle w:val="23"/>
              <w:rPr>
                <w:rFonts w:hint="default" w:ascii="宋体" w:hAnsi="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58000</w:t>
            </w:r>
          </w:p>
        </w:tc>
        <w:tc>
          <w:tcPr>
            <w:tcW w:w="1498" w:type="pct"/>
            <w:vAlign w:val="center"/>
          </w:tcPr>
          <w:p w14:paraId="42DDC17C">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公司内</w:t>
            </w:r>
          </w:p>
        </w:tc>
      </w:tr>
      <w:tr w14:paraId="2E43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4" w:type="pct"/>
            <w:vAlign w:val="center"/>
          </w:tcPr>
          <w:p w14:paraId="60EAF40C">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2</w:t>
            </w:r>
          </w:p>
        </w:tc>
        <w:tc>
          <w:tcPr>
            <w:tcW w:w="1115" w:type="pct"/>
            <w:vAlign w:val="center"/>
          </w:tcPr>
          <w:p w14:paraId="0C7FF071">
            <w:pPr>
              <w:pStyle w:val="23"/>
              <w:rPr>
                <w:rFonts w:hint="eastAsia" w:ascii="宋体" w:hAnsi="宋体" w:eastAsia="宋体" w:cs="宋体"/>
                <w:color w:val="auto"/>
                <w:kern w:val="2"/>
                <w:szCs w:val="21"/>
                <w:highlight w:val="none"/>
                <w:lang w:val="zh-CN" w:eastAsia="zh-CN"/>
              </w:rPr>
            </w:pPr>
            <w:r>
              <w:rPr>
                <w:rFonts w:hint="eastAsia" w:ascii="宋体" w:hAnsi="宋体" w:eastAsia="宋体" w:cs="宋体"/>
                <w:color w:val="auto"/>
                <w:kern w:val="2"/>
                <w:szCs w:val="21"/>
                <w:highlight w:val="none"/>
                <w:lang w:val="en-US" w:eastAsia="zh-CN"/>
              </w:rPr>
              <w:t>醋酐</w:t>
            </w:r>
          </w:p>
        </w:tc>
        <w:tc>
          <w:tcPr>
            <w:tcW w:w="792" w:type="pct"/>
            <w:vAlign w:val="center"/>
          </w:tcPr>
          <w:p w14:paraId="3B3F2190">
            <w:pPr>
              <w:pStyle w:val="23"/>
              <w:rPr>
                <w:rFonts w:hint="eastAsia" w:ascii="宋体" w:hAnsi="宋体" w:eastAsia="宋体" w:cs="宋体"/>
                <w:color w:val="auto"/>
                <w:kern w:val="2"/>
                <w:szCs w:val="21"/>
                <w:highlight w:val="none"/>
                <w:lang w:val="zh-CN"/>
              </w:rPr>
            </w:pPr>
            <w:r>
              <w:rPr>
                <w:rFonts w:hint="eastAsia" w:ascii="宋体" w:hAnsi="宋体" w:eastAsia="宋体" w:cs="宋体"/>
                <w:color w:val="auto"/>
                <w:kern w:val="2"/>
                <w:szCs w:val="21"/>
                <w:highlight w:val="none"/>
                <w:lang w:val="zh-CN"/>
              </w:rPr>
              <w:t>吨</w:t>
            </w:r>
          </w:p>
        </w:tc>
        <w:tc>
          <w:tcPr>
            <w:tcW w:w="1650" w:type="dxa"/>
            <w:vAlign w:val="center"/>
          </w:tcPr>
          <w:p w14:paraId="3A7498F3">
            <w:pPr>
              <w:pStyle w:val="23"/>
              <w:rPr>
                <w:rFonts w:hint="default" w:ascii="宋体" w:hAnsi="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3000</w:t>
            </w:r>
          </w:p>
        </w:tc>
        <w:tc>
          <w:tcPr>
            <w:tcW w:w="1498" w:type="pct"/>
            <w:vAlign w:val="center"/>
          </w:tcPr>
          <w:p w14:paraId="06300C15">
            <w:pPr>
              <w:pStyle w:val="23"/>
              <w:rPr>
                <w:rFonts w:hint="eastAsia" w:ascii="宋体" w:hAnsi="宋体" w:eastAsia="宋体" w:cs="宋体"/>
                <w:color w:val="auto"/>
                <w:kern w:val="2"/>
                <w:szCs w:val="21"/>
                <w:highlight w:val="none"/>
                <w:lang w:val="zh-CN" w:eastAsia="zh-CN"/>
              </w:rPr>
            </w:pPr>
            <w:r>
              <w:rPr>
                <w:rFonts w:hint="eastAsia" w:ascii="宋体" w:hAnsi="宋体" w:cs="宋体"/>
                <w:color w:val="auto"/>
                <w:kern w:val="2"/>
                <w:szCs w:val="21"/>
                <w:highlight w:val="none"/>
                <w:lang w:val="en-US" w:eastAsia="zh-CN"/>
              </w:rPr>
              <w:t>外购</w:t>
            </w:r>
          </w:p>
        </w:tc>
      </w:tr>
    </w:tbl>
    <w:p w14:paraId="32C673EB">
      <w:pPr>
        <w:pStyle w:val="22"/>
        <w:spacing w:line="560" w:lineRule="exact"/>
        <w:ind w:firstLine="316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公用工程年需量及来源见表4.1-2。</w:t>
      </w:r>
    </w:p>
    <w:p w14:paraId="390C949C">
      <w:pPr>
        <w:spacing w:line="560" w:lineRule="exact"/>
        <w:ind w:firstLine="492" w:firstLineChars="200"/>
        <w:jc w:val="center"/>
        <w:rPr>
          <w:rFonts w:hint="eastAsia" w:ascii="宋体" w:hAnsi="宋体" w:eastAsia="宋体" w:cs="宋体"/>
          <w:color w:val="auto"/>
          <w:spacing w:val="3"/>
          <w:sz w:val="24"/>
          <w:szCs w:val="24"/>
          <w:highlight w:val="yellow"/>
          <w:lang w:val="zh-CN"/>
        </w:rPr>
      </w:pPr>
      <w:r>
        <w:rPr>
          <w:rFonts w:hint="eastAsia" w:ascii="宋体" w:hAnsi="宋体" w:eastAsia="宋体" w:cs="宋体"/>
          <w:color w:val="auto"/>
          <w:spacing w:val="3"/>
          <w:sz w:val="24"/>
          <w:szCs w:val="24"/>
          <w:highlight w:val="yellow"/>
          <w:lang w:val="zh-CN"/>
        </w:rPr>
        <w:t>表</w:t>
      </w:r>
      <w:r>
        <w:rPr>
          <w:rFonts w:hint="eastAsia" w:ascii="宋体" w:hAnsi="宋体" w:eastAsia="宋体" w:cs="宋体"/>
          <w:color w:val="auto"/>
          <w:spacing w:val="3"/>
          <w:sz w:val="24"/>
          <w:szCs w:val="24"/>
          <w:highlight w:val="yellow"/>
          <w:lang w:val="zh-CN" w:eastAsia="zh-CN"/>
        </w:rPr>
        <w:t>4.</w:t>
      </w:r>
      <w:r>
        <w:rPr>
          <w:rFonts w:hint="eastAsia" w:ascii="宋体" w:hAnsi="宋体" w:eastAsia="宋体" w:cs="宋体"/>
          <w:color w:val="auto"/>
          <w:spacing w:val="3"/>
          <w:sz w:val="24"/>
          <w:szCs w:val="24"/>
          <w:highlight w:val="yellow"/>
          <w:lang w:val="zh-CN"/>
        </w:rPr>
        <w:t>1-2 公用工程年需量及来源</w:t>
      </w:r>
    </w:p>
    <w:tbl>
      <w:tblPr>
        <w:tblStyle w:val="15"/>
        <w:tblW w:w="4997" w:type="pct"/>
        <w:tblInd w:w="0" w:type="dxa"/>
        <w:tblLayout w:type="autofit"/>
        <w:tblCellMar>
          <w:top w:w="0" w:type="dxa"/>
          <w:left w:w="0" w:type="dxa"/>
          <w:bottom w:w="0" w:type="dxa"/>
          <w:right w:w="0" w:type="dxa"/>
        </w:tblCellMar>
      </w:tblPr>
      <w:tblGrid>
        <w:gridCol w:w="810"/>
        <w:gridCol w:w="1998"/>
        <w:gridCol w:w="1245"/>
        <w:gridCol w:w="2139"/>
        <w:gridCol w:w="2139"/>
      </w:tblGrid>
      <w:tr w14:paraId="4BBD2F61">
        <w:tblPrEx>
          <w:tblCellMar>
            <w:top w:w="0" w:type="dxa"/>
            <w:left w:w="0" w:type="dxa"/>
            <w:bottom w:w="0" w:type="dxa"/>
            <w:right w:w="0" w:type="dxa"/>
          </w:tblCellMar>
        </w:tblPrEx>
        <w:trPr>
          <w:trHeight w:val="567" w:hRule="atLeast"/>
        </w:trPr>
        <w:tc>
          <w:tcPr>
            <w:tcW w:w="48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570D2">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序号</w:t>
            </w:r>
          </w:p>
        </w:tc>
        <w:tc>
          <w:tcPr>
            <w:tcW w:w="119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1EF3F">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名称</w:t>
            </w:r>
          </w:p>
        </w:tc>
        <w:tc>
          <w:tcPr>
            <w:tcW w:w="74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8C89F2">
            <w:pPr>
              <w:widowControl/>
              <w:jc w:val="center"/>
              <w:textAlignment w:val="center"/>
              <w:rPr>
                <w:rFonts w:ascii="宋体" w:cs="宋体"/>
                <w:color w:val="auto"/>
                <w:szCs w:val="21"/>
                <w:highlight w:val="none"/>
              </w:rPr>
            </w:pPr>
            <w:r>
              <w:rPr>
                <w:rFonts w:hint="eastAsia" w:ascii="宋体" w:hAnsi="宋体" w:cs="宋体"/>
                <w:color w:val="auto"/>
                <w:kern w:val="0"/>
                <w:szCs w:val="21"/>
                <w:highlight w:val="none"/>
              </w:rPr>
              <w:t>单位</w:t>
            </w:r>
          </w:p>
        </w:tc>
        <w:tc>
          <w:tcPr>
            <w:tcW w:w="1283" w:type="pct"/>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1DD8DF9">
            <w:pPr>
              <w:widowControl/>
              <w:jc w:val="center"/>
              <w:textAlignment w:val="center"/>
              <w:rPr>
                <w:rFonts w:hint="eastAsia" w:ascii="宋体" w:eastAsia="宋体" w:cs="宋体"/>
                <w:color w:val="auto"/>
                <w:szCs w:val="21"/>
                <w:highlight w:val="none"/>
                <w:lang w:eastAsia="zh-CN"/>
              </w:rPr>
            </w:pPr>
            <w:r>
              <w:rPr>
                <w:rFonts w:hint="eastAsia" w:ascii="宋体" w:hAnsi="宋体" w:cs="宋体"/>
                <w:color w:val="auto"/>
                <w:kern w:val="0"/>
                <w:szCs w:val="21"/>
                <w:highlight w:val="none"/>
              </w:rPr>
              <w:t>消耗量</w:t>
            </w:r>
            <w:r>
              <w:rPr>
                <w:rFonts w:ascii="宋体" w:hAnsi="宋体" w:cs="宋体"/>
                <w:color w:val="auto"/>
                <w:kern w:val="0"/>
                <w:szCs w:val="21"/>
                <w:highlight w:val="none"/>
              </w:rPr>
              <w:t>/</w:t>
            </w:r>
            <w:r>
              <w:rPr>
                <w:rFonts w:hint="eastAsia" w:ascii="宋体" w:hAnsi="宋体" w:cs="宋体"/>
                <w:color w:val="auto"/>
                <w:kern w:val="0"/>
                <w:szCs w:val="21"/>
                <w:highlight w:val="none"/>
                <w:lang w:val="en-US" w:eastAsia="zh-CN"/>
              </w:rPr>
              <w:t>a</w:t>
            </w:r>
          </w:p>
        </w:tc>
        <w:tc>
          <w:tcPr>
            <w:tcW w:w="128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521EA22E">
            <w:pPr>
              <w:widowControl/>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备注</w:t>
            </w:r>
          </w:p>
        </w:tc>
      </w:tr>
      <w:tr w14:paraId="02DCC265">
        <w:tblPrEx>
          <w:tblCellMar>
            <w:top w:w="0" w:type="dxa"/>
            <w:left w:w="0" w:type="dxa"/>
            <w:bottom w:w="0" w:type="dxa"/>
            <w:right w:w="0" w:type="dxa"/>
          </w:tblCellMar>
        </w:tblPrEx>
        <w:trPr>
          <w:trHeight w:val="567" w:hRule="atLeast"/>
        </w:trPr>
        <w:tc>
          <w:tcPr>
            <w:tcW w:w="486" w:type="pct"/>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14:paraId="1B16970C">
            <w:pPr>
              <w:pStyle w:val="23"/>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lang w:val="zh-CN"/>
              </w:rPr>
              <w:t>1</w:t>
            </w:r>
          </w:p>
        </w:tc>
        <w:tc>
          <w:tcPr>
            <w:tcW w:w="11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03EFA2">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仪表气（0.6MPa）</w:t>
            </w:r>
          </w:p>
        </w:tc>
        <w:tc>
          <w:tcPr>
            <w:tcW w:w="74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03785">
            <w:pPr>
              <w:widowControl/>
              <w:jc w:val="center"/>
              <w:textAlignment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Nm³</w:t>
            </w:r>
          </w:p>
        </w:tc>
        <w:tc>
          <w:tcPr>
            <w:tcW w:w="1283"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DFCA67C">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7800</w:t>
            </w:r>
          </w:p>
        </w:tc>
        <w:tc>
          <w:tcPr>
            <w:tcW w:w="128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32EC9CB4">
            <w:pPr>
              <w:widowControl/>
              <w:jc w:val="center"/>
              <w:textAlignment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公司公用工程管网</w:t>
            </w:r>
          </w:p>
        </w:tc>
      </w:tr>
      <w:tr w14:paraId="2DB7C479">
        <w:tblPrEx>
          <w:tblCellMar>
            <w:top w:w="0" w:type="dxa"/>
            <w:left w:w="0" w:type="dxa"/>
            <w:bottom w:w="0" w:type="dxa"/>
            <w:right w:w="0" w:type="dxa"/>
          </w:tblCellMar>
        </w:tblPrEx>
        <w:trPr>
          <w:trHeight w:val="567" w:hRule="atLeast"/>
        </w:trPr>
        <w:tc>
          <w:tcPr>
            <w:tcW w:w="486" w:type="pct"/>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14:paraId="405D2776">
            <w:pPr>
              <w:pStyle w:val="23"/>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lang w:val="zh-CN"/>
              </w:rPr>
              <w:t>2</w:t>
            </w:r>
          </w:p>
        </w:tc>
        <w:tc>
          <w:tcPr>
            <w:tcW w:w="119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0459D">
            <w:pPr>
              <w:widowControl/>
              <w:jc w:val="center"/>
              <w:textAlignment w:val="center"/>
              <w:rPr>
                <w:rFonts w:hint="eastAsia" w:ascii="宋体" w:hAnsi="Calibri"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氮气（0.4MPa）</w:t>
            </w: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B0D3A">
            <w:pPr>
              <w:widowControl/>
              <w:jc w:val="center"/>
              <w:textAlignment w:val="center"/>
              <w:rPr>
                <w:rFonts w:ascii="宋体" w:hAnsi="Calibri"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Nm³</w:t>
            </w:r>
          </w:p>
        </w:tc>
        <w:tc>
          <w:tcPr>
            <w:tcW w:w="1283" w:type="pct"/>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4379AD0">
            <w:pPr>
              <w:widowControl/>
              <w:jc w:val="center"/>
              <w:textAlignment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11700</w:t>
            </w:r>
          </w:p>
        </w:tc>
        <w:tc>
          <w:tcPr>
            <w:tcW w:w="1283" w:type="pct"/>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14:paraId="71991D7B">
            <w:pPr>
              <w:widowControl/>
              <w:jc w:val="center"/>
              <w:textAlignment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val="en-US" w:eastAsia="zh-CN"/>
              </w:rPr>
              <w:t>公司公用工程管网</w:t>
            </w:r>
          </w:p>
        </w:tc>
      </w:tr>
      <w:bookmarkEnd w:id="318"/>
    </w:tbl>
    <w:p w14:paraId="1DAA3FD9">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bookmarkStart w:id="335" w:name="_Toc840"/>
      <w:r>
        <w:rPr>
          <w:rFonts w:hint="eastAsia" w:ascii="宋体" w:hAnsi="宋体" w:eastAsia="宋体" w:cs="宋体"/>
          <w:color w:val="auto"/>
          <w:sz w:val="28"/>
          <w:szCs w:val="28"/>
          <w:highlight w:val="none"/>
          <w:lang w:val="en-US" w:eastAsia="zh-CN"/>
        </w:rPr>
        <w:t>4.1.2 原材料来源与产品运输方式</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4C66F1EB">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本项目盐酸主要为氯化苯装置副产，通过管道输送至本项目储罐。</w:t>
      </w:r>
    </w:p>
    <w:p w14:paraId="52D4D004">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本项目醋酐主要为氯乙酸装置</w:t>
      </w:r>
      <w:r>
        <w:rPr>
          <w:rFonts w:hint="eastAsia" w:ascii="宋体" w:hAnsi="宋体" w:cs="宋体"/>
          <w:color w:val="auto"/>
          <w:sz w:val="28"/>
          <w:szCs w:val="28"/>
          <w:highlight w:val="none"/>
          <w:lang w:val="en-US" w:eastAsia="zh-CN"/>
        </w:rPr>
        <w:t>原料</w:t>
      </w:r>
      <w:r>
        <w:rPr>
          <w:rFonts w:hint="eastAsia" w:ascii="宋体" w:hAnsi="宋体" w:eastAsia="宋体" w:cs="宋体"/>
          <w:color w:val="auto"/>
          <w:sz w:val="28"/>
          <w:szCs w:val="28"/>
          <w:highlight w:val="none"/>
          <w:lang w:val="en-US" w:eastAsia="zh-CN"/>
        </w:rPr>
        <w:t>，通过</w:t>
      </w:r>
      <w:r>
        <w:rPr>
          <w:rFonts w:hint="eastAsia" w:ascii="宋体" w:hAnsi="宋体" w:cs="宋体"/>
          <w:color w:val="auto"/>
          <w:sz w:val="28"/>
          <w:szCs w:val="28"/>
          <w:highlight w:val="none"/>
          <w:lang w:val="en-US" w:eastAsia="zh-CN"/>
        </w:rPr>
        <w:t>罐车</w:t>
      </w:r>
      <w:r>
        <w:rPr>
          <w:rFonts w:hint="eastAsia" w:ascii="宋体" w:hAnsi="宋体" w:eastAsia="宋体" w:cs="宋体"/>
          <w:color w:val="auto"/>
          <w:sz w:val="28"/>
          <w:szCs w:val="28"/>
          <w:highlight w:val="none"/>
          <w:lang w:val="en-US" w:eastAsia="zh-CN"/>
        </w:rPr>
        <w:t>输送至本项目储罐。</w:t>
      </w:r>
    </w:p>
    <w:p w14:paraId="65F5C1C1">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产品经管道输送至汽车运输向外销售。</w:t>
      </w:r>
    </w:p>
    <w:p w14:paraId="4171BA62">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bookmarkStart w:id="336" w:name="_Toc31704"/>
      <w:bookmarkStart w:id="337" w:name="_Toc3932"/>
      <w:r>
        <w:rPr>
          <w:rFonts w:hint="eastAsia" w:ascii="宋体" w:hAnsi="宋体" w:eastAsia="宋体" w:cs="宋体"/>
          <w:color w:val="auto"/>
          <w:sz w:val="28"/>
          <w:szCs w:val="28"/>
          <w:highlight w:val="none"/>
          <w:lang w:val="en-US" w:eastAsia="zh-CN"/>
        </w:rPr>
        <w:t>4.1.3 公用工程来源</w:t>
      </w:r>
      <w:bookmarkEnd w:id="336"/>
      <w:bookmarkEnd w:id="337"/>
    </w:p>
    <w:p w14:paraId="07FC9447">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bookmarkStart w:id="338" w:name="_Toc438214639"/>
      <w:r>
        <w:rPr>
          <w:rFonts w:hint="eastAsia" w:ascii="宋体" w:hAnsi="宋体" w:eastAsia="宋体" w:cs="宋体"/>
          <w:color w:val="auto"/>
          <w:sz w:val="28"/>
          <w:szCs w:val="28"/>
          <w:highlight w:val="yellow"/>
          <w:lang w:val="en-US" w:eastAsia="zh-CN"/>
        </w:rPr>
        <w:t>（1）</w:t>
      </w:r>
      <w:bookmarkEnd w:id="338"/>
      <w:r>
        <w:rPr>
          <w:rFonts w:hint="eastAsia" w:ascii="宋体" w:hAnsi="宋体" w:eastAsia="宋体" w:cs="宋体"/>
          <w:color w:val="auto"/>
          <w:sz w:val="28"/>
          <w:szCs w:val="28"/>
          <w:highlight w:val="none"/>
          <w:lang w:val="en-US" w:eastAsia="zh-CN"/>
        </w:rPr>
        <w:t>仪表空气</w:t>
      </w:r>
    </w:p>
    <w:p w14:paraId="72B1EF51">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公司现有公用工程管网，为本项目供给仪表空气；满足本项目需求。</w:t>
      </w:r>
    </w:p>
    <w:p w14:paraId="4A6C48D1">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cs="宋体"/>
          <w:color w:val="auto"/>
          <w:sz w:val="28"/>
          <w:szCs w:val="28"/>
          <w:highlight w:val="none"/>
          <w:lang w:val="en-US" w:eastAsia="zh-CN"/>
        </w:rPr>
        <w:t>氮</w:t>
      </w:r>
      <w:r>
        <w:rPr>
          <w:rFonts w:hint="eastAsia" w:ascii="宋体" w:hAnsi="宋体" w:eastAsia="宋体" w:cs="宋体"/>
          <w:color w:val="auto"/>
          <w:sz w:val="28"/>
          <w:szCs w:val="28"/>
          <w:highlight w:val="none"/>
          <w:lang w:val="en-US" w:eastAsia="zh-CN"/>
        </w:rPr>
        <w:t>气</w:t>
      </w:r>
    </w:p>
    <w:p w14:paraId="7E55D9AE">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公司现有公用工程管网，为本项目供给</w:t>
      </w:r>
      <w:r>
        <w:rPr>
          <w:rFonts w:hint="eastAsia" w:ascii="宋体" w:hAnsi="宋体" w:cs="宋体"/>
          <w:color w:val="auto"/>
          <w:sz w:val="28"/>
          <w:szCs w:val="28"/>
          <w:highlight w:val="none"/>
          <w:lang w:val="en-US" w:eastAsia="zh-CN"/>
        </w:rPr>
        <w:t>氮</w:t>
      </w:r>
      <w:r>
        <w:rPr>
          <w:rFonts w:hint="eastAsia" w:ascii="宋体" w:hAnsi="宋体" w:eastAsia="宋体" w:cs="宋体"/>
          <w:color w:val="auto"/>
          <w:sz w:val="28"/>
          <w:szCs w:val="28"/>
          <w:highlight w:val="none"/>
          <w:lang w:val="en-US" w:eastAsia="zh-CN"/>
        </w:rPr>
        <w:t>气；满足本项目需求。</w:t>
      </w:r>
    </w:p>
    <w:p w14:paraId="7B2FA120">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color w:val="auto"/>
          <w:sz w:val="28"/>
          <w:szCs w:val="28"/>
          <w:highlight w:val="none"/>
          <w:lang w:val="en-US" w:eastAsia="zh-CN"/>
        </w:rPr>
      </w:pPr>
      <w:bookmarkStart w:id="339" w:name="_Toc28197"/>
      <w:bookmarkStart w:id="340" w:name="_Toc22089"/>
      <w:bookmarkStart w:id="341" w:name="_Toc6527"/>
      <w:bookmarkStart w:id="342" w:name="_Toc503433239"/>
      <w:bookmarkStart w:id="343" w:name="_Toc13904"/>
      <w:bookmarkStart w:id="344" w:name="_Toc7007"/>
      <w:r>
        <w:rPr>
          <w:rFonts w:hint="eastAsia" w:ascii="宋体" w:hAnsi="宋体" w:eastAsia="宋体" w:cs="宋体"/>
          <w:color w:val="auto"/>
          <w:sz w:val="28"/>
          <w:szCs w:val="28"/>
          <w:highlight w:val="none"/>
          <w:lang w:val="en-US" w:eastAsia="zh-CN"/>
        </w:rPr>
        <w:t>4.2主要原辅材料市场分析</w:t>
      </w:r>
      <w:bookmarkEnd w:id="339"/>
      <w:bookmarkEnd w:id="340"/>
      <w:bookmarkEnd w:id="341"/>
      <w:bookmarkEnd w:id="342"/>
      <w:bookmarkEnd w:id="343"/>
      <w:bookmarkEnd w:id="344"/>
    </w:p>
    <w:p w14:paraId="3B164350">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本项目的</w:t>
      </w:r>
      <w:r>
        <w:rPr>
          <w:rFonts w:hint="eastAsia" w:ascii="宋体" w:hAnsi="宋体" w:cs="宋体"/>
          <w:color w:val="auto"/>
          <w:sz w:val="28"/>
          <w:szCs w:val="28"/>
          <w:highlight w:val="none"/>
          <w:lang w:val="en-US" w:eastAsia="zh-CN"/>
        </w:rPr>
        <w:t>盐酸</w:t>
      </w:r>
      <w:r>
        <w:rPr>
          <w:rFonts w:hint="eastAsia" w:ascii="宋体" w:hAnsi="宋体" w:eastAsia="宋体" w:cs="宋体"/>
          <w:color w:val="auto"/>
          <w:sz w:val="28"/>
          <w:szCs w:val="28"/>
          <w:highlight w:val="none"/>
          <w:lang w:val="en-US" w:eastAsia="zh-CN"/>
        </w:rPr>
        <w:t>来源公司内部，</w:t>
      </w:r>
      <w:r>
        <w:rPr>
          <w:rFonts w:hint="eastAsia" w:ascii="宋体" w:hAnsi="宋体" w:cs="宋体"/>
          <w:color w:val="auto"/>
          <w:sz w:val="28"/>
          <w:szCs w:val="28"/>
          <w:highlight w:val="none"/>
          <w:lang w:val="en-US" w:eastAsia="zh-CN"/>
        </w:rPr>
        <w:t>醋酐通过现有采购渠道采购，</w:t>
      </w:r>
      <w:r>
        <w:rPr>
          <w:rFonts w:hint="eastAsia" w:ascii="宋体" w:hAnsi="宋体" w:eastAsia="宋体" w:cs="宋体"/>
          <w:color w:val="auto"/>
          <w:sz w:val="28"/>
          <w:szCs w:val="28"/>
          <w:highlight w:val="none"/>
          <w:lang w:val="en-US" w:eastAsia="zh-CN"/>
        </w:rPr>
        <w:t>来源供应稳定。</w:t>
      </w:r>
    </w:p>
    <w:p w14:paraId="52B7A6D9">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仪表空气来自公司现有公用工程管网。</w:t>
      </w:r>
    </w:p>
    <w:p w14:paraId="2C842C99">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color w:val="auto"/>
          <w:sz w:val="28"/>
          <w:szCs w:val="28"/>
          <w:highlight w:val="none"/>
          <w:lang w:val="en-US" w:eastAsia="zh-CN"/>
        </w:rPr>
      </w:pPr>
      <w:bookmarkStart w:id="345" w:name="_Toc27865"/>
      <w:bookmarkStart w:id="346" w:name="_Toc497731137"/>
      <w:bookmarkStart w:id="347" w:name="_Toc8469"/>
      <w:bookmarkStart w:id="348" w:name="_Toc503433241"/>
      <w:bookmarkStart w:id="349" w:name="_Toc18324"/>
      <w:bookmarkStart w:id="350" w:name="_Toc7159"/>
      <w:r>
        <w:rPr>
          <w:rFonts w:hint="eastAsia" w:ascii="宋体" w:hAnsi="宋体" w:eastAsia="宋体" w:cs="宋体"/>
          <w:color w:val="auto"/>
          <w:sz w:val="28"/>
          <w:szCs w:val="28"/>
          <w:highlight w:val="none"/>
          <w:lang w:val="en-US" w:eastAsia="zh-CN"/>
        </w:rPr>
        <w:t>4.3资源利用的合理性</w:t>
      </w:r>
      <w:bookmarkEnd w:id="345"/>
      <w:bookmarkEnd w:id="346"/>
      <w:bookmarkEnd w:id="347"/>
      <w:bookmarkEnd w:id="348"/>
      <w:bookmarkEnd w:id="349"/>
      <w:bookmarkEnd w:id="350"/>
    </w:p>
    <w:p w14:paraId="53F88CBB">
      <w:pPr>
        <w:pStyle w:val="22"/>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本项目实施后，能源分级利用，符合国家节能环保的总要求。</w:t>
      </w:r>
    </w:p>
    <w:p w14:paraId="20297EE9">
      <w:pPr>
        <w:pStyle w:val="22"/>
        <w:spacing w:line="560" w:lineRule="exact"/>
        <w:ind w:firstLine="31680"/>
        <w:rPr>
          <w:rFonts w:hint="eastAsia" w:ascii="宋体" w:hAnsi="宋体" w:eastAsia="宋体" w:cs="宋体"/>
          <w:color w:val="auto"/>
          <w:sz w:val="28"/>
          <w:szCs w:val="28"/>
          <w:highlight w:val="none"/>
          <w:lang w:val="en-US" w:eastAsia="zh-CN"/>
        </w:rPr>
      </w:pPr>
    </w:p>
    <w:p w14:paraId="01AF26A5">
      <w:pPr>
        <w:pStyle w:val="22"/>
        <w:spacing w:line="560" w:lineRule="exact"/>
        <w:ind w:firstLine="31680"/>
        <w:rPr>
          <w:rFonts w:hint="eastAsia" w:ascii="宋体" w:hAnsi="宋体" w:eastAsia="宋体" w:cs="宋体"/>
          <w:color w:val="auto"/>
          <w:sz w:val="28"/>
          <w:szCs w:val="28"/>
          <w:highlight w:val="none"/>
          <w:lang w:val="en-US" w:eastAsia="zh-CN"/>
        </w:rPr>
      </w:pPr>
    </w:p>
    <w:p w14:paraId="5290DA17">
      <w:pPr>
        <w:pStyle w:val="22"/>
        <w:spacing w:line="560" w:lineRule="exact"/>
        <w:ind w:firstLine="3168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ab/>
      </w:r>
    </w:p>
    <w:p w14:paraId="273C2102">
      <w:pPr>
        <w:pStyle w:val="22"/>
        <w:spacing w:line="560" w:lineRule="exact"/>
        <w:ind w:firstLine="31680"/>
        <w:rPr>
          <w:rFonts w:hint="eastAsia" w:ascii="宋体" w:hAnsi="宋体" w:eastAsia="宋体" w:cs="宋体"/>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242209FA">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351" w:name="_Toc1209"/>
      <w:bookmarkStart w:id="352" w:name="_Toc19989"/>
      <w:bookmarkStart w:id="353" w:name="_Toc29060"/>
      <w:bookmarkStart w:id="354" w:name="_Toc25030_WPSOffice_Level1"/>
      <w:bookmarkStart w:id="355" w:name="_Toc20908"/>
      <w:bookmarkStart w:id="356" w:name="_Toc30577"/>
      <w:bookmarkStart w:id="357" w:name="_Toc18885"/>
      <w:r>
        <w:rPr>
          <w:rFonts w:hint="eastAsia" w:ascii="宋体" w:hAnsi="宋体" w:eastAsia="宋体" w:cs="宋体"/>
          <w:b/>
          <w:bCs w:val="0"/>
          <w:color w:val="auto"/>
          <w:sz w:val="32"/>
          <w:szCs w:val="32"/>
          <w:highlight w:val="none"/>
          <w:lang w:val="zh-CN"/>
        </w:rPr>
        <w:t>第</w:t>
      </w:r>
      <w:r>
        <w:rPr>
          <w:rFonts w:hint="eastAsia" w:ascii="宋体" w:hAnsi="宋体" w:eastAsia="宋体" w:cs="宋体"/>
          <w:b/>
          <w:bCs w:val="0"/>
          <w:color w:val="auto"/>
          <w:sz w:val="32"/>
          <w:szCs w:val="32"/>
          <w:highlight w:val="none"/>
          <w:lang w:val="en-US" w:eastAsia="zh-CN"/>
        </w:rPr>
        <w:t>五</w:t>
      </w:r>
      <w:r>
        <w:rPr>
          <w:rFonts w:hint="eastAsia" w:ascii="宋体" w:hAnsi="宋体" w:eastAsia="宋体" w:cs="宋体"/>
          <w:b/>
          <w:bCs w:val="0"/>
          <w:color w:val="auto"/>
          <w:sz w:val="32"/>
          <w:szCs w:val="32"/>
          <w:highlight w:val="none"/>
          <w:lang w:val="zh-CN"/>
        </w:rPr>
        <w:t>章 建设条件和项目方案</w:t>
      </w:r>
      <w:bookmarkEnd w:id="351"/>
      <w:bookmarkEnd w:id="352"/>
      <w:bookmarkEnd w:id="353"/>
      <w:bookmarkEnd w:id="354"/>
      <w:bookmarkEnd w:id="355"/>
      <w:bookmarkEnd w:id="356"/>
      <w:bookmarkEnd w:id="357"/>
    </w:p>
    <w:p w14:paraId="2B1E17FA">
      <w:pPr>
        <w:pStyle w:val="24"/>
        <w:spacing w:line="560" w:lineRule="exact"/>
        <w:ind w:firstLine="31680"/>
        <w:outlineLvl w:val="1"/>
        <w:rPr>
          <w:rFonts w:ascii="宋体" w:cs="宋体"/>
          <w:color w:val="auto"/>
          <w:sz w:val="28"/>
          <w:szCs w:val="28"/>
          <w:highlight w:val="none"/>
        </w:rPr>
      </w:pPr>
      <w:bookmarkStart w:id="358" w:name="_Toc15165"/>
      <w:bookmarkStart w:id="359" w:name="_Toc29221"/>
      <w:bookmarkStart w:id="360" w:name="_Toc31506"/>
      <w:bookmarkStart w:id="361" w:name="_Toc11331_WPSOffice_Level2"/>
      <w:bookmarkStart w:id="362" w:name="_Toc10426"/>
      <w:bookmarkStart w:id="363" w:name="_Toc10762"/>
      <w:bookmarkStart w:id="364" w:name="_Toc28418"/>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w:t>
      </w:r>
      <w:r>
        <w:rPr>
          <w:rFonts w:hint="eastAsia" w:ascii="宋体" w:hAnsi="宋体" w:cs="宋体"/>
          <w:color w:val="auto"/>
          <w:sz w:val="28"/>
          <w:szCs w:val="28"/>
          <w:highlight w:val="none"/>
        </w:rPr>
        <w:t>建设条件</w:t>
      </w:r>
      <w:bookmarkEnd w:id="358"/>
      <w:bookmarkEnd w:id="359"/>
      <w:bookmarkEnd w:id="360"/>
      <w:bookmarkEnd w:id="361"/>
      <w:bookmarkEnd w:id="362"/>
      <w:bookmarkEnd w:id="363"/>
      <w:bookmarkEnd w:id="364"/>
    </w:p>
    <w:p w14:paraId="4CF97F6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65" w:name="_Toc2142"/>
      <w:bookmarkStart w:id="366" w:name="_Toc298179622"/>
      <w:bookmarkStart w:id="367" w:name="_Toc303673258"/>
      <w:bookmarkStart w:id="368" w:name="_Toc23972_WPSOffice_Level2"/>
      <w:bookmarkStart w:id="369" w:name="_Toc7207_WPSOffice_Level2"/>
      <w:bookmarkStart w:id="370" w:name="_Toc84_WPSOffice_Level2"/>
      <w:bookmarkStart w:id="371" w:name="_Toc12561_WPSOffice_Level2"/>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1.1</w:t>
      </w:r>
      <w:r>
        <w:rPr>
          <w:rFonts w:hint="eastAsia" w:ascii="宋体" w:hAnsi="宋体" w:cs="宋体"/>
          <w:color w:val="auto"/>
          <w:sz w:val="28"/>
          <w:szCs w:val="28"/>
          <w:highlight w:val="none"/>
        </w:rPr>
        <w:t>自然条件</w:t>
      </w:r>
      <w:bookmarkEnd w:id="365"/>
      <w:bookmarkEnd w:id="366"/>
      <w:bookmarkEnd w:id="367"/>
    </w:p>
    <w:p w14:paraId="5D4CF906">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72" w:name="_Toc25884"/>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 xml:space="preserve">1.1.1  </w:t>
      </w:r>
      <w:r>
        <w:rPr>
          <w:rFonts w:hint="eastAsia" w:ascii="宋体" w:hAnsi="宋体" w:cs="宋体"/>
          <w:color w:val="auto"/>
          <w:sz w:val="28"/>
          <w:szCs w:val="28"/>
          <w:highlight w:val="none"/>
        </w:rPr>
        <w:t>地理位置</w:t>
      </w:r>
      <w:bookmarkEnd w:id="372"/>
    </w:p>
    <w:p w14:paraId="1734AC49">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厂区位于镇江新区（即镇江经济开发区），镇江新区位于江苏省镇江市东部，规划总面积</w:t>
      </w:r>
      <w:r>
        <w:rPr>
          <w:rFonts w:ascii="宋体" w:hAnsi="宋体" w:cs="宋体"/>
          <w:color w:val="auto"/>
          <w:sz w:val="28"/>
          <w:szCs w:val="28"/>
          <w:highlight w:val="none"/>
        </w:rPr>
        <w:t>219</w:t>
      </w:r>
      <w:r>
        <w:rPr>
          <w:rFonts w:hint="eastAsia" w:ascii="宋体" w:hAnsi="宋体" w:cs="宋体"/>
          <w:color w:val="auto"/>
          <w:sz w:val="28"/>
          <w:szCs w:val="28"/>
          <w:highlight w:val="none"/>
        </w:rPr>
        <w:t>平方公里。</w:t>
      </w:r>
    </w:p>
    <w:p w14:paraId="2A5A3EB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73" w:name="_Toc30994"/>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 xml:space="preserve">1.1.2  </w:t>
      </w:r>
      <w:r>
        <w:rPr>
          <w:rFonts w:hint="eastAsia" w:ascii="宋体" w:hAnsi="宋体" w:cs="宋体"/>
          <w:color w:val="auto"/>
          <w:sz w:val="28"/>
          <w:szCs w:val="28"/>
          <w:highlight w:val="none"/>
        </w:rPr>
        <w:t>工程地质、水文条件及地震烈度</w:t>
      </w:r>
      <w:bookmarkEnd w:id="373"/>
    </w:p>
    <w:p w14:paraId="0A7F4F94">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镇江市地处宁镇反射弧的东段，地质构造运动形成的褶皱带，构造轴线主要为北东和北北东，断裂活动以断层走向为主，横断层为次，在断裂作用影响下形成小型凹陷盆地，被第四系下蜀黄土堆积所覆盖。</w:t>
      </w:r>
    </w:p>
    <w:p w14:paraId="28C99C4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境内地带性土壤主要为渗育型水稻土亚类的灰沙土土属和潴育型水稻土亚类的黄泥土土属。灰沙土土属棕灰色，质地均一偏粘，为粉质中壤土，土壤肥力属较高类型；黄泥土土属灰黄色土，土层深厚，质地均一偏粘，为粉质重壤土，土壤肥力属上等类型。适合于稻、麦、棉水旱轮换作业。</w:t>
      </w:r>
    </w:p>
    <w:p w14:paraId="4EA7922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镇江新区的地层单元属扬子区下扬子地层分区，地层自上元古届震旦系至新生界第四系发育良好，为第四系沉积层所覆盖，其地层自老到新为上元古界、古生界、中生界、新生界。</w:t>
      </w:r>
    </w:p>
    <w:p w14:paraId="17A33CE4">
      <w:pPr>
        <w:pStyle w:val="24"/>
        <w:spacing w:line="560" w:lineRule="exact"/>
        <w:ind w:firstLine="31680"/>
        <w:rPr>
          <w:rFonts w:ascii="宋体" w:cs="宋体"/>
          <w:color w:val="auto"/>
          <w:sz w:val="28"/>
          <w:szCs w:val="28"/>
          <w:highlight w:val="none"/>
        </w:rPr>
      </w:pPr>
      <w:r>
        <w:rPr>
          <w:rFonts w:hint="eastAsia" w:ascii="宋体" w:hAnsi="宋体" w:cs="宋体"/>
          <w:color w:val="auto"/>
          <w:sz w:val="28"/>
          <w:szCs w:val="28"/>
          <w:highlight w:val="none"/>
        </w:rPr>
        <w:t>镇江新区地处丘陵地带，地形高低起伏，山丘地高程</w:t>
      </w:r>
      <w:r>
        <w:rPr>
          <w:rFonts w:ascii="宋体" w:hAnsi="宋体" w:cs="宋体"/>
          <w:color w:val="auto"/>
          <w:sz w:val="28"/>
          <w:szCs w:val="28"/>
          <w:highlight w:val="none"/>
        </w:rPr>
        <w:t>20-110m</w:t>
      </w:r>
      <w:r>
        <w:rPr>
          <w:rFonts w:hint="eastAsia" w:ascii="宋体" w:hAnsi="宋体" w:cs="宋体"/>
          <w:color w:val="auto"/>
          <w:sz w:val="28"/>
          <w:szCs w:val="28"/>
          <w:highlight w:val="none"/>
        </w:rPr>
        <w:t>左右，区域内平均高程</w:t>
      </w:r>
      <w:r>
        <w:rPr>
          <w:rFonts w:ascii="宋体" w:hAnsi="宋体" w:cs="宋体"/>
          <w:color w:val="auto"/>
          <w:sz w:val="28"/>
          <w:szCs w:val="28"/>
          <w:highlight w:val="none"/>
        </w:rPr>
        <w:t>6m</w:t>
      </w:r>
      <w:r>
        <w:rPr>
          <w:rFonts w:hint="eastAsia" w:ascii="宋体" w:hAnsi="宋体" w:cs="宋体"/>
          <w:color w:val="auto"/>
          <w:sz w:val="28"/>
          <w:szCs w:val="28"/>
          <w:highlight w:val="none"/>
        </w:rPr>
        <w:t>。据钻探，该地区地层厚度和岩层性比较均匀，具有较大的承载力和较好的稳定性，工程地质条件良好。</w:t>
      </w:r>
    </w:p>
    <w:p w14:paraId="53F112CD">
      <w:pPr>
        <w:pStyle w:val="24"/>
        <w:spacing w:line="560" w:lineRule="exact"/>
        <w:ind w:firstLine="31680"/>
        <w:rPr>
          <w:rFonts w:ascii="宋体" w:cs="宋体"/>
          <w:color w:val="auto"/>
          <w:sz w:val="28"/>
          <w:szCs w:val="28"/>
          <w:highlight w:val="none"/>
        </w:rPr>
      </w:pPr>
      <w:r>
        <w:rPr>
          <w:rFonts w:hint="eastAsia" w:ascii="宋体" w:hAnsi="宋体" w:cs="宋体"/>
          <w:color w:val="auto"/>
          <w:sz w:val="28"/>
          <w:szCs w:val="28"/>
          <w:highlight w:val="none"/>
        </w:rPr>
        <w:t>镇江新区的主要河流为长江、孩溪河和大港河。大港河和孩溪河为辅助性河流，其河水主要有来源于雨水及长江丰水期倒灌之水，主要功能为灌溉、排涝等。</w:t>
      </w:r>
    </w:p>
    <w:p w14:paraId="73D7C722">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该区段长江为长江主航道，区段内历年最大流量为</w:t>
      </w:r>
      <w:r>
        <w:rPr>
          <w:rFonts w:ascii="宋体" w:hAnsi="宋体" w:cs="宋体"/>
          <w:color w:val="auto"/>
          <w:sz w:val="28"/>
          <w:szCs w:val="28"/>
          <w:highlight w:val="none"/>
        </w:rPr>
        <w:t>92600</w:t>
      </w:r>
      <w:r>
        <w:rPr>
          <w:rFonts w:hint="eastAsia" w:ascii="宋体" w:hAnsi="宋体" w:cs="宋体"/>
          <w:color w:val="auto"/>
          <w:sz w:val="28"/>
          <w:szCs w:val="28"/>
          <w:highlight w:val="none"/>
        </w:rPr>
        <w:t>立方米</w:t>
      </w:r>
      <w:r>
        <w:rPr>
          <w:rFonts w:ascii="宋体" w:hAnsi="宋体" w:cs="宋体"/>
          <w:color w:val="auto"/>
          <w:sz w:val="28"/>
          <w:szCs w:val="28"/>
          <w:highlight w:val="none"/>
        </w:rPr>
        <w:t>/</w:t>
      </w:r>
      <w:r>
        <w:rPr>
          <w:rFonts w:hint="eastAsia" w:ascii="宋体" w:hAnsi="宋体" w:cs="宋体"/>
          <w:color w:val="auto"/>
          <w:sz w:val="28"/>
          <w:szCs w:val="28"/>
          <w:highlight w:val="none"/>
        </w:rPr>
        <w:t>秒，历年最小枯水流量为</w:t>
      </w:r>
      <w:r>
        <w:rPr>
          <w:rFonts w:ascii="宋体" w:hAnsi="宋体" w:cs="宋体"/>
          <w:color w:val="auto"/>
          <w:sz w:val="28"/>
          <w:szCs w:val="28"/>
          <w:highlight w:val="none"/>
        </w:rPr>
        <w:t>4670</w:t>
      </w:r>
      <w:r>
        <w:rPr>
          <w:rFonts w:hint="eastAsia" w:ascii="宋体" w:hAnsi="宋体" w:cs="宋体"/>
          <w:color w:val="auto"/>
          <w:sz w:val="28"/>
          <w:szCs w:val="28"/>
          <w:highlight w:val="none"/>
        </w:rPr>
        <w:t>立方米</w:t>
      </w:r>
      <w:r>
        <w:rPr>
          <w:rFonts w:ascii="宋体" w:hAnsi="宋体" w:cs="宋体"/>
          <w:color w:val="auto"/>
          <w:sz w:val="28"/>
          <w:szCs w:val="28"/>
          <w:highlight w:val="none"/>
        </w:rPr>
        <w:t>/</w:t>
      </w:r>
      <w:r>
        <w:rPr>
          <w:rFonts w:hint="eastAsia" w:ascii="宋体" w:hAnsi="宋体" w:cs="宋体"/>
          <w:color w:val="auto"/>
          <w:sz w:val="28"/>
          <w:szCs w:val="28"/>
          <w:highlight w:val="none"/>
        </w:rPr>
        <w:t>秒，多年平均流量为</w:t>
      </w:r>
      <w:r>
        <w:rPr>
          <w:rFonts w:ascii="宋体" w:hAnsi="宋体" w:cs="宋体"/>
          <w:color w:val="auto"/>
          <w:sz w:val="28"/>
          <w:szCs w:val="28"/>
          <w:highlight w:val="none"/>
        </w:rPr>
        <w:t>28700</w:t>
      </w:r>
      <w:r>
        <w:rPr>
          <w:rFonts w:hint="eastAsia" w:ascii="宋体" w:hAnsi="宋体" w:cs="宋体"/>
          <w:color w:val="auto"/>
          <w:sz w:val="28"/>
          <w:szCs w:val="28"/>
          <w:highlight w:val="none"/>
        </w:rPr>
        <w:t>立方米</w:t>
      </w:r>
      <w:r>
        <w:rPr>
          <w:rFonts w:ascii="宋体" w:hAnsi="宋体" w:cs="宋体"/>
          <w:color w:val="auto"/>
          <w:sz w:val="28"/>
          <w:szCs w:val="28"/>
          <w:highlight w:val="none"/>
        </w:rPr>
        <w:t>/</w:t>
      </w:r>
      <w:r>
        <w:rPr>
          <w:rFonts w:hint="eastAsia" w:ascii="宋体" w:hAnsi="宋体" w:cs="宋体"/>
          <w:color w:val="auto"/>
          <w:sz w:val="28"/>
          <w:szCs w:val="28"/>
          <w:highlight w:val="none"/>
        </w:rPr>
        <w:t>秒，洪水期的最大平均流速</w:t>
      </w:r>
      <w:r>
        <w:rPr>
          <w:rFonts w:ascii="宋体" w:hAnsi="宋体" w:cs="宋体"/>
          <w:color w:val="auto"/>
          <w:sz w:val="28"/>
          <w:szCs w:val="28"/>
          <w:highlight w:val="none"/>
        </w:rPr>
        <w:t>2</w:t>
      </w:r>
      <w:r>
        <w:rPr>
          <w:rFonts w:hint="eastAsia" w:ascii="宋体" w:hAnsi="宋体" w:cs="宋体"/>
          <w:color w:val="auto"/>
          <w:sz w:val="28"/>
          <w:szCs w:val="28"/>
          <w:highlight w:val="none"/>
        </w:rPr>
        <w:t>米</w:t>
      </w:r>
      <w:r>
        <w:rPr>
          <w:rFonts w:ascii="宋体" w:hAnsi="宋体" w:cs="宋体"/>
          <w:color w:val="auto"/>
          <w:sz w:val="28"/>
          <w:szCs w:val="28"/>
          <w:highlight w:val="none"/>
        </w:rPr>
        <w:t>/</w:t>
      </w:r>
      <w:r>
        <w:rPr>
          <w:rFonts w:hint="eastAsia" w:ascii="宋体" w:hAnsi="宋体" w:cs="宋体"/>
          <w:color w:val="auto"/>
          <w:sz w:val="28"/>
          <w:szCs w:val="28"/>
          <w:highlight w:val="none"/>
        </w:rPr>
        <w:t>秒，枯水期最小流速</w:t>
      </w:r>
      <w:r>
        <w:rPr>
          <w:rFonts w:ascii="宋体" w:hAnsi="宋体" w:cs="宋体"/>
          <w:color w:val="auto"/>
          <w:sz w:val="28"/>
          <w:szCs w:val="28"/>
          <w:highlight w:val="none"/>
        </w:rPr>
        <w:t>0.5</w:t>
      </w:r>
      <w:r>
        <w:rPr>
          <w:rFonts w:hint="eastAsia" w:ascii="宋体" w:hAnsi="宋体" w:cs="宋体"/>
          <w:color w:val="auto"/>
          <w:sz w:val="28"/>
          <w:szCs w:val="28"/>
          <w:highlight w:val="none"/>
        </w:rPr>
        <w:t>米</w:t>
      </w:r>
      <w:r>
        <w:rPr>
          <w:rFonts w:ascii="宋体" w:hAnsi="宋体" w:cs="宋体"/>
          <w:color w:val="auto"/>
          <w:sz w:val="28"/>
          <w:szCs w:val="28"/>
          <w:highlight w:val="none"/>
        </w:rPr>
        <w:t>/</w:t>
      </w:r>
      <w:r>
        <w:rPr>
          <w:rFonts w:hint="eastAsia" w:ascii="宋体" w:hAnsi="宋体" w:cs="宋体"/>
          <w:color w:val="auto"/>
          <w:sz w:val="28"/>
          <w:szCs w:val="28"/>
          <w:highlight w:val="none"/>
        </w:rPr>
        <w:t>秒，多年平均流速</w:t>
      </w:r>
      <w:r>
        <w:rPr>
          <w:rFonts w:ascii="宋体" w:hAnsi="宋体" w:cs="宋体"/>
          <w:color w:val="auto"/>
          <w:sz w:val="28"/>
          <w:szCs w:val="28"/>
          <w:highlight w:val="none"/>
        </w:rPr>
        <w:t>1</w:t>
      </w:r>
      <w:r>
        <w:rPr>
          <w:rFonts w:hint="eastAsia" w:ascii="宋体" w:hAnsi="宋体" w:cs="宋体"/>
          <w:color w:val="auto"/>
          <w:sz w:val="28"/>
          <w:szCs w:val="28"/>
          <w:highlight w:val="none"/>
        </w:rPr>
        <w:t>米</w:t>
      </w:r>
      <w:r>
        <w:rPr>
          <w:rFonts w:ascii="宋体" w:hAnsi="宋体" w:cs="宋体"/>
          <w:color w:val="auto"/>
          <w:sz w:val="28"/>
          <w:szCs w:val="28"/>
          <w:highlight w:val="none"/>
        </w:rPr>
        <w:t>/</w:t>
      </w:r>
      <w:r>
        <w:rPr>
          <w:rFonts w:hint="eastAsia" w:ascii="宋体" w:hAnsi="宋体" w:cs="宋体"/>
          <w:color w:val="auto"/>
          <w:sz w:val="28"/>
          <w:szCs w:val="28"/>
          <w:highlight w:val="none"/>
        </w:rPr>
        <w:t>秒。该区段受长江潮汐影响，每日涨落潮两次，落潮历时大于涨潮历时，最大潮差</w:t>
      </w:r>
      <w:r>
        <w:rPr>
          <w:rFonts w:ascii="宋体" w:hAnsi="宋体" w:cs="宋体"/>
          <w:color w:val="auto"/>
          <w:sz w:val="28"/>
          <w:szCs w:val="28"/>
          <w:highlight w:val="none"/>
        </w:rPr>
        <w:t>2.1</w:t>
      </w:r>
      <w:r>
        <w:rPr>
          <w:rFonts w:hint="eastAsia" w:ascii="宋体" w:hAnsi="宋体" w:cs="宋体"/>
          <w:color w:val="auto"/>
          <w:sz w:val="28"/>
          <w:szCs w:val="28"/>
          <w:highlight w:val="none"/>
        </w:rPr>
        <w:t>米，多年平均潮差</w:t>
      </w:r>
      <w:r>
        <w:rPr>
          <w:rFonts w:ascii="宋体" w:hAnsi="宋体" w:cs="宋体"/>
          <w:color w:val="auto"/>
          <w:sz w:val="28"/>
          <w:szCs w:val="28"/>
          <w:highlight w:val="none"/>
        </w:rPr>
        <w:t>0.95</w:t>
      </w:r>
      <w:r>
        <w:rPr>
          <w:rFonts w:hint="eastAsia" w:ascii="宋体" w:hAnsi="宋体" w:cs="宋体"/>
          <w:color w:val="auto"/>
          <w:sz w:val="28"/>
          <w:szCs w:val="28"/>
          <w:highlight w:val="none"/>
        </w:rPr>
        <w:t>米。</w:t>
      </w:r>
    </w:p>
    <w:p w14:paraId="37E460E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场区地下水类型为孔隙潜水，主要赋存于地势低洼处的人工填土和</w:t>
      </w:r>
      <w:r>
        <w:rPr>
          <w:rFonts w:ascii="宋体" w:hAnsi="宋体" w:cs="宋体"/>
          <w:color w:val="auto"/>
          <w:sz w:val="28"/>
          <w:szCs w:val="28"/>
          <w:highlight w:val="none"/>
        </w:rPr>
        <w:t>2</w:t>
      </w:r>
      <w:r>
        <w:rPr>
          <w:rFonts w:hint="eastAsia" w:ascii="宋体" w:hAnsi="宋体" w:cs="宋体"/>
          <w:color w:val="auto"/>
          <w:sz w:val="28"/>
          <w:szCs w:val="28"/>
          <w:highlight w:val="none"/>
        </w:rPr>
        <w:t>层土中。填土层透水性、富水性较好，</w:t>
      </w:r>
      <w:r>
        <w:rPr>
          <w:rFonts w:ascii="宋体" w:hAnsi="宋体" w:cs="宋体"/>
          <w:color w:val="auto"/>
          <w:sz w:val="28"/>
          <w:szCs w:val="28"/>
          <w:highlight w:val="none"/>
        </w:rPr>
        <w:t>2</w:t>
      </w:r>
      <w:r>
        <w:rPr>
          <w:rFonts w:hint="eastAsia" w:ascii="宋体" w:hAnsi="宋体" w:cs="宋体"/>
          <w:color w:val="auto"/>
          <w:sz w:val="28"/>
          <w:szCs w:val="28"/>
          <w:highlight w:val="none"/>
        </w:rPr>
        <w:t>层土饱含地下水，但给水性、透水性差，主要接受大气降水和地表水入渗补给，以蒸发和地下侧向径流方式排泄，勘察施工期间测到初见水位埋深</w:t>
      </w:r>
      <w:r>
        <w:rPr>
          <w:rFonts w:ascii="宋体" w:hAnsi="宋体" w:cs="宋体"/>
          <w:color w:val="auto"/>
          <w:sz w:val="28"/>
          <w:szCs w:val="28"/>
          <w:highlight w:val="none"/>
        </w:rPr>
        <w:t>1.20</w:t>
      </w:r>
      <w:r>
        <w:rPr>
          <w:rFonts w:hint="eastAsia" w:ascii="宋体" w:hAnsi="宋体" w:cs="宋体"/>
          <w:color w:val="auto"/>
          <w:sz w:val="28"/>
          <w:szCs w:val="28"/>
          <w:highlight w:val="none"/>
        </w:rPr>
        <w:t>－</w:t>
      </w:r>
      <w:r>
        <w:rPr>
          <w:rFonts w:ascii="宋体" w:hAnsi="宋体" w:cs="宋体"/>
          <w:color w:val="auto"/>
          <w:sz w:val="28"/>
          <w:szCs w:val="28"/>
          <w:highlight w:val="none"/>
        </w:rPr>
        <w:t>2.30m</w:t>
      </w:r>
      <w:r>
        <w:rPr>
          <w:rFonts w:hint="eastAsia" w:ascii="宋体" w:hAnsi="宋体" w:cs="宋体"/>
          <w:color w:val="auto"/>
          <w:sz w:val="28"/>
          <w:szCs w:val="28"/>
          <w:highlight w:val="none"/>
        </w:rPr>
        <w:t>，相应标高</w:t>
      </w:r>
      <w:r>
        <w:rPr>
          <w:rFonts w:ascii="宋体" w:hAnsi="宋体" w:cs="宋体"/>
          <w:color w:val="auto"/>
          <w:sz w:val="28"/>
          <w:szCs w:val="28"/>
          <w:highlight w:val="none"/>
        </w:rPr>
        <w:t>13.50</w:t>
      </w:r>
      <w:r>
        <w:rPr>
          <w:rFonts w:hint="eastAsia" w:ascii="宋体" w:hAnsi="宋体" w:cs="宋体"/>
          <w:color w:val="auto"/>
          <w:sz w:val="28"/>
          <w:szCs w:val="28"/>
          <w:highlight w:val="none"/>
        </w:rPr>
        <w:t>－</w:t>
      </w:r>
      <w:r>
        <w:rPr>
          <w:rFonts w:ascii="宋体" w:hAnsi="宋体" w:cs="宋体"/>
          <w:color w:val="auto"/>
          <w:sz w:val="28"/>
          <w:szCs w:val="28"/>
          <w:highlight w:val="none"/>
        </w:rPr>
        <w:t>15.93m</w:t>
      </w:r>
      <w:r>
        <w:rPr>
          <w:rFonts w:hint="eastAsia" w:ascii="宋体" w:hAnsi="宋体" w:cs="宋体"/>
          <w:color w:val="auto"/>
          <w:sz w:val="28"/>
          <w:szCs w:val="28"/>
          <w:highlight w:val="none"/>
        </w:rPr>
        <w:t>，量测的部分钻孔的静止水位埋深</w:t>
      </w:r>
      <w:r>
        <w:rPr>
          <w:rFonts w:ascii="宋体" w:hAnsi="宋体" w:cs="宋体"/>
          <w:color w:val="auto"/>
          <w:sz w:val="28"/>
          <w:szCs w:val="28"/>
          <w:highlight w:val="none"/>
        </w:rPr>
        <w:t>0.90</w:t>
      </w:r>
      <w:r>
        <w:rPr>
          <w:rFonts w:hint="eastAsia" w:ascii="宋体" w:hAnsi="宋体" w:cs="宋体"/>
          <w:color w:val="auto"/>
          <w:sz w:val="28"/>
          <w:szCs w:val="28"/>
          <w:highlight w:val="none"/>
        </w:rPr>
        <w:t>－</w:t>
      </w:r>
      <w:r>
        <w:rPr>
          <w:rFonts w:ascii="宋体" w:hAnsi="宋体" w:cs="宋体"/>
          <w:color w:val="auto"/>
          <w:sz w:val="28"/>
          <w:szCs w:val="28"/>
          <w:highlight w:val="none"/>
        </w:rPr>
        <w:t>1.90</w:t>
      </w:r>
      <w:r>
        <w:rPr>
          <w:rFonts w:hint="eastAsia" w:ascii="宋体" w:hAnsi="宋体" w:cs="宋体"/>
          <w:color w:val="auto"/>
          <w:sz w:val="28"/>
          <w:szCs w:val="28"/>
          <w:highlight w:val="none"/>
        </w:rPr>
        <w:t>，相应标高</w:t>
      </w:r>
      <w:r>
        <w:rPr>
          <w:rFonts w:ascii="宋体" w:hAnsi="宋体" w:cs="宋体"/>
          <w:color w:val="auto"/>
          <w:sz w:val="28"/>
          <w:szCs w:val="28"/>
          <w:highlight w:val="none"/>
        </w:rPr>
        <w:t>13.90</w:t>
      </w:r>
      <w:r>
        <w:rPr>
          <w:rFonts w:hint="eastAsia" w:ascii="宋体" w:hAnsi="宋体" w:cs="宋体"/>
          <w:color w:val="auto"/>
          <w:sz w:val="28"/>
          <w:szCs w:val="28"/>
          <w:highlight w:val="none"/>
        </w:rPr>
        <w:t>－</w:t>
      </w:r>
      <w:r>
        <w:rPr>
          <w:rFonts w:ascii="宋体" w:hAnsi="宋体" w:cs="宋体"/>
          <w:color w:val="auto"/>
          <w:sz w:val="28"/>
          <w:szCs w:val="28"/>
          <w:highlight w:val="none"/>
        </w:rPr>
        <w:t>16.23m</w:t>
      </w:r>
      <w:r>
        <w:rPr>
          <w:rFonts w:hint="eastAsia" w:ascii="宋体" w:hAnsi="宋体" w:cs="宋体"/>
          <w:color w:val="auto"/>
          <w:sz w:val="28"/>
          <w:szCs w:val="28"/>
          <w:highlight w:val="none"/>
        </w:rPr>
        <w:t>，地下水水位年变幅约</w:t>
      </w:r>
      <w:r>
        <w:rPr>
          <w:rFonts w:ascii="宋体" w:hAnsi="宋体" w:cs="宋体"/>
          <w:color w:val="auto"/>
          <w:sz w:val="28"/>
          <w:szCs w:val="28"/>
          <w:highlight w:val="none"/>
        </w:rPr>
        <w:t>1.5-2.0m</w:t>
      </w:r>
      <w:r>
        <w:rPr>
          <w:rFonts w:hint="eastAsia" w:ascii="宋体" w:hAnsi="宋体" w:cs="宋体"/>
          <w:color w:val="auto"/>
          <w:sz w:val="28"/>
          <w:szCs w:val="28"/>
          <w:highlight w:val="none"/>
        </w:rPr>
        <w:t>。</w:t>
      </w:r>
    </w:p>
    <w:p w14:paraId="149C01F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场地地下水对混凝土结构具微腐蚀性，对钢筋混凝土结构中的钢筋具微腐蚀性。</w:t>
      </w:r>
    </w:p>
    <w:p w14:paraId="54DA202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拟建场地地基土对混凝土结构具微腐蚀性，对钢筋混凝土结构中的钢筋具微腐蚀性。</w:t>
      </w:r>
    </w:p>
    <w:p w14:paraId="3E2F4EB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本区地震烈度为</w:t>
      </w:r>
      <w:r>
        <w:rPr>
          <w:rFonts w:ascii="宋体" w:hAnsi="宋体" w:cs="宋体"/>
          <w:color w:val="auto"/>
          <w:sz w:val="28"/>
          <w:szCs w:val="28"/>
          <w:highlight w:val="none"/>
        </w:rPr>
        <w:t>7</w:t>
      </w:r>
      <w:r>
        <w:rPr>
          <w:rFonts w:hint="eastAsia" w:ascii="宋体" w:hAnsi="宋体" w:cs="宋体"/>
          <w:color w:val="auto"/>
          <w:sz w:val="28"/>
          <w:szCs w:val="28"/>
          <w:highlight w:val="none"/>
        </w:rPr>
        <w:t>级，设计基本地震加速度值为</w:t>
      </w:r>
      <w:r>
        <w:rPr>
          <w:rFonts w:ascii="宋体" w:hAnsi="宋体" w:cs="宋体"/>
          <w:color w:val="auto"/>
          <w:sz w:val="28"/>
          <w:szCs w:val="28"/>
          <w:highlight w:val="none"/>
        </w:rPr>
        <w:t>0.15g</w:t>
      </w:r>
      <w:r>
        <w:rPr>
          <w:rFonts w:hint="eastAsia" w:ascii="宋体" w:hAnsi="宋体" w:cs="宋体"/>
          <w:color w:val="auto"/>
          <w:sz w:val="28"/>
          <w:szCs w:val="28"/>
          <w:highlight w:val="none"/>
        </w:rPr>
        <w:t>，设计地震分组为第一组，场地土类型属中软土，建筑场地类别为Ⅱ类；特征周期为</w:t>
      </w:r>
      <w:r>
        <w:rPr>
          <w:rFonts w:ascii="宋体" w:hAnsi="宋体" w:cs="宋体"/>
          <w:color w:val="auto"/>
          <w:sz w:val="28"/>
          <w:szCs w:val="28"/>
          <w:highlight w:val="none"/>
        </w:rPr>
        <w:t>0.35s</w:t>
      </w:r>
      <w:r>
        <w:rPr>
          <w:rFonts w:hint="eastAsia" w:ascii="宋体" w:hAnsi="宋体" w:cs="宋体"/>
          <w:color w:val="auto"/>
          <w:sz w:val="28"/>
          <w:szCs w:val="28"/>
          <w:highlight w:val="none"/>
        </w:rPr>
        <w:t>。该场地属抗震一般地段，设计和施工时可不考虑地基地震液化问题。</w:t>
      </w:r>
    </w:p>
    <w:p w14:paraId="3BEDD7ED">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74" w:name="_Toc6350"/>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 xml:space="preserve">1.1.3 </w:t>
      </w:r>
      <w:r>
        <w:rPr>
          <w:rFonts w:hint="eastAsia" w:ascii="宋体" w:hAnsi="宋体" w:cs="宋体"/>
          <w:color w:val="auto"/>
          <w:sz w:val="28"/>
          <w:szCs w:val="28"/>
          <w:highlight w:val="none"/>
        </w:rPr>
        <w:t>气象条件</w:t>
      </w:r>
      <w:bookmarkEnd w:id="374"/>
    </w:p>
    <w:p w14:paraId="0F1FA21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镇江新区位于中纬地区，属北亚热带季风气候，太阳高度角比较大，日照充足，无霜期</w:t>
      </w:r>
      <w:r>
        <w:rPr>
          <w:rFonts w:ascii="宋体" w:hAnsi="宋体" w:cs="宋体"/>
          <w:color w:val="auto"/>
          <w:sz w:val="28"/>
          <w:szCs w:val="28"/>
          <w:highlight w:val="none"/>
        </w:rPr>
        <w:t>238</w:t>
      </w:r>
      <w:r>
        <w:rPr>
          <w:rFonts w:hint="eastAsia" w:ascii="宋体" w:hAnsi="宋体" w:cs="宋体"/>
          <w:color w:val="auto"/>
          <w:sz w:val="28"/>
          <w:szCs w:val="28"/>
          <w:highlight w:val="none"/>
        </w:rPr>
        <w:t>天，日照时数</w:t>
      </w:r>
      <w:r>
        <w:rPr>
          <w:rFonts w:ascii="宋体" w:hAnsi="宋体" w:cs="宋体"/>
          <w:color w:val="auto"/>
          <w:sz w:val="28"/>
          <w:szCs w:val="28"/>
          <w:highlight w:val="none"/>
        </w:rPr>
        <w:t>2057.2</w:t>
      </w:r>
      <w:r>
        <w:rPr>
          <w:rFonts w:hint="eastAsia" w:ascii="宋体" w:hAnsi="宋体" w:cs="宋体"/>
          <w:color w:val="auto"/>
          <w:sz w:val="28"/>
          <w:szCs w:val="28"/>
          <w:highlight w:val="none"/>
        </w:rPr>
        <w:t>小时，气温温和湿润，四季分明，雨量丰沛。</w:t>
      </w:r>
    </w:p>
    <w:p w14:paraId="5C1EF613">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气温：</w:t>
      </w:r>
    </w:p>
    <w:p w14:paraId="44C4517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历年平均气温：</w:t>
      </w:r>
      <w:r>
        <w:rPr>
          <w:rFonts w:ascii="宋体" w:hAnsi="宋体" w:cs="宋体"/>
          <w:color w:val="auto"/>
          <w:sz w:val="28"/>
          <w:szCs w:val="28"/>
          <w:highlight w:val="none"/>
        </w:rPr>
        <w:t>15.5</w:t>
      </w:r>
      <w:r>
        <w:rPr>
          <w:rFonts w:hint="eastAsia" w:ascii="宋体" w:hAnsi="宋体" w:cs="宋体"/>
          <w:color w:val="auto"/>
          <w:sz w:val="28"/>
          <w:szCs w:val="28"/>
          <w:highlight w:val="none"/>
        </w:rPr>
        <w:t>℃</w:t>
      </w:r>
    </w:p>
    <w:p w14:paraId="6B685EBB">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极端最高气温：</w:t>
      </w:r>
      <w:r>
        <w:rPr>
          <w:rFonts w:ascii="宋体" w:hAnsi="宋体" w:cs="宋体"/>
          <w:color w:val="auto"/>
          <w:sz w:val="28"/>
          <w:szCs w:val="28"/>
          <w:highlight w:val="none"/>
        </w:rPr>
        <w:t>40.9</w:t>
      </w:r>
      <w:r>
        <w:rPr>
          <w:rFonts w:hint="eastAsia" w:ascii="宋体" w:hAnsi="宋体" w:cs="宋体"/>
          <w:color w:val="auto"/>
          <w:sz w:val="28"/>
          <w:szCs w:val="28"/>
          <w:highlight w:val="none"/>
        </w:rPr>
        <w:t>℃，</w:t>
      </w:r>
      <w:r>
        <w:rPr>
          <w:rFonts w:ascii="宋体" w:hAnsi="宋体" w:cs="宋体"/>
          <w:color w:val="auto"/>
          <w:sz w:val="28"/>
          <w:szCs w:val="28"/>
          <w:highlight w:val="none"/>
        </w:rPr>
        <w:t>1959</w:t>
      </w:r>
      <w:r>
        <w:rPr>
          <w:rFonts w:hint="eastAsia" w:ascii="宋体" w:hAnsi="宋体" w:cs="宋体"/>
          <w:color w:val="auto"/>
          <w:sz w:val="28"/>
          <w:szCs w:val="28"/>
          <w:highlight w:val="none"/>
        </w:rPr>
        <w:t>年</w:t>
      </w:r>
      <w:r>
        <w:rPr>
          <w:rFonts w:ascii="宋体" w:hAnsi="宋体" w:cs="宋体"/>
          <w:color w:val="auto"/>
          <w:sz w:val="28"/>
          <w:szCs w:val="28"/>
          <w:highlight w:val="none"/>
        </w:rPr>
        <w:t>8</w:t>
      </w:r>
      <w:r>
        <w:rPr>
          <w:rFonts w:hint="eastAsia" w:ascii="宋体" w:hAnsi="宋体" w:cs="宋体"/>
          <w:color w:val="auto"/>
          <w:sz w:val="28"/>
          <w:szCs w:val="28"/>
          <w:highlight w:val="none"/>
        </w:rPr>
        <w:t>月</w:t>
      </w:r>
      <w:r>
        <w:rPr>
          <w:rFonts w:ascii="宋体" w:hAnsi="宋体" w:cs="宋体"/>
          <w:color w:val="auto"/>
          <w:sz w:val="28"/>
          <w:szCs w:val="28"/>
          <w:highlight w:val="none"/>
        </w:rPr>
        <w:t>22</w:t>
      </w:r>
      <w:r>
        <w:rPr>
          <w:rFonts w:hint="eastAsia" w:ascii="宋体" w:hAnsi="宋体" w:cs="宋体"/>
          <w:color w:val="auto"/>
          <w:sz w:val="28"/>
          <w:szCs w:val="28"/>
          <w:highlight w:val="none"/>
        </w:rPr>
        <w:t>日</w:t>
      </w:r>
    </w:p>
    <w:p w14:paraId="756A100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极端最低气温：</w:t>
      </w:r>
      <w:r>
        <w:rPr>
          <w:rFonts w:ascii="宋体" w:hAnsi="宋体" w:cs="宋体"/>
          <w:color w:val="auto"/>
          <w:sz w:val="28"/>
          <w:szCs w:val="28"/>
          <w:highlight w:val="none"/>
        </w:rPr>
        <w:t>-12.0</w:t>
      </w:r>
      <w:r>
        <w:rPr>
          <w:rFonts w:hint="eastAsia" w:ascii="宋体" w:hAnsi="宋体" w:cs="宋体"/>
          <w:color w:val="auto"/>
          <w:sz w:val="28"/>
          <w:szCs w:val="28"/>
          <w:highlight w:val="none"/>
        </w:rPr>
        <w:t>℃，</w:t>
      </w:r>
      <w:r>
        <w:rPr>
          <w:rFonts w:ascii="宋体" w:hAnsi="宋体" w:cs="宋体"/>
          <w:color w:val="auto"/>
          <w:sz w:val="28"/>
          <w:szCs w:val="28"/>
          <w:highlight w:val="none"/>
        </w:rPr>
        <w:t>1969</w:t>
      </w:r>
      <w:r>
        <w:rPr>
          <w:rFonts w:hint="eastAsia" w:ascii="宋体" w:hAnsi="宋体" w:cs="宋体"/>
          <w:color w:val="auto"/>
          <w:sz w:val="28"/>
          <w:szCs w:val="28"/>
          <w:highlight w:val="none"/>
        </w:rPr>
        <w:t>年</w:t>
      </w:r>
      <w:r>
        <w:rPr>
          <w:rFonts w:ascii="宋体" w:hAnsi="宋体" w:cs="宋体"/>
          <w:color w:val="auto"/>
          <w:sz w:val="28"/>
          <w:szCs w:val="28"/>
          <w:highlight w:val="none"/>
        </w:rPr>
        <w:t>2</w:t>
      </w:r>
      <w:r>
        <w:rPr>
          <w:rFonts w:hint="eastAsia" w:ascii="宋体" w:hAnsi="宋体" w:cs="宋体"/>
          <w:color w:val="auto"/>
          <w:sz w:val="28"/>
          <w:szCs w:val="28"/>
          <w:highlight w:val="none"/>
        </w:rPr>
        <w:t>月</w:t>
      </w:r>
      <w:r>
        <w:rPr>
          <w:rFonts w:ascii="宋体" w:hAnsi="宋体" w:cs="宋体"/>
          <w:color w:val="auto"/>
          <w:sz w:val="28"/>
          <w:szCs w:val="28"/>
          <w:highlight w:val="none"/>
        </w:rPr>
        <w:t>5</w:t>
      </w:r>
      <w:r>
        <w:rPr>
          <w:rFonts w:hint="eastAsia" w:ascii="宋体" w:hAnsi="宋体" w:cs="宋体"/>
          <w:color w:val="auto"/>
          <w:sz w:val="28"/>
          <w:szCs w:val="28"/>
          <w:highlight w:val="none"/>
        </w:rPr>
        <w:t>日，</w:t>
      </w:r>
      <w:r>
        <w:rPr>
          <w:rFonts w:ascii="宋体" w:hAnsi="宋体" w:cs="宋体"/>
          <w:color w:val="auto"/>
          <w:sz w:val="28"/>
          <w:szCs w:val="28"/>
          <w:highlight w:val="none"/>
        </w:rPr>
        <w:t>1955</w:t>
      </w:r>
      <w:r>
        <w:rPr>
          <w:rFonts w:hint="eastAsia" w:ascii="宋体" w:hAnsi="宋体" w:cs="宋体"/>
          <w:color w:val="auto"/>
          <w:sz w:val="28"/>
          <w:szCs w:val="28"/>
          <w:highlight w:val="none"/>
        </w:rPr>
        <w:t>年</w:t>
      </w:r>
      <w:r>
        <w:rPr>
          <w:rFonts w:ascii="宋体" w:hAnsi="宋体" w:cs="宋体"/>
          <w:color w:val="auto"/>
          <w:sz w:val="28"/>
          <w:szCs w:val="28"/>
          <w:highlight w:val="none"/>
        </w:rPr>
        <w:t>1</w:t>
      </w:r>
      <w:r>
        <w:rPr>
          <w:rFonts w:hint="eastAsia" w:ascii="宋体" w:hAnsi="宋体" w:cs="宋体"/>
          <w:color w:val="auto"/>
          <w:sz w:val="28"/>
          <w:szCs w:val="28"/>
          <w:highlight w:val="none"/>
        </w:rPr>
        <w:t>月</w:t>
      </w:r>
      <w:r>
        <w:rPr>
          <w:rFonts w:ascii="宋体" w:hAnsi="宋体" w:cs="宋体"/>
          <w:color w:val="auto"/>
          <w:sz w:val="28"/>
          <w:szCs w:val="28"/>
          <w:highlight w:val="none"/>
        </w:rPr>
        <w:t>16</w:t>
      </w:r>
      <w:r>
        <w:rPr>
          <w:rFonts w:hint="eastAsia" w:ascii="宋体" w:hAnsi="宋体" w:cs="宋体"/>
          <w:color w:val="auto"/>
          <w:sz w:val="28"/>
          <w:szCs w:val="28"/>
          <w:highlight w:val="none"/>
        </w:rPr>
        <w:t>日</w:t>
      </w:r>
    </w:p>
    <w:p w14:paraId="3DB17709">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冬季平均气温：</w:t>
      </w:r>
      <w:r>
        <w:rPr>
          <w:rFonts w:ascii="宋体" w:hAnsi="宋体" w:cs="宋体"/>
          <w:color w:val="auto"/>
          <w:sz w:val="28"/>
          <w:szCs w:val="28"/>
          <w:highlight w:val="none"/>
        </w:rPr>
        <w:t>3.8</w:t>
      </w:r>
      <w:r>
        <w:rPr>
          <w:rFonts w:hint="eastAsia" w:ascii="宋体" w:hAnsi="宋体" w:cs="宋体"/>
          <w:color w:val="auto"/>
          <w:sz w:val="28"/>
          <w:szCs w:val="28"/>
          <w:highlight w:val="none"/>
        </w:rPr>
        <w:t>℃</w:t>
      </w:r>
    </w:p>
    <w:p w14:paraId="2CA2748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夏季平均气温：</w:t>
      </w:r>
      <w:r>
        <w:rPr>
          <w:rFonts w:ascii="宋体" w:hAnsi="宋体" w:cs="宋体"/>
          <w:color w:val="auto"/>
          <w:sz w:val="28"/>
          <w:szCs w:val="28"/>
          <w:highlight w:val="none"/>
        </w:rPr>
        <w:t>26.5</w:t>
      </w:r>
      <w:r>
        <w:rPr>
          <w:rFonts w:hint="eastAsia" w:ascii="宋体" w:hAnsi="宋体" w:cs="宋体"/>
          <w:color w:val="auto"/>
          <w:sz w:val="28"/>
          <w:szCs w:val="28"/>
          <w:highlight w:val="none"/>
        </w:rPr>
        <w:t>℃</w:t>
      </w:r>
    </w:p>
    <w:p w14:paraId="56BD403D">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湿度：</w:t>
      </w:r>
    </w:p>
    <w:p w14:paraId="1FB3B6DE">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历年平均相对湿度：</w:t>
      </w:r>
      <w:r>
        <w:rPr>
          <w:rFonts w:ascii="宋体" w:hAnsi="宋体" w:cs="宋体"/>
          <w:color w:val="auto"/>
          <w:sz w:val="28"/>
          <w:szCs w:val="28"/>
          <w:highlight w:val="none"/>
        </w:rPr>
        <w:t>76%</w:t>
      </w:r>
    </w:p>
    <w:p w14:paraId="5C403E3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历年最小相对湿度：</w:t>
      </w:r>
      <w:r>
        <w:rPr>
          <w:rFonts w:ascii="宋体" w:hAnsi="宋体" w:cs="宋体"/>
          <w:color w:val="auto"/>
          <w:sz w:val="28"/>
          <w:szCs w:val="28"/>
          <w:highlight w:val="none"/>
        </w:rPr>
        <w:t>0%</w:t>
      </w:r>
      <w:r>
        <w:rPr>
          <w:rFonts w:hint="eastAsia" w:ascii="宋体" w:hAnsi="宋体" w:cs="宋体"/>
          <w:color w:val="auto"/>
          <w:sz w:val="28"/>
          <w:szCs w:val="28"/>
          <w:highlight w:val="none"/>
        </w:rPr>
        <w:t>，</w:t>
      </w:r>
      <w:r>
        <w:rPr>
          <w:rFonts w:ascii="宋体" w:hAnsi="宋体" w:cs="宋体"/>
          <w:color w:val="auto"/>
          <w:sz w:val="28"/>
          <w:szCs w:val="28"/>
          <w:highlight w:val="none"/>
        </w:rPr>
        <w:t>1968</w:t>
      </w:r>
      <w:r>
        <w:rPr>
          <w:rFonts w:hint="eastAsia" w:ascii="宋体" w:hAnsi="宋体" w:cs="宋体"/>
          <w:color w:val="auto"/>
          <w:sz w:val="28"/>
          <w:szCs w:val="28"/>
          <w:highlight w:val="none"/>
        </w:rPr>
        <w:t>年</w:t>
      </w:r>
      <w:r>
        <w:rPr>
          <w:rFonts w:ascii="宋体" w:hAnsi="宋体" w:cs="宋体"/>
          <w:color w:val="auto"/>
          <w:sz w:val="28"/>
          <w:szCs w:val="28"/>
          <w:highlight w:val="none"/>
        </w:rPr>
        <w:t>1</w:t>
      </w:r>
      <w:r>
        <w:rPr>
          <w:rFonts w:hint="eastAsia" w:ascii="宋体" w:hAnsi="宋体" w:cs="宋体"/>
          <w:color w:val="auto"/>
          <w:sz w:val="28"/>
          <w:szCs w:val="28"/>
          <w:highlight w:val="none"/>
        </w:rPr>
        <w:t>月</w:t>
      </w:r>
      <w:r>
        <w:rPr>
          <w:rFonts w:ascii="宋体" w:hAnsi="宋体" w:cs="宋体"/>
          <w:color w:val="auto"/>
          <w:sz w:val="28"/>
          <w:szCs w:val="28"/>
          <w:highlight w:val="none"/>
        </w:rPr>
        <w:t>15</w:t>
      </w:r>
      <w:r>
        <w:rPr>
          <w:rFonts w:hint="eastAsia" w:ascii="宋体" w:hAnsi="宋体" w:cs="宋体"/>
          <w:color w:val="auto"/>
          <w:sz w:val="28"/>
          <w:szCs w:val="28"/>
          <w:highlight w:val="none"/>
        </w:rPr>
        <w:t>日</w:t>
      </w:r>
    </w:p>
    <w:p w14:paraId="54B373AA">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风向：</w:t>
      </w:r>
    </w:p>
    <w:p w14:paraId="0E877991">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常年主导风向为东风和</w:t>
      </w:r>
      <w:r>
        <w:rPr>
          <w:rFonts w:ascii="宋体" w:hAnsi="宋体" w:cs="宋体"/>
          <w:color w:val="auto"/>
          <w:sz w:val="28"/>
          <w:szCs w:val="28"/>
          <w:highlight w:val="none"/>
        </w:rPr>
        <w:t>ENE</w:t>
      </w:r>
      <w:r>
        <w:rPr>
          <w:rFonts w:hint="eastAsia" w:ascii="宋体" w:hAnsi="宋体" w:cs="宋体"/>
          <w:color w:val="auto"/>
          <w:sz w:val="28"/>
          <w:szCs w:val="28"/>
          <w:highlight w:val="none"/>
        </w:rPr>
        <w:t>（东北偏东），其次为</w:t>
      </w:r>
      <w:r>
        <w:rPr>
          <w:rFonts w:ascii="宋体" w:hAnsi="宋体" w:cs="宋体"/>
          <w:color w:val="auto"/>
          <w:sz w:val="28"/>
          <w:szCs w:val="28"/>
          <w:highlight w:val="none"/>
        </w:rPr>
        <w:t>ESE</w:t>
      </w:r>
      <w:r>
        <w:rPr>
          <w:rFonts w:hint="eastAsia" w:ascii="宋体" w:hAnsi="宋体" w:cs="宋体"/>
          <w:color w:val="auto"/>
          <w:sz w:val="28"/>
          <w:szCs w:val="28"/>
          <w:highlight w:val="none"/>
        </w:rPr>
        <w:t>（东南偏东）。</w:t>
      </w:r>
    </w:p>
    <w:p w14:paraId="41394DEB">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夏季主导风向：</w:t>
      </w:r>
      <w:r>
        <w:rPr>
          <w:rFonts w:ascii="宋体" w:hAnsi="宋体" w:cs="宋体"/>
          <w:color w:val="auto"/>
          <w:sz w:val="28"/>
          <w:szCs w:val="28"/>
          <w:highlight w:val="none"/>
        </w:rPr>
        <w:t>ESE</w:t>
      </w:r>
      <w:r>
        <w:rPr>
          <w:rFonts w:hint="eastAsia" w:ascii="宋体" w:hAnsi="宋体" w:cs="宋体"/>
          <w:color w:val="auto"/>
          <w:sz w:val="28"/>
          <w:szCs w:val="28"/>
          <w:highlight w:val="none"/>
        </w:rPr>
        <w:t>（东南偏东）</w:t>
      </w:r>
    </w:p>
    <w:p w14:paraId="2EF7B0A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冬季主导风向：静风和</w:t>
      </w:r>
      <w:r>
        <w:rPr>
          <w:rFonts w:ascii="宋体" w:hAnsi="宋体" w:cs="宋体"/>
          <w:color w:val="auto"/>
          <w:sz w:val="28"/>
          <w:szCs w:val="28"/>
          <w:highlight w:val="none"/>
        </w:rPr>
        <w:t>ENE</w:t>
      </w:r>
      <w:r>
        <w:rPr>
          <w:rFonts w:hint="eastAsia" w:ascii="宋体" w:hAnsi="宋体" w:cs="宋体"/>
          <w:color w:val="auto"/>
          <w:sz w:val="28"/>
          <w:szCs w:val="28"/>
          <w:highlight w:val="none"/>
        </w:rPr>
        <w:t>（东北偏东）</w:t>
      </w:r>
    </w:p>
    <w:p w14:paraId="40F88022">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历年平均风速：</w:t>
      </w:r>
      <w:r>
        <w:rPr>
          <w:rFonts w:ascii="宋体" w:hAnsi="宋体" w:cs="宋体"/>
          <w:color w:val="auto"/>
          <w:sz w:val="28"/>
          <w:szCs w:val="28"/>
          <w:highlight w:val="none"/>
        </w:rPr>
        <w:t>3.1m/s</w:t>
      </w:r>
    </w:p>
    <w:p w14:paraId="1BE888D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历年最大风速：</w:t>
      </w:r>
      <w:r>
        <w:rPr>
          <w:rFonts w:ascii="宋体" w:hAnsi="宋体" w:cs="宋体"/>
          <w:color w:val="auto"/>
          <w:sz w:val="28"/>
          <w:szCs w:val="28"/>
          <w:highlight w:val="none"/>
        </w:rPr>
        <w:t>23.0m/s</w:t>
      </w:r>
      <w:r>
        <w:rPr>
          <w:rFonts w:hint="eastAsia" w:ascii="宋体" w:hAnsi="宋体" w:cs="宋体"/>
          <w:color w:val="auto"/>
          <w:sz w:val="28"/>
          <w:szCs w:val="28"/>
          <w:highlight w:val="none"/>
        </w:rPr>
        <w:t>，</w:t>
      </w:r>
      <w:r>
        <w:rPr>
          <w:rFonts w:ascii="宋体" w:hAnsi="宋体" w:cs="宋体"/>
          <w:color w:val="auto"/>
          <w:sz w:val="28"/>
          <w:szCs w:val="28"/>
          <w:highlight w:val="none"/>
        </w:rPr>
        <w:t>1959</w:t>
      </w:r>
      <w:r>
        <w:rPr>
          <w:rFonts w:hint="eastAsia" w:ascii="宋体" w:hAnsi="宋体" w:cs="宋体"/>
          <w:color w:val="auto"/>
          <w:sz w:val="28"/>
          <w:szCs w:val="28"/>
          <w:highlight w:val="none"/>
        </w:rPr>
        <w:t>年</w:t>
      </w:r>
      <w:r>
        <w:rPr>
          <w:rFonts w:ascii="宋体" w:hAnsi="宋体" w:cs="宋体"/>
          <w:color w:val="auto"/>
          <w:sz w:val="28"/>
          <w:szCs w:val="28"/>
          <w:highlight w:val="none"/>
        </w:rPr>
        <w:t>8</w:t>
      </w:r>
      <w:r>
        <w:rPr>
          <w:rFonts w:hint="eastAsia" w:ascii="宋体" w:hAnsi="宋体" w:cs="宋体"/>
          <w:color w:val="auto"/>
          <w:sz w:val="28"/>
          <w:szCs w:val="28"/>
          <w:highlight w:val="none"/>
        </w:rPr>
        <w:t>月</w:t>
      </w:r>
      <w:r>
        <w:rPr>
          <w:rFonts w:ascii="宋体" w:hAnsi="宋体" w:cs="宋体"/>
          <w:color w:val="auto"/>
          <w:sz w:val="28"/>
          <w:szCs w:val="28"/>
          <w:highlight w:val="none"/>
        </w:rPr>
        <w:t>31</w:t>
      </w:r>
      <w:r>
        <w:rPr>
          <w:rFonts w:hint="eastAsia" w:ascii="宋体" w:hAnsi="宋体" w:cs="宋体"/>
          <w:color w:val="auto"/>
          <w:sz w:val="28"/>
          <w:szCs w:val="28"/>
          <w:highlight w:val="none"/>
        </w:rPr>
        <w:t>日</w:t>
      </w:r>
      <w:r>
        <w:rPr>
          <w:rFonts w:ascii="宋体" w:hAnsi="宋体" w:cs="宋体"/>
          <w:color w:val="auto"/>
          <w:sz w:val="28"/>
          <w:szCs w:val="28"/>
          <w:highlight w:val="none"/>
        </w:rPr>
        <w:t>NE</w:t>
      </w:r>
      <w:r>
        <w:rPr>
          <w:rFonts w:hint="eastAsia" w:ascii="宋体" w:hAnsi="宋体" w:cs="宋体"/>
          <w:color w:val="auto"/>
          <w:sz w:val="28"/>
          <w:szCs w:val="28"/>
          <w:highlight w:val="none"/>
        </w:rPr>
        <w:t>（东北）风</w:t>
      </w:r>
    </w:p>
    <w:p w14:paraId="548D2758">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气压：</w:t>
      </w:r>
    </w:p>
    <w:p w14:paraId="265A067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历年平均气压：</w:t>
      </w:r>
      <w:r>
        <w:rPr>
          <w:rFonts w:ascii="宋体" w:hAnsi="宋体" w:cs="宋体"/>
          <w:color w:val="auto"/>
          <w:sz w:val="28"/>
          <w:szCs w:val="28"/>
          <w:highlight w:val="none"/>
        </w:rPr>
        <w:t>1014.0</w:t>
      </w:r>
      <w:r>
        <w:rPr>
          <w:rFonts w:hint="eastAsia" w:ascii="宋体" w:hAnsi="宋体" w:cs="宋体"/>
          <w:color w:val="auto"/>
          <w:sz w:val="28"/>
          <w:szCs w:val="28"/>
          <w:highlight w:val="none"/>
        </w:rPr>
        <w:t>百帕</w:t>
      </w:r>
    </w:p>
    <w:p w14:paraId="1775FA49">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降雨：</w:t>
      </w:r>
    </w:p>
    <w:p w14:paraId="6CB7E15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历年平均降水量：</w:t>
      </w:r>
      <w:r>
        <w:rPr>
          <w:rFonts w:ascii="宋体" w:hAnsi="宋体" w:cs="宋体"/>
          <w:color w:val="auto"/>
          <w:sz w:val="28"/>
          <w:szCs w:val="28"/>
          <w:highlight w:val="none"/>
        </w:rPr>
        <w:t>1070.1</w:t>
      </w:r>
      <w:r>
        <w:rPr>
          <w:rFonts w:hint="eastAsia" w:ascii="宋体" w:hAnsi="宋体" w:cs="宋体"/>
          <w:color w:val="auto"/>
          <w:sz w:val="28"/>
          <w:szCs w:val="28"/>
          <w:highlight w:val="none"/>
        </w:rPr>
        <w:t>毫米</w:t>
      </w:r>
    </w:p>
    <w:p w14:paraId="3E73A924">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历年一日最大降水量：</w:t>
      </w:r>
      <w:r>
        <w:rPr>
          <w:rFonts w:ascii="宋体" w:hAnsi="宋体" w:cs="宋体"/>
          <w:color w:val="auto"/>
          <w:sz w:val="28"/>
          <w:szCs w:val="28"/>
          <w:highlight w:val="none"/>
        </w:rPr>
        <w:t>262.5</w:t>
      </w:r>
      <w:r>
        <w:rPr>
          <w:rFonts w:hint="eastAsia" w:ascii="宋体" w:hAnsi="宋体" w:cs="宋体"/>
          <w:color w:val="auto"/>
          <w:sz w:val="28"/>
          <w:szCs w:val="28"/>
          <w:highlight w:val="none"/>
        </w:rPr>
        <w:t>毫米，</w:t>
      </w:r>
      <w:r>
        <w:rPr>
          <w:rFonts w:ascii="宋体" w:hAnsi="宋体" w:cs="宋体"/>
          <w:color w:val="auto"/>
          <w:sz w:val="28"/>
          <w:szCs w:val="28"/>
          <w:highlight w:val="none"/>
        </w:rPr>
        <w:t>1972</w:t>
      </w:r>
      <w:r>
        <w:rPr>
          <w:rFonts w:hint="eastAsia" w:ascii="宋体" w:hAnsi="宋体" w:cs="宋体"/>
          <w:color w:val="auto"/>
          <w:sz w:val="28"/>
          <w:szCs w:val="28"/>
          <w:highlight w:val="none"/>
        </w:rPr>
        <w:t>年</w:t>
      </w:r>
      <w:r>
        <w:rPr>
          <w:rFonts w:ascii="宋体" w:hAnsi="宋体" w:cs="宋体"/>
          <w:color w:val="auto"/>
          <w:sz w:val="28"/>
          <w:szCs w:val="28"/>
          <w:highlight w:val="none"/>
        </w:rPr>
        <w:t>7</w:t>
      </w:r>
      <w:r>
        <w:rPr>
          <w:rFonts w:hint="eastAsia" w:ascii="宋体" w:hAnsi="宋体" w:cs="宋体"/>
          <w:color w:val="auto"/>
          <w:sz w:val="28"/>
          <w:szCs w:val="28"/>
          <w:highlight w:val="none"/>
        </w:rPr>
        <w:t>月</w:t>
      </w:r>
      <w:r>
        <w:rPr>
          <w:rFonts w:ascii="宋体" w:hAnsi="宋体" w:cs="宋体"/>
          <w:color w:val="auto"/>
          <w:sz w:val="28"/>
          <w:szCs w:val="28"/>
          <w:highlight w:val="none"/>
        </w:rPr>
        <w:t>3</w:t>
      </w:r>
      <w:r>
        <w:rPr>
          <w:rFonts w:hint="eastAsia" w:ascii="宋体" w:hAnsi="宋体" w:cs="宋体"/>
          <w:color w:val="auto"/>
          <w:sz w:val="28"/>
          <w:szCs w:val="28"/>
          <w:highlight w:val="none"/>
        </w:rPr>
        <w:t>日</w:t>
      </w:r>
    </w:p>
    <w:p w14:paraId="307E7ADE">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日降水量大于</w:t>
      </w:r>
      <w:r>
        <w:rPr>
          <w:rFonts w:ascii="宋体" w:hAnsi="宋体" w:cs="宋体"/>
          <w:color w:val="auto"/>
          <w:sz w:val="28"/>
          <w:szCs w:val="28"/>
          <w:highlight w:val="none"/>
        </w:rPr>
        <w:t>10</w:t>
      </w:r>
      <w:r>
        <w:rPr>
          <w:rFonts w:hint="eastAsia" w:ascii="宋体" w:hAnsi="宋体" w:cs="宋体"/>
          <w:color w:val="auto"/>
          <w:sz w:val="28"/>
          <w:szCs w:val="28"/>
          <w:highlight w:val="none"/>
        </w:rPr>
        <w:t>毫米的天数：</w:t>
      </w:r>
      <w:r>
        <w:rPr>
          <w:rFonts w:ascii="宋体" w:hAnsi="宋体" w:cs="宋体"/>
          <w:color w:val="auto"/>
          <w:sz w:val="28"/>
          <w:szCs w:val="28"/>
          <w:highlight w:val="none"/>
        </w:rPr>
        <w:t>32.4</w:t>
      </w:r>
      <w:r>
        <w:rPr>
          <w:rFonts w:hint="eastAsia" w:ascii="宋体" w:hAnsi="宋体" w:cs="宋体"/>
          <w:color w:val="auto"/>
          <w:sz w:val="28"/>
          <w:szCs w:val="28"/>
          <w:highlight w:val="none"/>
        </w:rPr>
        <w:t>天</w:t>
      </w:r>
    </w:p>
    <w:p w14:paraId="04D731C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雨季：镇江新区无明显雨季</w:t>
      </w:r>
    </w:p>
    <w:p w14:paraId="65E54EBD">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雷暴：</w:t>
      </w:r>
    </w:p>
    <w:p w14:paraId="37FFAE9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年雷暴日数：</w:t>
      </w:r>
      <w:r>
        <w:rPr>
          <w:rFonts w:ascii="宋体" w:hAnsi="宋体" w:cs="宋体"/>
          <w:color w:val="auto"/>
          <w:sz w:val="28"/>
          <w:szCs w:val="28"/>
          <w:highlight w:val="none"/>
        </w:rPr>
        <w:t>28.2</w:t>
      </w:r>
      <w:r>
        <w:rPr>
          <w:rFonts w:hint="eastAsia" w:ascii="宋体" w:hAnsi="宋体" w:cs="宋体"/>
          <w:color w:val="auto"/>
          <w:sz w:val="28"/>
          <w:szCs w:val="28"/>
          <w:highlight w:val="none"/>
        </w:rPr>
        <w:t>天</w:t>
      </w:r>
    </w:p>
    <w:p w14:paraId="49150AB4">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雾：</w:t>
      </w:r>
    </w:p>
    <w:p w14:paraId="2C21E4FA">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年平均降雾日：</w:t>
      </w:r>
      <w:r>
        <w:rPr>
          <w:rFonts w:ascii="宋体" w:hAnsi="宋体" w:cs="宋体"/>
          <w:color w:val="auto"/>
          <w:sz w:val="28"/>
          <w:szCs w:val="28"/>
          <w:highlight w:val="none"/>
        </w:rPr>
        <w:t>26.1</w:t>
      </w:r>
      <w:r>
        <w:rPr>
          <w:rFonts w:hint="eastAsia" w:ascii="宋体" w:hAnsi="宋体" w:cs="宋体"/>
          <w:color w:val="auto"/>
          <w:sz w:val="28"/>
          <w:szCs w:val="28"/>
          <w:highlight w:val="none"/>
        </w:rPr>
        <w:t>天</w:t>
      </w:r>
    </w:p>
    <w:p w14:paraId="263884E3">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冰冻：</w:t>
      </w:r>
    </w:p>
    <w:p w14:paraId="523264A9">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ascii="宋体" w:hAnsi="宋体" w:cs="宋体"/>
          <w:color w:val="auto"/>
          <w:sz w:val="28"/>
          <w:szCs w:val="28"/>
          <w:highlight w:val="none"/>
        </w:rPr>
        <w:t>1951</w:t>
      </w:r>
      <w:r>
        <w:rPr>
          <w:rFonts w:hint="eastAsia" w:ascii="宋体" w:hAnsi="宋体" w:cs="宋体"/>
          <w:color w:val="auto"/>
          <w:sz w:val="28"/>
          <w:szCs w:val="28"/>
          <w:highlight w:val="none"/>
        </w:rPr>
        <w:t>年至</w:t>
      </w:r>
      <w:r>
        <w:rPr>
          <w:rFonts w:ascii="宋体" w:hAnsi="宋体" w:cs="宋体"/>
          <w:color w:val="auto"/>
          <w:sz w:val="28"/>
          <w:szCs w:val="28"/>
          <w:highlight w:val="none"/>
        </w:rPr>
        <w:t>2000</w:t>
      </w:r>
      <w:r>
        <w:rPr>
          <w:rFonts w:hint="eastAsia" w:ascii="宋体" w:hAnsi="宋体" w:cs="宋体"/>
          <w:color w:val="auto"/>
          <w:sz w:val="28"/>
          <w:szCs w:val="28"/>
          <w:highlight w:val="none"/>
        </w:rPr>
        <w:t>年最低气温不高于</w:t>
      </w:r>
      <w:r>
        <w:rPr>
          <w:rFonts w:ascii="宋体" w:cs="宋体"/>
          <w:color w:val="auto"/>
          <w:sz w:val="28"/>
          <w:szCs w:val="28"/>
          <w:highlight w:val="none"/>
        </w:rPr>
        <w:t>0</w:t>
      </w:r>
      <w:r>
        <w:rPr>
          <w:rFonts w:hint="eastAsia" w:ascii="宋体" w:hAnsi="宋体" w:cs="宋体"/>
          <w:color w:val="auto"/>
          <w:sz w:val="28"/>
          <w:szCs w:val="28"/>
          <w:highlight w:val="none"/>
        </w:rPr>
        <w:t>℃日数：</w:t>
      </w:r>
      <w:r>
        <w:rPr>
          <w:rFonts w:ascii="宋体" w:hAnsi="宋体" w:cs="宋体"/>
          <w:color w:val="auto"/>
          <w:sz w:val="28"/>
          <w:szCs w:val="28"/>
          <w:highlight w:val="none"/>
        </w:rPr>
        <w:t>43.4</w:t>
      </w:r>
      <w:r>
        <w:rPr>
          <w:rFonts w:hint="eastAsia" w:ascii="宋体" w:hAnsi="宋体" w:cs="宋体"/>
          <w:color w:val="auto"/>
          <w:sz w:val="28"/>
          <w:szCs w:val="28"/>
          <w:highlight w:val="none"/>
        </w:rPr>
        <w:t>天</w:t>
      </w:r>
    </w:p>
    <w:p w14:paraId="7BCE195B">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积雪：</w:t>
      </w:r>
    </w:p>
    <w:p w14:paraId="3DA4858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年最大积雪厚度：</w:t>
      </w:r>
      <w:r>
        <w:rPr>
          <w:rFonts w:ascii="宋体" w:hAnsi="宋体" w:cs="宋体"/>
          <w:color w:val="auto"/>
          <w:sz w:val="28"/>
          <w:szCs w:val="28"/>
          <w:highlight w:val="none"/>
        </w:rPr>
        <w:t>34</w:t>
      </w:r>
      <w:r>
        <w:rPr>
          <w:rFonts w:hint="eastAsia" w:ascii="宋体" w:hAnsi="宋体" w:cs="宋体"/>
          <w:color w:val="auto"/>
          <w:sz w:val="28"/>
          <w:szCs w:val="28"/>
          <w:highlight w:val="none"/>
        </w:rPr>
        <w:t>厘米，</w:t>
      </w:r>
      <w:r>
        <w:rPr>
          <w:rFonts w:ascii="宋体" w:hAnsi="宋体" w:cs="宋体"/>
          <w:color w:val="auto"/>
          <w:sz w:val="28"/>
          <w:szCs w:val="28"/>
          <w:highlight w:val="none"/>
        </w:rPr>
        <w:t>1984</w:t>
      </w:r>
      <w:r>
        <w:rPr>
          <w:rFonts w:hint="eastAsia" w:ascii="宋体" w:hAnsi="宋体" w:cs="宋体"/>
          <w:color w:val="auto"/>
          <w:sz w:val="28"/>
          <w:szCs w:val="28"/>
          <w:highlight w:val="none"/>
        </w:rPr>
        <w:t>年</w:t>
      </w:r>
      <w:r>
        <w:rPr>
          <w:rFonts w:ascii="宋体" w:hAnsi="宋体" w:cs="宋体"/>
          <w:color w:val="auto"/>
          <w:sz w:val="28"/>
          <w:szCs w:val="28"/>
          <w:highlight w:val="none"/>
        </w:rPr>
        <w:t>1</w:t>
      </w:r>
      <w:r>
        <w:rPr>
          <w:rFonts w:hint="eastAsia" w:ascii="宋体" w:hAnsi="宋体" w:cs="宋体"/>
          <w:color w:val="auto"/>
          <w:sz w:val="28"/>
          <w:szCs w:val="28"/>
          <w:highlight w:val="none"/>
        </w:rPr>
        <w:t>月</w:t>
      </w:r>
      <w:r>
        <w:rPr>
          <w:rFonts w:ascii="宋体" w:hAnsi="宋体" w:cs="宋体"/>
          <w:color w:val="auto"/>
          <w:sz w:val="28"/>
          <w:szCs w:val="28"/>
          <w:highlight w:val="none"/>
        </w:rPr>
        <w:t>19</w:t>
      </w:r>
      <w:r>
        <w:rPr>
          <w:rFonts w:hint="eastAsia" w:ascii="宋体" w:hAnsi="宋体" w:cs="宋体"/>
          <w:color w:val="auto"/>
          <w:sz w:val="28"/>
          <w:szCs w:val="28"/>
          <w:highlight w:val="none"/>
        </w:rPr>
        <w:t>日</w:t>
      </w:r>
    </w:p>
    <w:p w14:paraId="00BBEA7A">
      <w:pPr>
        <w:pStyle w:val="24"/>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水文</w:t>
      </w:r>
    </w:p>
    <w:p w14:paraId="51B69A4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历年最高洪水位：</w:t>
      </w:r>
      <w:r>
        <w:rPr>
          <w:rFonts w:ascii="宋体" w:hAnsi="宋体" w:cs="宋体"/>
          <w:color w:val="auto"/>
          <w:sz w:val="28"/>
          <w:szCs w:val="28"/>
          <w:highlight w:val="none"/>
        </w:rPr>
        <w:t>6.69</w:t>
      </w:r>
      <w:r>
        <w:rPr>
          <w:rFonts w:hint="eastAsia" w:ascii="宋体" w:hAnsi="宋体" w:cs="宋体"/>
          <w:color w:val="auto"/>
          <w:sz w:val="28"/>
          <w:szCs w:val="28"/>
          <w:highlight w:val="none"/>
        </w:rPr>
        <w:t>米（黄海高程，下同）</w:t>
      </w:r>
      <w:r>
        <w:rPr>
          <w:rFonts w:ascii="宋体" w:hAnsi="宋体" w:cs="宋体"/>
          <w:color w:val="auto"/>
          <w:sz w:val="28"/>
          <w:szCs w:val="28"/>
          <w:highlight w:val="none"/>
        </w:rPr>
        <w:t>1996</w:t>
      </w:r>
      <w:r>
        <w:rPr>
          <w:rFonts w:hint="eastAsia" w:ascii="宋体" w:hAnsi="宋体" w:cs="宋体"/>
          <w:color w:val="auto"/>
          <w:sz w:val="28"/>
          <w:szCs w:val="28"/>
          <w:highlight w:val="none"/>
        </w:rPr>
        <w:t>年</w:t>
      </w:r>
    </w:p>
    <w:p w14:paraId="69103AEA">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历年最低枯水位：</w:t>
      </w:r>
      <w:r>
        <w:rPr>
          <w:rFonts w:ascii="宋体" w:hAnsi="宋体" w:cs="宋体"/>
          <w:color w:val="auto"/>
          <w:sz w:val="28"/>
          <w:szCs w:val="28"/>
          <w:highlight w:val="none"/>
        </w:rPr>
        <w:t>-0.65</w:t>
      </w:r>
      <w:r>
        <w:rPr>
          <w:rFonts w:hint="eastAsia" w:ascii="宋体" w:hAnsi="宋体" w:cs="宋体"/>
          <w:color w:val="auto"/>
          <w:sz w:val="28"/>
          <w:szCs w:val="28"/>
          <w:highlight w:val="none"/>
        </w:rPr>
        <w:t>米</w:t>
      </w:r>
    </w:p>
    <w:p w14:paraId="61FA336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平均洪水位：</w:t>
      </w:r>
      <w:r>
        <w:rPr>
          <w:rFonts w:ascii="宋体" w:hAnsi="宋体" w:cs="宋体"/>
          <w:color w:val="auto"/>
          <w:sz w:val="28"/>
          <w:szCs w:val="28"/>
          <w:highlight w:val="none"/>
        </w:rPr>
        <w:t>5.20</w:t>
      </w:r>
      <w:r>
        <w:rPr>
          <w:rFonts w:hint="eastAsia" w:ascii="宋体" w:hAnsi="宋体" w:cs="宋体"/>
          <w:color w:val="auto"/>
          <w:sz w:val="28"/>
          <w:szCs w:val="28"/>
          <w:highlight w:val="none"/>
        </w:rPr>
        <w:t>米</w:t>
      </w:r>
    </w:p>
    <w:p w14:paraId="7CB7736B">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平均枯水位：</w:t>
      </w:r>
      <w:r>
        <w:rPr>
          <w:rFonts w:ascii="宋体" w:hAnsi="宋体" w:cs="宋体"/>
          <w:color w:val="auto"/>
          <w:sz w:val="28"/>
          <w:szCs w:val="28"/>
          <w:highlight w:val="none"/>
        </w:rPr>
        <w:t>0.06</w:t>
      </w:r>
      <w:r>
        <w:rPr>
          <w:rFonts w:hint="eastAsia" w:ascii="宋体" w:hAnsi="宋体" w:cs="宋体"/>
          <w:color w:val="auto"/>
          <w:sz w:val="28"/>
          <w:szCs w:val="28"/>
          <w:highlight w:val="none"/>
        </w:rPr>
        <w:t>米</w:t>
      </w:r>
    </w:p>
    <w:p w14:paraId="7DE0DCB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历年最大潮差：</w:t>
      </w:r>
      <w:r>
        <w:rPr>
          <w:rFonts w:ascii="宋体" w:hAnsi="宋体" w:cs="宋体"/>
          <w:color w:val="auto"/>
          <w:sz w:val="28"/>
          <w:szCs w:val="28"/>
          <w:highlight w:val="none"/>
        </w:rPr>
        <w:t>2.10</w:t>
      </w:r>
      <w:r>
        <w:rPr>
          <w:rFonts w:hint="eastAsia" w:ascii="宋体" w:hAnsi="宋体" w:cs="宋体"/>
          <w:color w:val="auto"/>
          <w:sz w:val="28"/>
          <w:szCs w:val="28"/>
          <w:highlight w:val="none"/>
        </w:rPr>
        <w:t>米</w:t>
      </w:r>
    </w:p>
    <w:p w14:paraId="5BD71121">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历年最低潮差：</w:t>
      </w:r>
      <w:r>
        <w:rPr>
          <w:rFonts w:ascii="宋体" w:hAnsi="宋体" w:cs="宋体"/>
          <w:color w:val="auto"/>
          <w:sz w:val="28"/>
          <w:szCs w:val="28"/>
          <w:highlight w:val="none"/>
        </w:rPr>
        <w:t>0.01</w:t>
      </w:r>
      <w:r>
        <w:rPr>
          <w:rFonts w:hint="eastAsia" w:ascii="宋体" w:hAnsi="宋体" w:cs="宋体"/>
          <w:color w:val="auto"/>
          <w:sz w:val="28"/>
          <w:szCs w:val="28"/>
          <w:highlight w:val="none"/>
        </w:rPr>
        <w:t>米</w:t>
      </w:r>
    </w:p>
    <w:p w14:paraId="38079606">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历年平均潮位：</w:t>
      </w:r>
      <w:r>
        <w:rPr>
          <w:rFonts w:ascii="宋体" w:hAnsi="宋体" w:cs="宋体"/>
          <w:color w:val="auto"/>
          <w:sz w:val="28"/>
          <w:szCs w:val="28"/>
          <w:highlight w:val="none"/>
        </w:rPr>
        <w:t>0.96</w:t>
      </w:r>
      <w:r>
        <w:rPr>
          <w:rFonts w:hint="eastAsia" w:ascii="宋体" w:hAnsi="宋体" w:cs="宋体"/>
          <w:color w:val="auto"/>
          <w:sz w:val="28"/>
          <w:szCs w:val="28"/>
          <w:highlight w:val="none"/>
        </w:rPr>
        <w:t>米</w:t>
      </w:r>
    </w:p>
    <w:p w14:paraId="676120FD">
      <w:pPr>
        <w:pStyle w:val="25"/>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textAlignment w:val="auto"/>
        <w:rPr>
          <w:rFonts w:ascii="宋体" w:cs="宋体"/>
          <w:color w:val="auto"/>
          <w:sz w:val="28"/>
          <w:szCs w:val="28"/>
          <w:highlight w:val="none"/>
        </w:rPr>
      </w:pPr>
      <w:bookmarkStart w:id="375" w:name="_Toc22576"/>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 xml:space="preserve">1.2  </w:t>
      </w:r>
      <w:r>
        <w:rPr>
          <w:rFonts w:hint="eastAsia" w:ascii="宋体" w:hAnsi="宋体" w:cs="宋体"/>
          <w:color w:val="auto"/>
          <w:sz w:val="28"/>
          <w:szCs w:val="28"/>
          <w:highlight w:val="none"/>
        </w:rPr>
        <w:t>社会经济条件</w:t>
      </w:r>
      <w:bookmarkEnd w:id="375"/>
    </w:p>
    <w:p w14:paraId="305859B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76" w:name="_Toc27126"/>
      <w:r>
        <w:rPr>
          <w:rFonts w:hint="eastAsia" w:ascii="宋体" w:hAnsi="宋体" w:cs="宋体"/>
          <w:color w:val="auto"/>
          <w:sz w:val="28"/>
          <w:szCs w:val="28"/>
          <w:highlight w:val="none"/>
        </w:rPr>
        <w:t>镇江新区（镇江经济技术开发区）是镇江“一体两翼”总体布局中的“东翼”，</w:t>
      </w:r>
      <w:r>
        <w:rPr>
          <w:rFonts w:ascii="宋体" w:hAnsi="宋体" w:cs="宋体"/>
          <w:color w:val="auto"/>
          <w:sz w:val="28"/>
          <w:szCs w:val="28"/>
          <w:highlight w:val="none"/>
        </w:rPr>
        <w:t>1992</w:t>
      </w:r>
      <w:r>
        <w:rPr>
          <w:rFonts w:hint="eastAsia" w:ascii="宋体" w:hAnsi="宋体" w:cs="宋体"/>
          <w:color w:val="auto"/>
          <w:sz w:val="28"/>
          <w:szCs w:val="28"/>
          <w:highlight w:val="none"/>
        </w:rPr>
        <w:t>年在改革开放浪潮滚滚中应运而生，</w:t>
      </w:r>
      <w:r>
        <w:rPr>
          <w:rFonts w:ascii="宋体" w:hAnsi="宋体" w:cs="宋体"/>
          <w:color w:val="auto"/>
          <w:sz w:val="28"/>
          <w:szCs w:val="28"/>
          <w:highlight w:val="none"/>
        </w:rPr>
        <w:t>2010</w:t>
      </w:r>
      <w:r>
        <w:rPr>
          <w:rFonts w:hint="eastAsia" w:ascii="宋体" w:hAnsi="宋体" w:cs="宋体"/>
          <w:color w:val="auto"/>
          <w:sz w:val="28"/>
          <w:szCs w:val="28"/>
          <w:highlight w:val="none"/>
        </w:rPr>
        <w:t>年</w:t>
      </w:r>
      <w:r>
        <w:rPr>
          <w:rFonts w:ascii="宋体" w:hAnsi="宋体" w:cs="宋体"/>
          <w:color w:val="auto"/>
          <w:sz w:val="28"/>
          <w:szCs w:val="28"/>
          <w:highlight w:val="none"/>
        </w:rPr>
        <w:t>4</w:t>
      </w:r>
      <w:r>
        <w:rPr>
          <w:rFonts w:hint="eastAsia" w:ascii="宋体" w:hAnsi="宋体" w:cs="宋体"/>
          <w:color w:val="auto"/>
          <w:sz w:val="28"/>
          <w:szCs w:val="28"/>
          <w:highlight w:val="none"/>
        </w:rPr>
        <w:t>月升格为国家级经济技术开发区，下辖丁卯、大港</w:t>
      </w:r>
      <w:r>
        <w:rPr>
          <w:rFonts w:ascii="宋体" w:hAnsi="宋体" w:cs="宋体"/>
          <w:color w:val="auto"/>
          <w:sz w:val="28"/>
          <w:szCs w:val="28"/>
          <w:highlight w:val="none"/>
        </w:rPr>
        <w:t>2</w:t>
      </w:r>
      <w:r>
        <w:rPr>
          <w:rFonts w:hint="eastAsia" w:ascii="宋体" w:hAnsi="宋体" w:cs="宋体"/>
          <w:color w:val="auto"/>
          <w:sz w:val="28"/>
          <w:szCs w:val="28"/>
          <w:highlight w:val="none"/>
        </w:rPr>
        <w:t>个街道和丁岗、大路、姚桥</w:t>
      </w:r>
      <w:r>
        <w:rPr>
          <w:rFonts w:ascii="宋体" w:hAnsi="宋体" w:cs="宋体"/>
          <w:color w:val="auto"/>
          <w:sz w:val="28"/>
          <w:szCs w:val="28"/>
          <w:highlight w:val="none"/>
        </w:rPr>
        <w:t>3</w:t>
      </w:r>
      <w:r>
        <w:rPr>
          <w:rFonts w:hint="eastAsia" w:ascii="宋体" w:hAnsi="宋体" w:cs="宋体"/>
          <w:color w:val="auto"/>
          <w:sz w:val="28"/>
          <w:szCs w:val="28"/>
          <w:highlight w:val="none"/>
        </w:rPr>
        <w:t>镇，总面积</w:t>
      </w:r>
      <w:r>
        <w:rPr>
          <w:rFonts w:ascii="宋体" w:hAnsi="宋体" w:cs="宋体"/>
          <w:color w:val="auto"/>
          <w:sz w:val="28"/>
          <w:szCs w:val="28"/>
          <w:highlight w:val="none"/>
        </w:rPr>
        <w:t>223</w:t>
      </w:r>
      <w:r>
        <w:rPr>
          <w:rFonts w:hint="eastAsia" w:ascii="宋体" w:hAnsi="宋体" w:cs="宋体"/>
          <w:color w:val="auto"/>
          <w:sz w:val="28"/>
          <w:szCs w:val="28"/>
          <w:highlight w:val="none"/>
        </w:rPr>
        <w:t>平方公里，城市建成区面积</w:t>
      </w:r>
      <w:r>
        <w:rPr>
          <w:rFonts w:ascii="宋体" w:hAnsi="宋体" w:cs="宋体"/>
          <w:color w:val="auto"/>
          <w:sz w:val="28"/>
          <w:szCs w:val="28"/>
          <w:highlight w:val="none"/>
        </w:rPr>
        <w:t>59.6</w:t>
      </w:r>
      <w:r>
        <w:rPr>
          <w:rFonts w:hint="eastAsia" w:ascii="宋体" w:hAnsi="宋体" w:cs="宋体"/>
          <w:color w:val="auto"/>
          <w:sz w:val="28"/>
          <w:szCs w:val="28"/>
          <w:highlight w:val="none"/>
        </w:rPr>
        <w:t>平方公里，常住人口</w:t>
      </w:r>
      <w:r>
        <w:rPr>
          <w:rFonts w:ascii="宋体" w:hAnsi="宋体" w:cs="宋体"/>
          <w:color w:val="auto"/>
          <w:sz w:val="28"/>
          <w:szCs w:val="28"/>
          <w:highlight w:val="none"/>
        </w:rPr>
        <w:t>22.3</w:t>
      </w:r>
      <w:r>
        <w:rPr>
          <w:rFonts w:hint="eastAsia" w:ascii="宋体" w:hAnsi="宋体" w:cs="宋体"/>
          <w:color w:val="auto"/>
          <w:sz w:val="28"/>
          <w:szCs w:val="28"/>
          <w:highlight w:val="none"/>
        </w:rPr>
        <w:t>万人。</w:t>
      </w:r>
      <w:r>
        <w:rPr>
          <w:rFonts w:ascii="宋体" w:hAnsi="宋体" w:cs="宋体"/>
          <w:color w:val="auto"/>
          <w:sz w:val="28"/>
          <w:szCs w:val="28"/>
          <w:highlight w:val="none"/>
        </w:rPr>
        <w:t>2020</w:t>
      </w:r>
      <w:r>
        <w:rPr>
          <w:rFonts w:hint="eastAsia" w:ascii="宋体" w:hAnsi="宋体" w:cs="宋体"/>
          <w:color w:val="auto"/>
          <w:sz w:val="28"/>
          <w:szCs w:val="28"/>
          <w:highlight w:val="none"/>
        </w:rPr>
        <w:t>年地区生产总值同比增长</w:t>
      </w:r>
      <w:r>
        <w:rPr>
          <w:rFonts w:ascii="宋体" w:hAnsi="宋体" w:cs="宋体"/>
          <w:color w:val="auto"/>
          <w:sz w:val="28"/>
          <w:szCs w:val="28"/>
          <w:highlight w:val="none"/>
        </w:rPr>
        <w:t>3.7%</w:t>
      </w:r>
      <w:r>
        <w:rPr>
          <w:rFonts w:hint="eastAsia" w:ascii="宋体" w:hAnsi="宋体" w:cs="宋体"/>
          <w:color w:val="auto"/>
          <w:sz w:val="28"/>
          <w:szCs w:val="28"/>
          <w:highlight w:val="none"/>
        </w:rPr>
        <w:t>，一般公共预算收入同比增长</w:t>
      </w:r>
      <w:r>
        <w:rPr>
          <w:rFonts w:ascii="宋体" w:hAnsi="宋体" w:cs="宋体"/>
          <w:color w:val="auto"/>
          <w:sz w:val="28"/>
          <w:szCs w:val="28"/>
          <w:highlight w:val="none"/>
        </w:rPr>
        <w:t>2.1%</w:t>
      </w:r>
      <w:r>
        <w:rPr>
          <w:rFonts w:hint="eastAsia" w:ascii="宋体" w:hAnsi="宋体" w:cs="宋体"/>
          <w:color w:val="auto"/>
          <w:sz w:val="28"/>
          <w:szCs w:val="28"/>
          <w:highlight w:val="none"/>
        </w:rPr>
        <w:t>，工业应税销售连续两年站稳千亿元，圆满完成当年签约项目固投</w:t>
      </w:r>
      <w:r>
        <w:rPr>
          <w:rFonts w:ascii="宋体" w:hAnsi="宋体" w:cs="宋体"/>
          <w:color w:val="auto"/>
          <w:sz w:val="28"/>
          <w:szCs w:val="28"/>
          <w:highlight w:val="none"/>
        </w:rPr>
        <w:t>44</w:t>
      </w:r>
      <w:r>
        <w:rPr>
          <w:rFonts w:hint="eastAsia" w:ascii="宋体" w:hAnsi="宋体" w:cs="宋体"/>
          <w:color w:val="auto"/>
          <w:sz w:val="28"/>
          <w:szCs w:val="28"/>
          <w:highlight w:val="none"/>
        </w:rPr>
        <w:t>亿元核心目标。在最新发布的《全国经开区营商环境指数报告》中，跻身</w:t>
      </w:r>
      <w:r>
        <w:rPr>
          <w:rFonts w:ascii="宋体" w:hAnsi="宋体" w:cs="宋体"/>
          <w:color w:val="auto"/>
          <w:sz w:val="28"/>
          <w:szCs w:val="28"/>
          <w:highlight w:val="none"/>
        </w:rPr>
        <w:t>219</w:t>
      </w:r>
      <w:r>
        <w:rPr>
          <w:rFonts w:hint="eastAsia" w:ascii="宋体" w:hAnsi="宋体" w:cs="宋体"/>
          <w:color w:val="auto"/>
          <w:sz w:val="28"/>
          <w:szCs w:val="28"/>
          <w:highlight w:val="none"/>
        </w:rPr>
        <w:t>家国家级经开区第</w:t>
      </w:r>
      <w:r>
        <w:rPr>
          <w:rFonts w:ascii="宋体" w:hAnsi="宋体" w:cs="宋体"/>
          <w:color w:val="auto"/>
          <w:sz w:val="28"/>
          <w:szCs w:val="28"/>
          <w:highlight w:val="none"/>
        </w:rPr>
        <w:t>18</w:t>
      </w:r>
      <w:r>
        <w:rPr>
          <w:rFonts w:hint="eastAsia" w:ascii="宋体" w:hAnsi="宋体" w:cs="宋体"/>
          <w:color w:val="auto"/>
          <w:sz w:val="28"/>
          <w:szCs w:val="28"/>
          <w:highlight w:val="none"/>
        </w:rPr>
        <w:t>位，房价收入比排名全国第一，商务成本指数、高铁便利指数排名全国第二。</w:t>
      </w:r>
    </w:p>
    <w:p w14:paraId="4CB77434">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新区因港而生，地处长江和京杭大运河十字交汇处，坐拥天然深水岸线</w:t>
      </w:r>
      <w:r>
        <w:rPr>
          <w:rFonts w:ascii="宋体" w:hAnsi="宋体" w:cs="宋体"/>
          <w:color w:val="auto"/>
          <w:sz w:val="28"/>
          <w:szCs w:val="28"/>
          <w:highlight w:val="none"/>
        </w:rPr>
        <w:t>17</w:t>
      </w:r>
      <w:r>
        <w:rPr>
          <w:rFonts w:hint="eastAsia" w:ascii="宋体" w:hAnsi="宋体" w:cs="宋体"/>
          <w:color w:val="auto"/>
          <w:sz w:val="28"/>
          <w:szCs w:val="28"/>
          <w:highlight w:val="none"/>
        </w:rPr>
        <w:t>公里，傲踞国家一类开放口岸。随着五峰山长江大桥、连镇高铁大港南站建成通车，京沪高速南接线等重大交通工程即将建成开通，镇大铁路升级、瑞山站综合物流基地、通用机场二期建设提上日程，“铁公水空”多式联运的现代综合交通体系正在加速提升完善。</w:t>
      </w:r>
    </w:p>
    <w:p w14:paraId="28859DD9">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新区抢抓“长三角一体化”战略机遇，聚焦新能源、新材料、航空航天、生命健康“四个一”产业，加速推动企业集聚、要素集约、技术集成、产业集群、服务集中。新能源以孚能科技、中节能为龙头，动力电池与太阳能光伏“双轮驱动”前行；新材料以索尔维、天奈科技为引领，深耕高端电子化学品、先进高分子材料、高性能复合材料等领域；航空航天以菲舍尔、航天海鹰、航发优材为核心，主攻整机制造、机场运营、量产配套、军民融合“四大领域”；生命健康以金斯瑞、吉贝尔、英科医疗为支撑，重点打造高端制药、医疗器械、健康服务为一体、二三产融合发展的大健康产业链。</w:t>
      </w:r>
    </w:p>
    <w:p w14:paraId="1B440AC0">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新区山川秀美，风景怡人，区内分布有大小山体</w:t>
      </w:r>
      <w:r>
        <w:rPr>
          <w:rFonts w:ascii="宋体" w:hAnsi="宋体" w:cs="宋体"/>
          <w:color w:val="auto"/>
          <w:sz w:val="28"/>
          <w:szCs w:val="28"/>
          <w:highlight w:val="none"/>
        </w:rPr>
        <w:t>10</w:t>
      </w:r>
      <w:r>
        <w:rPr>
          <w:rFonts w:hint="eastAsia" w:ascii="宋体" w:hAnsi="宋体" w:cs="宋体"/>
          <w:color w:val="auto"/>
          <w:sz w:val="28"/>
          <w:szCs w:val="28"/>
          <w:highlight w:val="none"/>
        </w:rPr>
        <w:t>余座，水系纵横、水网密布，近年来累计投资近</w:t>
      </w:r>
      <w:r>
        <w:rPr>
          <w:rFonts w:ascii="宋体" w:hAnsi="宋体" w:cs="宋体"/>
          <w:color w:val="auto"/>
          <w:sz w:val="28"/>
          <w:szCs w:val="28"/>
          <w:highlight w:val="none"/>
        </w:rPr>
        <w:t>60</w:t>
      </w:r>
      <w:r>
        <w:rPr>
          <w:rFonts w:hint="eastAsia" w:ascii="宋体" w:hAnsi="宋体" w:cs="宋体"/>
          <w:color w:val="auto"/>
          <w:sz w:val="28"/>
          <w:szCs w:val="28"/>
          <w:highlight w:val="none"/>
        </w:rPr>
        <w:t>亿元用于大气、河流、景区等生态环境的维护改善。区内功能配套完善、服务设施健全，加速推进青创家园品质生活圈、城市公园文旅生活圈、滨江田园休闲生活圈“三圈三园”建设，导入国际水准的人才公寓、医疗保健、高端教育资源，为在新区投资兴业、安居乐业提供优质服务。</w:t>
      </w:r>
    </w:p>
    <w:p w14:paraId="4D9C7DD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新区持续深化“放管服”改革，在全省率先成立行政审批局，打造“</w:t>
      </w:r>
      <w:r>
        <w:rPr>
          <w:rFonts w:ascii="宋体" w:hAnsi="宋体" w:cs="宋体"/>
          <w:color w:val="auto"/>
          <w:sz w:val="28"/>
          <w:szCs w:val="28"/>
          <w:highlight w:val="none"/>
        </w:rPr>
        <w:t>1113</w:t>
      </w:r>
      <w:r>
        <w:rPr>
          <w:rFonts w:hint="eastAsia" w:ascii="宋体" w:hAnsi="宋体" w:cs="宋体"/>
          <w:color w:val="auto"/>
          <w:sz w:val="28"/>
          <w:szCs w:val="28"/>
          <w:highlight w:val="none"/>
        </w:rPr>
        <w:t>”审批效率新标杆，探索“不见面”审批新模式，推广“项目网格”专班服务，审批效能达到全省最优。新区长期保持良好的金融生态，</w:t>
      </w:r>
      <w:r>
        <w:rPr>
          <w:rFonts w:ascii="宋体" w:hAnsi="宋体" w:cs="宋体"/>
          <w:color w:val="auto"/>
          <w:sz w:val="28"/>
          <w:szCs w:val="28"/>
          <w:highlight w:val="none"/>
        </w:rPr>
        <w:t>2020</w:t>
      </w:r>
      <w:r>
        <w:rPr>
          <w:rFonts w:hint="eastAsia" w:ascii="宋体" w:hAnsi="宋体" w:cs="宋体"/>
          <w:color w:val="auto"/>
          <w:sz w:val="28"/>
          <w:szCs w:val="28"/>
          <w:highlight w:val="none"/>
        </w:rPr>
        <w:t>年全区不良贷款率仅</w:t>
      </w:r>
      <w:r>
        <w:rPr>
          <w:rFonts w:ascii="宋体" w:hAnsi="宋体" w:cs="宋体"/>
          <w:color w:val="auto"/>
          <w:sz w:val="28"/>
          <w:szCs w:val="28"/>
          <w:highlight w:val="none"/>
        </w:rPr>
        <w:t>0.63%</w:t>
      </w:r>
      <w:r>
        <w:rPr>
          <w:rFonts w:hint="eastAsia" w:ascii="宋体" w:hAnsi="宋体" w:cs="宋体"/>
          <w:color w:val="auto"/>
          <w:sz w:val="28"/>
          <w:szCs w:val="28"/>
          <w:highlight w:val="none"/>
        </w:rPr>
        <w:t>，制造业企业、小微企业贷款余额同比增长</w:t>
      </w:r>
      <w:r>
        <w:rPr>
          <w:rFonts w:ascii="宋体" w:hAnsi="宋体" w:cs="宋体"/>
          <w:color w:val="auto"/>
          <w:sz w:val="28"/>
          <w:szCs w:val="28"/>
          <w:highlight w:val="none"/>
        </w:rPr>
        <w:t>11.9%</w:t>
      </w:r>
      <w:r>
        <w:rPr>
          <w:rFonts w:hint="eastAsia" w:ascii="宋体" w:hAnsi="宋体" w:cs="宋体"/>
          <w:color w:val="auto"/>
          <w:sz w:val="28"/>
          <w:szCs w:val="28"/>
          <w:highlight w:val="none"/>
        </w:rPr>
        <w:t>、</w:t>
      </w:r>
      <w:r>
        <w:rPr>
          <w:rFonts w:ascii="宋体" w:hAnsi="宋体" w:cs="宋体"/>
          <w:color w:val="auto"/>
          <w:sz w:val="28"/>
          <w:szCs w:val="28"/>
          <w:highlight w:val="none"/>
        </w:rPr>
        <w:t>17.8%</w:t>
      </w:r>
      <w:r>
        <w:rPr>
          <w:rFonts w:hint="eastAsia" w:ascii="宋体" w:hAnsi="宋体" w:cs="宋体"/>
          <w:color w:val="auto"/>
          <w:sz w:val="28"/>
          <w:szCs w:val="28"/>
          <w:highlight w:val="none"/>
        </w:rPr>
        <w:t>，构建了由各类基金、融资租赁、银行信贷等组成的较为完善的金融体系，为企业提供定制化金融服务，助力企业加速成长壮大。</w:t>
      </w:r>
    </w:p>
    <w:p w14:paraId="667A74D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1.3</w:t>
      </w:r>
      <w:r>
        <w:rPr>
          <w:rFonts w:hint="eastAsia" w:ascii="宋体" w:hAnsi="宋体" w:cs="宋体"/>
          <w:color w:val="auto"/>
          <w:sz w:val="28"/>
          <w:szCs w:val="28"/>
          <w:highlight w:val="none"/>
        </w:rPr>
        <w:t>外部交通运输状况</w:t>
      </w:r>
      <w:bookmarkEnd w:id="376"/>
    </w:p>
    <w:p w14:paraId="20FDEE2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交通：镇江新区交通优势突出，路网水网航线交织，组成了以京杭大运河为中轴，以沪宁高速公路、</w:t>
      </w:r>
      <w:r>
        <w:rPr>
          <w:rFonts w:ascii="宋体" w:hAnsi="宋体" w:cs="宋体"/>
          <w:color w:val="auto"/>
          <w:sz w:val="28"/>
          <w:szCs w:val="28"/>
          <w:highlight w:val="none"/>
        </w:rPr>
        <w:t>312</w:t>
      </w:r>
      <w:r>
        <w:rPr>
          <w:rFonts w:hint="eastAsia" w:ascii="宋体" w:hAnsi="宋体" w:cs="宋体"/>
          <w:color w:val="auto"/>
          <w:sz w:val="28"/>
          <w:szCs w:val="28"/>
          <w:highlight w:val="none"/>
        </w:rPr>
        <w:t>国道和京沪铁路为骨架，以润扬大桥、五峰山大桥为延伸，以四个国际机场为支点的立体交通网络，交通极为便利。</w:t>
      </w:r>
    </w:p>
    <w:p w14:paraId="6E56119E">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航空：距上海虹桥机场</w:t>
      </w:r>
      <w:r>
        <w:rPr>
          <w:rFonts w:ascii="宋体" w:hAnsi="宋体" w:cs="宋体"/>
          <w:color w:val="auto"/>
          <w:sz w:val="28"/>
          <w:szCs w:val="28"/>
          <w:highlight w:val="none"/>
        </w:rPr>
        <w:t>220km</w:t>
      </w:r>
      <w:r>
        <w:rPr>
          <w:rFonts w:hint="eastAsia" w:ascii="宋体" w:hAnsi="宋体" w:cs="宋体"/>
          <w:color w:val="auto"/>
          <w:sz w:val="28"/>
          <w:szCs w:val="28"/>
          <w:highlight w:val="none"/>
        </w:rPr>
        <w:t>，浦东机场</w:t>
      </w:r>
      <w:r>
        <w:rPr>
          <w:rFonts w:ascii="宋体" w:hAnsi="宋体" w:cs="宋体"/>
          <w:color w:val="auto"/>
          <w:sz w:val="28"/>
          <w:szCs w:val="28"/>
          <w:highlight w:val="none"/>
        </w:rPr>
        <w:t>255km</w:t>
      </w:r>
      <w:r>
        <w:rPr>
          <w:rFonts w:hint="eastAsia" w:ascii="宋体" w:hAnsi="宋体" w:cs="宋体"/>
          <w:color w:val="auto"/>
          <w:sz w:val="28"/>
          <w:szCs w:val="28"/>
          <w:highlight w:val="none"/>
        </w:rPr>
        <w:t>；距南京禄口国际机场</w:t>
      </w:r>
      <w:r>
        <w:rPr>
          <w:rFonts w:ascii="宋体" w:hAnsi="宋体" w:cs="宋体"/>
          <w:color w:val="auto"/>
          <w:sz w:val="28"/>
          <w:szCs w:val="28"/>
          <w:highlight w:val="none"/>
        </w:rPr>
        <w:t>90 km</w:t>
      </w:r>
      <w:r>
        <w:rPr>
          <w:rFonts w:hint="eastAsia" w:ascii="宋体" w:hAnsi="宋体" w:cs="宋体"/>
          <w:color w:val="auto"/>
          <w:sz w:val="28"/>
          <w:szCs w:val="28"/>
          <w:highlight w:val="none"/>
        </w:rPr>
        <w:t>；距常州机场</w:t>
      </w:r>
      <w:r>
        <w:rPr>
          <w:rFonts w:ascii="宋体" w:hAnsi="宋体" w:cs="宋体"/>
          <w:color w:val="auto"/>
          <w:sz w:val="28"/>
          <w:szCs w:val="28"/>
          <w:highlight w:val="none"/>
        </w:rPr>
        <w:t>60 km</w:t>
      </w:r>
      <w:r>
        <w:rPr>
          <w:rFonts w:hint="eastAsia" w:ascii="宋体" w:hAnsi="宋体" w:cs="宋体"/>
          <w:color w:val="auto"/>
          <w:sz w:val="28"/>
          <w:szCs w:val="28"/>
          <w:highlight w:val="none"/>
        </w:rPr>
        <w:t>。通往各机场全程高速公路。</w:t>
      </w:r>
    </w:p>
    <w:p w14:paraId="02510CB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铁路：铁路货运专用线与沪宁铁路相连，直抵镇江新区大港港区。沪宁轻轨铁路年内也将开工建设，建成后镇江到上海仅</w:t>
      </w:r>
      <w:r>
        <w:rPr>
          <w:rFonts w:ascii="宋体" w:hAnsi="宋体" w:cs="宋体"/>
          <w:color w:val="auto"/>
          <w:sz w:val="28"/>
          <w:szCs w:val="28"/>
          <w:highlight w:val="none"/>
        </w:rPr>
        <w:t>1</w:t>
      </w:r>
      <w:r>
        <w:rPr>
          <w:rFonts w:hint="eastAsia" w:ascii="宋体" w:hAnsi="宋体" w:cs="宋体"/>
          <w:color w:val="auto"/>
          <w:sz w:val="28"/>
          <w:szCs w:val="28"/>
          <w:highlight w:val="none"/>
        </w:rPr>
        <w:t>小时即可抵达。</w:t>
      </w:r>
    </w:p>
    <w:p w14:paraId="5424150D">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公路：镇江新区内道路纵横交错，沪宁高速公路有两个出口分别连接大港片区（</w:t>
      </w:r>
      <w:r>
        <w:rPr>
          <w:rFonts w:ascii="宋体" w:hAnsi="宋体" w:cs="宋体"/>
          <w:color w:val="auto"/>
          <w:sz w:val="28"/>
          <w:szCs w:val="28"/>
          <w:highlight w:val="none"/>
        </w:rPr>
        <w:t>15km</w:t>
      </w:r>
      <w:r>
        <w:rPr>
          <w:rFonts w:hint="eastAsia" w:ascii="宋体" w:hAnsi="宋体" w:cs="宋体"/>
          <w:color w:val="auto"/>
          <w:sz w:val="28"/>
          <w:szCs w:val="28"/>
          <w:highlight w:val="none"/>
        </w:rPr>
        <w:t>）和丁卯片区（</w:t>
      </w:r>
      <w:r>
        <w:rPr>
          <w:rFonts w:ascii="宋体" w:hAnsi="宋体" w:cs="宋体"/>
          <w:color w:val="auto"/>
          <w:sz w:val="28"/>
          <w:szCs w:val="28"/>
          <w:highlight w:val="none"/>
        </w:rPr>
        <w:t>1km</w:t>
      </w:r>
      <w:r>
        <w:rPr>
          <w:rFonts w:hint="eastAsia" w:ascii="宋体" w:hAnsi="宋体" w:cs="宋体"/>
          <w:color w:val="auto"/>
          <w:sz w:val="28"/>
          <w:szCs w:val="28"/>
          <w:highlight w:val="none"/>
        </w:rPr>
        <w:t>），另有多条主要道路与</w:t>
      </w:r>
      <w:r>
        <w:rPr>
          <w:rFonts w:ascii="宋体" w:hAnsi="宋体" w:cs="宋体"/>
          <w:color w:val="auto"/>
          <w:sz w:val="28"/>
          <w:szCs w:val="28"/>
          <w:highlight w:val="none"/>
        </w:rPr>
        <w:t>312</w:t>
      </w:r>
      <w:r>
        <w:rPr>
          <w:rFonts w:hint="eastAsia" w:ascii="宋体" w:hAnsi="宋体" w:cs="宋体"/>
          <w:color w:val="auto"/>
          <w:sz w:val="28"/>
          <w:szCs w:val="28"/>
          <w:highlight w:val="none"/>
        </w:rPr>
        <w:t>国道、</w:t>
      </w:r>
      <w:r>
        <w:rPr>
          <w:rFonts w:ascii="宋体" w:hAnsi="宋体" w:cs="宋体"/>
          <w:color w:val="auto"/>
          <w:sz w:val="28"/>
          <w:szCs w:val="28"/>
          <w:highlight w:val="none"/>
        </w:rPr>
        <w:t>104</w:t>
      </w:r>
      <w:r>
        <w:rPr>
          <w:rFonts w:hint="eastAsia" w:ascii="宋体" w:hAnsi="宋体" w:cs="宋体"/>
          <w:color w:val="auto"/>
          <w:sz w:val="28"/>
          <w:szCs w:val="28"/>
          <w:highlight w:val="none"/>
        </w:rPr>
        <w:t>国道、沿江公路相连，交通极为方便。</w:t>
      </w:r>
    </w:p>
    <w:p w14:paraId="0496BB2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水运：</w:t>
      </w:r>
    </w:p>
    <w:p w14:paraId="04743DB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w:t>
      </w:r>
      <w:r>
        <w:rPr>
          <w:rFonts w:ascii="宋体" w:hAnsi="宋体" w:cs="宋体"/>
          <w:color w:val="auto"/>
          <w:sz w:val="28"/>
          <w:szCs w:val="28"/>
          <w:highlight w:val="none"/>
        </w:rPr>
        <w:t>1</w:t>
      </w:r>
      <w:r>
        <w:rPr>
          <w:rFonts w:hint="eastAsia" w:ascii="宋体" w:hAnsi="宋体" w:cs="宋体"/>
          <w:color w:val="auto"/>
          <w:sz w:val="28"/>
          <w:szCs w:val="28"/>
          <w:highlight w:val="none"/>
        </w:rPr>
        <w:t>）危化品输送码头：港龙石化码头是园区内唯一的危化品码头，位于园区西北角。码头岸线长</w:t>
      </w:r>
      <w:r>
        <w:rPr>
          <w:rFonts w:ascii="宋体" w:hAnsi="宋体" w:cs="宋体"/>
          <w:color w:val="auto"/>
          <w:sz w:val="28"/>
          <w:szCs w:val="28"/>
          <w:highlight w:val="none"/>
        </w:rPr>
        <w:t>364</w:t>
      </w:r>
      <w:r>
        <w:rPr>
          <w:rFonts w:hint="eastAsia" w:ascii="宋体" w:hAnsi="宋体" w:cs="宋体"/>
          <w:color w:val="auto"/>
          <w:sz w:val="28"/>
          <w:szCs w:val="28"/>
          <w:highlight w:val="none"/>
        </w:rPr>
        <w:t>米，海轮泊位为</w:t>
      </w:r>
      <w:r>
        <w:rPr>
          <w:rFonts w:ascii="宋体" w:hAnsi="宋体" w:cs="宋体"/>
          <w:color w:val="auto"/>
          <w:sz w:val="28"/>
          <w:szCs w:val="28"/>
          <w:highlight w:val="none"/>
        </w:rPr>
        <w:t>2.5</w:t>
      </w:r>
      <w:r>
        <w:rPr>
          <w:rFonts w:hint="eastAsia" w:ascii="宋体" w:hAnsi="宋体" w:cs="宋体"/>
          <w:color w:val="auto"/>
          <w:sz w:val="28"/>
          <w:szCs w:val="28"/>
          <w:highlight w:val="none"/>
        </w:rPr>
        <w:t>万吨级、</w:t>
      </w:r>
      <w:r>
        <w:rPr>
          <w:rFonts w:ascii="宋体" w:hAnsi="宋体" w:cs="宋体"/>
          <w:color w:val="auto"/>
          <w:sz w:val="28"/>
          <w:szCs w:val="28"/>
          <w:highlight w:val="none"/>
        </w:rPr>
        <w:t>5000</w:t>
      </w:r>
      <w:r>
        <w:rPr>
          <w:rFonts w:hint="eastAsia" w:ascii="宋体" w:hAnsi="宋体" w:cs="宋体"/>
          <w:color w:val="auto"/>
          <w:sz w:val="28"/>
          <w:szCs w:val="28"/>
          <w:highlight w:val="none"/>
        </w:rPr>
        <w:t>吨级（兼靠</w:t>
      </w:r>
      <w:r>
        <w:rPr>
          <w:rFonts w:ascii="宋体" w:hAnsi="宋体" w:cs="宋体"/>
          <w:color w:val="auto"/>
          <w:sz w:val="28"/>
          <w:szCs w:val="28"/>
          <w:highlight w:val="none"/>
        </w:rPr>
        <w:t>8500</w:t>
      </w:r>
      <w:r>
        <w:rPr>
          <w:rFonts w:hint="eastAsia" w:ascii="宋体" w:hAnsi="宋体" w:cs="宋体"/>
          <w:color w:val="auto"/>
          <w:sz w:val="28"/>
          <w:szCs w:val="28"/>
          <w:highlight w:val="none"/>
        </w:rPr>
        <w:t>吨海轮）和</w:t>
      </w:r>
      <w:r>
        <w:rPr>
          <w:rFonts w:ascii="宋体" w:hAnsi="宋体" w:cs="宋体"/>
          <w:color w:val="auto"/>
          <w:sz w:val="28"/>
          <w:szCs w:val="28"/>
          <w:highlight w:val="none"/>
        </w:rPr>
        <w:t>500</w:t>
      </w:r>
      <w:r>
        <w:rPr>
          <w:rFonts w:hint="eastAsia" w:ascii="宋体" w:hAnsi="宋体" w:cs="宋体"/>
          <w:color w:val="auto"/>
          <w:sz w:val="28"/>
          <w:szCs w:val="28"/>
          <w:highlight w:val="none"/>
        </w:rPr>
        <w:t>吨级各一座，码头设计总吞吐量</w:t>
      </w:r>
      <w:r>
        <w:rPr>
          <w:rFonts w:ascii="宋体" w:hAnsi="宋体" w:cs="宋体"/>
          <w:color w:val="auto"/>
          <w:sz w:val="28"/>
          <w:szCs w:val="28"/>
          <w:highlight w:val="none"/>
        </w:rPr>
        <w:t>280</w:t>
      </w:r>
      <w:r>
        <w:rPr>
          <w:rFonts w:hint="eastAsia" w:ascii="宋体" w:hAnsi="宋体" w:cs="宋体"/>
          <w:color w:val="auto"/>
          <w:sz w:val="28"/>
          <w:szCs w:val="28"/>
          <w:highlight w:val="none"/>
        </w:rPr>
        <w:t>万吨</w:t>
      </w:r>
      <w:r>
        <w:rPr>
          <w:rFonts w:ascii="宋体" w:hAnsi="宋体" w:cs="宋体"/>
          <w:color w:val="auto"/>
          <w:sz w:val="28"/>
          <w:szCs w:val="28"/>
          <w:highlight w:val="none"/>
        </w:rPr>
        <w:t>/</w:t>
      </w:r>
      <w:r>
        <w:rPr>
          <w:rFonts w:hint="eastAsia" w:ascii="宋体" w:hAnsi="宋体" w:cs="宋体"/>
          <w:color w:val="auto"/>
          <w:sz w:val="28"/>
          <w:szCs w:val="28"/>
          <w:highlight w:val="none"/>
        </w:rPr>
        <w:t>年。</w:t>
      </w:r>
    </w:p>
    <w:p w14:paraId="100DCAB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77" w:name="_Toc469"/>
      <w:bookmarkStart w:id="378" w:name="_Toc107219149"/>
      <w:bookmarkStart w:id="379" w:name="_Toc136052573"/>
      <w:bookmarkStart w:id="380" w:name="_Toc187826684"/>
      <w:r>
        <w:rPr>
          <w:rFonts w:hint="eastAsia" w:ascii="宋体" w:hAnsi="宋体" w:cs="宋体"/>
          <w:color w:val="auto"/>
          <w:sz w:val="28"/>
          <w:szCs w:val="28"/>
          <w:highlight w:val="none"/>
        </w:rPr>
        <w:t>（</w:t>
      </w:r>
      <w:r>
        <w:rPr>
          <w:rFonts w:ascii="宋体" w:hAnsi="宋体" w:cs="宋体"/>
          <w:color w:val="auto"/>
          <w:sz w:val="28"/>
          <w:szCs w:val="28"/>
          <w:highlight w:val="none"/>
        </w:rPr>
        <w:t>2</w:t>
      </w:r>
      <w:r>
        <w:rPr>
          <w:rFonts w:hint="eastAsia" w:ascii="宋体" w:hAnsi="宋体" w:cs="宋体"/>
          <w:color w:val="auto"/>
          <w:sz w:val="28"/>
          <w:szCs w:val="28"/>
          <w:highlight w:val="none"/>
        </w:rPr>
        <w:t>）散货码头：大港港区码头岸线总长近</w:t>
      </w:r>
      <w:r>
        <w:rPr>
          <w:rFonts w:ascii="宋体" w:hAnsi="宋体" w:cs="宋体"/>
          <w:color w:val="auto"/>
          <w:sz w:val="28"/>
          <w:szCs w:val="28"/>
          <w:highlight w:val="none"/>
        </w:rPr>
        <w:t>2</w:t>
      </w:r>
      <w:r>
        <w:rPr>
          <w:rFonts w:hint="eastAsia" w:ascii="宋体" w:hAnsi="宋体" w:cs="宋体"/>
          <w:color w:val="auto"/>
          <w:sz w:val="28"/>
          <w:szCs w:val="28"/>
          <w:highlight w:val="none"/>
        </w:rPr>
        <w:t>公里，万吨级以上泊位</w:t>
      </w:r>
      <w:r>
        <w:rPr>
          <w:rFonts w:ascii="宋体" w:hAnsi="宋体" w:cs="宋体"/>
          <w:color w:val="auto"/>
          <w:sz w:val="28"/>
          <w:szCs w:val="28"/>
          <w:highlight w:val="none"/>
        </w:rPr>
        <w:t>14</w:t>
      </w:r>
      <w:r>
        <w:rPr>
          <w:rFonts w:hint="eastAsia" w:ascii="宋体" w:hAnsi="宋体" w:cs="宋体"/>
          <w:color w:val="auto"/>
          <w:sz w:val="28"/>
          <w:szCs w:val="28"/>
          <w:highlight w:val="none"/>
        </w:rPr>
        <w:t>个，最大泊位能力为</w:t>
      </w:r>
      <w:r>
        <w:rPr>
          <w:rFonts w:ascii="宋体" w:hAnsi="宋体" w:cs="宋体"/>
          <w:color w:val="auto"/>
          <w:sz w:val="28"/>
          <w:szCs w:val="28"/>
          <w:highlight w:val="none"/>
        </w:rPr>
        <w:t>8</w:t>
      </w:r>
      <w:r>
        <w:rPr>
          <w:rFonts w:hint="eastAsia" w:ascii="宋体" w:hAnsi="宋体" w:cs="宋体"/>
          <w:color w:val="auto"/>
          <w:sz w:val="28"/>
          <w:szCs w:val="28"/>
          <w:highlight w:val="none"/>
        </w:rPr>
        <w:t>万吨，年吞吐量约</w:t>
      </w:r>
      <w:r>
        <w:rPr>
          <w:rFonts w:ascii="宋体" w:hAnsi="宋体" w:cs="宋体"/>
          <w:color w:val="auto"/>
          <w:sz w:val="28"/>
          <w:szCs w:val="28"/>
          <w:highlight w:val="none"/>
        </w:rPr>
        <w:t>1</w:t>
      </w:r>
      <w:r>
        <w:rPr>
          <w:rFonts w:hint="eastAsia" w:ascii="宋体" w:hAnsi="宋体" w:cs="宋体"/>
          <w:color w:val="auto"/>
          <w:sz w:val="28"/>
          <w:szCs w:val="28"/>
          <w:highlight w:val="none"/>
        </w:rPr>
        <w:t>亿吨。镇江</w:t>
      </w:r>
      <w:r>
        <w:rPr>
          <w:rFonts w:ascii="宋体" w:hAnsi="宋体" w:cs="宋体"/>
          <w:color w:val="auto"/>
          <w:sz w:val="28"/>
          <w:szCs w:val="28"/>
          <w:highlight w:val="none"/>
        </w:rPr>
        <w:t>70%</w:t>
      </w:r>
      <w:r>
        <w:rPr>
          <w:rFonts w:hint="eastAsia" w:ascii="宋体" w:hAnsi="宋体" w:cs="宋体"/>
          <w:color w:val="auto"/>
          <w:sz w:val="28"/>
          <w:szCs w:val="28"/>
          <w:highlight w:val="none"/>
        </w:rPr>
        <w:t>的散杂货水运吞吐均由其承担。</w:t>
      </w:r>
    </w:p>
    <w:p w14:paraId="1D81C4EB">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 xml:space="preserve">1.4  </w:t>
      </w:r>
      <w:r>
        <w:rPr>
          <w:rFonts w:hint="eastAsia" w:ascii="宋体" w:hAnsi="宋体" w:cs="宋体"/>
          <w:color w:val="auto"/>
          <w:sz w:val="28"/>
          <w:szCs w:val="28"/>
          <w:highlight w:val="none"/>
        </w:rPr>
        <w:t>公用工程条件</w:t>
      </w:r>
      <w:bookmarkEnd w:id="377"/>
      <w:bookmarkEnd w:id="378"/>
      <w:bookmarkEnd w:id="379"/>
      <w:bookmarkEnd w:id="380"/>
    </w:p>
    <w:p w14:paraId="48F8F68E">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81" w:name="_Toc23509"/>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 xml:space="preserve">1.4.1 </w:t>
      </w:r>
      <w:r>
        <w:rPr>
          <w:rFonts w:hint="eastAsia" w:ascii="宋体" w:hAnsi="宋体" w:cs="宋体"/>
          <w:color w:val="auto"/>
          <w:sz w:val="28"/>
          <w:szCs w:val="28"/>
          <w:highlight w:val="none"/>
        </w:rPr>
        <w:t>水源及排水条件</w:t>
      </w:r>
      <w:bookmarkEnd w:id="381"/>
    </w:p>
    <w:p w14:paraId="5F00794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镇江新区自来水管网已与镇江市联成一体，供水能力完全能够满足要求，水质符合国家颁布的卫生标准。此外，工业用水方面，镇江新区全资控股公司江苏大港股份有限公司建有工业用水厂，一期规模为</w:t>
      </w:r>
      <w:r>
        <w:rPr>
          <w:rFonts w:ascii="宋体" w:hAnsi="宋体" w:cs="宋体"/>
          <w:color w:val="auto"/>
          <w:sz w:val="28"/>
          <w:szCs w:val="28"/>
          <w:highlight w:val="none"/>
        </w:rPr>
        <w:t>5</w:t>
      </w:r>
      <w:r>
        <w:rPr>
          <w:rFonts w:hint="eastAsia" w:ascii="宋体" w:hAnsi="宋体" w:cs="宋体"/>
          <w:color w:val="auto"/>
          <w:sz w:val="28"/>
          <w:szCs w:val="28"/>
          <w:highlight w:val="none"/>
        </w:rPr>
        <w:t>万吨</w:t>
      </w:r>
      <w:r>
        <w:rPr>
          <w:rFonts w:ascii="宋体" w:hAnsi="宋体" w:cs="宋体"/>
          <w:color w:val="auto"/>
          <w:sz w:val="28"/>
          <w:szCs w:val="28"/>
          <w:highlight w:val="none"/>
        </w:rPr>
        <w:t>/</w:t>
      </w:r>
      <w:r>
        <w:rPr>
          <w:rFonts w:hint="eastAsia" w:ascii="宋体" w:hAnsi="宋体" w:cs="宋体"/>
          <w:color w:val="auto"/>
          <w:sz w:val="28"/>
          <w:szCs w:val="28"/>
          <w:highlight w:val="none"/>
        </w:rPr>
        <w:t>日，已投入使用。</w:t>
      </w:r>
      <w:r>
        <w:rPr>
          <w:rFonts w:ascii="宋体" w:hAnsi="宋体" w:cs="宋体"/>
          <w:color w:val="auto"/>
          <w:sz w:val="28"/>
          <w:szCs w:val="28"/>
          <w:highlight w:val="none"/>
        </w:rPr>
        <w:t xml:space="preserve">                                                                                                                                                                                                                 </w:t>
      </w:r>
    </w:p>
    <w:p w14:paraId="19210D0B">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镇江新区已建成日处理</w:t>
      </w:r>
      <w:r>
        <w:rPr>
          <w:rFonts w:ascii="宋体" w:hAnsi="宋体" w:cs="宋体"/>
          <w:color w:val="auto"/>
          <w:sz w:val="28"/>
          <w:szCs w:val="28"/>
          <w:highlight w:val="none"/>
        </w:rPr>
        <w:t>2</w:t>
      </w:r>
      <w:r>
        <w:rPr>
          <w:rFonts w:hint="eastAsia" w:ascii="宋体" w:hAnsi="宋体" w:cs="宋体"/>
          <w:color w:val="auto"/>
          <w:sz w:val="28"/>
          <w:szCs w:val="28"/>
          <w:highlight w:val="none"/>
        </w:rPr>
        <w:t>万吨污水处理厂一座，只要该公司的污水排放能有符合国家综合排放标准三级即可直接排入污水管网。镇江新区可以满足本项目的供水和排水要求。</w:t>
      </w:r>
    </w:p>
    <w:p w14:paraId="7013415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82" w:name="_Toc3436"/>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1.4.2</w:t>
      </w:r>
      <w:r>
        <w:rPr>
          <w:rFonts w:hint="eastAsia" w:ascii="宋体" w:hAnsi="宋体" w:cs="宋体"/>
          <w:color w:val="auto"/>
          <w:sz w:val="28"/>
          <w:szCs w:val="28"/>
          <w:highlight w:val="none"/>
        </w:rPr>
        <w:t>电源与供电</w:t>
      </w:r>
      <w:bookmarkEnd w:id="382"/>
    </w:p>
    <w:p w14:paraId="1E02CA0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镇江新区紧临华东最大的火力发电厂谏壁电厂（装机容量</w:t>
      </w:r>
      <w:r>
        <w:rPr>
          <w:rFonts w:ascii="宋体" w:hAnsi="宋体" w:cs="宋体"/>
          <w:color w:val="auto"/>
          <w:sz w:val="28"/>
          <w:szCs w:val="28"/>
          <w:highlight w:val="none"/>
        </w:rPr>
        <w:t>222.5</w:t>
      </w:r>
      <w:r>
        <w:rPr>
          <w:rFonts w:hint="eastAsia" w:ascii="宋体" w:hAnsi="宋体" w:cs="宋体"/>
          <w:color w:val="auto"/>
          <w:sz w:val="28"/>
          <w:szCs w:val="28"/>
          <w:highlight w:val="none"/>
        </w:rPr>
        <w:t>万千瓦），区内建有</w:t>
      </w:r>
      <w:r>
        <w:rPr>
          <w:rFonts w:ascii="宋体" w:hAnsi="宋体" w:cs="宋体"/>
          <w:color w:val="auto"/>
          <w:sz w:val="28"/>
          <w:szCs w:val="28"/>
          <w:highlight w:val="none"/>
        </w:rPr>
        <w:t>220kV</w:t>
      </w:r>
      <w:r>
        <w:rPr>
          <w:rFonts w:hint="eastAsia" w:ascii="宋体" w:hAnsi="宋体" w:cs="宋体"/>
          <w:color w:val="auto"/>
          <w:sz w:val="28"/>
          <w:szCs w:val="28"/>
          <w:highlight w:val="none"/>
        </w:rPr>
        <w:t>变电站两座，</w:t>
      </w:r>
      <w:r>
        <w:rPr>
          <w:rFonts w:ascii="宋体" w:hAnsi="宋体" w:cs="宋体"/>
          <w:color w:val="auto"/>
          <w:sz w:val="28"/>
          <w:szCs w:val="28"/>
          <w:highlight w:val="none"/>
        </w:rPr>
        <w:t>110kV</w:t>
      </w:r>
      <w:r>
        <w:rPr>
          <w:rFonts w:hint="eastAsia" w:ascii="宋体" w:hAnsi="宋体" w:cs="宋体"/>
          <w:color w:val="auto"/>
          <w:sz w:val="28"/>
          <w:szCs w:val="28"/>
          <w:highlight w:val="none"/>
        </w:rPr>
        <w:t>变电站四座；</w:t>
      </w:r>
      <w:r>
        <w:rPr>
          <w:rFonts w:ascii="宋体" w:hAnsi="宋体" w:cs="宋体"/>
          <w:color w:val="auto"/>
          <w:sz w:val="28"/>
          <w:szCs w:val="28"/>
          <w:highlight w:val="none"/>
        </w:rPr>
        <w:t>3</w:t>
      </w:r>
      <w:r>
        <w:rPr>
          <w:rFonts w:hint="eastAsia" w:ascii="宋体" w:hAnsi="宋体" w:cs="宋体"/>
          <w:color w:val="auto"/>
          <w:sz w:val="28"/>
          <w:szCs w:val="28"/>
          <w:highlight w:val="none"/>
        </w:rPr>
        <w:t>×</w:t>
      </w:r>
      <w:r>
        <w:rPr>
          <w:rFonts w:ascii="宋体" w:hAnsi="宋体" w:cs="宋体"/>
          <w:color w:val="auto"/>
          <w:sz w:val="28"/>
          <w:szCs w:val="28"/>
          <w:highlight w:val="none"/>
        </w:rPr>
        <w:t>6000kV</w:t>
      </w:r>
      <w:r>
        <w:rPr>
          <w:rFonts w:hint="eastAsia" w:ascii="宋体" w:hAnsi="宋体" w:cs="宋体"/>
          <w:color w:val="auto"/>
          <w:sz w:val="28"/>
          <w:szCs w:val="28"/>
          <w:highlight w:val="none"/>
        </w:rPr>
        <w:t>和</w:t>
      </w:r>
      <w:r>
        <w:rPr>
          <w:rFonts w:ascii="宋体" w:hAnsi="宋体" w:cs="宋体"/>
          <w:color w:val="auto"/>
          <w:sz w:val="28"/>
          <w:szCs w:val="28"/>
          <w:highlight w:val="none"/>
        </w:rPr>
        <w:t>2</w:t>
      </w:r>
      <w:r>
        <w:rPr>
          <w:rFonts w:hint="eastAsia" w:ascii="宋体" w:hAnsi="宋体" w:cs="宋体"/>
          <w:color w:val="auto"/>
          <w:sz w:val="28"/>
          <w:szCs w:val="28"/>
          <w:highlight w:val="none"/>
        </w:rPr>
        <w:t>×</w:t>
      </w:r>
      <w:r>
        <w:rPr>
          <w:rFonts w:ascii="宋体" w:hAnsi="宋体" w:cs="宋体"/>
          <w:color w:val="auto"/>
          <w:sz w:val="28"/>
          <w:szCs w:val="28"/>
          <w:highlight w:val="none"/>
        </w:rPr>
        <w:t>6000kV</w:t>
      </w:r>
      <w:r>
        <w:rPr>
          <w:rFonts w:hint="eastAsia" w:ascii="宋体" w:hAnsi="宋体" w:cs="宋体"/>
          <w:color w:val="auto"/>
          <w:sz w:val="28"/>
          <w:szCs w:val="28"/>
          <w:highlight w:val="none"/>
        </w:rPr>
        <w:t>热电厂各一座。镇江新区可以满足本项目的用电要求。</w:t>
      </w:r>
    </w:p>
    <w:p w14:paraId="48B1C9D2">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83" w:name="_Toc3223"/>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1.4.3</w:t>
      </w:r>
      <w:bookmarkEnd w:id="383"/>
      <w:bookmarkStart w:id="384" w:name="_Toc6962"/>
      <w:r>
        <w:rPr>
          <w:rFonts w:hint="eastAsia" w:ascii="宋体" w:hAnsi="宋体" w:cs="宋体"/>
          <w:color w:val="auto"/>
          <w:sz w:val="28"/>
          <w:szCs w:val="28"/>
          <w:highlight w:val="none"/>
        </w:rPr>
        <w:t>通讯</w:t>
      </w:r>
      <w:bookmarkEnd w:id="384"/>
    </w:p>
    <w:p w14:paraId="30C8375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由于本项目需要设置电话和网络的建筑物不多，扩建厂区内所需的电话均由原厂主设备引来。</w:t>
      </w:r>
    </w:p>
    <w:p w14:paraId="3C89AC3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1.4.4</w:t>
      </w:r>
      <w:r>
        <w:rPr>
          <w:rFonts w:hint="eastAsia" w:ascii="宋体" w:hAnsi="宋体" w:cs="宋体"/>
          <w:color w:val="auto"/>
          <w:sz w:val="28"/>
          <w:szCs w:val="28"/>
          <w:highlight w:val="none"/>
        </w:rPr>
        <w:t>消防</w:t>
      </w:r>
    </w:p>
    <w:p w14:paraId="31B6E3E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lang w:val="zh-CN"/>
        </w:rPr>
      </w:pPr>
      <w:r>
        <w:rPr>
          <w:rFonts w:hint="eastAsia" w:ascii="宋体" w:hAnsi="宋体" w:cs="宋体"/>
          <w:color w:val="auto"/>
          <w:sz w:val="28"/>
          <w:szCs w:val="28"/>
          <w:highlight w:val="none"/>
          <w:lang w:val="zh-CN"/>
        </w:rPr>
        <w:t>新材料产业园设有</w:t>
      </w:r>
      <w:r>
        <w:rPr>
          <w:rFonts w:hint="eastAsia" w:ascii="宋体" w:hAnsi="宋体" w:cs="宋体"/>
          <w:color w:val="auto"/>
          <w:sz w:val="28"/>
          <w:szCs w:val="28"/>
          <w:highlight w:val="none"/>
        </w:rPr>
        <w:t>江苏索普新材料消防队、</w:t>
      </w:r>
      <w:r>
        <w:rPr>
          <w:rFonts w:hint="eastAsia" w:ascii="宋体" w:hAnsi="宋体" w:cs="宋体"/>
          <w:color w:val="auto"/>
          <w:sz w:val="28"/>
          <w:szCs w:val="28"/>
          <w:highlight w:val="none"/>
          <w:lang w:val="zh-CN"/>
        </w:rPr>
        <w:t>大港消防救援站和圃山消防救援站</w:t>
      </w:r>
      <w:r>
        <w:rPr>
          <w:rFonts w:ascii="宋体" w:hAnsi="宋体" w:cs="宋体"/>
          <w:color w:val="auto"/>
          <w:sz w:val="28"/>
          <w:szCs w:val="28"/>
          <w:highlight w:val="none"/>
        </w:rPr>
        <w:t>3</w:t>
      </w:r>
      <w:r>
        <w:rPr>
          <w:rFonts w:hint="eastAsia" w:ascii="宋体" w:hAnsi="宋体" w:cs="宋体"/>
          <w:color w:val="auto"/>
          <w:sz w:val="28"/>
          <w:szCs w:val="28"/>
          <w:highlight w:val="none"/>
          <w:lang w:val="zh-CN"/>
        </w:rPr>
        <w:t>个站点。其中</w:t>
      </w:r>
      <w:r>
        <w:rPr>
          <w:rFonts w:ascii="宋体" w:cs="宋体"/>
          <w:color w:val="auto"/>
          <w:sz w:val="28"/>
          <w:szCs w:val="28"/>
          <w:highlight w:val="none"/>
          <w:lang w:val="zh-CN"/>
        </w:rPr>
        <w:t>,</w:t>
      </w:r>
      <w:r>
        <w:rPr>
          <w:rFonts w:hint="eastAsia" w:ascii="宋体" w:hAnsi="宋体" w:cs="宋体"/>
          <w:color w:val="auto"/>
          <w:sz w:val="28"/>
          <w:szCs w:val="28"/>
          <w:highlight w:val="none"/>
        </w:rPr>
        <w:t>江苏索普新材料消防队始建</w:t>
      </w:r>
      <w:r>
        <w:rPr>
          <w:rFonts w:ascii="宋体" w:hAnsi="宋体" w:cs="宋体"/>
          <w:color w:val="auto"/>
          <w:sz w:val="28"/>
          <w:szCs w:val="28"/>
          <w:highlight w:val="none"/>
        </w:rPr>
        <w:t>2022</w:t>
      </w:r>
      <w:r>
        <w:rPr>
          <w:rFonts w:hint="eastAsia" w:ascii="宋体" w:hAnsi="宋体" w:cs="宋体"/>
          <w:color w:val="auto"/>
          <w:sz w:val="28"/>
          <w:szCs w:val="28"/>
          <w:highlight w:val="none"/>
        </w:rPr>
        <w:t>年</w:t>
      </w:r>
      <w:r>
        <w:rPr>
          <w:rFonts w:ascii="宋体" w:hAnsi="宋体" w:cs="宋体"/>
          <w:color w:val="auto"/>
          <w:sz w:val="28"/>
          <w:szCs w:val="28"/>
          <w:highlight w:val="none"/>
        </w:rPr>
        <w:t>9</w:t>
      </w:r>
      <w:r>
        <w:rPr>
          <w:rFonts w:hint="eastAsia" w:ascii="宋体" w:hAnsi="宋体" w:cs="宋体"/>
          <w:color w:val="auto"/>
          <w:sz w:val="28"/>
          <w:szCs w:val="28"/>
          <w:highlight w:val="none"/>
        </w:rPr>
        <w:t>月，目前消防队有专职消防队员</w:t>
      </w:r>
      <w:r>
        <w:rPr>
          <w:rFonts w:ascii="宋体" w:hAnsi="宋体" w:cs="宋体"/>
          <w:color w:val="auto"/>
          <w:sz w:val="28"/>
          <w:szCs w:val="28"/>
          <w:highlight w:val="none"/>
        </w:rPr>
        <w:t>13</w:t>
      </w:r>
      <w:r>
        <w:rPr>
          <w:rFonts w:hint="eastAsia" w:ascii="宋体" w:hAnsi="宋体" w:cs="宋体"/>
          <w:color w:val="auto"/>
          <w:sz w:val="28"/>
          <w:szCs w:val="28"/>
          <w:highlight w:val="none"/>
        </w:rPr>
        <w:t>人；配备</w:t>
      </w:r>
      <w:r>
        <w:rPr>
          <w:rFonts w:ascii="宋体" w:hAnsi="宋体" w:cs="宋体"/>
          <w:color w:val="auto"/>
          <w:sz w:val="28"/>
          <w:szCs w:val="28"/>
          <w:highlight w:val="none"/>
        </w:rPr>
        <w:t>1</w:t>
      </w:r>
      <w:r>
        <w:rPr>
          <w:rFonts w:hint="eastAsia" w:ascii="宋体" w:hAnsi="宋体" w:cs="宋体"/>
          <w:color w:val="auto"/>
          <w:sz w:val="28"/>
          <w:szCs w:val="28"/>
          <w:highlight w:val="none"/>
        </w:rPr>
        <w:t>台</w:t>
      </w:r>
      <w:r>
        <w:rPr>
          <w:rFonts w:ascii="宋体" w:hAnsi="宋体" w:cs="宋体"/>
          <w:color w:val="auto"/>
          <w:sz w:val="28"/>
          <w:szCs w:val="28"/>
          <w:highlight w:val="none"/>
        </w:rPr>
        <w:t>8</w:t>
      </w:r>
      <w:r>
        <w:rPr>
          <w:rFonts w:hint="eastAsia" w:ascii="宋体" w:hAnsi="宋体" w:cs="宋体"/>
          <w:color w:val="auto"/>
          <w:sz w:val="28"/>
          <w:szCs w:val="28"/>
          <w:highlight w:val="none"/>
        </w:rPr>
        <w:t>吨泡沫水罐消防车、</w:t>
      </w:r>
      <w:r>
        <w:rPr>
          <w:rFonts w:ascii="宋体" w:hAnsi="宋体" w:cs="宋体"/>
          <w:color w:val="auto"/>
          <w:sz w:val="28"/>
          <w:szCs w:val="28"/>
          <w:highlight w:val="none"/>
        </w:rPr>
        <w:t>1</w:t>
      </w:r>
      <w:r>
        <w:rPr>
          <w:rFonts w:hint="eastAsia" w:ascii="宋体" w:hAnsi="宋体" w:cs="宋体"/>
          <w:color w:val="auto"/>
          <w:sz w:val="28"/>
          <w:szCs w:val="28"/>
          <w:highlight w:val="none"/>
        </w:rPr>
        <w:t>台气体防护车。</w:t>
      </w:r>
      <w:r>
        <w:rPr>
          <w:rFonts w:hint="eastAsia" w:ascii="宋体" w:hAnsi="宋体" w:cs="宋体"/>
          <w:color w:val="auto"/>
          <w:sz w:val="28"/>
          <w:szCs w:val="28"/>
          <w:highlight w:val="none"/>
          <w:lang w:val="zh-CN"/>
        </w:rPr>
        <w:t>大港消防救援站位于新材料产业园东侧</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现有消防指战员</w:t>
      </w:r>
      <w:r>
        <w:rPr>
          <w:rFonts w:ascii="宋体" w:hAnsi="宋体" w:cs="宋体"/>
          <w:color w:val="auto"/>
          <w:sz w:val="28"/>
          <w:szCs w:val="28"/>
          <w:highlight w:val="none"/>
          <w:lang w:val="zh-CN"/>
        </w:rPr>
        <w:t>23</w:t>
      </w:r>
      <w:r>
        <w:rPr>
          <w:rFonts w:hint="eastAsia" w:ascii="宋体" w:hAnsi="宋体" w:cs="宋体"/>
          <w:color w:val="auto"/>
          <w:sz w:val="28"/>
          <w:szCs w:val="28"/>
          <w:highlight w:val="none"/>
          <w:lang w:val="zh-CN"/>
        </w:rPr>
        <w:t>人</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其中干部</w:t>
      </w:r>
      <w:r>
        <w:rPr>
          <w:rFonts w:ascii="宋体" w:hAnsi="宋体" w:cs="宋体"/>
          <w:color w:val="auto"/>
          <w:sz w:val="28"/>
          <w:szCs w:val="28"/>
          <w:highlight w:val="none"/>
          <w:lang w:val="zh-CN"/>
        </w:rPr>
        <w:t xml:space="preserve"> 5</w:t>
      </w:r>
      <w:r>
        <w:rPr>
          <w:rFonts w:hint="eastAsia" w:ascii="宋体" w:hAnsi="宋体" w:cs="宋体"/>
          <w:color w:val="auto"/>
          <w:sz w:val="28"/>
          <w:szCs w:val="28"/>
          <w:highlight w:val="none"/>
          <w:lang w:val="zh-CN"/>
        </w:rPr>
        <w:t>人</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消防员</w:t>
      </w:r>
      <w:r>
        <w:rPr>
          <w:rFonts w:ascii="宋体" w:hAnsi="宋体" w:cs="宋体"/>
          <w:color w:val="auto"/>
          <w:sz w:val="28"/>
          <w:szCs w:val="28"/>
          <w:highlight w:val="none"/>
          <w:lang w:val="zh-CN"/>
        </w:rPr>
        <w:t xml:space="preserve"> 18</w:t>
      </w:r>
      <w:r>
        <w:rPr>
          <w:rFonts w:hint="eastAsia" w:ascii="宋体" w:hAnsi="宋体" w:cs="宋体"/>
          <w:color w:val="auto"/>
          <w:sz w:val="28"/>
          <w:szCs w:val="28"/>
          <w:highlight w:val="none"/>
          <w:lang w:val="zh-CN"/>
        </w:rPr>
        <w:t>人</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配有消防车</w:t>
      </w:r>
      <w:r>
        <w:rPr>
          <w:rFonts w:ascii="宋体" w:hAnsi="宋体" w:cs="宋体"/>
          <w:color w:val="auto"/>
          <w:sz w:val="28"/>
          <w:szCs w:val="28"/>
          <w:highlight w:val="none"/>
          <w:lang w:val="zh-CN"/>
        </w:rPr>
        <w:t xml:space="preserve"> 10</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其中泡沫水罐车</w:t>
      </w:r>
      <w:r>
        <w:rPr>
          <w:rFonts w:ascii="宋体" w:hAnsi="宋体" w:cs="宋体"/>
          <w:color w:val="auto"/>
          <w:sz w:val="28"/>
          <w:szCs w:val="28"/>
          <w:highlight w:val="none"/>
          <w:lang w:val="zh-CN"/>
        </w:rPr>
        <w:t xml:space="preserve"> 3</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车载灭火剂水</w:t>
      </w:r>
      <w:r>
        <w:rPr>
          <w:rFonts w:ascii="宋体" w:hAnsi="宋体" w:cs="宋体"/>
          <w:color w:val="auto"/>
          <w:sz w:val="28"/>
          <w:szCs w:val="28"/>
          <w:highlight w:val="none"/>
          <w:lang w:val="zh-CN"/>
        </w:rPr>
        <w:t xml:space="preserve"> 33</w:t>
      </w:r>
      <w:r>
        <w:rPr>
          <w:rFonts w:hint="eastAsia" w:ascii="宋体" w:hAnsi="宋体" w:cs="宋体"/>
          <w:color w:val="auto"/>
          <w:sz w:val="28"/>
          <w:szCs w:val="28"/>
          <w:highlight w:val="none"/>
          <w:lang w:val="zh-CN"/>
        </w:rPr>
        <w:t>吨</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w:t>
      </w:r>
      <w:r>
        <w:rPr>
          <w:rFonts w:ascii="宋体" w:hAnsi="宋体" w:cs="宋体"/>
          <w:color w:val="auto"/>
          <w:sz w:val="28"/>
          <w:szCs w:val="28"/>
          <w:highlight w:val="none"/>
          <w:lang w:val="zh-CN"/>
        </w:rPr>
        <w:t>B</w:t>
      </w:r>
      <w:r>
        <w:rPr>
          <w:rFonts w:hint="eastAsia" w:ascii="宋体" w:hAnsi="宋体" w:cs="宋体"/>
          <w:color w:val="auto"/>
          <w:sz w:val="28"/>
          <w:szCs w:val="28"/>
          <w:highlight w:val="none"/>
          <w:lang w:val="zh-CN"/>
        </w:rPr>
        <w:t>类泡沫</w:t>
      </w:r>
      <w:r>
        <w:rPr>
          <w:rFonts w:ascii="宋体" w:hAnsi="宋体" w:cs="宋体"/>
          <w:color w:val="auto"/>
          <w:sz w:val="28"/>
          <w:szCs w:val="28"/>
          <w:highlight w:val="none"/>
          <w:lang w:val="zh-CN"/>
        </w:rPr>
        <w:t xml:space="preserve"> 8</w:t>
      </w:r>
      <w:r>
        <w:rPr>
          <w:rFonts w:hint="eastAsia" w:ascii="宋体" w:hAnsi="宋体" w:cs="宋体"/>
          <w:color w:val="auto"/>
          <w:sz w:val="28"/>
          <w:szCs w:val="28"/>
          <w:highlight w:val="none"/>
          <w:lang w:val="zh-CN"/>
        </w:rPr>
        <w:t>吨</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、抢险救援车</w:t>
      </w:r>
      <w:r>
        <w:rPr>
          <w:rFonts w:ascii="宋体" w:hAnsi="宋体" w:cs="宋体"/>
          <w:color w:val="auto"/>
          <w:sz w:val="28"/>
          <w:szCs w:val="28"/>
          <w:highlight w:val="none"/>
          <w:lang w:val="zh-CN"/>
        </w:rPr>
        <w:t xml:space="preserve"> 1</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、举高类消防车</w:t>
      </w:r>
      <w:r>
        <w:rPr>
          <w:rFonts w:ascii="宋体" w:hAnsi="宋体" w:cs="宋体"/>
          <w:color w:val="auto"/>
          <w:sz w:val="28"/>
          <w:szCs w:val="28"/>
          <w:highlight w:val="none"/>
          <w:lang w:val="zh-CN"/>
        </w:rPr>
        <w:t xml:space="preserve"> 3</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、远程供水车</w:t>
      </w:r>
      <w:r>
        <w:rPr>
          <w:rFonts w:ascii="宋体" w:hAnsi="宋体" w:cs="宋体"/>
          <w:color w:val="auto"/>
          <w:sz w:val="28"/>
          <w:szCs w:val="28"/>
          <w:highlight w:val="none"/>
          <w:lang w:val="zh-CN"/>
        </w:rPr>
        <w:t xml:space="preserve"> 1</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、化学洗消车</w:t>
      </w:r>
      <w:r>
        <w:rPr>
          <w:rFonts w:ascii="宋体" w:hAnsi="宋体" w:cs="宋体"/>
          <w:color w:val="auto"/>
          <w:sz w:val="28"/>
          <w:szCs w:val="28"/>
          <w:highlight w:val="none"/>
          <w:lang w:val="zh-CN"/>
        </w:rPr>
        <w:t>1</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、干粉车</w:t>
      </w:r>
      <w:r>
        <w:rPr>
          <w:rFonts w:ascii="宋体" w:hAnsi="宋体" w:cs="宋体"/>
          <w:color w:val="auto"/>
          <w:sz w:val="28"/>
          <w:szCs w:val="28"/>
          <w:highlight w:val="none"/>
          <w:lang w:val="zh-CN"/>
        </w:rPr>
        <w:t xml:space="preserve"> 1</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。圃山消防救援站位于新材料产业园东北侧</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现有消防指战员</w:t>
      </w:r>
      <w:r>
        <w:rPr>
          <w:rFonts w:ascii="宋体" w:hAnsi="宋体" w:cs="宋体"/>
          <w:color w:val="auto"/>
          <w:sz w:val="28"/>
          <w:szCs w:val="28"/>
          <w:highlight w:val="none"/>
          <w:lang w:val="zh-CN"/>
        </w:rPr>
        <w:t xml:space="preserve"> 13</w:t>
      </w:r>
      <w:r>
        <w:rPr>
          <w:rFonts w:hint="eastAsia" w:ascii="宋体" w:hAnsi="宋体" w:cs="宋体"/>
          <w:color w:val="auto"/>
          <w:sz w:val="28"/>
          <w:szCs w:val="28"/>
          <w:highlight w:val="none"/>
          <w:lang w:val="zh-CN"/>
        </w:rPr>
        <w:t>人</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其中干部</w:t>
      </w:r>
      <w:r>
        <w:rPr>
          <w:rFonts w:ascii="宋体" w:hAnsi="宋体" w:cs="宋体"/>
          <w:color w:val="auto"/>
          <w:sz w:val="28"/>
          <w:szCs w:val="28"/>
          <w:highlight w:val="none"/>
          <w:lang w:val="zh-CN"/>
        </w:rPr>
        <w:t xml:space="preserve"> 2</w:t>
      </w:r>
      <w:r>
        <w:rPr>
          <w:rFonts w:hint="eastAsia" w:ascii="宋体" w:hAnsi="宋体" w:cs="宋体"/>
          <w:color w:val="auto"/>
          <w:sz w:val="28"/>
          <w:szCs w:val="28"/>
          <w:highlight w:val="none"/>
          <w:lang w:val="zh-CN"/>
        </w:rPr>
        <w:t>人</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消防员</w:t>
      </w:r>
      <w:r>
        <w:rPr>
          <w:rFonts w:ascii="宋体" w:hAnsi="宋体" w:cs="宋体"/>
          <w:color w:val="auto"/>
          <w:sz w:val="28"/>
          <w:szCs w:val="28"/>
          <w:highlight w:val="none"/>
          <w:lang w:val="zh-CN"/>
        </w:rPr>
        <w:t xml:space="preserve"> 11</w:t>
      </w:r>
      <w:r>
        <w:rPr>
          <w:rFonts w:hint="eastAsia" w:ascii="宋体" w:hAnsi="宋体" w:cs="宋体"/>
          <w:color w:val="auto"/>
          <w:sz w:val="28"/>
          <w:szCs w:val="28"/>
          <w:highlight w:val="none"/>
          <w:lang w:val="zh-CN"/>
        </w:rPr>
        <w:t>人</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配有消防车</w:t>
      </w:r>
      <w:r>
        <w:rPr>
          <w:rFonts w:ascii="宋体" w:hAnsi="宋体" w:cs="宋体"/>
          <w:color w:val="auto"/>
          <w:sz w:val="28"/>
          <w:szCs w:val="28"/>
          <w:highlight w:val="none"/>
          <w:lang w:val="zh-CN"/>
        </w:rPr>
        <w:t xml:space="preserve"> 2</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泡沫水罐车</w:t>
      </w:r>
      <w:r>
        <w:rPr>
          <w:rFonts w:ascii="宋体" w:hAnsi="宋体" w:cs="宋体"/>
          <w:color w:val="auto"/>
          <w:sz w:val="28"/>
          <w:szCs w:val="28"/>
          <w:highlight w:val="none"/>
          <w:lang w:val="zh-CN"/>
        </w:rPr>
        <w:t>2</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车载灭火剂水</w:t>
      </w:r>
      <w:r>
        <w:rPr>
          <w:rFonts w:ascii="宋体" w:hAnsi="宋体" w:cs="宋体"/>
          <w:color w:val="auto"/>
          <w:sz w:val="28"/>
          <w:szCs w:val="28"/>
          <w:highlight w:val="none"/>
          <w:lang w:val="zh-CN"/>
        </w:rPr>
        <w:t xml:space="preserve"> 9</w:t>
      </w:r>
      <w:r>
        <w:rPr>
          <w:rFonts w:hint="eastAsia" w:ascii="宋体" w:hAnsi="宋体" w:cs="宋体"/>
          <w:color w:val="auto"/>
          <w:sz w:val="28"/>
          <w:szCs w:val="28"/>
          <w:highlight w:val="none"/>
          <w:lang w:val="zh-CN"/>
        </w:rPr>
        <w:t>吨</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w:t>
      </w:r>
      <w:r>
        <w:rPr>
          <w:rFonts w:ascii="宋体" w:hAnsi="宋体" w:cs="宋体"/>
          <w:color w:val="auto"/>
          <w:sz w:val="28"/>
          <w:szCs w:val="28"/>
          <w:highlight w:val="none"/>
          <w:lang w:val="zh-CN"/>
        </w:rPr>
        <w:t xml:space="preserve"> B</w:t>
      </w:r>
      <w:r>
        <w:rPr>
          <w:rFonts w:hint="eastAsia" w:ascii="宋体" w:hAnsi="宋体" w:cs="宋体"/>
          <w:color w:val="auto"/>
          <w:sz w:val="28"/>
          <w:szCs w:val="28"/>
          <w:highlight w:val="none"/>
          <w:lang w:val="zh-CN"/>
        </w:rPr>
        <w:t>类泡沫</w:t>
      </w:r>
      <w:r>
        <w:rPr>
          <w:rFonts w:ascii="宋体" w:hAnsi="宋体" w:cs="宋体"/>
          <w:color w:val="auto"/>
          <w:sz w:val="28"/>
          <w:szCs w:val="28"/>
          <w:highlight w:val="none"/>
          <w:lang w:val="zh-CN"/>
        </w:rPr>
        <w:t>2</w:t>
      </w:r>
      <w:r>
        <w:rPr>
          <w:rFonts w:hint="eastAsia" w:ascii="宋体" w:hAnsi="宋体" w:cs="宋体"/>
          <w:color w:val="auto"/>
          <w:sz w:val="28"/>
          <w:szCs w:val="28"/>
          <w:highlight w:val="none"/>
          <w:lang w:val="zh-CN"/>
        </w:rPr>
        <w:t>吨</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。两个消防救援站按要求配各装各器材共三大类</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灭火器材、防护装各、抢险救援器材</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十二小类</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基本防护装各、特种防护装各、射水器材、输水器材、侦检器材、救生器材、警戒器材、破拆器材、输转器材、洗消器材、排烟照明器材、其他器材×见附件</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w:t>
      </w:r>
    </w:p>
    <w:p w14:paraId="44B6655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lang w:val="zh-CN"/>
        </w:rPr>
        <w:t>此外</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园区周边还设有平昌、丁卯、谏壁</w:t>
      </w:r>
      <w:r>
        <w:rPr>
          <w:rFonts w:ascii="宋体" w:hAnsi="宋体" w:cs="宋体"/>
          <w:color w:val="auto"/>
          <w:sz w:val="28"/>
          <w:szCs w:val="28"/>
          <w:highlight w:val="none"/>
          <w:lang w:val="zh-CN"/>
        </w:rPr>
        <w:t xml:space="preserve"> 3</w:t>
      </w:r>
      <w:r>
        <w:rPr>
          <w:rFonts w:hint="eastAsia" w:ascii="宋体" w:hAnsi="宋体" w:cs="宋体"/>
          <w:color w:val="auto"/>
          <w:sz w:val="28"/>
          <w:szCs w:val="28"/>
          <w:highlight w:val="none"/>
          <w:lang w:val="zh-CN"/>
        </w:rPr>
        <w:t>个消防救援站。另外</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园</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区内镇江奇美化工有限公司还设有企业专职消防队</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现有人员</w:t>
      </w:r>
      <w:r>
        <w:rPr>
          <w:rFonts w:ascii="宋体" w:hAnsi="宋体" w:cs="宋体"/>
          <w:color w:val="auto"/>
          <w:sz w:val="28"/>
          <w:szCs w:val="28"/>
          <w:highlight w:val="none"/>
          <w:lang w:val="zh-CN"/>
        </w:rPr>
        <w:t xml:space="preserve"> 11</w:t>
      </w:r>
      <w:r>
        <w:rPr>
          <w:rFonts w:hint="eastAsia" w:ascii="宋体" w:hAnsi="宋体" w:cs="宋体"/>
          <w:color w:val="auto"/>
          <w:sz w:val="28"/>
          <w:szCs w:val="28"/>
          <w:highlight w:val="none"/>
          <w:lang w:val="zh-CN"/>
        </w:rPr>
        <w:t>人</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其中干部</w:t>
      </w:r>
      <w:r>
        <w:rPr>
          <w:rFonts w:ascii="宋体" w:hAnsi="宋体" w:cs="宋体"/>
          <w:color w:val="auto"/>
          <w:sz w:val="28"/>
          <w:szCs w:val="28"/>
          <w:highlight w:val="none"/>
          <w:lang w:val="zh-CN"/>
        </w:rPr>
        <w:t xml:space="preserve"> 3</w:t>
      </w:r>
      <w:r>
        <w:rPr>
          <w:rFonts w:hint="eastAsia" w:ascii="宋体" w:hAnsi="宋体" w:cs="宋体"/>
          <w:color w:val="auto"/>
          <w:sz w:val="28"/>
          <w:szCs w:val="28"/>
          <w:highlight w:val="none"/>
          <w:lang w:val="zh-CN"/>
        </w:rPr>
        <w:t>人</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消防员</w:t>
      </w:r>
      <w:r>
        <w:rPr>
          <w:rFonts w:ascii="宋体" w:hAnsi="宋体" w:cs="宋体"/>
          <w:color w:val="auto"/>
          <w:sz w:val="28"/>
          <w:szCs w:val="28"/>
          <w:highlight w:val="none"/>
          <w:lang w:val="zh-CN"/>
        </w:rPr>
        <w:t xml:space="preserve"> 8</w:t>
      </w:r>
      <w:r>
        <w:rPr>
          <w:rFonts w:hint="eastAsia" w:ascii="宋体" w:hAnsi="宋体" w:cs="宋体"/>
          <w:color w:val="auto"/>
          <w:sz w:val="28"/>
          <w:szCs w:val="28"/>
          <w:highlight w:val="none"/>
          <w:lang w:val="zh-CN"/>
        </w:rPr>
        <w:t>人</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配有消防车</w:t>
      </w:r>
      <w:r>
        <w:rPr>
          <w:rFonts w:ascii="宋体" w:hAnsi="宋体" w:cs="宋体"/>
          <w:color w:val="auto"/>
          <w:sz w:val="28"/>
          <w:szCs w:val="28"/>
          <w:highlight w:val="none"/>
          <w:lang w:val="zh-CN"/>
        </w:rPr>
        <w:t>3</w:t>
      </w:r>
      <w:r>
        <w:rPr>
          <w:rFonts w:hint="eastAsia" w:ascii="宋体" w:hAnsi="宋体" w:cs="宋体"/>
          <w:color w:val="auto"/>
          <w:sz w:val="28"/>
          <w:szCs w:val="28"/>
          <w:highlight w:val="none"/>
          <w:lang w:val="zh-CN"/>
        </w:rPr>
        <w:t>辆</w:t>
      </w:r>
      <w:r>
        <w:rPr>
          <w:rFonts w:ascii="宋体" w:cs="宋体"/>
          <w:color w:val="auto"/>
          <w:sz w:val="28"/>
          <w:szCs w:val="28"/>
          <w:highlight w:val="none"/>
          <w:lang w:val="zh-CN"/>
        </w:rPr>
        <w:t>,</w:t>
      </w:r>
      <w:r>
        <w:rPr>
          <w:rFonts w:hint="eastAsia" w:ascii="宋体" w:hAnsi="宋体" w:cs="宋体"/>
          <w:color w:val="auto"/>
          <w:sz w:val="28"/>
          <w:szCs w:val="28"/>
          <w:highlight w:val="none"/>
          <w:lang w:val="zh-CN"/>
        </w:rPr>
        <w:t>其中泡沫水罐车</w:t>
      </w:r>
      <w:r>
        <w:rPr>
          <w:rFonts w:ascii="宋体" w:hAnsi="宋体" w:cs="宋体"/>
          <w:color w:val="auto"/>
          <w:sz w:val="28"/>
          <w:szCs w:val="28"/>
          <w:highlight w:val="none"/>
          <w:lang w:val="zh-CN"/>
        </w:rPr>
        <w:t>2</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车载灭火剂水</w:t>
      </w:r>
      <w:r>
        <w:rPr>
          <w:rFonts w:ascii="宋体" w:hAnsi="宋体" w:cs="宋体"/>
          <w:color w:val="auto"/>
          <w:sz w:val="28"/>
          <w:szCs w:val="28"/>
          <w:highlight w:val="none"/>
          <w:lang w:val="zh-CN"/>
        </w:rPr>
        <w:t xml:space="preserve"> 12</w:t>
      </w:r>
      <w:r>
        <w:rPr>
          <w:rFonts w:hint="eastAsia" w:ascii="宋体" w:hAnsi="宋体" w:cs="宋体"/>
          <w:color w:val="auto"/>
          <w:sz w:val="28"/>
          <w:szCs w:val="28"/>
          <w:highlight w:val="none"/>
          <w:lang w:val="zh-CN"/>
        </w:rPr>
        <w:t>吨</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w:t>
      </w:r>
      <w:r>
        <w:rPr>
          <w:rFonts w:ascii="宋体" w:hAnsi="宋体" w:cs="宋体"/>
          <w:color w:val="auto"/>
          <w:sz w:val="28"/>
          <w:szCs w:val="28"/>
          <w:highlight w:val="none"/>
          <w:lang w:val="zh-CN"/>
        </w:rPr>
        <w:t>B</w:t>
      </w:r>
      <w:r>
        <w:rPr>
          <w:rFonts w:hint="eastAsia" w:ascii="宋体" w:hAnsi="宋体" w:cs="宋体"/>
          <w:color w:val="auto"/>
          <w:sz w:val="28"/>
          <w:szCs w:val="28"/>
          <w:highlight w:val="none"/>
          <w:lang w:val="zh-CN"/>
        </w:rPr>
        <w:t>类泡沫</w:t>
      </w:r>
      <w:r>
        <w:rPr>
          <w:rFonts w:ascii="宋体" w:hAnsi="宋体" w:cs="宋体"/>
          <w:color w:val="auto"/>
          <w:sz w:val="28"/>
          <w:szCs w:val="28"/>
          <w:highlight w:val="none"/>
          <w:lang w:val="zh-CN"/>
        </w:rPr>
        <w:t xml:space="preserve"> 2</w:t>
      </w:r>
      <w:r>
        <w:rPr>
          <w:rFonts w:hint="eastAsia" w:ascii="宋体" w:hAnsi="宋体" w:cs="宋体"/>
          <w:color w:val="auto"/>
          <w:sz w:val="28"/>
          <w:szCs w:val="28"/>
          <w:highlight w:val="none"/>
          <w:lang w:val="zh-CN"/>
        </w:rPr>
        <w:t>吨</w:t>
      </w:r>
      <w:r>
        <w:rPr>
          <w:rFonts w:ascii="宋体" w:hAnsi="宋体" w:cs="宋体"/>
          <w:color w:val="auto"/>
          <w:sz w:val="28"/>
          <w:szCs w:val="28"/>
          <w:highlight w:val="none"/>
          <w:lang w:val="zh-CN"/>
        </w:rPr>
        <w:t>),</w:t>
      </w:r>
      <w:r>
        <w:rPr>
          <w:rFonts w:hint="eastAsia" w:ascii="宋体" w:hAnsi="宋体" w:cs="宋体"/>
          <w:color w:val="auto"/>
          <w:sz w:val="28"/>
          <w:szCs w:val="28"/>
          <w:highlight w:val="none"/>
          <w:lang w:val="zh-CN"/>
        </w:rPr>
        <w:t>器材供给车</w:t>
      </w:r>
      <w:r>
        <w:rPr>
          <w:rFonts w:ascii="宋体" w:hAnsi="宋体" w:cs="宋体"/>
          <w:color w:val="auto"/>
          <w:sz w:val="28"/>
          <w:szCs w:val="28"/>
          <w:highlight w:val="none"/>
          <w:lang w:val="zh-CN"/>
        </w:rPr>
        <w:t>1</w:t>
      </w:r>
      <w:r>
        <w:rPr>
          <w:rFonts w:hint="eastAsia" w:ascii="宋体" w:hAnsi="宋体" w:cs="宋体"/>
          <w:color w:val="auto"/>
          <w:sz w:val="28"/>
          <w:szCs w:val="28"/>
          <w:highlight w:val="none"/>
          <w:lang w:val="zh-CN"/>
        </w:rPr>
        <w:t>辆</w:t>
      </w:r>
      <w:r>
        <w:rPr>
          <w:rFonts w:ascii="宋体" w:hAnsi="宋体" w:cs="宋体"/>
          <w:color w:val="auto"/>
          <w:sz w:val="28"/>
          <w:szCs w:val="28"/>
          <w:highlight w:val="none"/>
          <w:lang w:val="zh-CN"/>
        </w:rPr>
        <w:t xml:space="preserve"> </w:t>
      </w:r>
      <w:r>
        <w:rPr>
          <w:rFonts w:hint="eastAsia" w:ascii="宋体" w:hAnsi="宋体" w:cs="宋体"/>
          <w:color w:val="auto"/>
          <w:sz w:val="28"/>
          <w:szCs w:val="28"/>
          <w:highlight w:val="none"/>
          <w:lang w:val="zh-CN"/>
        </w:rPr>
        <w:t>。园区内其他化工企业均按要求设置微型消防站。</w:t>
      </w:r>
    </w:p>
    <w:p w14:paraId="09DC4F8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85" w:name="_Toc13115"/>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1.5</w:t>
      </w:r>
      <w:r>
        <w:rPr>
          <w:rFonts w:hint="eastAsia" w:ascii="宋体" w:hAnsi="宋体" w:cs="宋体"/>
          <w:color w:val="auto"/>
          <w:sz w:val="28"/>
          <w:szCs w:val="28"/>
          <w:highlight w:val="none"/>
        </w:rPr>
        <w:t>用地条件</w:t>
      </w:r>
      <w:bookmarkEnd w:id="385"/>
    </w:p>
    <w:p w14:paraId="7AD79B4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本项目所在地为江苏索普新材料科技有限公司内，不涉及拆迁补偿等相关问题。</w:t>
      </w:r>
    </w:p>
    <w:p w14:paraId="39C9FCC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bookmarkStart w:id="386" w:name="_Toc9985"/>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1.6</w:t>
      </w:r>
      <w:r>
        <w:rPr>
          <w:rFonts w:hint="eastAsia" w:ascii="宋体" w:hAnsi="宋体" w:cs="宋体"/>
          <w:color w:val="auto"/>
          <w:sz w:val="28"/>
          <w:szCs w:val="28"/>
          <w:highlight w:val="none"/>
        </w:rPr>
        <w:t>环境保护条件</w:t>
      </w:r>
      <w:bookmarkEnd w:id="386"/>
    </w:p>
    <w:p w14:paraId="58E18F1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w:t>
      </w:r>
      <w:r>
        <w:rPr>
          <w:rFonts w:ascii="宋体" w:hAnsi="宋体" w:cs="宋体"/>
          <w:color w:val="auto"/>
          <w:sz w:val="28"/>
          <w:szCs w:val="28"/>
          <w:highlight w:val="none"/>
        </w:rPr>
        <w:t>1</w:t>
      </w:r>
      <w:r>
        <w:rPr>
          <w:rFonts w:hint="eastAsia" w:ascii="宋体" w:hAnsi="宋体" w:cs="宋体"/>
          <w:color w:val="auto"/>
          <w:sz w:val="28"/>
          <w:szCs w:val="28"/>
          <w:highlight w:val="none"/>
        </w:rPr>
        <w:t>）环评制度</w:t>
      </w:r>
    </w:p>
    <w:p w14:paraId="3215E1D4">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江苏索普新材料科技有限公司建设项目环境影响评价制度实施较好。</w:t>
      </w:r>
    </w:p>
    <w:p w14:paraId="5AA8829C">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w:t>
      </w:r>
      <w:r>
        <w:rPr>
          <w:rFonts w:ascii="宋体" w:hAnsi="宋体" w:cs="宋体"/>
          <w:color w:val="auto"/>
          <w:sz w:val="28"/>
          <w:szCs w:val="28"/>
          <w:highlight w:val="none"/>
        </w:rPr>
        <w:t>2</w:t>
      </w:r>
      <w:r>
        <w:rPr>
          <w:rFonts w:hint="eastAsia" w:ascii="宋体" w:hAnsi="宋体" w:cs="宋体"/>
          <w:color w:val="auto"/>
          <w:sz w:val="28"/>
          <w:szCs w:val="28"/>
          <w:highlight w:val="none"/>
        </w:rPr>
        <w:t>）“三同时”验收情况</w:t>
      </w:r>
    </w:p>
    <w:p w14:paraId="78DFF198">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江苏索普新材料科技有限公司所有已投产项目均通过了环保竣工验收。</w:t>
      </w:r>
    </w:p>
    <w:p w14:paraId="3E9DE5F6">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outlineLvl w:val="1"/>
        <w:rPr>
          <w:rFonts w:ascii="宋体" w:cs="宋体"/>
          <w:color w:val="auto"/>
          <w:sz w:val="28"/>
          <w:szCs w:val="28"/>
          <w:highlight w:val="none"/>
        </w:rPr>
      </w:pPr>
      <w:bookmarkStart w:id="387" w:name="_Toc14561"/>
      <w:bookmarkStart w:id="388" w:name="_Toc7300"/>
      <w:bookmarkStart w:id="389" w:name="_Toc3248"/>
      <w:bookmarkStart w:id="390" w:name="_Toc315"/>
      <w:bookmarkStart w:id="391" w:name="_Toc6725"/>
      <w:r>
        <w:rPr>
          <w:rFonts w:hint="eastAsia" w:ascii="宋体" w:hAnsi="宋体" w:cs="宋体"/>
          <w:color w:val="auto"/>
          <w:sz w:val="28"/>
          <w:szCs w:val="28"/>
          <w:highlight w:val="none"/>
          <w:lang w:eastAsia="zh-CN"/>
        </w:rPr>
        <w:t>5.</w:t>
      </w:r>
      <w:r>
        <w:rPr>
          <w:rFonts w:ascii="宋体" w:hAnsi="宋体" w:cs="宋体"/>
          <w:color w:val="auto"/>
          <w:sz w:val="28"/>
          <w:szCs w:val="28"/>
          <w:highlight w:val="none"/>
        </w:rPr>
        <w:t>2</w:t>
      </w:r>
      <w:r>
        <w:rPr>
          <w:rFonts w:hint="eastAsia" w:ascii="宋体" w:hAnsi="宋体" w:cs="宋体"/>
          <w:color w:val="auto"/>
          <w:sz w:val="28"/>
          <w:szCs w:val="28"/>
          <w:highlight w:val="none"/>
        </w:rPr>
        <w:t>项目方案</w:t>
      </w:r>
      <w:bookmarkEnd w:id="368"/>
      <w:bookmarkEnd w:id="369"/>
      <w:bookmarkEnd w:id="370"/>
      <w:bookmarkEnd w:id="371"/>
      <w:bookmarkEnd w:id="387"/>
      <w:bookmarkEnd w:id="388"/>
      <w:bookmarkEnd w:id="389"/>
      <w:bookmarkEnd w:id="390"/>
      <w:bookmarkEnd w:id="391"/>
    </w:p>
    <w:p w14:paraId="4D1607D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本项目位于镇江市新区新材料产业园区内，该项目厂址的选择符合镇江市的规划，符合国家产业布局政策和宏观规划战略，同时符合国家环保、抗震等法律法规的要求。</w:t>
      </w:r>
    </w:p>
    <w:p w14:paraId="2C03260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本项目充分利用园区现有的丰富配套资源，有利于节省投资、降低成本、增强产品竞争力、提高经济效益。项目的建成，有利于园区内产业链条向上游延伸，提高园区产业整体附加值。因此厂址选择是正确的。</w:t>
      </w:r>
    </w:p>
    <w:p w14:paraId="3D4D2274">
      <w:pPr>
        <w:rPr>
          <w:color w:val="auto"/>
          <w:highlight w:val="none"/>
        </w:rPr>
      </w:pPr>
    </w:p>
    <w:p w14:paraId="19A571D2">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4E267197">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392" w:name="_Toc12184"/>
      <w:bookmarkStart w:id="393" w:name="_Toc12745"/>
      <w:bookmarkStart w:id="394" w:name="_Toc32631"/>
      <w:r>
        <w:rPr>
          <w:rFonts w:hint="eastAsia" w:ascii="宋体" w:hAnsi="宋体" w:eastAsia="宋体" w:cs="宋体"/>
          <w:b/>
          <w:bCs w:val="0"/>
          <w:color w:val="auto"/>
          <w:sz w:val="32"/>
          <w:szCs w:val="32"/>
          <w:highlight w:val="none"/>
          <w:lang w:val="zh-CN"/>
        </w:rPr>
        <w:t>第</w:t>
      </w:r>
      <w:r>
        <w:rPr>
          <w:rFonts w:hint="eastAsia" w:ascii="宋体" w:hAnsi="宋体" w:eastAsia="宋体" w:cs="宋体"/>
          <w:b/>
          <w:bCs w:val="0"/>
          <w:color w:val="auto"/>
          <w:sz w:val="32"/>
          <w:szCs w:val="32"/>
          <w:highlight w:val="none"/>
          <w:lang w:val="en-US" w:eastAsia="zh-CN"/>
        </w:rPr>
        <w:t>六</w:t>
      </w:r>
      <w:r>
        <w:rPr>
          <w:rFonts w:hint="eastAsia" w:ascii="宋体" w:hAnsi="宋体" w:eastAsia="宋体" w:cs="宋体"/>
          <w:b/>
          <w:bCs w:val="0"/>
          <w:color w:val="auto"/>
          <w:sz w:val="32"/>
          <w:szCs w:val="32"/>
          <w:highlight w:val="none"/>
          <w:lang w:val="zh-CN"/>
        </w:rPr>
        <w:t>章 总图运输、储运、土建</w:t>
      </w:r>
      <w:bookmarkEnd w:id="392"/>
      <w:bookmarkEnd w:id="393"/>
      <w:bookmarkEnd w:id="394"/>
    </w:p>
    <w:p w14:paraId="1E13BC07">
      <w:pPr>
        <w:pStyle w:val="21"/>
        <w:numPr>
          <w:ilvl w:val="0"/>
          <w:numId w:val="4"/>
        </w:numPr>
        <w:spacing w:line="560" w:lineRule="exact"/>
        <w:ind w:firstLine="31680"/>
        <w:jc w:val="left"/>
        <w:outlineLvl w:val="1"/>
        <w:rPr>
          <w:rFonts w:ascii="宋体" w:cs="宋体"/>
          <w:bCs/>
          <w:vanish/>
          <w:color w:val="auto"/>
          <w:sz w:val="28"/>
          <w:szCs w:val="28"/>
          <w:highlight w:val="none"/>
        </w:rPr>
      </w:pPr>
      <w:bookmarkStart w:id="395" w:name="_Toc472090898"/>
      <w:bookmarkEnd w:id="395"/>
      <w:bookmarkStart w:id="396" w:name="_Toc472090473"/>
      <w:bookmarkEnd w:id="396"/>
      <w:bookmarkStart w:id="397" w:name="_Toc485072652"/>
      <w:bookmarkEnd w:id="397"/>
      <w:bookmarkStart w:id="398" w:name="_Toc485139507"/>
      <w:bookmarkEnd w:id="398"/>
      <w:bookmarkStart w:id="399" w:name="_Toc485131159"/>
      <w:bookmarkEnd w:id="399"/>
      <w:bookmarkStart w:id="400" w:name="_Toc485071562"/>
      <w:bookmarkEnd w:id="400"/>
      <w:bookmarkStart w:id="401" w:name="_Toc485071764"/>
      <w:bookmarkEnd w:id="401"/>
      <w:bookmarkStart w:id="402" w:name="_Toc486495576"/>
      <w:bookmarkEnd w:id="402"/>
      <w:bookmarkStart w:id="403" w:name="_Toc485079129"/>
      <w:bookmarkEnd w:id="403"/>
      <w:bookmarkStart w:id="404" w:name="_Toc486495306"/>
      <w:bookmarkEnd w:id="404"/>
      <w:bookmarkStart w:id="405" w:name="_Toc467419387"/>
      <w:bookmarkEnd w:id="405"/>
      <w:bookmarkStart w:id="406" w:name="_Toc474941251"/>
      <w:bookmarkEnd w:id="406"/>
      <w:bookmarkStart w:id="407" w:name="_Toc492900245"/>
      <w:bookmarkEnd w:id="407"/>
      <w:bookmarkStart w:id="408" w:name="_Toc21781"/>
      <w:bookmarkEnd w:id="408"/>
      <w:bookmarkStart w:id="409" w:name="_Toc485130956"/>
      <w:bookmarkEnd w:id="409"/>
      <w:bookmarkStart w:id="410" w:name="_Toc485139305"/>
      <w:bookmarkEnd w:id="410"/>
      <w:bookmarkStart w:id="411" w:name="_Toc496512729"/>
      <w:bookmarkEnd w:id="411"/>
      <w:bookmarkStart w:id="412" w:name="_Toc470509323"/>
      <w:bookmarkEnd w:id="412"/>
      <w:bookmarkStart w:id="413" w:name="_Toc468190005"/>
      <w:bookmarkEnd w:id="413"/>
      <w:bookmarkStart w:id="414" w:name="_Toc485073056"/>
      <w:bookmarkEnd w:id="414"/>
      <w:bookmarkStart w:id="415" w:name="_Toc485072450"/>
      <w:bookmarkEnd w:id="415"/>
      <w:bookmarkStart w:id="416" w:name="_Toc467418860"/>
      <w:bookmarkEnd w:id="416"/>
      <w:bookmarkStart w:id="417" w:name="_Toc485072854"/>
      <w:bookmarkEnd w:id="417"/>
      <w:bookmarkStart w:id="418" w:name="_Toc493755146"/>
      <w:bookmarkEnd w:id="418"/>
      <w:bookmarkStart w:id="419" w:name="_Toc475520033"/>
      <w:bookmarkEnd w:id="419"/>
      <w:bookmarkStart w:id="420" w:name="_Toc605"/>
      <w:bookmarkEnd w:id="420"/>
      <w:bookmarkStart w:id="421" w:name="_Toc22813"/>
      <w:bookmarkEnd w:id="421"/>
      <w:bookmarkStart w:id="422" w:name="_Toc485148760"/>
      <w:bookmarkEnd w:id="422"/>
      <w:bookmarkStart w:id="423" w:name="_Toc467420232"/>
      <w:bookmarkEnd w:id="423"/>
      <w:bookmarkStart w:id="424" w:name="_Toc497731147"/>
      <w:bookmarkEnd w:id="424"/>
      <w:bookmarkStart w:id="425" w:name="_Toc9672"/>
      <w:bookmarkEnd w:id="425"/>
    </w:p>
    <w:p w14:paraId="2EC08D2B">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outlineLvl w:val="1"/>
        <w:rPr>
          <w:rFonts w:ascii="宋体" w:cs="宋体"/>
          <w:color w:val="auto"/>
          <w:sz w:val="28"/>
          <w:szCs w:val="28"/>
          <w:highlight w:val="none"/>
        </w:rPr>
      </w:pPr>
      <w:bookmarkStart w:id="426" w:name="_Toc19263_WPSOffice_Level2"/>
      <w:bookmarkStart w:id="427" w:name="_Toc2865"/>
      <w:bookmarkStart w:id="428" w:name="_Toc28900"/>
      <w:bookmarkStart w:id="429" w:name="_Toc1615_WPSOffice_Level2"/>
      <w:bookmarkStart w:id="430" w:name="_Toc5161_WPSOffice_Level2"/>
      <w:bookmarkStart w:id="431" w:name="_Toc8761"/>
      <w:bookmarkStart w:id="432" w:name="_Toc24408"/>
      <w:bookmarkStart w:id="433" w:name="_Toc10585"/>
      <w:bookmarkStart w:id="434" w:name="_Toc14407_WPSOffice_Level2"/>
      <w:bookmarkStart w:id="435" w:name="_Toc25181"/>
      <w:r>
        <w:rPr>
          <w:rFonts w:hint="eastAsia" w:ascii="宋体" w:hAnsi="宋体" w:cs="宋体"/>
          <w:color w:val="auto"/>
          <w:sz w:val="28"/>
          <w:szCs w:val="28"/>
          <w:highlight w:val="none"/>
          <w:lang w:eastAsia="zh-CN"/>
        </w:rPr>
        <w:t>6.</w:t>
      </w:r>
      <w:r>
        <w:rPr>
          <w:rFonts w:ascii="宋体" w:hAnsi="宋体" w:cs="宋体"/>
          <w:color w:val="auto"/>
          <w:sz w:val="28"/>
          <w:szCs w:val="28"/>
          <w:highlight w:val="none"/>
        </w:rPr>
        <w:t>1</w:t>
      </w:r>
      <w:r>
        <w:rPr>
          <w:rFonts w:hint="eastAsia" w:ascii="宋体" w:hAnsi="宋体" w:cs="宋体"/>
          <w:color w:val="auto"/>
          <w:sz w:val="28"/>
          <w:szCs w:val="28"/>
          <w:highlight w:val="none"/>
        </w:rPr>
        <w:t>总图运输</w:t>
      </w:r>
      <w:bookmarkEnd w:id="426"/>
      <w:bookmarkEnd w:id="427"/>
      <w:bookmarkEnd w:id="428"/>
      <w:bookmarkEnd w:id="429"/>
      <w:bookmarkEnd w:id="430"/>
      <w:bookmarkEnd w:id="431"/>
      <w:bookmarkEnd w:id="432"/>
      <w:bookmarkEnd w:id="433"/>
      <w:bookmarkEnd w:id="434"/>
      <w:bookmarkEnd w:id="435"/>
    </w:p>
    <w:p w14:paraId="1C20321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lang w:eastAsia="zh-CN"/>
        </w:rPr>
        <w:t>6.</w:t>
      </w:r>
      <w:r>
        <w:rPr>
          <w:rFonts w:ascii="宋体" w:hAnsi="宋体" w:cs="宋体"/>
          <w:color w:val="auto"/>
          <w:sz w:val="28"/>
          <w:szCs w:val="28"/>
          <w:highlight w:val="none"/>
        </w:rPr>
        <w:t>1.1</w:t>
      </w:r>
      <w:r>
        <w:rPr>
          <w:rFonts w:hint="eastAsia" w:ascii="宋体" w:hAnsi="宋体" w:cs="宋体"/>
          <w:color w:val="auto"/>
          <w:sz w:val="28"/>
          <w:szCs w:val="28"/>
          <w:highlight w:val="none"/>
        </w:rPr>
        <w:t>概述</w:t>
      </w:r>
    </w:p>
    <w:p w14:paraId="4B9D4971">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本项目位于江苏省镇江市新区新材料产业园内，该地区地理位置优越，园区已形成以精细化工产业为主导、以生产性服务业和电镀产业为补充的产业格局。整体来看，园区原有的化工产业已涉及石化下游衍生产业、化工新材料产业、精细与专用化学品产业、基础无机化学品产业方面。本项目地块位西临粮山路，东临新竹河，北接孩溪路，南侧为粮山支路。</w:t>
      </w:r>
    </w:p>
    <w:p w14:paraId="0596EC93">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项目场地西南高东北低，地形较为平坦，高程在</w:t>
      </w:r>
      <w:r>
        <w:rPr>
          <w:rFonts w:ascii="宋体" w:hAnsi="宋体" w:cs="宋体"/>
          <w:color w:val="auto"/>
          <w:sz w:val="28"/>
          <w:szCs w:val="28"/>
          <w:highlight w:val="none"/>
        </w:rPr>
        <w:t>10.22~17.5</w:t>
      </w:r>
      <w:r>
        <w:rPr>
          <w:rFonts w:hint="eastAsia" w:ascii="宋体" w:hAnsi="宋体" w:cs="宋体"/>
          <w:color w:val="auto"/>
          <w:sz w:val="28"/>
          <w:szCs w:val="28"/>
          <w:highlight w:val="none"/>
        </w:rPr>
        <w:t>米。厂址所在地年主导风向为东风、东北风、东南风，夏季主导风向为东南风、东风。本区地震烈度为</w:t>
      </w:r>
      <w:r>
        <w:rPr>
          <w:rFonts w:ascii="宋体" w:hAnsi="宋体" w:cs="宋体"/>
          <w:color w:val="auto"/>
          <w:sz w:val="28"/>
          <w:szCs w:val="28"/>
          <w:highlight w:val="none"/>
        </w:rPr>
        <w:t>7</w:t>
      </w:r>
      <w:r>
        <w:rPr>
          <w:rFonts w:hint="eastAsia" w:ascii="宋体" w:hAnsi="宋体" w:cs="宋体"/>
          <w:color w:val="auto"/>
          <w:sz w:val="28"/>
          <w:szCs w:val="28"/>
          <w:highlight w:val="none"/>
        </w:rPr>
        <w:t>级，设计基本地震加速度为</w:t>
      </w:r>
      <w:r>
        <w:rPr>
          <w:rFonts w:ascii="宋体" w:hAnsi="宋体" w:cs="宋体"/>
          <w:color w:val="auto"/>
          <w:sz w:val="28"/>
          <w:szCs w:val="28"/>
          <w:highlight w:val="none"/>
        </w:rPr>
        <w:t>0.15g</w:t>
      </w:r>
      <w:r>
        <w:rPr>
          <w:rFonts w:hint="eastAsia" w:ascii="宋体" w:hAnsi="宋体" w:cs="宋体"/>
          <w:color w:val="auto"/>
          <w:sz w:val="28"/>
          <w:szCs w:val="28"/>
          <w:highlight w:val="none"/>
        </w:rPr>
        <w:t>，设计地震分组为第一组。</w:t>
      </w:r>
    </w:p>
    <w:p w14:paraId="40E28CB1">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2"/>
        <w:rPr>
          <w:rFonts w:ascii="宋体" w:cs="宋体"/>
          <w:bCs/>
          <w:color w:val="auto"/>
          <w:sz w:val="28"/>
          <w:szCs w:val="28"/>
          <w:highlight w:val="none"/>
        </w:rPr>
      </w:pPr>
      <w:bookmarkStart w:id="436" w:name="_Toc11774"/>
      <w:r>
        <w:rPr>
          <w:rFonts w:hint="eastAsia" w:ascii="宋体" w:hAnsi="宋体" w:cs="宋体"/>
          <w:bCs/>
          <w:color w:val="auto"/>
          <w:sz w:val="28"/>
          <w:szCs w:val="28"/>
          <w:highlight w:val="none"/>
          <w:lang w:eastAsia="zh-CN"/>
        </w:rPr>
        <w:t>6.</w:t>
      </w:r>
      <w:r>
        <w:rPr>
          <w:rFonts w:ascii="宋体" w:hAnsi="宋体" w:cs="宋体"/>
          <w:bCs/>
          <w:color w:val="auto"/>
          <w:sz w:val="28"/>
          <w:szCs w:val="28"/>
          <w:highlight w:val="none"/>
        </w:rPr>
        <w:t>1.2</w:t>
      </w:r>
      <w:r>
        <w:rPr>
          <w:rFonts w:hint="eastAsia" w:ascii="宋体" w:hAnsi="宋体" w:cs="宋体"/>
          <w:bCs/>
          <w:color w:val="auto"/>
          <w:sz w:val="28"/>
          <w:szCs w:val="28"/>
          <w:highlight w:val="none"/>
        </w:rPr>
        <w:t>总平图布置原则</w:t>
      </w:r>
      <w:bookmarkEnd w:id="436"/>
    </w:p>
    <w:p w14:paraId="084CA695">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3"/>
        <w:rPr>
          <w:rStyle w:val="26"/>
          <w:rFonts w:ascii="宋体" w:hAnsi="Calibri" w:eastAsia="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1</w:t>
      </w:r>
      <w:r>
        <w:rPr>
          <w:rFonts w:hint="eastAsia" w:ascii="宋体" w:hAnsi="宋体" w:cs="宋体"/>
          <w:bCs/>
          <w:color w:val="auto"/>
          <w:sz w:val="28"/>
          <w:szCs w:val="28"/>
          <w:highlight w:val="none"/>
        </w:rPr>
        <w:t>）设计依据</w:t>
      </w:r>
    </w:p>
    <w:p w14:paraId="77F4C2A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《工业企业总平面设计规范》</w:t>
      </w:r>
      <w:r>
        <w:rPr>
          <w:rFonts w:ascii="宋体" w:hAnsi="宋体" w:cs="宋体"/>
          <w:bCs/>
          <w:color w:val="auto"/>
          <w:sz w:val="28"/>
          <w:szCs w:val="28"/>
          <w:highlight w:val="none"/>
        </w:rPr>
        <w:t>GB50187-2012</w:t>
      </w:r>
    </w:p>
    <w:p w14:paraId="3DD892E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《石油化工防火设计规范》（</w:t>
      </w:r>
      <w:r>
        <w:rPr>
          <w:rFonts w:ascii="宋体" w:hAnsi="宋体" w:cs="宋体"/>
          <w:bCs/>
          <w:color w:val="auto"/>
          <w:sz w:val="28"/>
          <w:szCs w:val="28"/>
          <w:highlight w:val="none"/>
        </w:rPr>
        <w:t>2018</w:t>
      </w:r>
      <w:r>
        <w:rPr>
          <w:rFonts w:hint="eastAsia" w:ascii="宋体" w:hAnsi="宋体" w:cs="宋体"/>
          <w:bCs/>
          <w:color w:val="auto"/>
          <w:sz w:val="28"/>
          <w:szCs w:val="28"/>
          <w:highlight w:val="none"/>
        </w:rPr>
        <w:t>年版）</w:t>
      </w:r>
      <w:r>
        <w:rPr>
          <w:rFonts w:ascii="宋体" w:hAnsi="宋体" w:cs="宋体"/>
          <w:bCs/>
          <w:color w:val="auto"/>
          <w:sz w:val="28"/>
          <w:szCs w:val="28"/>
          <w:highlight w:val="none"/>
        </w:rPr>
        <w:t>GB50160-2008</w:t>
      </w:r>
    </w:p>
    <w:p w14:paraId="01A0469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《建筑设计防火规范》（</w:t>
      </w:r>
      <w:r>
        <w:rPr>
          <w:rFonts w:ascii="宋体" w:hAnsi="宋体" w:cs="宋体"/>
          <w:bCs/>
          <w:color w:val="auto"/>
          <w:sz w:val="28"/>
          <w:szCs w:val="28"/>
          <w:highlight w:val="none"/>
        </w:rPr>
        <w:t>2018</w:t>
      </w:r>
      <w:r>
        <w:rPr>
          <w:rFonts w:hint="eastAsia" w:ascii="宋体" w:hAnsi="宋体" w:cs="宋体"/>
          <w:bCs/>
          <w:color w:val="auto"/>
          <w:sz w:val="28"/>
          <w:szCs w:val="28"/>
          <w:highlight w:val="none"/>
        </w:rPr>
        <w:t>年版）</w:t>
      </w:r>
      <w:r>
        <w:rPr>
          <w:rFonts w:ascii="宋体" w:hAnsi="宋体" w:cs="宋体"/>
          <w:bCs/>
          <w:color w:val="auto"/>
          <w:sz w:val="28"/>
          <w:szCs w:val="28"/>
          <w:highlight w:val="none"/>
        </w:rPr>
        <w:t xml:space="preserve">GB50016-2014 </w:t>
      </w:r>
    </w:p>
    <w:p w14:paraId="4AAB607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《室外排水设计规范》（</w:t>
      </w:r>
      <w:r>
        <w:rPr>
          <w:rFonts w:ascii="宋体" w:hAnsi="宋体" w:cs="宋体"/>
          <w:bCs/>
          <w:color w:val="auto"/>
          <w:sz w:val="28"/>
          <w:szCs w:val="28"/>
          <w:highlight w:val="none"/>
        </w:rPr>
        <w:t>2016</w:t>
      </w:r>
      <w:r>
        <w:rPr>
          <w:rFonts w:hint="eastAsia" w:ascii="宋体" w:hAnsi="宋体" w:cs="宋体"/>
          <w:bCs/>
          <w:color w:val="auto"/>
          <w:sz w:val="28"/>
          <w:szCs w:val="28"/>
          <w:highlight w:val="none"/>
        </w:rPr>
        <w:t>年版）</w:t>
      </w:r>
      <w:r>
        <w:rPr>
          <w:rFonts w:ascii="宋体" w:hAnsi="宋体" w:cs="宋体"/>
          <w:bCs/>
          <w:color w:val="auto"/>
          <w:sz w:val="28"/>
          <w:szCs w:val="28"/>
          <w:highlight w:val="none"/>
        </w:rPr>
        <w:t>GB50014-2021</w:t>
      </w:r>
    </w:p>
    <w:p w14:paraId="25DD8B5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《建筑给水排水设计规范》</w:t>
      </w:r>
      <w:r>
        <w:rPr>
          <w:rFonts w:ascii="宋体" w:hAnsi="宋体" w:cs="宋体"/>
          <w:bCs/>
          <w:color w:val="auto"/>
          <w:sz w:val="28"/>
          <w:szCs w:val="28"/>
          <w:highlight w:val="none"/>
        </w:rPr>
        <w:t>GB50015-2019</w:t>
      </w:r>
    </w:p>
    <w:p w14:paraId="16A01DE8">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3"/>
        <w:rPr>
          <w:rStyle w:val="26"/>
          <w:rFonts w:ascii="宋体" w:hAnsi="Calibri" w:eastAsia="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）布置原则</w:t>
      </w:r>
    </w:p>
    <w:p w14:paraId="47CCE777">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本工程的生产装置和辅助设施的总平面布置满足规划要求，符合本工程的特点及场地现状，满足生产需要。</w:t>
      </w:r>
    </w:p>
    <w:p w14:paraId="15F559AE">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符合国家及相关部门的现行防火、安全、卫生等规范要求，保障生产安全。</w:t>
      </w:r>
      <w:r>
        <w:rPr>
          <w:rFonts w:ascii="宋体" w:hAnsi="宋体" w:cs="宋体"/>
          <w:color w:val="auto"/>
          <w:sz w:val="28"/>
          <w:szCs w:val="28"/>
          <w:highlight w:val="none"/>
        </w:rPr>
        <w:t xml:space="preserve"> </w:t>
      </w:r>
    </w:p>
    <w:p w14:paraId="2639EDC5">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在符合生产工艺流程、操作要求和使用功能的前提下，建、构筑物尽量合并、工艺装置设备露天化、集中联合布置，以达到尽可能缩短工程管线、节能降耗、降低成本及工程造价、节约用地的目的。</w:t>
      </w:r>
    </w:p>
    <w:p w14:paraId="5DD6E19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根据生产装置的性质，合理分区布置、便于生产管理；辅助生产设施在符合其特性要求条件下，靠近负荷中心，尽量依托全厂公用工程。</w:t>
      </w:r>
    </w:p>
    <w:p w14:paraId="5B138F04">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进行合理运输组织，缩短运输距离，避免人流与物流的交叉，确保人员安全疏散。</w:t>
      </w:r>
    </w:p>
    <w:p w14:paraId="12B2BE0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总图布置要满足风向及建筑朝向的要求，最大限度地优化生产环境，创造安全、环保、整洁的现代化工厂。</w:t>
      </w:r>
    </w:p>
    <w:p w14:paraId="6FF5762F">
      <w:pPr>
        <w:pStyle w:val="24"/>
        <w:keepNext w:val="0"/>
        <w:keepLines w:val="0"/>
        <w:pageBreakBefore w:val="0"/>
        <w:widowControl w:val="0"/>
        <w:kinsoku/>
        <w:wordWrap/>
        <w:overflowPunct/>
        <w:topLinePunct w:val="0"/>
        <w:autoSpaceDE/>
        <w:autoSpaceDN/>
        <w:bidi w:val="0"/>
        <w:adjustRightInd/>
        <w:snapToGrid/>
        <w:spacing w:line="560" w:lineRule="exact"/>
        <w:ind w:firstLine="31680"/>
        <w:textAlignment w:val="auto"/>
        <w:rPr>
          <w:rFonts w:ascii="宋体" w:cs="宋体"/>
          <w:color w:val="auto"/>
          <w:sz w:val="28"/>
          <w:szCs w:val="28"/>
          <w:highlight w:val="none"/>
        </w:rPr>
      </w:pPr>
      <w:r>
        <w:rPr>
          <w:rFonts w:hint="eastAsia" w:ascii="宋体" w:hAnsi="宋体" w:cs="宋体"/>
          <w:color w:val="auto"/>
          <w:sz w:val="28"/>
          <w:szCs w:val="28"/>
          <w:highlight w:val="none"/>
        </w:rPr>
        <w:t>总平面布置应力求达到先进、高效、环保、安全等技术功能和水平。</w:t>
      </w:r>
    </w:p>
    <w:p w14:paraId="60B84791">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3"/>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3</w:t>
      </w:r>
      <w:r>
        <w:rPr>
          <w:rFonts w:hint="eastAsia" w:ascii="宋体" w:hAnsi="宋体" w:cs="宋体"/>
          <w:bCs/>
          <w:color w:val="auto"/>
          <w:sz w:val="28"/>
          <w:szCs w:val="28"/>
          <w:highlight w:val="none"/>
        </w:rPr>
        <w:t>）装置组成</w:t>
      </w:r>
    </w:p>
    <w:p w14:paraId="4442B65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zh-CN"/>
        </w:rPr>
      </w:pPr>
      <w:r>
        <w:rPr>
          <w:rFonts w:hint="eastAsia" w:ascii="宋体" w:hAnsi="宋体" w:eastAsia="宋体" w:cs="宋体"/>
          <w:bCs/>
          <w:color w:val="auto"/>
          <w:kern w:val="0"/>
          <w:sz w:val="28"/>
          <w:szCs w:val="28"/>
          <w:highlight w:val="none"/>
        </w:rPr>
        <w:t>本项目为</w:t>
      </w:r>
      <w:r>
        <w:rPr>
          <w:rFonts w:hint="eastAsia" w:ascii="宋体" w:hAnsi="宋体" w:eastAsia="宋体" w:cs="宋体"/>
          <w:bCs/>
          <w:color w:val="auto"/>
          <w:kern w:val="0"/>
          <w:sz w:val="28"/>
          <w:szCs w:val="28"/>
          <w:highlight w:val="none"/>
          <w:lang w:eastAsia="zh-CN"/>
        </w:rPr>
        <w:t>江苏索普新材料科技</w:t>
      </w:r>
      <w:r>
        <w:rPr>
          <w:rFonts w:hint="eastAsia" w:ascii="宋体" w:hAnsi="宋体" w:eastAsia="宋体" w:cs="宋体"/>
          <w:bCs/>
          <w:color w:val="auto"/>
          <w:kern w:val="0"/>
          <w:sz w:val="28"/>
          <w:szCs w:val="28"/>
          <w:highlight w:val="none"/>
        </w:rPr>
        <w:t>有限公司新增储罐项目。</w:t>
      </w:r>
      <w:r>
        <w:rPr>
          <w:rFonts w:hint="eastAsia" w:ascii="宋体" w:hAnsi="宋体" w:eastAsia="宋体" w:cs="宋体"/>
          <w:bCs/>
          <w:color w:val="auto"/>
          <w:kern w:val="0"/>
          <w:sz w:val="28"/>
          <w:szCs w:val="28"/>
          <w:highlight w:val="none"/>
          <w:lang w:val="zh-CN"/>
        </w:rPr>
        <w:t>本项目</w:t>
      </w:r>
      <w:r>
        <w:rPr>
          <w:rFonts w:hint="eastAsia" w:ascii="宋体" w:hAnsi="宋体" w:eastAsia="宋体" w:cs="宋体"/>
          <w:bCs/>
          <w:color w:val="auto"/>
          <w:kern w:val="0"/>
          <w:sz w:val="28"/>
          <w:szCs w:val="28"/>
          <w:highlight w:val="none"/>
          <w:lang w:val="en-US" w:eastAsia="zh-CN"/>
        </w:rPr>
        <w:t>装置组成</w:t>
      </w:r>
      <w:r>
        <w:rPr>
          <w:rFonts w:hint="eastAsia" w:ascii="宋体" w:hAnsi="宋体" w:eastAsia="宋体" w:cs="宋体"/>
          <w:bCs/>
          <w:color w:val="auto"/>
          <w:kern w:val="0"/>
          <w:sz w:val="28"/>
          <w:szCs w:val="28"/>
          <w:highlight w:val="none"/>
          <w:lang w:val="zh-CN"/>
        </w:rPr>
        <w:t>包括:</w:t>
      </w:r>
    </w:p>
    <w:p w14:paraId="547EB9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r>
        <w:rPr>
          <w:rFonts w:hint="eastAsia" w:ascii="宋体" w:hAnsi="宋体" w:eastAsia="宋体" w:cs="宋体"/>
          <w:bCs/>
          <w:color w:val="auto"/>
          <w:kern w:val="0"/>
          <w:sz w:val="28"/>
          <w:szCs w:val="28"/>
          <w:highlight w:val="none"/>
          <w:lang w:val="en-US" w:eastAsia="zh-CN" w:bidi="ar-SA"/>
        </w:rPr>
        <w:t>1）</w:t>
      </w:r>
      <w:r>
        <w:rPr>
          <w:rFonts w:hint="eastAsia" w:ascii="宋体" w:hAnsi="宋体" w:cs="宋体"/>
          <w:bCs/>
          <w:color w:val="auto"/>
          <w:kern w:val="0"/>
          <w:sz w:val="28"/>
          <w:szCs w:val="28"/>
          <w:highlight w:val="none"/>
          <w:lang w:val="en-US" w:eastAsia="zh-CN"/>
        </w:rPr>
        <w:t>氯</w:t>
      </w:r>
      <w:r>
        <w:rPr>
          <w:rFonts w:hint="eastAsia" w:ascii="宋体" w:hAnsi="宋体" w:eastAsia="宋体" w:cs="宋体"/>
          <w:bCs/>
          <w:color w:val="auto"/>
          <w:kern w:val="0"/>
          <w:sz w:val="28"/>
          <w:szCs w:val="28"/>
          <w:highlight w:val="none"/>
        </w:rPr>
        <w:t>化</w:t>
      </w:r>
      <w:r>
        <w:rPr>
          <w:rFonts w:hint="eastAsia" w:ascii="宋体" w:hAnsi="宋体" w:cs="宋体"/>
          <w:bCs/>
          <w:color w:val="auto"/>
          <w:kern w:val="0"/>
          <w:sz w:val="28"/>
          <w:szCs w:val="28"/>
          <w:highlight w:val="none"/>
          <w:lang w:val="en-US" w:eastAsia="zh-CN"/>
        </w:rPr>
        <w:t>苯装置，新增：</w:t>
      </w:r>
      <w:r>
        <w:rPr>
          <w:rFonts w:hint="eastAsia" w:ascii="宋体" w:hAnsi="宋体" w:eastAsia="宋体" w:cs="宋体"/>
          <w:bCs/>
          <w:color w:val="auto"/>
          <w:kern w:val="0"/>
          <w:sz w:val="28"/>
          <w:szCs w:val="28"/>
          <w:highlight w:val="none"/>
          <w:lang w:val="en-US" w:eastAsia="zh-CN"/>
        </w:rPr>
        <w:t>600m³盐酸储罐（</w:t>
      </w:r>
      <w:r>
        <w:rPr>
          <w:rFonts w:hint="eastAsia" w:ascii="宋体" w:hAnsi="宋体" w:eastAsia="宋体" w:cs="宋体"/>
          <w:bCs/>
          <w:color w:val="auto"/>
          <w:kern w:val="0"/>
          <w:sz w:val="28"/>
          <w:szCs w:val="28"/>
          <w:highlight w:val="none"/>
        </w:rPr>
        <w:t>内衬环氧树脂玻璃钢</w:t>
      </w:r>
      <w:r>
        <w:rPr>
          <w:rFonts w:hint="eastAsia" w:ascii="宋体" w:hAnsi="宋体" w:eastAsia="宋体" w:cs="宋体"/>
          <w:bCs/>
          <w:color w:val="auto"/>
          <w:kern w:val="0"/>
          <w:sz w:val="28"/>
          <w:szCs w:val="28"/>
          <w:highlight w:val="none"/>
          <w:lang w:val="en-US" w:eastAsia="zh-CN"/>
        </w:rPr>
        <w:t>）1台、1500m³盐酸储罐（</w:t>
      </w:r>
      <w:r>
        <w:rPr>
          <w:rFonts w:hint="eastAsia" w:ascii="宋体" w:hAnsi="宋体" w:eastAsia="宋体" w:cs="宋体"/>
          <w:bCs/>
          <w:color w:val="auto"/>
          <w:kern w:val="0"/>
          <w:sz w:val="28"/>
          <w:szCs w:val="28"/>
          <w:highlight w:val="none"/>
        </w:rPr>
        <w:t>内衬环氧树脂玻璃钢</w:t>
      </w:r>
      <w:r>
        <w:rPr>
          <w:rFonts w:hint="eastAsia" w:ascii="宋体" w:hAnsi="宋体" w:eastAsia="宋体" w:cs="宋体"/>
          <w:bCs/>
          <w:color w:val="auto"/>
          <w:kern w:val="0"/>
          <w:sz w:val="28"/>
          <w:szCs w:val="28"/>
          <w:highlight w:val="none"/>
          <w:lang w:val="en-US" w:eastAsia="zh-CN"/>
        </w:rPr>
        <w:t>）1台及相关配套设施。</w:t>
      </w:r>
    </w:p>
    <w:p w14:paraId="06F194C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宋体" w:hAnsi="宋体" w:eastAsia="宋体" w:cs="宋体"/>
          <w:bCs/>
          <w:color w:val="auto"/>
          <w:kern w:val="0"/>
          <w:sz w:val="28"/>
          <w:szCs w:val="28"/>
          <w:highlight w:val="none"/>
          <w:lang w:val="en-US" w:eastAsia="zh-CN"/>
        </w:rPr>
      </w:pPr>
      <w:r>
        <w:rPr>
          <w:rFonts w:hint="default" w:ascii="宋体" w:hAnsi="宋体" w:eastAsia="宋体" w:cs="宋体"/>
          <w:bCs/>
          <w:color w:val="auto"/>
          <w:kern w:val="0"/>
          <w:sz w:val="28"/>
          <w:szCs w:val="28"/>
          <w:highlight w:val="none"/>
          <w:lang w:val="en-US" w:eastAsia="zh-CN" w:bidi="ar-SA"/>
        </w:rPr>
        <w:t>2）</w:t>
      </w:r>
      <w:r>
        <w:rPr>
          <w:rFonts w:hint="eastAsia" w:ascii="宋体" w:hAnsi="宋体" w:eastAsia="宋体" w:cs="宋体"/>
          <w:bCs/>
          <w:color w:val="auto"/>
          <w:kern w:val="0"/>
          <w:sz w:val="28"/>
          <w:szCs w:val="28"/>
          <w:highlight w:val="none"/>
          <w:lang w:eastAsia="zh-CN"/>
        </w:rPr>
        <w:t>氯</w:t>
      </w:r>
      <w:r>
        <w:rPr>
          <w:rFonts w:hint="eastAsia" w:ascii="宋体" w:hAnsi="宋体" w:eastAsia="宋体" w:cs="宋体"/>
          <w:bCs/>
          <w:color w:val="auto"/>
          <w:kern w:val="0"/>
          <w:sz w:val="28"/>
          <w:szCs w:val="28"/>
          <w:highlight w:val="none"/>
          <w:lang w:val="en-US" w:eastAsia="zh-CN"/>
        </w:rPr>
        <w:t>乙酸</w:t>
      </w:r>
      <w:r>
        <w:rPr>
          <w:rFonts w:hint="eastAsia" w:ascii="宋体" w:hAnsi="宋体" w:eastAsia="宋体" w:cs="宋体"/>
          <w:bCs/>
          <w:color w:val="auto"/>
          <w:kern w:val="0"/>
          <w:sz w:val="28"/>
          <w:szCs w:val="28"/>
          <w:highlight w:val="none"/>
          <w:lang w:eastAsia="zh-CN"/>
        </w:rPr>
        <w:t>装置</w:t>
      </w:r>
      <w:r>
        <w:rPr>
          <w:rFonts w:hint="eastAsia" w:ascii="宋体" w:hAnsi="宋体" w:cs="宋体"/>
          <w:bCs/>
          <w:color w:val="auto"/>
          <w:kern w:val="0"/>
          <w:sz w:val="28"/>
          <w:szCs w:val="28"/>
          <w:highlight w:val="none"/>
          <w:lang w:val="en-US" w:eastAsia="zh-CN"/>
        </w:rPr>
        <w:t>，新增：35m³醋酐储罐（316L不锈钢）</w:t>
      </w:r>
      <w:r>
        <w:rPr>
          <w:rFonts w:hint="eastAsia" w:ascii="宋体" w:hAnsi="宋体" w:eastAsia="宋体" w:cs="宋体"/>
          <w:bCs/>
          <w:color w:val="auto"/>
          <w:kern w:val="0"/>
          <w:sz w:val="28"/>
          <w:szCs w:val="28"/>
          <w:highlight w:val="none"/>
          <w:lang w:val="en-US" w:eastAsia="zh-CN"/>
        </w:rPr>
        <w:t>及相关配套设施。</w:t>
      </w:r>
    </w:p>
    <w:p w14:paraId="76B631D4">
      <w:pPr>
        <w:pStyle w:val="21"/>
        <w:spacing w:line="560" w:lineRule="exact"/>
        <w:ind w:firstLine="31680"/>
        <w:jc w:val="left"/>
        <w:outlineLvl w:val="3"/>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4</w:t>
      </w:r>
      <w:r>
        <w:rPr>
          <w:rFonts w:hint="eastAsia" w:ascii="宋体" w:hAnsi="宋体" w:cs="宋体"/>
          <w:bCs/>
          <w:color w:val="auto"/>
          <w:sz w:val="28"/>
          <w:szCs w:val="28"/>
          <w:highlight w:val="none"/>
        </w:rPr>
        <w:t>）平面位置</w:t>
      </w:r>
    </w:p>
    <w:p w14:paraId="6563A8D3">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生产装置按照流程顺序合理布置，并与控制室保持一定距离，既满足工艺生产需要，又保障了工作人员良好的工作环境。</w:t>
      </w:r>
    </w:p>
    <w:p w14:paraId="18FB4FB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cs="宋体"/>
          <w:bCs/>
          <w:color w:val="auto"/>
          <w:sz w:val="28"/>
          <w:szCs w:val="28"/>
          <w:highlight w:val="none"/>
          <w:lang w:val="en-US" w:eastAsia="zh-CN"/>
        </w:rPr>
      </w:pPr>
      <w:r>
        <w:rPr>
          <w:rFonts w:hint="eastAsia" w:ascii="宋体" w:hAnsi="宋体" w:cs="宋体"/>
          <w:bCs/>
          <w:color w:val="auto"/>
          <w:sz w:val="28"/>
          <w:szCs w:val="28"/>
          <w:highlight w:val="none"/>
        </w:rPr>
        <w:t>本项目</w:t>
      </w:r>
      <w:r>
        <w:rPr>
          <w:rFonts w:hint="eastAsia" w:ascii="宋体" w:hAnsi="宋体" w:cs="宋体"/>
          <w:bCs/>
          <w:color w:val="auto"/>
          <w:sz w:val="28"/>
          <w:szCs w:val="28"/>
          <w:highlight w:val="none"/>
          <w:lang w:val="en-US" w:eastAsia="zh-CN"/>
        </w:rPr>
        <w:t>盐酸储罐位于氯化苯主装置东侧盐酸储罐的预留空地上；醋酐储罐位于现有醋酐B罐的南面空地。</w:t>
      </w:r>
    </w:p>
    <w:p w14:paraId="7AE4910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本项目平面布置设计依据《建筑设计防火规范(2018年版)》（GB50016-2014）、《石油化工企业设计防火标准(2018年版)》（GB 50160-2008）。</w:t>
      </w:r>
    </w:p>
    <w:p w14:paraId="3D2E46C4">
      <w:pPr>
        <w:pStyle w:val="21"/>
        <w:keepNext w:val="0"/>
        <w:keepLines w:val="0"/>
        <w:pageBreakBefore w:val="0"/>
        <w:widowControl w:val="0"/>
        <w:kinsoku/>
        <w:wordWrap/>
        <w:overflowPunct/>
        <w:topLinePunct w:val="0"/>
        <w:autoSpaceDE/>
        <w:autoSpaceDN/>
        <w:bidi w:val="0"/>
        <w:adjustRightInd/>
        <w:spacing w:line="560" w:lineRule="exact"/>
        <w:ind w:firstLine="31680"/>
        <w:jc w:val="left"/>
        <w:textAlignment w:val="auto"/>
        <w:outlineLvl w:val="2"/>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5</w:t>
      </w:r>
      <w:r>
        <w:rPr>
          <w:rFonts w:hint="eastAsia" w:ascii="宋体" w:hAnsi="宋体" w:cs="宋体"/>
          <w:bCs/>
          <w:color w:val="auto"/>
          <w:sz w:val="28"/>
          <w:szCs w:val="28"/>
          <w:highlight w:val="none"/>
        </w:rPr>
        <w:t>）</w:t>
      </w:r>
      <w:bookmarkStart w:id="437" w:name="_Toc1624"/>
      <w:r>
        <w:rPr>
          <w:rFonts w:hint="eastAsia" w:ascii="宋体" w:hAnsi="宋体" w:cs="宋体"/>
          <w:bCs/>
          <w:color w:val="auto"/>
          <w:sz w:val="28"/>
          <w:szCs w:val="28"/>
          <w:highlight w:val="none"/>
        </w:rPr>
        <w:t>消防、安全</w:t>
      </w:r>
      <w:bookmarkEnd w:id="437"/>
    </w:p>
    <w:p w14:paraId="745CA8E9">
      <w:pPr>
        <w:keepNext w:val="0"/>
        <w:keepLines w:val="0"/>
        <w:pageBreakBefore w:val="0"/>
        <w:widowControl w:val="0"/>
        <w:kinsoku/>
        <w:wordWrap/>
        <w:overflowPunct/>
        <w:topLinePunct w:val="0"/>
        <w:autoSpaceDE/>
        <w:autoSpaceDN/>
        <w:bidi w:val="0"/>
        <w:adjustRightInd/>
        <w:spacing w:line="560" w:lineRule="exact"/>
        <w:ind w:firstLine="560" w:firstLineChars="200"/>
        <w:jc w:val="left"/>
        <w:textAlignment w:val="auto"/>
        <w:rPr>
          <w:rFonts w:ascii="宋体" w:cs="宋体"/>
          <w:bCs/>
          <w:color w:val="auto"/>
          <w:sz w:val="28"/>
          <w:szCs w:val="28"/>
          <w:highlight w:val="none"/>
        </w:rPr>
      </w:pPr>
      <w:bookmarkStart w:id="438" w:name="_Toc14203"/>
      <w:r>
        <w:rPr>
          <w:rFonts w:hint="eastAsia" w:ascii="宋体" w:hAnsi="宋体" w:cs="宋体"/>
          <w:bCs/>
          <w:color w:val="auto"/>
          <w:sz w:val="28"/>
          <w:szCs w:val="28"/>
          <w:highlight w:val="none"/>
        </w:rPr>
        <w:t>本项目生产装置符合有关的设计规定、规范</w:t>
      </w:r>
      <w:r>
        <w:rPr>
          <w:rFonts w:ascii="宋体" w:hAnsi="宋体" w:cs="宋体"/>
          <w:bCs/>
          <w:color w:val="auto"/>
          <w:sz w:val="28"/>
          <w:szCs w:val="28"/>
          <w:highlight w:val="none"/>
        </w:rPr>
        <w:t xml:space="preserve">, </w:t>
      </w:r>
      <w:r>
        <w:rPr>
          <w:rFonts w:hint="eastAsia" w:ascii="宋体" w:hAnsi="宋体" w:cs="宋体"/>
          <w:bCs/>
          <w:color w:val="auto"/>
          <w:sz w:val="28"/>
          <w:szCs w:val="28"/>
          <w:highlight w:val="none"/>
        </w:rPr>
        <w:t>厂房的布置满足安全间距要求。本项目安全出口通道应按规范要求设计，以利于防火、防爆。各生产界区要布置环形道路，以便消防车通行。</w:t>
      </w:r>
    </w:p>
    <w:p w14:paraId="6CC153C5">
      <w:pPr>
        <w:pStyle w:val="21"/>
        <w:keepNext w:val="0"/>
        <w:keepLines w:val="0"/>
        <w:pageBreakBefore w:val="0"/>
        <w:widowControl w:val="0"/>
        <w:kinsoku/>
        <w:wordWrap/>
        <w:overflowPunct/>
        <w:topLinePunct w:val="0"/>
        <w:autoSpaceDE/>
        <w:autoSpaceDN/>
        <w:bidi w:val="0"/>
        <w:adjustRightInd/>
        <w:spacing w:line="560" w:lineRule="exact"/>
        <w:ind w:firstLine="31680"/>
        <w:jc w:val="left"/>
        <w:textAlignment w:val="auto"/>
        <w:outlineLvl w:val="1"/>
        <w:rPr>
          <w:rFonts w:ascii="宋体" w:cs="宋体"/>
          <w:bCs/>
          <w:color w:val="auto"/>
          <w:sz w:val="28"/>
          <w:szCs w:val="28"/>
          <w:highlight w:val="none"/>
        </w:rPr>
      </w:pPr>
      <w:r>
        <w:rPr>
          <w:rFonts w:ascii="宋体" w:hAnsi="宋体" w:cs="宋体"/>
          <w:bCs/>
          <w:color w:val="auto"/>
          <w:sz w:val="28"/>
          <w:szCs w:val="28"/>
          <w:highlight w:val="none"/>
        </w:rPr>
        <w:t xml:space="preserve"> </w:t>
      </w:r>
      <w:bookmarkStart w:id="439" w:name="_Toc1027"/>
      <w:bookmarkStart w:id="440" w:name="_Toc28670"/>
      <w:bookmarkStart w:id="441" w:name="_Toc31965"/>
      <w:r>
        <w:rPr>
          <w:rFonts w:hint="eastAsia" w:ascii="宋体" w:hAnsi="宋体" w:cs="宋体"/>
          <w:bCs/>
          <w:color w:val="auto"/>
          <w:sz w:val="28"/>
          <w:szCs w:val="28"/>
          <w:highlight w:val="none"/>
          <w:lang w:eastAsia="zh-CN"/>
        </w:rPr>
        <w:t>6.</w:t>
      </w:r>
      <w:r>
        <w:rPr>
          <w:rFonts w:ascii="宋体" w:hAnsi="宋体" w:cs="宋体"/>
          <w:bCs/>
          <w:color w:val="auto"/>
          <w:sz w:val="28"/>
          <w:szCs w:val="28"/>
          <w:highlight w:val="none"/>
        </w:rPr>
        <w:t>1.3</w:t>
      </w:r>
      <w:r>
        <w:rPr>
          <w:rFonts w:hint="eastAsia" w:ascii="宋体" w:hAnsi="宋体" w:cs="宋体"/>
          <w:bCs/>
          <w:color w:val="auto"/>
          <w:sz w:val="28"/>
          <w:szCs w:val="28"/>
          <w:highlight w:val="none"/>
        </w:rPr>
        <w:t>竖向布置</w:t>
      </w:r>
      <w:bookmarkEnd w:id="439"/>
      <w:bookmarkEnd w:id="440"/>
      <w:bookmarkEnd w:id="441"/>
    </w:p>
    <w:p w14:paraId="4311FBE7">
      <w:pPr>
        <w:pStyle w:val="24"/>
        <w:keepNext w:val="0"/>
        <w:keepLines w:val="0"/>
        <w:pageBreakBefore w:val="0"/>
        <w:widowControl w:val="0"/>
        <w:kinsoku/>
        <w:wordWrap/>
        <w:overflowPunct/>
        <w:topLinePunct w:val="0"/>
        <w:autoSpaceDE/>
        <w:autoSpaceDN/>
        <w:bidi w:val="0"/>
        <w:adjustRightInd/>
        <w:spacing w:line="560" w:lineRule="exact"/>
        <w:ind w:firstLine="31680"/>
        <w:textAlignment w:val="auto"/>
        <w:rPr>
          <w:rFonts w:ascii="宋体" w:cs="宋体"/>
          <w:bCs/>
          <w:color w:val="auto"/>
          <w:kern w:val="2"/>
          <w:sz w:val="28"/>
          <w:szCs w:val="28"/>
          <w:highlight w:val="none"/>
        </w:rPr>
      </w:pPr>
      <w:r>
        <w:rPr>
          <w:rFonts w:hint="eastAsia" w:ascii="宋体" w:hAnsi="宋体" w:cs="宋体"/>
          <w:bCs/>
          <w:color w:val="auto"/>
          <w:kern w:val="2"/>
          <w:sz w:val="28"/>
          <w:szCs w:val="28"/>
          <w:highlight w:val="none"/>
        </w:rPr>
        <w:t>（</w:t>
      </w:r>
      <w:r>
        <w:rPr>
          <w:rFonts w:ascii="宋体" w:hAnsi="宋体" w:cs="宋体"/>
          <w:bCs/>
          <w:color w:val="auto"/>
          <w:kern w:val="2"/>
          <w:sz w:val="28"/>
          <w:szCs w:val="28"/>
          <w:highlight w:val="none"/>
        </w:rPr>
        <w:t>1</w:t>
      </w:r>
      <w:r>
        <w:rPr>
          <w:rFonts w:hint="eastAsia" w:ascii="宋体" w:hAnsi="宋体" w:cs="宋体"/>
          <w:bCs/>
          <w:color w:val="auto"/>
          <w:kern w:val="2"/>
          <w:sz w:val="28"/>
          <w:szCs w:val="28"/>
          <w:highlight w:val="none"/>
        </w:rPr>
        <w:t>）竖向布置原则</w:t>
      </w:r>
    </w:p>
    <w:p w14:paraId="71869309">
      <w:pPr>
        <w:keepNext w:val="0"/>
        <w:keepLines w:val="0"/>
        <w:pageBreakBefore w:val="0"/>
        <w:widowControl w:val="0"/>
        <w:numPr>
          <w:ilvl w:val="1"/>
          <w:numId w:val="5"/>
        </w:numPr>
        <w:kinsoku/>
        <w:wordWrap/>
        <w:overflowPunct/>
        <w:topLinePunct w:val="0"/>
        <w:autoSpaceDE/>
        <w:autoSpaceDN/>
        <w:bidi w:val="0"/>
        <w:adjustRightInd/>
        <w:snapToGrid w:val="0"/>
        <w:spacing w:line="560" w:lineRule="exact"/>
        <w:ind w:left="0" w:firstLine="560" w:firstLineChars="200"/>
        <w:textAlignment w:val="auto"/>
        <w:rPr>
          <w:rFonts w:ascii="宋体" w:cs="宋体"/>
          <w:bCs/>
          <w:color w:val="auto"/>
          <w:sz w:val="28"/>
          <w:szCs w:val="28"/>
          <w:highlight w:val="none"/>
        </w:rPr>
      </w:pPr>
      <w:r>
        <w:rPr>
          <w:rFonts w:hint="eastAsia" w:ascii="宋体" w:hAnsi="宋体" w:cs="宋体"/>
          <w:bCs/>
          <w:color w:val="auto"/>
          <w:sz w:val="28"/>
          <w:szCs w:val="28"/>
          <w:highlight w:val="none"/>
        </w:rPr>
        <w:t>全厂竖向设计统一考虑土方平衡，合理利用地形，尽量减少场地平整土石方工程量，使施工调运土方线路便捷。</w:t>
      </w:r>
    </w:p>
    <w:p w14:paraId="3B24389F">
      <w:pPr>
        <w:keepNext w:val="0"/>
        <w:keepLines w:val="0"/>
        <w:pageBreakBefore w:val="0"/>
        <w:widowControl w:val="0"/>
        <w:numPr>
          <w:ilvl w:val="1"/>
          <w:numId w:val="5"/>
        </w:numPr>
        <w:kinsoku/>
        <w:wordWrap/>
        <w:overflowPunct/>
        <w:topLinePunct w:val="0"/>
        <w:autoSpaceDE/>
        <w:autoSpaceDN/>
        <w:bidi w:val="0"/>
        <w:adjustRightInd/>
        <w:snapToGrid w:val="0"/>
        <w:spacing w:line="560" w:lineRule="exact"/>
        <w:ind w:left="0" w:firstLine="560" w:firstLineChars="200"/>
        <w:textAlignment w:val="auto"/>
        <w:rPr>
          <w:rFonts w:ascii="宋体" w:cs="宋体"/>
          <w:bCs/>
          <w:color w:val="auto"/>
          <w:sz w:val="28"/>
          <w:szCs w:val="28"/>
          <w:highlight w:val="none"/>
        </w:rPr>
      </w:pPr>
      <w:r>
        <w:rPr>
          <w:rFonts w:hint="eastAsia" w:ascii="宋体" w:hAnsi="宋体" w:cs="宋体"/>
          <w:bCs/>
          <w:color w:val="auto"/>
          <w:sz w:val="28"/>
          <w:szCs w:val="28"/>
          <w:highlight w:val="none"/>
        </w:rPr>
        <w:t>厂区设计地面坡度的确定应考虑敷设管架、管线及铺设道路的限坡要求，以利生产和行车。</w:t>
      </w:r>
    </w:p>
    <w:p w14:paraId="0BF48EB0">
      <w:pPr>
        <w:keepNext w:val="0"/>
        <w:keepLines w:val="0"/>
        <w:pageBreakBefore w:val="0"/>
        <w:widowControl w:val="0"/>
        <w:numPr>
          <w:ilvl w:val="1"/>
          <w:numId w:val="5"/>
        </w:numPr>
        <w:kinsoku/>
        <w:wordWrap/>
        <w:overflowPunct/>
        <w:topLinePunct w:val="0"/>
        <w:autoSpaceDE/>
        <w:autoSpaceDN/>
        <w:bidi w:val="0"/>
        <w:adjustRightInd/>
        <w:snapToGrid w:val="0"/>
        <w:spacing w:line="560" w:lineRule="exact"/>
        <w:ind w:left="0" w:firstLine="560" w:firstLineChars="200"/>
        <w:textAlignment w:val="auto"/>
        <w:rPr>
          <w:rFonts w:ascii="宋体" w:cs="宋体"/>
          <w:bCs/>
          <w:color w:val="auto"/>
          <w:sz w:val="28"/>
          <w:szCs w:val="28"/>
          <w:highlight w:val="none"/>
        </w:rPr>
      </w:pPr>
      <w:r>
        <w:rPr>
          <w:rFonts w:hint="eastAsia" w:ascii="宋体" w:hAnsi="宋体" w:cs="宋体"/>
          <w:bCs/>
          <w:color w:val="auto"/>
          <w:sz w:val="28"/>
          <w:szCs w:val="28"/>
          <w:highlight w:val="none"/>
        </w:rPr>
        <w:t>与厂区外周边地坪标高协调，保证厂区不受洪水和内涝的威胁。</w:t>
      </w:r>
    </w:p>
    <w:p w14:paraId="1FF2ADE4">
      <w:pPr>
        <w:keepNext w:val="0"/>
        <w:keepLines w:val="0"/>
        <w:pageBreakBefore w:val="0"/>
        <w:widowControl w:val="0"/>
        <w:numPr>
          <w:ilvl w:val="1"/>
          <w:numId w:val="5"/>
        </w:numPr>
        <w:kinsoku/>
        <w:wordWrap/>
        <w:overflowPunct/>
        <w:topLinePunct w:val="0"/>
        <w:autoSpaceDE/>
        <w:autoSpaceDN/>
        <w:bidi w:val="0"/>
        <w:adjustRightInd/>
        <w:snapToGrid w:val="0"/>
        <w:spacing w:line="560" w:lineRule="exact"/>
        <w:ind w:left="0" w:firstLine="560" w:firstLineChars="200"/>
        <w:textAlignment w:val="auto"/>
        <w:rPr>
          <w:rFonts w:ascii="宋体" w:cs="宋体"/>
          <w:bCs/>
          <w:color w:val="auto"/>
          <w:sz w:val="28"/>
          <w:szCs w:val="28"/>
          <w:highlight w:val="none"/>
        </w:rPr>
      </w:pPr>
      <w:r>
        <w:rPr>
          <w:rFonts w:hint="eastAsia" w:ascii="宋体" w:hAnsi="宋体" w:cs="宋体"/>
          <w:bCs/>
          <w:color w:val="auto"/>
          <w:sz w:val="28"/>
          <w:szCs w:val="28"/>
          <w:highlight w:val="none"/>
        </w:rPr>
        <w:t>根据厂区用地及地形条件，竖向设计基本采用平坡式布置方式。</w:t>
      </w:r>
    </w:p>
    <w:p w14:paraId="7E719F47">
      <w:pPr>
        <w:keepNext w:val="0"/>
        <w:keepLines w:val="0"/>
        <w:pageBreakBefore w:val="0"/>
        <w:widowControl w:val="0"/>
        <w:kinsoku/>
        <w:wordWrap/>
        <w:overflowPunct/>
        <w:topLinePunct w:val="0"/>
        <w:autoSpaceDE/>
        <w:autoSpaceDN/>
        <w:bidi w:val="0"/>
        <w:adjustRightIn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）竖向布置方案</w:t>
      </w:r>
    </w:p>
    <w:p w14:paraId="335220AC">
      <w:pPr>
        <w:keepNext w:val="0"/>
        <w:keepLines w:val="0"/>
        <w:pageBreakBefore w:val="0"/>
        <w:widowControl w:val="0"/>
        <w:kinsoku/>
        <w:wordWrap/>
        <w:overflowPunct/>
        <w:topLinePunct w:val="0"/>
        <w:autoSpaceDE/>
        <w:autoSpaceDN/>
        <w:bidi w:val="0"/>
        <w:adjustRightInd/>
        <w:spacing w:line="560" w:lineRule="exact"/>
        <w:ind w:firstLine="560" w:firstLineChars="200"/>
        <w:jc w:val="left"/>
        <w:textAlignment w:val="auto"/>
        <w:rPr>
          <w:rFonts w:ascii="宋体" w:cs="宋体"/>
          <w:bCs/>
          <w:color w:val="auto"/>
          <w:sz w:val="28"/>
          <w:szCs w:val="28"/>
          <w:highlight w:val="none"/>
        </w:rPr>
      </w:pPr>
      <w:bookmarkStart w:id="442" w:name="_Toc3935"/>
      <w:bookmarkStart w:id="443" w:name="_Toc8313_WPSOffice_Level2"/>
      <w:bookmarkStart w:id="444" w:name="_Toc8287_WPSOffice_Level2"/>
      <w:bookmarkStart w:id="445" w:name="_Toc25049_WPSOffice_Level2"/>
      <w:bookmarkStart w:id="446" w:name="_Toc30447"/>
      <w:bookmarkStart w:id="447" w:name="_Toc12808"/>
      <w:bookmarkStart w:id="448" w:name="_Toc2292_WPSOffice_Level2"/>
      <w:r>
        <w:rPr>
          <w:rFonts w:hint="eastAsia" w:ascii="宋体" w:hAnsi="宋体" w:cs="宋体"/>
          <w:bCs/>
          <w:color w:val="auto"/>
          <w:sz w:val="28"/>
          <w:szCs w:val="28"/>
          <w:highlight w:val="none"/>
        </w:rPr>
        <w:t>根据竖向布置原则、工艺布置要求，综合考虑厂内道路与周边道路标高相协调，满足生产、运输与货物装卸等对场地的要求，结合场地的自然地形特点，尽量节省土（石）方工程量，场地竖向布置采用连续平坡式。场地雨水排水利用道路坡度将雨水排至雨水管网后统一处理。</w:t>
      </w:r>
    </w:p>
    <w:p w14:paraId="5049C806">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1"/>
        <w:rPr>
          <w:rFonts w:ascii="宋体" w:cs="宋体"/>
          <w:bCs/>
          <w:color w:val="auto"/>
          <w:sz w:val="28"/>
          <w:szCs w:val="28"/>
          <w:highlight w:val="none"/>
        </w:rPr>
      </w:pPr>
      <w:bookmarkStart w:id="449" w:name="_Toc22974"/>
      <w:bookmarkStart w:id="450" w:name="_Toc16974"/>
      <w:r>
        <w:rPr>
          <w:rFonts w:hint="eastAsia" w:ascii="宋体" w:hAnsi="宋体" w:cs="宋体"/>
          <w:bCs/>
          <w:color w:val="auto"/>
          <w:sz w:val="28"/>
          <w:szCs w:val="28"/>
          <w:highlight w:val="none"/>
          <w:lang w:eastAsia="zh-CN"/>
        </w:rPr>
        <w:t>6.</w:t>
      </w:r>
      <w:r>
        <w:rPr>
          <w:rFonts w:ascii="宋体" w:hAnsi="宋体" w:cs="宋体"/>
          <w:bCs/>
          <w:color w:val="auto"/>
          <w:sz w:val="28"/>
          <w:szCs w:val="28"/>
          <w:highlight w:val="none"/>
        </w:rPr>
        <w:t>2</w:t>
      </w:r>
      <w:r>
        <w:rPr>
          <w:rFonts w:hint="eastAsia" w:ascii="宋体" w:hAnsi="宋体" w:cs="宋体"/>
          <w:bCs/>
          <w:color w:val="auto"/>
          <w:sz w:val="28"/>
          <w:szCs w:val="28"/>
          <w:highlight w:val="none"/>
        </w:rPr>
        <w:t>储运</w:t>
      </w:r>
      <w:bookmarkEnd w:id="438"/>
      <w:bookmarkEnd w:id="442"/>
      <w:bookmarkEnd w:id="443"/>
      <w:bookmarkEnd w:id="444"/>
      <w:bookmarkEnd w:id="445"/>
      <w:bookmarkEnd w:id="446"/>
      <w:bookmarkEnd w:id="447"/>
      <w:bookmarkEnd w:id="448"/>
      <w:bookmarkEnd w:id="449"/>
      <w:bookmarkEnd w:id="450"/>
    </w:p>
    <w:p w14:paraId="2E97A7CC">
      <w:pPr>
        <w:keepNext w:val="0"/>
        <w:keepLines w:val="0"/>
        <w:pageBreakBefore w:val="0"/>
        <w:widowControl w:val="0"/>
        <w:kinsoku/>
        <w:wordWrap/>
        <w:overflowPunct/>
        <w:topLinePunct w:val="0"/>
        <w:autoSpaceDE/>
        <w:autoSpaceDN/>
        <w:bidi w:val="0"/>
        <w:adjustRightInd/>
        <w:spacing w:line="560" w:lineRule="exact"/>
        <w:ind w:firstLine="560" w:firstLineChars="200"/>
        <w:contextualSpacing/>
        <w:textAlignment w:val="auto"/>
        <w:rPr>
          <w:rFonts w:hint="eastAsia" w:ascii="宋体" w:hAnsi="宋体" w:cs="宋体"/>
          <w:color w:val="auto"/>
          <w:kern w:val="0"/>
          <w:sz w:val="28"/>
          <w:szCs w:val="28"/>
          <w:highlight w:val="none"/>
          <w:lang w:val="en-US" w:eastAsia="zh-CN"/>
        </w:rPr>
      </w:pPr>
      <w:bookmarkStart w:id="451" w:name="_Toc14417"/>
      <w:bookmarkStart w:id="452" w:name="_Toc17879_WPSOffice_Level2"/>
      <w:bookmarkStart w:id="453" w:name="_Toc19122"/>
      <w:bookmarkStart w:id="454" w:name="_Toc7588_WPSOffice_Level2"/>
      <w:bookmarkStart w:id="455" w:name="_Toc339_WPSOffice_Level2"/>
      <w:bookmarkStart w:id="456" w:name="_Toc21455_WPSOffice_Level2"/>
      <w:bookmarkStart w:id="457" w:name="_Toc17358"/>
      <w:r>
        <w:rPr>
          <w:rFonts w:hint="eastAsia" w:ascii="宋体" w:hAnsi="宋体" w:cs="宋体"/>
          <w:color w:val="auto"/>
          <w:kern w:val="0"/>
          <w:sz w:val="28"/>
          <w:szCs w:val="28"/>
          <w:highlight w:val="none"/>
          <w:lang w:val="en-US" w:eastAsia="zh-CN"/>
        </w:rPr>
        <w:t>本项目盐酸副产品来源于氯化苯装置，</w:t>
      </w:r>
      <w:r>
        <w:rPr>
          <w:rFonts w:hint="eastAsia" w:ascii="宋体" w:hAnsi="宋体" w:cs="宋体"/>
          <w:color w:val="auto"/>
          <w:kern w:val="0"/>
          <w:sz w:val="28"/>
          <w:szCs w:val="28"/>
          <w:highlight w:val="none"/>
        </w:rPr>
        <w:t>采用管道输送至</w:t>
      </w:r>
      <w:r>
        <w:rPr>
          <w:rFonts w:hint="eastAsia" w:ascii="宋体" w:hAnsi="宋体" w:cs="宋体"/>
          <w:color w:val="auto"/>
          <w:kern w:val="0"/>
          <w:sz w:val="28"/>
          <w:szCs w:val="28"/>
          <w:highlight w:val="none"/>
          <w:lang w:val="en-US" w:eastAsia="zh-CN"/>
        </w:rPr>
        <w:t>本项目储罐，通过液体罐车方式运输至用户。</w:t>
      </w:r>
    </w:p>
    <w:p w14:paraId="1452AFD5">
      <w:pPr>
        <w:keepNext w:val="0"/>
        <w:keepLines w:val="0"/>
        <w:pageBreakBefore w:val="0"/>
        <w:widowControl w:val="0"/>
        <w:kinsoku/>
        <w:wordWrap/>
        <w:overflowPunct/>
        <w:topLinePunct w:val="0"/>
        <w:autoSpaceDE/>
        <w:autoSpaceDN/>
        <w:bidi w:val="0"/>
        <w:adjustRightInd/>
        <w:spacing w:line="560" w:lineRule="exact"/>
        <w:ind w:firstLine="560" w:firstLineChars="200"/>
        <w:contextualSpacing/>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醋酐为氯乙酸装置原料，通过槽车运输卸至醋酐储槽，通过泵输送至氯化釜中。</w:t>
      </w:r>
    </w:p>
    <w:p w14:paraId="6D741BF9">
      <w:pPr>
        <w:pStyle w:val="21"/>
        <w:spacing w:line="560" w:lineRule="exact"/>
        <w:ind w:firstLine="31680"/>
        <w:jc w:val="left"/>
        <w:outlineLvl w:val="1"/>
        <w:rPr>
          <w:rFonts w:ascii="宋体" w:cs="宋体"/>
          <w:bCs/>
          <w:color w:val="auto"/>
          <w:sz w:val="28"/>
          <w:szCs w:val="28"/>
          <w:highlight w:val="none"/>
        </w:rPr>
      </w:pPr>
      <w:bookmarkStart w:id="458" w:name="_Toc630"/>
      <w:bookmarkStart w:id="459" w:name="_Toc21091"/>
      <w:bookmarkStart w:id="460" w:name="_Toc22270"/>
      <w:r>
        <w:rPr>
          <w:rStyle w:val="26"/>
          <w:rFonts w:hint="eastAsia" w:ascii="宋体" w:hAnsi="宋体" w:cs="宋体"/>
          <w:bCs/>
          <w:color w:val="auto"/>
          <w:sz w:val="28"/>
          <w:szCs w:val="28"/>
          <w:highlight w:val="none"/>
          <w:lang w:eastAsia="zh-CN"/>
        </w:rPr>
        <w:t>6.</w:t>
      </w:r>
      <w:r>
        <w:rPr>
          <w:rStyle w:val="26"/>
          <w:rFonts w:ascii="宋体" w:hAnsi="宋体" w:eastAsia="宋体" w:cs="宋体"/>
          <w:bCs/>
          <w:color w:val="auto"/>
          <w:sz w:val="28"/>
          <w:szCs w:val="28"/>
          <w:highlight w:val="none"/>
        </w:rPr>
        <w:t>3</w:t>
      </w:r>
      <w:r>
        <w:rPr>
          <w:rStyle w:val="26"/>
          <w:rFonts w:hint="eastAsia" w:ascii="宋体" w:hAnsi="宋体" w:eastAsia="宋体" w:cs="宋体"/>
          <w:bCs/>
          <w:color w:val="auto"/>
          <w:sz w:val="28"/>
          <w:szCs w:val="28"/>
          <w:highlight w:val="none"/>
        </w:rPr>
        <w:t>土建</w:t>
      </w:r>
      <w:bookmarkEnd w:id="451"/>
      <w:bookmarkEnd w:id="452"/>
      <w:bookmarkEnd w:id="453"/>
      <w:bookmarkEnd w:id="454"/>
      <w:bookmarkEnd w:id="455"/>
      <w:bookmarkEnd w:id="456"/>
      <w:bookmarkEnd w:id="457"/>
      <w:bookmarkEnd w:id="458"/>
      <w:bookmarkEnd w:id="459"/>
      <w:bookmarkEnd w:id="460"/>
    </w:p>
    <w:p w14:paraId="33AB67BD">
      <w:pPr>
        <w:pStyle w:val="21"/>
        <w:spacing w:line="560" w:lineRule="exact"/>
        <w:ind w:firstLine="31680"/>
        <w:jc w:val="left"/>
        <w:outlineLvl w:val="2"/>
        <w:rPr>
          <w:rFonts w:ascii="宋体" w:cs="宋体"/>
          <w:bCs/>
          <w:color w:val="auto"/>
          <w:sz w:val="28"/>
          <w:szCs w:val="28"/>
          <w:highlight w:val="none"/>
        </w:rPr>
      </w:pPr>
      <w:bookmarkStart w:id="461" w:name="_Toc4739"/>
      <w:r>
        <w:rPr>
          <w:rStyle w:val="26"/>
          <w:rFonts w:hint="eastAsia" w:ascii="宋体" w:hAnsi="宋体" w:cs="宋体"/>
          <w:bCs/>
          <w:color w:val="auto"/>
          <w:sz w:val="28"/>
          <w:szCs w:val="28"/>
          <w:highlight w:val="none"/>
          <w:lang w:eastAsia="zh-CN"/>
        </w:rPr>
        <w:t>6.</w:t>
      </w:r>
      <w:r>
        <w:rPr>
          <w:rStyle w:val="26"/>
          <w:rFonts w:ascii="宋体" w:hAnsi="宋体" w:eastAsia="宋体" w:cs="宋体"/>
          <w:bCs/>
          <w:color w:val="auto"/>
          <w:sz w:val="28"/>
          <w:szCs w:val="28"/>
          <w:highlight w:val="none"/>
        </w:rPr>
        <w:t>3.1</w:t>
      </w:r>
      <w:r>
        <w:rPr>
          <w:rStyle w:val="26"/>
          <w:rFonts w:hint="eastAsia" w:ascii="宋体" w:hAnsi="宋体" w:eastAsia="宋体" w:cs="宋体"/>
          <w:bCs/>
          <w:color w:val="auto"/>
          <w:sz w:val="28"/>
          <w:szCs w:val="28"/>
          <w:highlight w:val="none"/>
        </w:rPr>
        <w:t>设计依据</w:t>
      </w:r>
      <w:bookmarkEnd w:id="461"/>
    </w:p>
    <w:p w14:paraId="6FA18E7B">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1</w:t>
      </w:r>
      <w:r>
        <w:rPr>
          <w:rFonts w:hint="eastAsia" w:ascii="宋体" w:hAnsi="宋体" w:cs="宋体"/>
          <w:bCs/>
          <w:color w:val="auto"/>
          <w:sz w:val="28"/>
          <w:szCs w:val="28"/>
          <w:highlight w:val="none"/>
        </w:rPr>
        <w:t>）气象资料见第</w:t>
      </w:r>
      <w:r>
        <w:rPr>
          <w:rFonts w:hint="eastAsia" w:ascii="宋体" w:hAnsi="宋体" w:cs="宋体"/>
          <w:bCs/>
          <w:color w:val="auto"/>
          <w:sz w:val="28"/>
          <w:szCs w:val="28"/>
          <w:highlight w:val="none"/>
          <w:lang w:val="en-US" w:eastAsia="zh-CN"/>
        </w:rPr>
        <w:t>五</w:t>
      </w:r>
      <w:r>
        <w:rPr>
          <w:rFonts w:hint="eastAsia" w:ascii="宋体" w:hAnsi="宋体" w:cs="宋体"/>
          <w:bCs/>
          <w:color w:val="auto"/>
          <w:sz w:val="28"/>
          <w:szCs w:val="28"/>
          <w:highlight w:val="none"/>
        </w:rPr>
        <w:t>章</w:t>
      </w:r>
    </w:p>
    <w:p w14:paraId="185A236F">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）基本风压：</w:t>
      </w:r>
      <w:r>
        <w:rPr>
          <w:rFonts w:ascii="宋体" w:hAnsi="宋体" w:cs="宋体"/>
          <w:bCs/>
          <w:color w:val="auto"/>
          <w:sz w:val="28"/>
          <w:szCs w:val="28"/>
          <w:highlight w:val="none"/>
        </w:rPr>
        <w:t xml:space="preserve">0.45 kPa </w:t>
      </w:r>
      <w:r>
        <w:rPr>
          <w:rFonts w:hint="eastAsia" w:ascii="宋体" w:hAnsi="宋体" w:cs="宋体"/>
          <w:bCs/>
          <w:color w:val="auto"/>
          <w:sz w:val="28"/>
          <w:szCs w:val="28"/>
          <w:highlight w:val="none"/>
        </w:rPr>
        <w:t>。基本雪压：</w:t>
      </w:r>
      <w:r>
        <w:rPr>
          <w:rFonts w:ascii="宋体" w:hAnsi="宋体" w:cs="宋体"/>
          <w:bCs/>
          <w:color w:val="auto"/>
          <w:sz w:val="28"/>
          <w:szCs w:val="28"/>
          <w:highlight w:val="none"/>
        </w:rPr>
        <w:t xml:space="preserve">0.40 kPa </w:t>
      </w:r>
      <w:r>
        <w:rPr>
          <w:rFonts w:hint="eastAsia" w:ascii="宋体" w:hAnsi="宋体" w:cs="宋体"/>
          <w:bCs/>
          <w:color w:val="auto"/>
          <w:sz w:val="28"/>
          <w:szCs w:val="28"/>
          <w:highlight w:val="none"/>
        </w:rPr>
        <w:t>。</w:t>
      </w:r>
    </w:p>
    <w:p w14:paraId="0C2693DF">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3</w:t>
      </w:r>
      <w:r>
        <w:rPr>
          <w:rFonts w:hint="eastAsia" w:ascii="宋体" w:hAnsi="宋体" w:cs="宋体"/>
          <w:bCs/>
          <w:color w:val="auto"/>
          <w:sz w:val="28"/>
          <w:szCs w:val="28"/>
          <w:highlight w:val="none"/>
        </w:rPr>
        <w:t>）地震设防烈度：</w:t>
      </w:r>
      <w:r>
        <w:rPr>
          <w:rFonts w:ascii="宋体" w:hAnsi="宋体" w:cs="宋体"/>
          <w:bCs/>
          <w:color w:val="auto"/>
          <w:sz w:val="28"/>
          <w:szCs w:val="28"/>
          <w:highlight w:val="none"/>
        </w:rPr>
        <w:t>7</w:t>
      </w:r>
      <w:r>
        <w:rPr>
          <w:rFonts w:hint="eastAsia" w:ascii="宋体" w:hAnsi="宋体" w:cs="宋体"/>
          <w:bCs/>
          <w:color w:val="auto"/>
          <w:sz w:val="28"/>
          <w:szCs w:val="28"/>
          <w:highlight w:val="none"/>
        </w:rPr>
        <w:t>度</w:t>
      </w:r>
    </w:p>
    <w:p w14:paraId="13A0A0CF">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4</w:t>
      </w:r>
      <w:r>
        <w:rPr>
          <w:rFonts w:hint="eastAsia" w:ascii="宋体" w:hAnsi="宋体" w:cs="宋体"/>
          <w:bCs/>
          <w:color w:val="auto"/>
          <w:sz w:val="28"/>
          <w:szCs w:val="28"/>
          <w:highlight w:val="none"/>
        </w:rPr>
        <w:t>）标准规范：国家或行业标准规范。</w:t>
      </w:r>
    </w:p>
    <w:p w14:paraId="05803107">
      <w:pPr>
        <w:pStyle w:val="21"/>
        <w:spacing w:line="560" w:lineRule="exact"/>
        <w:ind w:firstLine="31680"/>
        <w:jc w:val="left"/>
        <w:outlineLvl w:val="1"/>
        <w:rPr>
          <w:rFonts w:hint="eastAsia" w:ascii="宋体" w:hAnsi="宋体" w:eastAsia="宋体" w:cs="宋体"/>
          <w:bCs/>
          <w:color w:val="auto"/>
          <w:kern w:val="2"/>
          <w:sz w:val="28"/>
          <w:szCs w:val="28"/>
          <w:highlight w:val="none"/>
          <w:lang w:val="en-US" w:eastAsia="zh-CN" w:bidi="ar-SA"/>
        </w:rPr>
      </w:pPr>
      <w:bookmarkStart w:id="462" w:name="_Toc16740"/>
      <w:bookmarkStart w:id="463" w:name="_Toc27883"/>
      <w:bookmarkStart w:id="464" w:name="_Toc26410"/>
      <w:bookmarkStart w:id="465" w:name="_Toc17869"/>
      <w:bookmarkStart w:id="466" w:name="_Toc23079"/>
      <w:bookmarkStart w:id="467" w:name="_Toc5583"/>
      <w:bookmarkStart w:id="468" w:name="_Toc14841"/>
      <w:r>
        <w:rPr>
          <w:rFonts w:hint="eastAsia" w:ascii="宋体" w:hAnsi="宋体" w:eastAsia="宋体" w:cs="宋体"/>
          <w:bCs/>
          <w:color w:val="auto"/>
          <w:kern w:val="2"/>
          <w:sz w:val="28"/>
          <w:szCs w:val="28"/>
          <w:highlight w:val="none"/>
          <w:lang w:val="en-US" w:eastAsia="zh-CN" w:bidi="ar-SA"/>
        </w:rPr>
        <w:t>6.3.2地基与基础</w:t>
      </w:r>
      <w:bookmarkEnd w:id="462"/>
      <w:bookmarkEnd w:id="463"/>
      <w:bookmarkEnd w:id="464"/>
      <w:bookmarkEnd w:id="465"/>
      <w:bookmarkEnd w:id="466"/>
      <w:bookmarkEnd w:id="467"/>
      <w:bookmarkEnd w:id="468"/>
    </w:p>
    <w:p w14:paraId="6779198E">
      <w:pPr>
        <w:pStyle w:val="21"/>
        <w:spacing w:line="560" w:lineRule="exact"/>
        <w:ind w:firstLine="31680"/>
        <w:jc w:val="left"/>
        <w:outlineLvl w:val="1"/>
        <w:rPr>
          <w:rFonts w:hint="eastAsia" w:ascii="宋体" w:hAnsi="宋体" w:eastAsia="宋体" w:cs="宋体"/>
          <w:bCs/>
          <w:color w:val="auto"/>
          <w:kern w:val="2"/>
          <w:sz w:val="28"/>
          <w:szCs w:val="28"/>
          <w:highlight w:val="none"/>
          <w:lang w:val="en-US" w:eastAsia="zh-CN" w:bidi="ar-SA"/>
        </w:rPr>
      </w:pPr>
      <w:bookmarkStart w:id="469" w:name="_Toc10012"/>
      <w:bookmarkStart w:id="470" w:name="_Toc2989"/>
      <w:bookmarkStart w:id="471" w:name="_Toc32220"/>
      <w:bookmarkStart w:id="472" w:name="_Toc29971"/>
      <w:bookmarkStart w:id="473" w:name="_Toc4263"/>
      <w:bookmarkStart w:id="474" w:name="_Toc4100"/>
      <w:r>
        <w:rPr>
          <w:rFonts w:hint="eastAsia" w:ascii="宋体" w:hAnsi="宋体" w:eastAsia="宋体" w:cs="宋体"/>
          <w:bCs/>
          <w:color w:val="auto"/>
          <w:kern w:val="2"/>
          <w:sz w:val="28"/>
          <w:szCs w:val="28"/>
          <w:highlight w:val="none"/>
          <w:lang w:val="en-US" w:eastAsia="zh-CN" w:bidi="ar-SA"/>
        </w:rPr>
        <w:t>本项目为江苏索普新材料科技有限公司新增储罐项目，现有场地地基满足本项目需要，设备安装按功能或介质就近布置。</w:t>
      </w:r>
      <w:bookmarkEnd w:id="469"/>
      <w:bookmarkEnd w:id="470"/>
      <w:bookmarkEnd w:id="471"/>
      <w:bookmarkEnd w:id="472"/>
      <w:bookmarkEnd w:id="473"/>
      <w:bookmarkEnd w:id="474"/>
    </w:p>
    <w:p w14:paraId="75FDE8AA">
      <w:pPr>
        <w:pStyle w:val="21"/>
        <w:spacing w:line="560" w:lineRule="exact"/>
        <w:ind w:firstLine="31680"/>
        <w:jc w:val="left"/>
        <w:outlineLvl w:val="1"/>
        <w:rPr>
          <w:rFonts w:hint="eastAsia" w:ascii="宋体" w:hAnsi="宋体" w:eastAsia="宋体" w:cs="宋体"/>
          <w:bCs/>
          <w:color w:val="auto"/>
          <w:kern w:val="2"/>
          <w:sz w:val="28"/>
          <w:szCs w:val="28"/>
          <w:highlight w:val="none"/>
          <w:lang w:val="en-US" w:eastAsia="zh-CN" w:bidi="ar-SA"/>
        </w:rPr>
      </w:pPr>
      <w:bookmarkStart w:id="475" w:name="_Toc16178"/>
      <w:bookmarkStart w:id="476" w:name="_Toc23760"/>
      <w:r>
        <w:rPr>
          <w:rFonts w:hint="eastAsia" w:ascii="宋体" w:hAnsi="宋体" w:eastAsia="宋体" w:cs="宋体"/>
          <w:bCs/>
          <w:color w:val="auto"/>
          <w:kern w:val="2"/>
          <w:sz w:val="28"/>
          <w:szCs w:val="28"/>
          <w:highlight w:val="none"/>
          <w:lang w:val="en-US" w:eastAsia="zh-CN" w:bidi="ar-SA"/>
        </w:rPr>
        <w:t>6.3.3建筑设计</w:t>
      </w:r>
      <w:bookmarkEnd w:id="475"/>
      <w:bookmarkEnd w:id="476"/>
    </w:p>
    <w:p w14:paraId="373B1809">
      <w:pPr>
        <w:pStyle w:val="21"/>
        <w:spacing w:line="560" w:lineRule="exact"/>
        <w:ind w:firstLine="31680"/>
        <w:jc w:val="left"/>
        <w:outlineLvl w:val="1"/>
        <w:rPr>
          <w:rFonts w:hint="eastAsia" w:ascii="宋体" w:hAnsi="宋体" w:eastAsia="宋体" w:cs="宋体"/>
          <w:bCs/>
          <w:color w:val="auto"/>
          <w:kern w:val="2"/>
          <w:sz w:val="28"/>
          <w:szCs w:val="28"/>
          <w:highlight w:val="none"/>
          <w:lang w:val="en-US" w:eastAsia="zh-CN" w:bidi="ar-SA"/>
        </w:rPr>
      </w:pPr>
      <w:bookmarkStart w:id="477" w:name="_Toc17997"/>
      <w:r>
        <w:rPr>
          <w:rFonts w:hint="eastAsia" w:ascii="宋体" w:hAnsi="宋体" w:eastAsia="宋体" w:cs="宋体"/>
          <w:bCs/>
          <w:color w:val="auto"/>
          <w:kern w:val="2"/>
          <w:sz w:val="28"/>
          <w:szCs w:val="28"/>
          <w:highlight w:val="none"/>
          <w:lang w:val="en-US" w:eastAsia="zh-CN" w:bidi="ar-SA"/>
        </w:rPr>
        <w:t>（1）本项目为江苏索普新材料科技有限公司新增储罐项目装置。</w:t>
      </w:r>
      <w:bookmarkEnd w:id="477"/>
    </w:p>
    <w:p w14:paraId="14AC86CA">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）根据生产特点，现场防火、防爆、防腐符合相关设计，满足保证安全生产需要。</w:t>
      </w:r>
    </w:p>
    <w:p w14:paraId="3B26A7C8">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3</w:t>
      </w:r>
      <w:r>
        <w:rPr>
          <w:rFonts w:hint="eastAsia" w:ascii="宋体" w:hAnsi="宋体" w:cs="宋体"/>
          <w:bCs/>
          <w:color w:val="auto"/>
          <w:sz w:val="28"/>
          <w:szCs w:val="28"/>
          <w:highlight w:val="none"/>
        </w:rPr>
        <w:t>）建筑构造和装修，采用当地通用做法或习惯做法，做到简洁实用，方便施工。</w:t>
      </w:r>
    </w:p>
    <w:p w14:paraId="10688041">
      <w:pPr>
        <w:spacing w:line="560" w:lineRule="exact"/>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（4）建筑设计遵循的标准、规范</w:t>
      </w:r>
    </w:p>
    <w:p w14:paraId="5BD69386">
      <w:pPr>
        <w:spacing w:line="560" w:lineRule="exact"/>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《建筑地基基础设计规范》GB 50007-2011</w:t>
      </w:r>
    </w:p>
    <w:p w14:paraId="0BD4EDFF">
      <w:pPr>
        <w:spacing w:line="560" w:lineRule="exact"/>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《混凝土结构设计规范》（20</w:t>
      </w:r>
      <w:r>
        <w:rPr>
          <w:rFonts w:hint="eastAsia" w:ascii="宋体" w:hAnsi="宋体" w:eastAsia="宋体" w:cs="宋体"/>
          <w:bCs/>
          <w:color w:val="auto"/>
          <w:sz w:val="28"/>
          <w:szCs w:val="28"/>
          <w:highlight w:val="none"/>
          <w:lang w:val="en-US" w:eastAsia="zh-CN"/>
        </w:rPr>
        <w:t>24</w:t>
      </w:r>
      <w:r>
        <w:rPr>
          <w:rFonts w:hint="eastAsia" w:ascii="宋体" w:hAnsi="宋体" w:eastAsia="宋体" w:cs="宋体"/>
          <w:bCs/>
          <w:color w:val="auto"/>
          <w:sz w:val="28"/>
          <w:szCs w:val="28"/>
          <w:highlight w:val="none"/>
        </w:rPr>
        <w:t>年版）GB</w:t>
      </w:r>
      <w:r>
        <w:rPr>
          <w:rFonts w:hint="eastAsia" w:ascii="宋体" w:hAnsi="宋体" w:eastAsia="宋体" w:cs="宋体"/>
          <w:bCs/>
          <w:color w:val="auto"/>
          <w:sz w:val="28"/>
          <w:szCs w:val="28"/>
          <w:highlight w:val="none"/>
          <w:lang w:val="en-US" w:eastAsia="zh-CN"/>
        </w:rPr>
        <w:t>/T</w:t>
      </w:r>
      <w:r>
        <w:rPr>
          <w:rFonts w:hint="eastAsia" w:ascii="宋体" w:hAnsi="宋体" w:eastAsia="宋体" w:cs="宋体"/>
          <w:bCs/>
          <w:color w:val="auto"/>
          <w:sz w:val="28"/>
          <w:szCs w:val="28"/>
          <w:highlight w:val="none"/>
        </w:rPr>
        <w:t>50010-2010</w:t>
      </w:r>
    </w:p>
    <w:p w14:paraId="7056B441">
      <w:pPr>
        <w:spacing w:line="560" w:lineRule="exact"/>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《建筑结构荷载规范》GB50009-2012</w:t>
      </w:r>
    </w:p>
    <w:p w14:paraId="18F200B7">
      <w:pPr>
        <w:spacing w:line="560" w:lineRule="exact"/>
        <w:ind w:firstLine="560" w:firstLineChars="200"/>
        <w:jc w:val="lef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《建筑抗震设计</w:t>
      </w:r>
      <w:r>
        <w:rPr>
          <w:rFonts w:hint="eastAsia" w:ascii="宋体" w:hAnsi="宋体" w:eastAsia="宋体" w:cs="宋体"/>
          <w:bCs/>
          <w:color w:val="auto"/>
          <w:sz w:val="28"/>
          <w:szCs w:val="28"/>
          <w:highlight w:val="none"/>
          <w:lang w:val="en-US" w:eastAsia="zh-CN"/>
        </w:rPr>
        <w:t>标准</w:t>
      </w:r>
      <w:r>
        <w:rPr>
          <w:rFonts w:hint="eastAsia" w:ascii="宋体" w:hAnsi="宋体" w:eastAsia="宋体" w:cs="宋体"/>
          <w:bCs/>
          <w:color w:val="auto"/>
          <w:sz w:val="28"/>
          <w:szCs w:val="28"/>
          <w:highlight w:val="none"/>
        </w:rPr>
        <w:t>》（20</w:t>
      </w:r>
      <w:r>
        <w:rPr>
          <w:rFonts w:hint="eastAsia" w:ascii="宋体" w:hAnsi="宋体" w:eastAsia="宋体" w:cs="宋体"/>
          <w:bCs/>
          <w:color w:val="auto"/>
          <w:sz w:val="28"/>
          <w:szCs w:val="28"/>
          <w:highlight w:val="none"/>
          <w:lang w:val="en-US" w:eastAsia="zh-CN"/>
        </w:rPr>
        <w:t>24</w:t>
      </w:r>
      <w:r>
        <w:rPr>
          <w:rFonts w:hint="eastAsia" w:ascii="宋体" w:hAnsi="宋体" w:eastAsia="宋体" w:cs="宋体"/>
          <w:bCs/>
          <w:color w:val="auto"/>
          <w:sz w:val="28"/>
          <w:szCs w:val="28"/>
          <w:highlight w:val="none"/>
        </w:rPr>
        <w:t>年版）GB</w:t>
      </w:r>
      <w:r>
        <w:rPr>
          <w:rFonts w:hint="eastAsia" w:ascii="宋体" w:hAnsi="宋体" w:eastAsia="宋体" w:cs="宋体"/>
          <w:bCs/>
          <w:color w:val="auto"/>
          <w:sz w:val="28"/>
          <w:szCs w:val="28"/>
          <w:highlight w:val="none"/>
          <w:lang w:val="en-US" w:eastAsia="zh-CN"/>
        </w:rPr>
        <w:t>/T</w:t>
      </w:r>
      <w:r>
        <w:rPr>
          <w:rFonts w:hint="eastAsia" w:ascii="宋体" w:hAnsi="宋体" w:eastAsia="宋体" w:cs="宋体"/>
          <w:bCs/>
          <w:color w:val="auto"/>
          <w:sz w:val="28"/>
          <w:szCs w:val="28"/>
          <w:highlight w:val="none"/>
        </w:rPr>
        <w:t>50011-2010</w:t>
      </w:r>
    </w:p>
    <w:p w14:paraId="555C5271">
      <w:pPr>
        <w:spacing w:line="560" w:lineRule="exact"/>
        <w:ind w:firstLine="560" w:firstLineChars="200"/>
        <w:jc w:val="left"/>
        <w:rPr>
          <w:rFonts w:ascii="宋体" w:hAnsi="宋体" w:cs="宋体"/>
          <w:bCs/>
          <w:color w:val="auto"/>
          <w:sz w:val="28"/>
          <w:szCs w:val="28"/>
          <w:highlight w:val="none"/>
        </w:rPr>
      </w:pPr>
      <w:r>
        <w:rPr>
          <w:rFonts w:hint="eastAsia" w:ascii="宋体" w:hAnsi="宋体" w:cs="宋体"/>
          <w:bCs/>
          <w:color w:val="auto"/>
          <w:sz w:val="28"/>
          <w:szCs w:val="28"/>
          <w:highlight w:val="none"/>
        </w:rPr>
        <w:t>《构筑物抗震设计规范》</w:t>
      </w:r>
      <w:r>
        <w:rPr>
          <w:rFonts w:ascii="宋体" w:hAnsi="宋体" w:cs="宋体"/>
          <w:bCs/>
          <w:color w:val="auto"/>
          <w:sz w:val="28"/>
          <w:szCs w:val="28"/>
          <w:highlight w:val="none"/>
        </w:rPr>
        <w:t>GB50191-2012</w:t>
      </w:r>
    </w:p>
    <w:p w14:paraId="302BB254">
      <w:pPr>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w:t>
      </w:r>
      <w:r>
        <w:rPr>
          <w:rFonts w:hint="default" w:ascii="宋体" w:hAnsi="宋体" w:eastAsia="宋体" w:cs="宋体"/>
          <w:color w:val="auto"/>
          <w:sz w:val="28"/>
          <w:szCs w:val="28"/>
          <w:highlight w:val="none"/>
          <w:lang w:val="en-US" w:eastAsia="zh-CN"/>
        </w:rPr>
        <w:t>钢制储罐地基基础设计规范</w:t>
      </w:r>
      <w:r>
        <w:rPr>
          <w:rFonts w:hint="eastAsia" w:ascii="宋体" w:hAnsi="宋体" w:eastAsia="宋体" w:cs="宋体"/>
          <w:color w:val="auto"/>
          <w:sz w:val="28"/>
          <w:szCs w:val="28"/>
          <w:highlight w:val="none"/>
          <w:lang w:val="en-US" w:eastAsia="zh-CN"/>
        </w:rPr>
        <w:t>》GB 50473-2008</w:t>
      </w:r>
    </w:p>
    <w:p w14:paraId="6B7B832B">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设计选用标准图以现行江苏省标准图为主，部分采用现行国家标准图。</w:t>
      </w:r>
    </w:p>
    <w:p w14:paraId="72446CD3">
      <w:pPr>
        <w:pStyle w:val="21"/>
        <w:spacing w:line="560" w:lineRule="exact"/>
        <w:ind w:firstLine="31680"/>
        <w:jc w:val="left"/>
        <w:outlineLvl w:val="2"/>
        <w:rPr>
          <w:rStyle w:val="26"/>
          <w:rFonts w:ascii="宋体" w:hAnsi="Calibri" w:eastAsia="宋体" w:cs="宋体"/>
          <w:bCs/>
          <w:color w:val="auto"/>
          <w:sz w:val="28"/>
          <w:szCs w:val="28"/>
          <w:highlight w:val="none"/>
        </w:rPr>
      </w:pPr>
      <w:bookmarkStart w:id="478" w:name="_Toc21545"/>
      <w:r>
        <w:rPr>
          <w:rStyle w:val="26"/>
          <w:rFonts w:hint="eastAsia" w:ascii="宋体" w:hAnsi="宋体" w:cs="宋体"/>
          <w:bCs/>
          <w:color w:val="auto"/>
          <w:sz w:val="28"/>
          <w:szCs w:val="28"/>
          <w:highlight w:val="none"/>
          <w:lang w:eastAsia="zh-CN"/>
        </w:rPr>
        <w:t>6.</w:t>
      </w:r>
      <w:r>
        <w:rPr>
          <w:rStyle w:val="26"/>
          <w:rFonts w:ascii="宋体" w:hAnsi="宋体" w:eastAsia="宋体" w:cs="宋体"/>
          <w:bCs/>
          <w:color w:val="auto"/>
          <w:sz w:val="28"/>
          <w:szCs w:val="28"/>
          <w:highlight w:val="none"/>
        </w:rPr>
        <w:t>3.4</w:t>
      </w:r>
      <w:r>
        <w:rPr>
          <w:rStyle w:val="26"/>
          <w:rFonts w:hint="eastAsia" w:ascii="宋体" w:hAnsi="宋体" w:eastAsia="宋体" w:cs="宋体"/>
          <w:bCs/>
          <w:color w:val="auto"/>
          <w:sz w:val="28"/>
          <w:szCs w:val="28"/>
          <w:highlight w:val="none"/>
        </w:rPr>
        <w:t>结构设计</w:t>
      </w:r>
      <w:bookmarkEnd w:id="478"/>
    </w:p>
    <w:p w14:paraId="5FA6C5C2">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1</w:t>
      </w:r>
      <w:r>
        <w:rPr>
          <w:rFonts w:hint="eastAsia" w:ascii="宋体" w:hAnsi="宋体" w:cs="宋体"/>
          <w:bCs/>
          <w:color w:val="auto"/>
          <w:sz w:val="28"/>
          <w:szCs w:val="28"/>
          <w:highlight w:val="none"/>
        </w:rPr>
        <w:t>）本项目结构布置、结构选型及结构处理满足施工、生产和使用要求，保证足够的强度、刚度、稳定性和耐久性，技术先进、经济合理、施工方便、构造简单。</w:t>
      </w:r>
    </w:p>
    <w:p w14:paraId="1ADB42A5">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）本项目结构选型已充分考虑工艺特点、设备管道布置、功能要求、设备荷重、柱网尺寸、防腐防火、当地习惯等因素。</w:t>
      </w:r>
    </w:p>
    <w:p w14:paraId="6B728FFB">
      <w:pPr>
        <w:pStyle w:val="21"/>
        <w:spacing w:line="560" w:lineRule="exact"/>
        <w:ind w:firstLine="31680"/>
        <w:jc w:val="left"/>
        <w:outlineLvl w:val="2"/>
        <w:rPr>
          <w:rStyle w:val="26"/>
          <w:rFonts w:ascii="宋体" w:hAnsi="Calibri" w:eastAsia="宋体" w:cs="宋体"/>
          <w:bCs/>
          <w:color w:val="auto"/>
          <w:sz w:val="28"/>
          <w:szCs w:val="28"/>
          <w:highlight w:val="none"/>
        </w:rPr>
      </w:pPr>
      <w:r>
        <w:rPr>
          <w:rStyle w:val="26"/>
          <w:rFonts w:hint="eastAsia" w:ascii="宋体" w:hAnsi="宋体" w:cs="宋体"/>
          <w:bCs/>
          <w:color w:val="auto"/>
          <w:sz w:val="28"/>
          <w:szCs w:val="28"/>
          <w:highlight w:val="none"/>
          <w:lang w:eastAsia="zh-CN"/>
        </w:rPr>
        <w:t>6.</w:t>
      </w:r>
      <w:r>
        <w:rPr>
          <w:rStyle w:val="26"/>
          <w:rFonts w:ascii="宋体" w:hAnsi="宋体" w:eastAsia="宋体" w:cs="宋体"/>
          <w:bCs/>
          <w:color w:val="auto"/>
          <w:sz w:val="28"/>
          <w:szCs w:val="28"/>
          <w:highlight w:val="none"/>
        </w:rPr>
        <w:t>3.5</w:t>
      </w:r>
      <w:r>
        <w:rPr>
          <w:rStyle w:val="26"/>
          <w:rFonts w:hint="eastAsia" w:ascii="宋体" w:hAnsi="宋体" w:eastAsia="宋体" w:cs="宋体"/>
          <w:bCs/>
          <w:color w:val="auto"/>
          <w:sz w:val="28"/>
          <w:szCs w:val="28"/>
          <w:highlight w:val="none"/>
        </w:rPr>
        <w:t>生活设施</w:t>
      </w:r>
    </w:p>
    <w:p w14:paraId="26BF0BE5">
      <w:pPr>
        <w:spacing w:line="560" w:lineRule="exact"/>
        <w:ind w:firstLine="560" w:firstLineChars="200"/>
        <w:jc w:val="left"/>
        <w:rPr>
          <w:rFonts w:ascii="宋体" w:cs="宋体"/>
          <w:bCs/>
          <w:color w:val="auto"/>
          <w:sz w:val="28"/>
          <w:szCs w:val="28"/>
          <w:highlight w:val="none"/>
        </w:rPr>
      </w:pPr>
      <w:r>
        <w:rPr>
          <w:rFonts w:hint="eastAsia" w:ascii="宋体" w:hAnsi="宋体" w:cs="宋体"/>
          <w:color w:val="auto"/>
          <w:sz w:val="28"/>
          <w:szCs w:val="28"/>
          <w:highlight w:val="none"/>
        </w:rPr>
        <w:t>江苏索普新材料科技有限公司</w:t>
      </w:r>
      <w:r>
        <w:rPr>
          <w:rFonts w:hint="eastAsia" w:ascii="宋体" w:hAnsi="宋体" w:cs="宋体"/>
          <w:bCs/>
          <w:color w:val="auto"/>
          <w:sz w:val="28"/>
          <w:szCs w:val="28"/>
          <w:highlight w:val="none"/>
        </w:rPr>
        <w:t>已有必要的生活福利设施，本项目不另行增设。</w:t>
      </w:r>
    </w:p>
    <w:p w14:paraId="07AB0ED6">
      <w:pPr>
        <w:pStyle w:val="21"/>
        <w:spacing w:line="560" w:lineRule="exact"/>
        <w:ind w:firstLine="31680"/>
        <w:jc w:val="left"/>
        <w:outlineLvl w:val="2"/>
        <w:rPr>
          <w:rStyle w:val="26"/>
          <w:rFonts w:ascii="宋体" w:hAnsi="Calibri" w:eastAsia="宋体" w:cs="宋体"/>
          <w:bCs/>
          <w:color w:val="auto"/>
          <w:sz w:val="28"/>
          <w:szCs w:val="28"/>
          <w:highlight w:val="none"/>
        </w:rPr>
      </w:pPr>
      <w:r>
        <w:rPr>
          <w:rStyle w:val="26"/>
          <w:rFonts w:hint="eastAsia" w:ascii="宋体" w:hAnsi="宋体" w:cs="宋体"/>
          <w:bCs/>
          <w:color w:val="auto"/>
          <w:sz w:val="28"/>
          <w:szCs w:val="28"/>
          <w:highlight w:val="none"/>
          <w:lang w:eastAsia="zh-CN"/>
        </w:rPr>
        <w:t>6.</w:t>
      </w:r>
      <w:r>
        <w:rPr>
          <w:rStyle w:val="26"/>
          <w:rFonts w:ascii="宋体" w:hAnsi="宋体" w:eastAsia="宋体" w:cs="宋体"/>
          <w:bCs/>
          <w:color w:val="auto"/>
          <w:sz w:val="28"/>
          <w:szCs w:val="28"/>
          <w:highlight w:val="none"/>
        </w:rPr>
        <w:t>3.6</w:t>
      </w:r>
      <w:r>
        <w:rPr>
          <w:rStyle w:val="26"/>
          <w:rFonts w:hint="eastAsia" w:ascii="宋体" w:hAnsi="宋体" w:eastAsia="宋体" w:cs="宋体"/>
          <w:bCs/>
          <w:color w:val="auto"/>
          <w:sz w:val="28"/>
          <w:szCs w:val="28"/>
          <w:highlight w:val="none"/>
        </w:rPr>
        <w:t>本项目用地</w:t>
      </w:r>
    </w:p>
    <w:p w14:paraId="5F761B1F">
      <w:pPr>
        <w:spacing w:line="560" w:lineRule="exact"/>
        <w:ind w:firstLine="480" w:firstLineChars="200"/>
        <w:jc w:val="center"/>
        <w:outlineLvl w:val="0"/>
        <w:rPr>
          <w:rFonts w:ascii="宋体"/>
          <w:color w:val="auto"/>
          <w:sz w:val="24"/>
          <w:highlight w:val="none"/>
        </w:rPr>
      </w:pPr>
      <w:bookmarkStart w:id="479" w:name="_Toc31460"/>
      <w:bookmarkStart w:id="480" w:name="_Toc29033"/>
      <w:bookmarkStart w:id="481" w:name="_Toc5282"/>
      <w:bookmarkStart w:id="482" w:name="_Toc32056"/>
      <w:bookmarkStart w:id="483" w:name="_Toc21469"/>
      <w:bookmarkStart w:id="484" w:name="_Toc951"/>
      <w:r>
        <w:rPr>
          <w:rFonts w:hint="eastAsia" w:ascii="宋体"/>
          <w:color w:val="auto"/>
          <w:sz w:val="24"/>
          <w:highlight w:val="none"/>
          <w:lang w:val="en-US" w:eastAsia="zh-CN"/>
        </w:rPr>
        <w:t xml:space="preserve">表6.3-1 </w:t>
      </w:r>
      <w:r>
        <w:rPr>
          <w:rFonts w:hint="eastAsia" w:ascii="宋体"/>
          <w:color w:val="auto"/>
          <w:sz w:val="24"/>
          <w:highlight w:val="none"/>
        </w:rPr>
        <w:t>主要建构筑物一览表</w:t>
      </w:r>
      <w:bookmarkEnd w:id="479"/>
      <w:bookmarkEnd w:id="480"/>
      <w:bookmarkEnd w:id="481"/>
      <w:bookmarkEnd w:id="482"/>
      <w:bookmarkEnd w:id="483"/>
      <w:bookmarkEnd w:id="484"/>
    </w:p>
    <w:tbl>
      <w:tblPr>
        <w:tblStyle w:val="15"/>
        <w:tblW w:w="4997" w:type="pct"/>
        <w:tblInd w:w="0" w:type="dxa"/>
        <w:tblLayout w:type="autofit"/>
        <w:tblCellMar>
          <w:top w:w="0" w:type="dxa"/>
          <w:left w:w="108" w:type="dxa"/>
          <w:bottom w:w="0" w:type="dxa"/>
          <w:right w:w="108" w:type="dxa"/>
        </w:tblCellMar>
      </w:tblPr>
      <w:tblGrid>
        <w:gridCol w:w="839"/>
        <w:gridCol w:w="1963"/>
        <w:gridCol w:w="1808"/>
        <w:gridCol w:w="1116"/>
        <w:gridCol w:w="1950"/>
        <w:gridCol w:w="841"/>
      </w:tblGrid>
      <w:tr w14:paraId="442FD4CE">
        <w:tblPrEx>
          <w:tblCellMar>
            <w:top w:w="0" w:type="dxa"/>
            <w:left w:w="108" w:type="dxa"/>
            <w:bottom w:w="0" w:type="dxa"/>
            <w:right w:w="108" w:type="dxa"/>
          </w:tblCellMar>
        </w:tblPrEx>
        <w:trPr>
          <w:trHeight w:val="567" w:hRule="atLeast"/>
        </w:trPr>
        <w:tc>
          <w:tcPr>
            <w:tcW w:w="492" w:type="pct"/>
            <w:tcBorders>
              <w:top w:val="single" w:color="000000" w:sz="4" w:space="0"/>
              <w:left w:val="single" w:color="000000" w:sz="4" w:space="0"/>
              <w:bottom w:val="single" w:color="000000" w:sz="4" w:space="0"/>
              <w:right w:val="single" w:color="000000" w:sz="4" w:space="0"/>
            </w:tcBorders>
            <w:noWrap/>
            <w:vAlign w:val="center"/>
          </w:tcPr>
          <w:p w14:paraId="1CEA39FC">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序号</w:t>
            </w:r>
          </w:p>
        </w:tc>
        <w:tc>
          <w:tcPr>
            <w:tcW w:w="1152" w:type="pct"/>
            <w:tcBorders>
              <w:top w:val="single" w:color="000000" w:sz="4" w:space="0"/>
              <w:left w:val="single" w:color="000000" w:sz="4" w:space="0"/>
              <w:bottom w:val="single" w:color="000000" w:sz="4" w:space="0"/>
              <w:right w:val="single" w:color="000000" w:sz="4" w:space="0"/>
            </w:tcBorders>
            <w:noWrap/>
            <w:vAlign w:val="center"/>
          </w:tcPr>
          <w:p w14:paraId="2F15BD3D">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项目名称</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719F2128">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占地面积</w:t>
            </w:r>
            <w:r>
              <w:rPr>
                <w:rFonts w:ascii="宋体" w:hAnsi="宋体" w:cs="宋体"/>
                <w:color w:val="auto"/>
                <w:kern w:val="0"/>
                <w:szCs w:val="21"/>
                <w:highlight w:val="none"/>
              </w:rPr>
              <w:t>/</w:t>
            </w:r>
            <w:r>
              <w:rPr>
                <w:rFonts w:hint="eastAsia" w:ascii="宋体" w:hAnsi="宋体" w:cs="宋体"/>
                <w:color w:val="auto"/>
                <w:kern w:val="0"/>
                <w:szCs w:val="21"/>
                <w:highlight w:val="none"/>
              </w:rPr>
              <w:t>㎡</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756F196F">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结构</w:t>
            </w:r>
          </w:p>
        </w:tc>
        <w:tc>
          <w:tcPr>
            <w:tcW w:w="1144" w:type="pct"/>
            <w:tcBorders>
              <w:top w:val="single" w:color="000000" w:sz="4" w:space="0"/>
              <w:left w:val="single" w:color="000000" w:sz="4" w:space="0"/>
              <w:bottom w:val="single" w:color="000000" w:sz="4" w:space="0"/>
              <w:right w:val="single" w:color="000000" w:sz="4" w:space="0"/>
            </w:tcBorders>
            <w:noWrap/>
            <w:vAlign w:val="center"/>
          </w:tcPr>
          <w:p w14:paraId="3BC9CBFB">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火灾危险类别</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7646058B">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备注</w:t>
            </w:r>
          </w:p>
        </w:tc>
      </w:tr>
      <w:tr w14:paraId="2F3CA8E2">
        <w:tblPrEx>
          <w:tblCellMar>
            <w:top w:w="0" w:type="dxa"/>
            <w:left w:w="108" w:type="dxa"/>
            <w:bottom w:w="0" w:type="dxa"/>
            <w:right w:w="108" w:type="dxa"/>
          </w:tblCellMar>
        </w:tblPrEx>
        <w:trPr>
          <w:trHeight w:val="567" w:hRule="atLeast"/>
        </w:trPr>
        <w:tc>
          <w:tcPr>
            <w:tcW w:w="492" w:type="pct"/>
            <w:tcBorders>
              <w:top w:val="single" w:color="000000" w:sz="4" w:space="0"/>
              <w:left w:val="single" w:color="000000" w:sz="4" w:space="0"/>
              <w:bottom w:val="single" w:color="000000" w:sz="4" w:space="0"/>
              <w:right w:val="single" w:color="000000" w:sz="4" w:space="0"/>
            </w:tcBorders>
            <w:noWrap/>
            <w:vAlign w:val="center"/>
          </w:tcPr>
          <w:p w14:paraId="15F7936D">
            <w:pPr>
              <w:widowControl/>
              <w:jc w:val="center"/>
              <w:textAlignment w:val="center"/>
              <w:rPr>
                <w:rFonts w:ascii="宋体" w:cs="宋体"/>
                <w:color w:val="auto"/>
                <w:kern w:val="0"/>
                <w:szCs w:val="21"/>
                <w:highlight w:val="none"/>
              </w:rPr>
            </w:pPr>
            <w:r>
              <w:rPr>
                <w:rFonts w:ascii="宋体" w:hAnsi="宋体" w:cs="宋体"/>
                <w:color w:val="auto"/>
                <w:kern w:val="0"/>
                <w:szCs w:val="21"/>
                <w:highlight w:val="none"/>
              </w:rPr>
              <w:t>1</w:t>
            </w:r>
          </w:p>
        </w:tc>
        <w:tc>
          <w:tcPr>
            <w:tcW w:w="1152" w:type="pct"/>
            <w:tcBorders>
              <w:top w:val="single" w:color="000000" w:sz="4" w:space="0"/>
              <w:left w:val="single" w:color="000000" w:sz="4" w:space="0"/>
              <w:bottom w:val="single" w:color="000000" w:sz="4" w:space="0"/>
              <w:right w:val="single" w:color="000000" w:sz="4" w:space="0"/>
            </w:tcBorders>
            <w:noWrap/>
            <w:vAlign w:val="center"/>
          </w:tcPr>
          <w:p w14:paraId="0C7A1E9C">
            <w:pPr>
              <w:widowControl/>
              <w:jc w:val="center"/>
              <w:textAlignment w:val="center"/>
              <w:rPr>
                <w:rFonts w:hint="default" w:asci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盐酸储罐基础</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005DB5E7">
            <w:pPr>
              <w:widowControl/>
              <w:jc w:val="center"/>
              <w:textAlignment w:val="center"/>
              <w:rPr>
                <w:rFonts w:hint="default" w:asci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870</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E48FFDD">
            <w:pPr>
              <w:widowControl/>
              <w:jc w:val="center"/>
              <w:textAlignment w:val="center"/>
              <w:rPr>
                <w:rFonts w:hint="eastAsia" w:asci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钢筋砼</w:t>
            </w:r>
          </w:p>
        </w:tc>
        <w:tc>
          <w:tcPr>
            <w:tcW w:w="1144" w:type="pct"/>
            <w:tcBorders>
              <w:top w:val="single" w:color="000000" w:sz="4" w:space="0"/>
              <w:left w:val="single" w:color="000000" w:sz="4" w:space="0"/>
              <w:bottom w:val="single" w:color="000000" w:sz="4" w:space="0"/>
              <w:right w:val="single" w:color="000000" w:sz="4" w:space="0"/>
            </w:tcBorders>
            <w:noWrap/>
            <w:vAlign w:val="center"/>
          </w:tcPr>
          <w:p w14:paraId="7BC48968">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lang w:val="en-US" w:eastAsia="zh-CN"/>
              </w:rPr>
              <w:t>丁</w:t>
            </w:r>
            <w:r>
              <w:rPr>
                <w:rFonts w:hint="eastAsia" w:ascii="宋体" w:hAnsi="宋体" w:cs="宋体"/>
                <w:color w:val="auto"/>
                <w:kern w:val="0"/>
                <w:szCs w:val="21"/>
                <w:highlight w:val="none"/>
              </w:rPr>
              <w:t>类</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121F3D5">
            <w:pPr>
              <w:widowControl/>
              <w:jc w:val="center"/>
              <w:textAlignment w:val="center"/>
              <w:rPr>
                <w:rFonts w:ascii="宋体" w:cs="宋体"/>
                <w:color w:val="auto"/>
                <w:kern w:val="0"/>
                <w:szCs w:val="21"/>
                <w:highlight w:val="none"/>
              </w:rPr>
            </w:pPr>
          </w:p>
        </w:tc>
      </w:tr>
      <w:tr w14:paraId="2202C332">
        <w:tblPrEx>
          <w:tblCellMar>
            <w:top w:w="0" w:type="dxa"/>
            <w:left w:w="108" w:type="dxa"/>
            <w:bottom w:w="0" w:type="dxa"/>
            <w:right w:w="108" w:type="dxa"/>
          </w:tblCellMar>
        </w:tblPrEx>
        <w:trPr>
          <w:trHeight w:val="567" w:hRule="atLeast"/>
        </w:trPr>
        <w:tc>
          <w:tcPr>
            <w:tcW w:w="492" w:type="pct"/>
            <w:tcBorders>
              <w:top w:val="single" w:color="000000" w:sz="4" w:space="0"/>
              <w:left w:val="single" w:color="000000" w:sz="4" w:space="0"/>
              <w:bottom w:val="single" w:color="000000" w:sz="4" w:space="0"/>
              <w:right w:val="single" w:color="000000" w:sz="4" w:space="0"/>
            </w:tcBorders>
            <w:noWrap/>
            <w:vAlign w:val="center"/>
          </w:tcPr>
          <w:p w14:paraId="227D577F">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1152" w:type="pct"/>
            <w:tcBorders>
              <w:top w:val="single" w:color="000000" w:sz="4" w:space="0"/>
              <w:left w:val="single" w:color="000000" w:sz="4" w:space="0"/>
              <w:bottom w:val="single" w:color="000000" w:sz="4" w:space="0"/>
              <w:right w:val="single" w:color="000000" w:sz="4" w:space="0"/>
            </w:tcBorders>
            <w:noWrap/>
            <w:vAlign w:val="center"/>
          </w:tcPr>
          <w:p w14:paraId="042920A4">
            <w:pPr>
              <w:widowControl/>
              <w:jc w:val="center"/>
              <w:textAlignment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醋酐储罐基础</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4002">
            <w:pPr>
              <w:widowControl/>
              <w:jc w:val="center"/>
              <w:textAlignment w:val="center"/>
              <w:rPr>
                <w:rFonts w:hint="default" w:ascii="宋体" w:hAnsi="Calibri" w:eastAsia="宋体" w:cs="宋体"/>
                <w:color w:val="auto"/>
                <w:kern w:val="0"/>
                <w:sz w:val="21"/>
                <w:szCs w:val="21"/>
                <w:highlight w:val="none"/>
                <w:lang w:val="en-US" w:eastAsia="zh-CN" w:bidi="ar-SA"/>
              </w:rPr>
            </w:pPr>
            <w:r>
              <w:rPr>
                <w:rFonts w:hint="eastAsia" w:ascii="宋体" w:cs="宋体"/>
                <w:color w:val="auto"/>
                <w:kern w:val="0"/>
                <w:sz w:val="21"/>
                <w:szCs w:val="21"/>
                <w:highlight w:val="none"/>
                <w:lang w:val="en-US" w:eastAsia="zh-CN" w:bidi="ar-SA"/>
              </w:rPr>
              <w:t>80</w:t>
            </w:r>
          </w:p>
        </w:tc>
        <w:tc>
          <w:tcPr>
            <w:tcW w:w="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9E8B">
            <w:pPr>
              <w:widowControl/>
              <w:jc w:val="center"/>
              <w:textAlignment w:val="center"/>
              <w:rPr>
                <w:rFonts w:hint="eastAsia" w:ascii="宋体" w:hAnsi="Calibri" w:eastAsia="宋体" w:cs="宋体"/>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钢筋砼</w:t>
            </w:r>
          </w:p>
        </w:tc>
        <w:tc>
          <w:tcPr>
            <w:tcW w:w="1144" w:type="pct"/>
            <w:tcBorders>
              <w:top w:val="single" w:color="000000" w:sz="4" w:space="0"/>
              <w:left w:val="single" w:color="000000" w:sz="4" w:space="0"/>
              <w:bottom w:val="single" w:color="000000" w:sz="4" w:space="0"/>
              <w:right w:val="single" w:color="000000" w:sz="4" w:space="0"/>
            </w:tcBorders>
            <w:noWrap/>
            <w:vAlign w:val="center"/>
          </w:tcPr>
          <w:p w14:paraId="1EA0B6C0">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乙类</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7A10F191">
            <w:pPr>
              <w:widowControl/>
              <w:jc w:val="center"/>
              <w:textAlignment w:val="center"/>
              <w:rPr>
                <w:rFonts w:hint="eastAsia" w:ascii="宋体" w:hAnsi="宋体" w:cs="宋体"/>
                <w:color w:val="auto"/>
                <w:kern w:val="0"/>
                <w:szCs w:val="21"/>
                <w:highlight w:val="none"/>
              </w:rPr>
            </w:pPr>
          </w:p>
        </w:tc>
      </w:tr>
      <w:tr w14:paraId="11AC9041">
        <w:tblPrEx>
          <w:tblCellMar>
            <w:top w:w="0" w:type="dxa"/>
            <w:left w:w="108" w:type="dxa"/>
            <w:bottom w:w="0" w:type="dxa"/>
            <w:right w:w="108" w:type="dxa"/>
          </w:tblCellMar>
        </w:tblPrEx>
        <w:trPr>
          <w:trHeight w:val="567" w:hRule="atLeast"/>
        </w:trPr>
        <w:tc>
          <w:tcPr>
            <w:tcW w:w="492" w:type="pct"/>
            <w:tcBorders>
              <w:top w:val="single" w:color="000000" w:sz="4" w:space="0"/>
              <w:left w:val="single" w:color="000000" w:sz="4" w:space="0"/>
              <w:bottom w:val="single" w:color="000000" w:sz="4" w:space="0"/>
              <w:right w:val="single" w:color="000000" w:sz="4" w:space="0"/>
            </w:tcBorders>
            <w:noWrap/>
            <w:vAlign w:val="center"/>
          </w:tcPr>
          <w:p w14:paraId="6E9A9526">
            <w:pPr>
              <w:widowControl/>
              <w:jc w:val="center"/>
              <w:textAlignment w:val="center"/>
              <w:rPr>
                <w:rFonts w:ascii="宋体" w:cs="宋体"/>
                <w:color w:val="auto"/>
                <w:kern w:val="0"/>
                <w:szCs w:val="21"/>
                <w:highlight w:val="none"/>
              </w:rPr>
            </w:pPr>
          </w:p>
        </w:tc>
        <w:tc>
          <w:tcPr>
            <w:tcW w:w="1152" w:type="pct"/>
            <w:tcBorders>
              <w:top w:val="single" w:color="000000" w:sz="4" w:space="0"/>
              <w:left w:val="single" w:color="000000" w:sz="4" w:space="0"/>
              <w:bottom w:val="single" w:color="000000" w:sz="4" w:space="0"/>
              <w:right w:val="single" w:color="000000" w:sz="4" w:space="0"/>
            </w:tcBorders>
            <w:noWrap/>
            <w:vAlign w:val="center"/>
          </w:tcPr>
          <w:p w14:paraId="33D80E99">
            <w:pPr>
              <w:widowControl/>
              <w:jc w:val="center"/>
              <w:textAlignment w:val="center"/>
              <w:rPr>
                <w:rFonts w:ascii="宋体" w:cs="宋体"/>
                <w:color w:val="auto"/>
                <w:kern w:val="0"/>
                <w:szCs w:val="21"/>
                <w:highlight w:val="none"/>
              </w:rPr>
            </w:pPr>
            <w:r>
              <w:rPr>
                <w:rFonts w:hint="eastAsia" w:ascii="宋体" w:hAnsi="宋体" w:cs="宋体"/>
                <w:color w:val="auto"/>
                <w:kern w:val="0"/>
                <w:szCs w:val="21"/>
                <w:highlight w:val="none"/>
              </w:rPr>
              <w:t>合计</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68586BDB">
            <w:pPr>
              <w:widowControl/>
              <w:jc w:val="center"/>
              <w:textAlignment w:val="center"/>
              <w:rPr>
                <w:rFonts w:hint="default" w:ascii="宋体" w:eastAsia="宋体" w:cs="宋体"/>
                <w:color w:val="auto"/>
                <w:kern w:val="0"/>
                <w:szCs w:val="21"/>
                <w:highlight w:val="none"/>
                <w:lang w:val="en-US" w:eastAsia="zh-CN"/>
              </w:rPr>
            </w:pPr>
            <w:r>
              <w:rPr>
                <w:rFonts w:hint="eastAsia" w:ascii="宋体" w:cs="宋体"/>
                <w:color w:val="auto"/>
                <w:kern w:val="0"/>
                <w:szCs w:val="21"/>
                <w:highlight w:val="none"/>
                <w:lang w:val="en-US" w:eastAsia="zh-CN"/>
              </w:rPr>
              <w:t>950</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5822AB28">
            <w:pPr>
              <w:widowControl/>
              <w:jc w:val="center"/>
              <w:textAlignment w:val="center"/>
              <w:rPr>
                <w:rFonts w:ascii="宋体" w:cs="宋体"/>
                <w:color w:val="auto"/>
                <w:kern w:val="0"/>
                <w:szCs w:val="21"/>
                <w:highlight w:val="none"/>
              </w:rPr>
            </w:pPr>
          </w:p>
        </w:tc>
        <w:tc>
          <w:tcPr>
            <w:tcW w:w="1144" w:type="pct"/>
            <w:tcBorders>
              <w:top w:val="single" w:color="000000" w:sz="4" w:space="0"/>
              <w:left w:val="single" w:color="000000" w:sz="4" w:space="0"/>
              <w:bottom w:val="single" w:color="000000" w:sz="4" w:space="0"/>
              <w:right w:val="single" w:color="000000" w:sz="4" w:space="0"/>
            </w:tcBorders>
            <w:noWrap/>
            <w:vAlign w:val="center"/>
          </w:tcPr>
          <w:p w14:paraId="45FD9540">
            <w:pPr>
              <w:widowControl/>
              <w:jc w:val="center"/>
              <w:textAlignment w:val="center"/>
              <w:rPr>
                <w:rFonts w:ascii="宋体" w:cs="宋体"/>
                <w:color w:val="auto"/>
                <w:kern w:val="0"/>
                <w:szCs w:val="21"/>
                <w:highlight w:val="none"/>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1C8C8F1">
            <w:pPr>
              <w:widowControl/>
              <w:jc w:val="center"/>
              <w:textAlignment w:val="center"/>
              <w:rPr>
                <w:rFonts w:ascii="宋体" w:cs="宋体"/>
                <w:color w:val="auto"/>
                <w:kern w:val="0"/>
                <w:szCs w:val="21"/>
                <w:highlight w:val="none"/>
              </w:rPr>
            </w:pPr>
          </w:p>
        </w:tc>
      </w:tr>
    </w:tbl>
    <w:p w14:paraId="54C4463E">
      <w:pPr>
        <w:rPr>
          <w:color w:val="auto"/>
          <w:highlight w:val="none"/>
        </w:rPr>
      </w:pPr>
    </w:p>
    <w:p w14:paraId="462CABB5">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41BE43F4">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485" w:name="_Toc20754"/>
      <w:bookmarkStart w:id="486" w:name="_Toc5246_WPSOffice_Level1"/>
      <w:bookmarkStart w:id="487" w:name="_Toc17501_WPSOffice_Level1"/>
      <w:bookmarkStart w:id="488" w:name="_Toc8947"/>
      <w:bookmarkStart w:id="489" w:name="_Toc19292"/>
      <w:bookmarkStart w:id="490" w:name="_Toc20681"/>
      <w:bookmarkStart w:id="491" w:name="_Toc2960_WPSOffice_Level1"/>
      <w:bookmarkStart w:id="492" w:name="_Toc24070"/>
      <w:bookmarkStart w:id="493" w:name="_Toc27902"/>
      <w:bookmarkStart w:id="494" w:name="_Toc11353_WPSOffice_Level1"/>
      <w:r>
        <w:rPr>
          <w:rFonts w:hint="eastAsia" w:ascii="宋体" w:hAnsi="宋体" w:eastAsia="宋体" w:cs="宋体"/>
          <w:b/>
          <w:bCs w:val="0"/>
          <w:color w:val="auto"/>
          <w:sz w:val="32"/>
          <w:szCs w:val="32"/>
          <w:highlight w:val="none"/>
          <w:lang w:val="zh-CN"/>
        </w:rPr>
        <w:t>第</w:t>
      </w:r>
      <w:r>
        <w:rPr>
          <w:rFonts w:hint="eastAsia" w:ascii="宋体" w:hAnsi="宋体" w:eastAsia="宋体" w:cs="宋体"/>
          <w:b/>
          <w:bCs w:val="0"/>
          <w:color w:val="auto"/>
          <w:sz w:val="32"/>
          <w:szCs w:val="32"/>
          <w:highlight w:val="none"/>
          <w:lang w:val="en-US" w:eastAsia="zh-CN"/>
        </w:rPr>
        <w:t>七</w:t>
      </w:r>
      <w:r>
        <w:rPr>
          <w:rFonts w:hint="eastAsia" w:ascii="宋体" w:hAnsi="宋体" w:eastAsia="宋体" w:cs="宋体"/>
          <w:b/>
          <w:bCs w:val="0"/>
          <w:color w:val="auto"/>
          <w:sz w:val="32"/>
          <w:szCs w:val="32"/>
          <w:highlight w:val="none"/>
          <w:lang w:val="zh-CN"/>
        </w:rPr>
        <w:t>章 公用工程方案及辅助生产设施</w:t>
      </w:r>
      <w:bookmarkEnd w:id="485"/>
      <w:bookmarkEnd w:id="486"/>
      <w:bookmarkEnd w:id="487"/>
      <w:bookmarkEnd w:id="488"/>
      <w:bookmarkEnd w:id="489"/>
      <w:bookmarkEnd w:id="490"/>
      <w:bookmarkEnd w:id="491"/>
      <w:bookmarkEnd w:id="492"/>
      <w:bookmarkEnd w:id="493"/>
      <w:bookmarkEnd w:id="494"/>
    </w:p>
    <w:p w14:paraId="5A95DEC3">
      <w:pPr>
        <w:pStyle w:val="21"/>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bCs/>
          <w:color w:val="auto"/>
          <w:sz w:val="28"/>
          <w:szCs w:val="28"/>
          <w:highlight w:val="none"/>
        </w:rPr>
      </w:pPr>
      <w:bookmarkStart w:id="495" w:name="_Toc18505"/>
      <w:bookmarkStart w:id="496" w:name="_Toc14615"/>
      <w:bookmarkStart w:id="497" w:name="_Toc18701"/>
      <w:bookmarkStart w:id="498" w:name="_Toc30369_WPSOffice_Level2"/>
      <w:bookmarkStart w:id="499" w:name="_Toc30854"/>
      <w:bookmarkStart w:id="500" w:name="_Toc8030_WPSOffice_Level2"/>
      <w:bookmarkStart w:id="501" w:name="_Toc18043"/>
      <w:bookmarkStart w:id="502" w:name="_Toc7621_WPSOffice_Level2"/>
      <w:bookmarkStart w:id="503" w:name="_Toc438214671"/>
      <w:bookmarkStart w:id="504" w:name="_Toc30860_WPSOffice_Level2"/>
      <w:bookmarkStart w:id="505" w:name="_Toc16595"/>
      <w:r>
        <w:rPr>
          <w:rFonts w:hint="eastAsia" w:ascii="宋体" w:hAnsi="宋体" w:cs="宋体"/>
          <w:bCs/>
          <w:color w:val="auto"/>
          <w:sz w:val="28"/>
          <w:szCs w:val="28"/>
          <w:highlight w:val="none"/>
          <w:lang w:eastAsia="zh-CN"/>
        </w:rPr>
        <w:t>7.</w:t>
      </w:r>
      <w:r>
        <w:rPr>
          <w:rFonts w:ascii="宋体" w:hAnsi="宋体" w:cs="宋体"/>
          <w:bCs/>
          <w:color w:val="auto"/>
          <w:sz w:val="28"/>
          <w:szCs w:val="28"/>
          <w:highlight w:val="none"/>
        </w:rPr>
        <w:t xml:space="preserve">1 </w:t>
      </w:r>
      <w:r>
        <w:rPr>
          <w:rFonts w:hint="eastAsia" w:ascii="宋体" w:hAnsi="宋体" w:cs="宋体"/>
          <w:bCs/>
          <w:color w:val="auto"/>
          <w:sz w:val="28"/>
          <w:szCs w:val="28"/>
          <w:highlight w:val="none"/>
        </w:rPr>
        <w:t>公用工程方案</w:t>
      </w:r>
      <w:bookmarkEnd w:id="495"/>
      <w:bookmarkEnd w:id="496"/>
      <w:bookmarkEnd w:id="497"/>
      <w:bookmarkEnd w:id="498"/>
      <w:bookmarkEnd w:id="499"/>
      <w:bookmarkEnd w:id="500"/>
      <w:bookmarkEnd w:id="501"/>
      <w:bookmarkEnd w:id="502"/>
      <w:bookmarkEnd w:id="503"/>
      <w:bookmarkEnd w:id="504"/>
      <w:bookmarkEnd w:id="505"/>
    </w:p>
    <w:p w14:paraId="1C46B78A">
      <w:pPr>
        <w:pStyle w:val="21"/>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bCs/>
          <w:color w:val="auto"/>
          <w:sz w:val="28"/>
          <w:szCs w:val="28"/>
          <w:highlight w:val="none"/>
        </w:rPr>
      </w:pPr>
      <w:bookmarkStart w:id="506" w:name="_Toc273"/>
      <w:bookmarkStart w:id="507" w:name="_Toc29413"/>
      <w:bookmarkStart w:id="508" w:name="_Toc13349"/>
      <w:bookmarkStart w:id="509" w:name="_Toc19689"/>
      <w:bookmarkStart w:id="510" w:name="_Toc399683798"/>
      <w:bookmarkStart w:id="511" w:name="_Toc30052"/>
      <w:bookmarkStart w:id="512" w:name="_Toc32585"/>
      <w:bookmarkStart w:id="513" w:name="_Toc438214672"/>
      <w:r>
        <w:rPr>
          <w:rFonts w:hint="eastAsia" w:ascii="宋体" w:hAnsi="宋体" w:cs="宋体"/>
          <w:bCs/>
          <w:color w:val="auto"/>
          <w:sz w:val="28"/>
          <w:szCs w:val="28"/>
          <w:highlight w:val="none"/>
          <w:lang w:eastAsia="zh-CN"/>
        </w:rPr>
        <w:t>7.</w:t>
      </w:r>
      <w:r>
        <w:rPr>
          <w:rFonts w:ascii="宋体" w:hAnsi="宋体" w:cs="宋体"/>
          <w:bCs/>
          <w:color w:val="auto"/>
          <w:sz w:val="28"/>
          <w:szCs w:val="28"/>
          <w:highlight w:val="none"/>
        </w:rPr>
        <w:t>1.1</w:t>
      </w:r>
      <w:r>
        <w:rPr>
          <w:rFonts w:hint="eastAsia" w:ascii="宋体" w:hAnsi="宋体" w:cs="宋体"/>
          <w:bCs/>
          <w:color w:val="auto"/>
          <w:sz w:val="28"/>
          <w:szCs w:val="28"/>
          <w:highlight w:val="none"/>
        </w:rPr>
        <w:t>给排水</w:t>
      </w:r>
      <w:bookmarkEnd w:id="506"/>
      <w:bookmarkEnd w:id="507"/>
      <w:bookmarkEnd w:id="508"/>
      <w:bookmarkEnd w:id="509"/>
      <w:bookmarkEnd w:id="510"/>
      <w:bookmarkEnd w:id="511"/>
      <w:bookmarkEnd w:id="512"/>
      <w:bookmarkEnd w:id="513"/>
    </w:p>
    <w:p w14:paraId="3C4B41D9">
      <w:pPr>
        <w:pStyle w:val="21"/>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bCs/>
          <w:color w:val="auto"/>
          <w:sz w:val="28"/>
          <w:szCs w:val="28"/>
          <w:highlight w:val="none"/>
        </w:rPr>
      </w:pPr>
      <w:bookmarkStart w:id="514" w:name="_Toc3158"/>
      <w:bookmarkStart w:id="515" w:name="_Toc29189"/>
      <w:bookmarkStart w:id="516" w:name="_Toc27218"/>
      <w:bookmarkStart w:id="517" w:name="_Toc9218"/>
      <w:bookmarkStart w:id="518" w:name="_Toc6757"/>
      <w:bookmarkStart w:id="519" w:name="_Toc2522"/>
      <w:r>
        <w:rPr>
          <w:rFonts w:hint="eastAsia" w:ascii="宋体" w:hAnsi="宋体" w:eastAsia="宋体" w:cs="宋体"/>
          <w:bCs/>
          <w:color w:val="auto"/>
          <w:sz w:val="28"/>
          <w:szCs w:val="28"/>
          <w:highlight w:val="none"/>
        </w:rPr>
        <w:t>本项目为江苏索普新材料科技有限公司新增储罐项目，公司内原有给排水设施已包括：生产给水系统，独立消防给水系统，清净</w:t>
      </w:r>
      <w:r>
        <w:rPr>
          <w:rFonts w:hint="eastAsia" w:ascii="宋体" w:hAnsi="宋体" w:cs="宋体"/>
          <w:bCs/>
          <w:color w:val="auto"/>
          <w:sz w:val="28"/>
          <w:szCs w:val="28"/>
          <w:highlight w:val="none"/>
        </w:rPr>
        <w:t>排水系统、生产污水排水系统、生活污水排水系统。该区域的给排水设计能基本满足本项目的需要。</w:t>
      </w:r>
      <w:bookmarkEnd w:id="514"/>
      <w:bookmarkEnd w:id="515"/>
      <w:bookmarkEnd w:id="516"/>
      <w:bookmarkEnd w:id="517"/>
      <w:bookmarkEnd w:id="518"/>
      <w:bookmarkEnd w:id="519"/>
    </w:p>
    <w:p w14:paraId="6A0E4872">
      <w:pPr>
        <w:pStyle w:val="21"/>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bCs/>
          <w:color w:val="auto"/>
          <w:sz w:val="28"/>
          <w:szCs w:val="28"/>
          <w:highlight w:val="none"/>
        </w:rPr>
      </w:pPr>
      <w:bookmarkStart w:id="520" w:name="_Toc20428"/>
      <w:bookmarkStart w:id="521" w:name="_Toc12700"/>
      <w:bookmarkStart w:id="522" w:name="_Toc9343"/>
      <w:bookmarkStart w:id="523" w:name="_Toc28637"/>
      <w:bookmarkStart w:id="524" w:name="_Toc22754"/>
      <w:bookmarkStart w:id="525" w:name="_Toc1708"/>
      <w:bookmarkStart w:id="526" w:name="_Toc399683799"/>
      <w:bookmarkStart w:id="527" w:name="_Toc438214673"/>
      <w:r>
        <w:rPr>
          <w:rFonts w:hint="eastAsia" w:ascii="宋体" w:hAnsi="宋体" w:cs="宋体"/>
          <w:bCs/>
          <w:color w:val="auto"/>
          <w:sz w:val="28"/>
          <w:szCs w:val="28"/>
          <w:highlight w:val="none"/>
        </w:rPr>
        <w:t>（</w:t>
      </w:r>
      <w:r>
        <w:rPr>
          <w:rFonts w:ascii="宋体" w:hAnsi="宋体" w:cs="宋体"/>
          <w:bCs/>
          <w:color w:val="auto"/>
          <w:sz w:val="28"/>
          <w:szCs w:val="28"/>
          <w:highlight w:val="none"/>
        </w:rPr>
        <w:t>1</w:t>
      </w:r>
      <w:r>
        <w:rPr>
          <w:rFonts w:hint="eastAsia" w:ascii="宋体" w:hAnsi="宋体" w:cs="宋体"/>
          <w:bCs/>
          <w:color w:val="auto"/>
          <w:sz w:val="28"/>
          <w:szCs w:val="28"/>
          <w:highlight w:val="none"/>
        </w:rPr>
        <w:t>）设计标准规范</w:t>
      </w:r>
      <w:bookmarkEnd w:id="520"/>
      <w:bookmarkEnd w:id="521"/>
      <w:bookmarkEnd w:id="522"/>
      <w:bookmarkEnd w:id="523"/>
      <w:bookmarkEnd w:id="524"/>
      <w:bookmarkEnd w:id="525"/>
    </w:p>
    <w:p w14:paraId="2D1965DE">
      <w:pPr>
        <w:pStyle w:val="21"/>
        <w:spacing w:line="560" w:lineRule="exact"/>
        <w:ind w:firstLine="31680"/>
        <w:jc w:val="left"/>
        <w:outlineLvl w:val="1"/>
        <w:rPr>
          <w:rFonts w:ascii="宋体" w:cs="宋体"/>
          <w:bCs/>
          <w:color w:val="auto"/>
          <w:sz w:val="28"/>
          <w:szCs w:val="28"/>
          <w:highlight w:val="none"/>
        </w:rPr>
      </w:pPr>
      <w:bookmarkStart w:id="528" w:name="_Toc13560"/>
      <w:bookmarkStart w:id="529" w:name="_Toc29733"/>
      <w:bookmarkStart w:id="530" w:name="_Toc12274"/>
      <w:bookmarkStart w:id="531" w:name="_Toc4019"/>
      <w:bookmarkStart w:id="532" w:name="_Toc28961"/>
      <w:bookmarkStart w:id="533" w:name="_Toc23901"/>
      <w:r>
        <w:rPr>
          <w:rFonts w:hint="eastAsia" w:ascii="宋体" w:hAnsi="宋体" w:cs="宋体"/>
          <w:bCs/>
          <w:color w:val="auto"/>
          <w:sz w:val="28"/>
          <w:szCs w:val="28"/>
          <w:highlight w:val="none"/>
        </w:rPr>
        <w:t>按照最新通用的中国标准和规范进行电气设计和设备的选择，主要采用的标准和规范如下</w:t>
      </w:r>
      <w:r>
        <w:rPr>
          <w:rFonts w:ascii="宋体" w:hAnsi="宋体" w:cs="宋体"/>
          <w:bCs/>
          <w:color w:val="auto"/>
          <w:sz w:val="28"/>
          <w:szCs w:val="28"/>
          <w:highlight w:val="none"/>
        </w:rPr>
        <w:t>:</w:t>
      </w:r>
      <w:bookmarkEnd w:id="528"/>
      <w:bookmarkEnd w:id="529"/>
      <w:bookmarkEnd w:id="530"/>
      <w:bookmarkEnd w:id="531"/>
      <w:bookmarkEnd w:id="532"/>
      <w:bookmarkEnd w:id="533"/>
    </w:p>
    <w:p w14:paraId="56792351">
      <w:pPr>
        <w:pStyle w:val="21"/>
        <w:spacing w:line="560" w:lineRule="exact"/>
        <w:ind w:firstLine="31680"/>
        <w:jc w:val="left"/>
        <w:outlineLvl w:val="1"/>
        <w:rPr>
          <w:rFonts w:ascii="宋体" w:cs="宋体"/>
          <w:bCs/>
          <w:color w:val="auto"/>
          <w:sz w:val="28"/>
          <w:szCs w:val="28"/>
          <w:highlight w:val="none"/>
        </w:rPr>
      </w:pPr>
      <w:bookmarkStart w:id="534" w:name="_Toc12809"/>
      <w:bookmarkStart w:id="535" w:name="_Toc3294"/>
      <w:bookmarkStart w:id="536" w:name="_Toc22880"/>
      <w:bookmarkStart w:id="537" w:name="_Toc10882"/>
      <w:bookmarkStart w:id="538" w:name="_Toc9984"/>
      <w:bookmarkStart w:id="539" w:name="_Toc16961"/>
      <w:r>
        <w:rPr>
          <w:rFonts w:hint="eastAsia" w:ascii="宋体" w:hAnsi="宋体" w:cs="宋体"/>
          <w:bCs/>
          <w:color w:val="auto"/>
          <w:sz w:val="28"/>
          <w:szCs w:val="28"/>
          <w:highlight w:val="none"/>
        </w:rPr>
        <w:t>《室外给水设计标准》</w:t>
      </w:r>
      <w:r>
        <w:rPr>
          <w:rFonts w:ascii="宋体" w:hAnsi="宋体" w:cs="宋体"/>
          <w:bCs/>
          <w:color w:val="auto"/>
          <w:sz w:val="28"/>
          <w:szCs w:val="28"/>
          <w:highlight w:val="none"/>
        </w:rPr>
        <w:t>GB50013-2018</w:t>
      </w:r>
      <w:bookmarkEnd w:id="534"/>
      <w:bookmarkEnd w:id="535"/>
      <w:bookmarkEnd w:id="536"/>
      <w:bookmarkEnd w:id="537"/>
      <w:bookmarkEnd w:id="538"/>
      <w:bookmarkEnd w:id="539"/>
    </w:p>
    <w:p w14:paraId="220EEF02">
      <w:pPr>
        <w:pStyle w:val="21"/>
        <w:spacing w:line="560" w:lineRule="exact"/>
        <w:ind w:firstLine="31680"/>
        <w:jc w:val="left"/>
        <w:outlineLvl w:val="1"/>
        <w:rPr>
          <w:rFonts w:ascii="宋体" w:cs="宋体"/>
          <w:bCs/>
          <w:color w:val="auto"/>
          <w:sz w:val="28"/>
          <w:szCs w:val="28"/>
          <w:highlight w:val="none"/>
        </w:rPr>
      </w:pPr>
      <w:bookmarkStart w:id="540" w:name="_Toc26680"/>
      <w:bookmarkStart w:id="541" w:name="_Toc3689"/>
      <w:bookmarkStart w:id="542" w:name="_Toc27490"/>
      <w:bookmarkStart w:id="543" w:name="_Toc9234"/>
      <w:bookmarkStart w:id="544" w:name="_Toc22785"/>
      <w:bookmarkStart w:id="545" w:name="_Toc1841"/>
      <w:r>
        <w:rPr>
          <w:rFonts w:hint="eastAsia" w:ascii="宋体" w:hAnsi="宋体" w:cs="宋体"/>
          <w:bCs/>
          <w:color w:val="auto"/>
          <w:sz w:val="28"/>
          <w:szCs w:val="28"/>
          <w:highlight w:val="none"/>
        </w:rPr>
        <w:t>《室外排水设计规范》</w:t>
      </w:r>
      <w:r>
        <w:rPr>
          <w:rFonts w:ascii="宋体" w:hAnsi="宋体" w:cs="宋体"/>
          <w:bCs/>
          <w:color w:val="auto"/>
          <w:sz w:val="28"/>
          <w:szCs w:val="28"/>
          <w:highlight w:val="none"/>
        </w:rPr>
        <w:t>GB50014-20</w:t>
      </w:r>
      <w:bookmarkEnd w:id="540"/>
      <w:bookmarkEnd w:id="541"/>
      <w:bookmarkEnd w:id="542"/>
      <w:r>
        <w:rPr>
          <w:rFonts w:ascii="宋体" w:hAnsi="宋体" w:cs="宋体"/>
          <w:bCs/>
          <w:color w:val="auto"/>
          <w:sz w:val="28"/>
          <w:szCs w:val="28"/>
          <w:highlight w:val="none"/>
        </w:rPr>
        <w:t>21</w:t>
      </w:r>
      <w:bookmarkEnd w:id="543"/>
      <w:bookmarkEnd w:id="544"/>
      <w:bookmarkEnd w:id="545"/>
    </w:p>
    <w:p w14:paraId="110808BC">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《建筑给水排水设计规范》</w:t>
      </w:r>
      <w:r>
        <w:rPr>
          <w:rFonts w:ascii="宋体" w:hAnsi="宋体" w:cs="宋体"/>
          <w:bCs/>
          <w:color w:val="auto"/>
          <w:sz w:val="28"/>
          <w:szCs w:val="28"/>
          <w:highlight w:val="none"/>
        </w:rPr>
        <w:t>GB50015-2019</w:t>
      </w:r>
    </w:p>
    <w:p w14:paraId="4ED7EA9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《工业循环水冷却设计规范》</w:t>
      </w:r>
      <w:r>
        <w:rPr>
          <w:rFonts w:ascii="宋体" w:hAnsi="宋体" w:cs="宋体"/>
          <w:bCs/>
          <w:color w:val="auto"/>
          <w:sz w:val="28"/>
          <w:szCs w:val="28"/>
          <w:highlight w:val="none"/>
        </w:rPr>
        <w:t>GB50102-2014</w:t>
      </w:r>
    </w:p>
    <w:p w14:paraId="1075E43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《工业循环冷却水处理设计规范》</w:t>
      </w:r>
      <w:r>
        <w:rPr>
          <w:rFonts w:ascii="宋体" w:hAnsi="宋体" w:cs="宋体"/>
          <w:bCs/>
          <w:color w:val="auto"/>
          <w:sz w:val="28"/>
          <w:szCs w:val="28"/>
          <w:highlight w:val="none"/>
        </w:rPr>
        <w:t>GB50050-2017</w:t>
      </w:r>
    </w:p>
    <w:p w14:paraId="397CCA9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《生活饮用水卫生标准》</w:t>
      </w:r>
      <w:r>
        <w:rPr>
          <w:rFonts w:ascii="宋体" w:hAnsi="宋体" w:cs="宋体"/>
          <w:bCs/>
          <w:color w:val="auto"/>
          <w:sz w:val="28"/>
          <w:szCs w:val="28"/>
          <w:highlight w:val="none"/>
        </w:rPr>
        <w:t xml:space="preserve"> GB5749-2022</w:t>
      </w:r>
    </w:p>
    <w:p w14:paraId="647161D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《石油化工企业给水排水系统设计规范》</w:t>
      </w:r>
      <w:r>
        <w:rPr>
          <w:rFonts w:ascii="宋体" w:hAnsi="宋体" w:cs="宋体"/>
          <w:bCs/>
          <w:color w:val="auto"/>
          <w:sz w:val="28"/>
          <w:szCs w:val="28"/>
          <w:highlight w:val="none"/>
        </w:rPr>
        <w:t>SH/T3015-2019</w:t>
      </w:r>
    </w:p>
    <w:p w14:paraId="3F55D8B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《石油化工给水排水水质标准》</w:t>
      </w:r>
      <w:r>
        <w:rPr>
          <w:rFonts w:ascii="宋体" w:hAnsi="宋体" w:cs="宋体"/>
          <w:bCs/>
          <w:color w:val="auto"/>
          <w:sz w:val="28"/>
          <w:szCs w:val="28"/>
          <w:highlight w:val="none"/>
        </w:rPr>
        <w:t>SH/T3099</w:t>
      </w:r>
      <w:r>
        <w:rPr>
          <w:rFonts w:hint="eastAsia" w:ascii="宋体" w:hAnsi="宋体" w:cs="宋体"/>
          <w:bCs/>
          <w:color w:val="auto"/>
          <w:sz w:val="28"/>
          <w:szCs w:val="28"/>
          <w:highlight w:val="none"/>
        </w:rPr>
        <w:t>－</w:t>
      </w:r>
      <w:r>
        <w:rPr>
          <w:rFonts w:ascii="宋体" w:hAnsi="宋体" w:cs="宋体"/>
          <w:bCs/>
          <w:color w:val="auto"/>
          <w:sz w:val="28"/>
          <w:szCs w:val="28"/>
          <w:highlight w:val="none"/>
        </w:rPr>
        <w:t>2021</w:t>
      </w:r>
    </w:p>
    <w:p w14:paraId="391AA3C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）设计原则</w:t>
      </w:r>
    </w:p>
    <w:p w14:paraId="3F892AA4">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严格执行国家有关法律法规，强制性设计标准及规范，符合安全生产、保护环境、节约能源和节约用水的要求，便于施工、维修和操作管理。</w:t>
      </w:r>
    </w:p>
    <w:p w14:paraId="0F2C5157">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循环水处理、污水处理工艺采用成熟、先进、可靠的工艺。控制水平适中，手动和自动控制相结合，符合国情。</w:t>
      </w:r>
    </w:p>
    <w:p w14:paraId="31E0034F">
      <w:pPr>
        <w:numPr>
          <w:ilvl w:val="0"/>
          <w:numId w:val="6"/>
        </w:num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在可靠的前提下，尽可能利用国内技术与设备，达到低能耗、低成本。</w:t>
      </w:r>
    </w:p>
    <w:p w14:paraId="24AF1CE6">
      <w:pPr>
        <w:numPr>
          <w:ilvl w:val="0"/>
          <w:numId w:val="6"/>
        </w:num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给水方案以节约用水为原则，合理利用水资源。</w:t>
      </w:r>
    </w:p>
    <w:p w14:paraId="2379BF59">
      <w:pPr>
        <w:numPr>
          <w:ilvl w:val="0"/>
          <w:numId w:val="6"/>
        </w:num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排水以清污分流为原则。</w:t>
      </w:r>
    </w:p>
    <w:p w14:paraId="44BEFAE7">
      <w:pPr>
        <w:numPr>
          <w:ilvl w:val="0"/>
          <w:numId w:val="6"/>
        </w:num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循环用水、节约用水、降低资源消耗、装置分级计量、采用新型管材、采用节水设备、实施循环经济可持续发展战略。</w:t>
      </w:r>
    </w:p>
    <w:p w14:paraId="493CFA30">
      <w:pPr>
        <w:spacing w:line="560" w:lineRule="exact"/>
        <w:ind w:firstLine="560" w:firstLineChars="200"/>
        <w:jc w:val="left"/>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3</w:t>
      </w:r>
      <w:r>
        <w:rPr>
          <w:rFonts w:hint="eastAsia" w:ascii="宋体" w:hAnsi="宋体" w:cs="宋体"/>
          <w:bCs/>
          <w:color w:val="auto"/>
          <w:sz w:val="28"/>
          <w:szCs w:val="28"/>
          <w:highlight w:val="none"/>
        </w:rPr>
        <w:t>）设计范围</w:t>
      </w:r>
      <w:bookmarkEnd w:id="526"/>
      <w:bookmarkEnd w:id="527"/>
    </w:p>
    <w:p w14:paraId="2105013C">
      <w:pPr>
        <w:spacing w:line="560" w:lineRule="exact"/>
        <w:ind w:firstLine="536" w:firstLineChars="200"/>
        <w:textAlignment w:val="center"/>
        <w:rPr>
          <w:rFonts w:ascii="宋体" w:cs="宋体"/>
          <w:bCs/>
          <w:color w:val="auto"/>
          <w:spacing w:val="-6"/>
          <w:sz w:val="28"/>
          <w:szCs w:val="28"/>
          <w:highlight w:val="none"/>
        </w:rPr>
      </w:pPr>
      <w:r>
        <w:rPr>
          <w:rFonts w:hint="eastAsia" w:ascii="宋体" w:hAnsi="宋体" w:cs="宋体"/>
          <w:bCs/>
          <w:color w:val="auto"/>
          <w:spacing w:val="-6"/>
          <w:sz w:val="28"/>
          <w:szCs w:val="28"/>
          <w:highlight w:val="none"/>
        </w:rPr>
        <w:t>本项目给排水设计范围为</w:t>
      </w:r>
      <w:r>
        <w:rPr>
          <w:rFonts w:hint="eastAsia" w:ascii="宋体" w:hAnsi="宋体" w:cs="宋体"/>
          <w:bCs/>
          <w:color w:val="auto"/>
          <w:sz w:val="28"/>
          <w:szCs w:val="28"/>
          <w:highlight w:val="none"/>
        </w:rPr>
        <w:t>江苏索普新材料科技有限公司</w:t>
      </w:r>
      <w:r>
        <w:rPr>
          <w:rFonts w:hint="eastAsia" w:ascii="宋体" w:hAnsi="宋体" w:eastAsia="宋体" w:cs="宋体"/>
          <w:bCs/>
          <w:color w:val="auto"/>
          <w:sz w:val="28"/>
          <w:szCs w:val="28"/>
          <w:highlight w:val="none"/>
        </w:rPr>
        <w:t>新增储罐项目</w:t>
      </w:r>
      <w:r>
        <w:rPr>
          <w:rFonts w:hint="eastAsia" w:ascii="宋体" w:hAnsi="宋体" w:cs="宋体"/>
          <w:bCs/>
          <w:color w:val="auto"/>
          <w:sz w:val="28"/>
          <w:szCs w:val="28"/>
          <w:highlight w:val="none"/>
        </w:rPr>
        <w:t>装置</w:t>
      </w:r>
      <w:r>
        <w:rPr>
          <w:rFonts w:hint="eastAsia" w:ascii="宋体" w:hAnsi="宋体" w:cs="宋体"/>
          <w:bCs/>
          <w:color w:val="auto"/>
          <w:spacing w:val="-6"/>
          <w:sz w:val="28"/>
          <w:szCs w:val="28"/>
          <w:highlight w:val="none"/>
        </w:rPr>
        <w:t>内的给排水设计，本设计只对项目本身作可行性研究。</w:t>
      </w:r>
    </w:p>
    <w:p w14:paraId="035413D4">
      <w:pPr>
        <w:pStyle w:val="21"/>
        <w:spacing w:line="560" w:lineRule="exact"/>
        <w:ind w:firstLine="31680"/>
        <w:jc w:val="left"/>
        <w:outlineLvl w:val="1"/>
        <w:rPr>
          <w:rFonts w:ascii="宋体" w:cs="宋体"/>
          <w:bCs/>
          <w:color w:val="auto"/>
          <w:sz w:val="28"/>
          <w:szCs w:val="28"/>
          <w:highlight w:val="none"/>
        </w:rPr>
      </w:pPr>
      <w:bookmarkStart w:id="546" w:name="_Toc438214674"/>
      <w:bookmarkStart w:id="547" w:name="_Toc16431"/>
      <w:bookmarkStart w:id="548" w:name="_Toc399683800"/>
      <w:bookmarkStart w:id="549" w:name="_Toc10477"/>
      <w:bookmarkStart w:id="550" w:name="_Toc19128"/>
      <w:bookmarkStart w:id="551" w:name="_Toc14823"/>
      <w:bookmarkStart w:id="552" w:name="_Toc7391"/>
      <w:bookmarkStart w:id="553" w:name="_Toc2561"/>
      <w:r>
        <w:rPr>
          <w:rFonts w:hint="eastAsia" w:ascii="宋体" w:hAnsi="宋体" w:cs="宋体"/>
          <w:bCs/>
          <w:color w:val="auto"/>
          <w:sz w:val="28"/>
          <w:szCs w:val="28"/>
          <w:highlight w:val="none"/>
        </w:rPr>
        <w:t>（</w:t>
      </w:r>
      <w:r>
        <w:rPr>
          <w:rFonts w:ascii="宋体" w:hAnsi="宋体" w:cs="宋体"/>
          <w:bCs/>
          <w:color w:val="auto"/>
          <w:sz w:val="28"/>
          <w:szCs w:val="28"/>
          <w:highlight w:val="none"/>
        </w:rPr>
        <w:t>4</w:t>
      </w:r>
      <w:r>
        <w:rPr>
          <w:rFonts w:hint="eastAsia" w:ascii="宋体" w:hAnsi="宋体" w:cs="宋体"/>
          <w:bCs/>
          <w:color w:val="auto"/>
          <w:sz w:val="28"/>
          <w:szCs w:val="28"/>
          <w:highlight w:val="none"/>
        </w:rPr>
        <w:t>）给水系统</w:t>
      </w:r>
      <w:bookmarkEnd w:id="546"/>
      <w:bookmarkEnd w:id="547"/>
      <w:bookmarkEnd w:id="548"/>
      <w:bookmarkEnd w:id="549"/>
      <w:bookmarkEnd w:id="550"/>
      <w:bookmarkEnd w:id="551"/>
      <w:bookmarkEnd w:id="552"/>
      <w:bookmarkEnd w:id="553"/>
    </w:p>
    <w:p w14:paraId="7552D794">
      <w:pPr>
        <w:pStyle w:val="21"/>
        <w:spacing w:line="560" w:lineRule="exact"/>
        <w:ind w:firstLine="31680"/>
        <w:jc w:val="left"/>
        <w:outlineLvl w:val="1"/>
        <w:rPr>
          <w:rFonts w:ascii="宋体" w:cs="宋体"/>
          <w:bCs/>
          <w:color w:val="auto"/>
          <w:sz w:val="28"/>
          <w:szCs w:val="28"/>
          <w:highlight w:val="none"/>
        </w:rPr>
      </w:pPr>
      <w:bookmarkStart w:id="554" w:name="_Toc23802"/>
      <w:bookmarkStart w:id="555" w:name="_Toc30621"/>
      <w:bookmarkStart w:id="556" w:name="_Toc13608"/>
      <w:bookmarkStart w:id="557" w:name="_Toc11391"/>
      <w:bookmarkStart w:id="558" w:name="_Toc2669"/>
      <w:bookmarkStart w:id="559" w:name="_Toc15667"/>
      <w:bookmarkStart w:id="560" w:name="_Toc438214675"/>
      <w:bookmarkStart w:id="561" w:name="_Toc399683801"/>
      <w:r>
        <w:rPr>
          <w:rFonts w:hint="eastAsia" w:ascii="宋体" w:hAnsi="宋体" w:cs="宋体"/>
          <w:bCs/>
          <w:color w:val="auto"/>
          <w:sz w:val="28"/>
          <w:szCs w:val="28"/>
          <w:highlight w:val="none"/>
        </w:rPr>
        <w:t>根据江苏索普新材料科技有限公司和当地消防部门的要求，给水系统分生产给水系统，循环冷却水系统等系统。</w:t>
      </w:r>
      <w:bookmarkEnd w:id="554"/>
      <w:bookmarkEnd w:id="555"/>
      <w:bookmarkEnd w:id="556"/>
      <w:bookmarkEnd w:id="557"/>
      <w:bookmarkEnd w:id="558"/>
      <w:bookmarkEnd w:id="559"/>
    </w:p>
    <w:p w14:paraId="5D7539B8">
      <w:pPr>
        <w:pStyle w:val="21"/>
        <w:spacing w:line="560" w:lineRule="exact"/>
        <w:ind w:firstLine="31680"/>
        <w:jc w:val="left"/>
        <w:outlineLvl w:val="1"/>
        <w:rPr>
          <w:rFonts w:ascii="宋体" w:cs="宋体"/>
          <w:bCs/>
          <w:color w:val="auto"/>
          <w:sz w:val="28"/>
          <w:szCs w:val="28"/>
          <w:highlight w:val="none"/>
        </w:rPr>
      </w:pPr>
      <w:bookmarkStart w:id="562" w:name="_Toc12339"/>
      <w:bookmarkStart w:id="563" w:name="_Toc12758"/>
      <w:bookmarkStart w:id="564" w:name="_Toc6242"/>
      <w:bookmarkStart w:id="565" w:name="_Toc4421"/>
      <w:bookmarkStart w:id="566" w:name="_Toc16648"/>
      <w:bookmarkStart w:id="567" w:name="_Toc30336"/>
      <w:r>
        <w:rPr>
          <w:rFonts w:hint="eastAsia" w:ascii="宋体" w:hAnsi="宋体" w:cs="宋体"/>
          <w:bCs/>
          <w:color w:val="auto"/>
          <w:sz w:val="28"/>
          <w:szCs w:val="28"/>
          <w:highlight w:val="none"/>
        </w:rPr>
        <w:t>生产用水主要供生产、地坪冲洗用水以及循环冷却水给水系统的补充水。</w:t>
      </w:r>
      <w:bookmarkEnd w:id="562"/>
      <w:bookmarkEnd w:id="563"/>
      <w:bookmarkEnd w:id="564"/>
      <w:bookmarkEnd w:id="565"/>
      <w:bookmarkEnd w:id="566"/>
      <w:bookmarkEnd w:id="567"/>
    </w:p>
    <w:p w14:paraId="4598C925">
      <w:pPr>
        <w:pStyle w:val="21"/>
        <w:spacing w:line="560" w:lineRule="exact"/>
        <w:ind w:firstLine="31680"/>
        <w:jc w:val="left"/>
        <w:outlineLvl w:val="1"/>
        <w:rPr>
          <w:rFonts w:ascii="宋体" w:cs="宋体"/>
          <w:bCs/>
          <w:color w:val="auto"/>
          <w:sz w:val="28"/>
          <w:szCs w:val="28"/>
          <w:highlight w:val="none"/>
        </w:rPr>
      </w:pPr>
      <w:bookmarkStart w:id="568" w:name="_Toc26863"/>
      <w:bookmarkStart w:id="569" w:name="_Toc22029"/>
      <w:bookmarkStart w:id="570" w:name="_Toc28278"/>
      <w:bookmarkStart w:id="571" w:name="_Toc25029"/>
      <w:bookmarkStart w:id="572" w:name="_Toc31131"/>
      <w:bookmarkStart w:id="573" w:name="_Toc19783"/>
      <w:r>
        <w:rPr>
          <w:rFonts w:hint="eastAsia" w:ascii="宋体" w:hAnsi="宋体" w:cs="宋体"/>
          <w:bCs/>
          <w:color w:val="auto"/>
          <w:sz w:val="28"/>
          <w:szCs w:val="28"/>
          <w:highlight w:val="none"/>
        </w:rPr>
        <w:t>消防给水系统采用独立的专门消防给水系统。根据《建筑设计防火规范》</w:t>
      </w:r>
      <w:r>
        <w:rPr>
          <w:rFonts w:ascii="宋体" w:hAnsi="宋体" w:cs="宋体"/>
          <w:bCs/>
          <w:color w:val="auto"/>
          <w:sz w:val="28"/>
          <w:szCs w:val="28"/>
          <w:highlight w:val="none"/>
        </w:rPr>
        <w:t>GB50016-2014</w:t>
      </w:r>
      <w:r>
        <w:rPr>
          <w:rFonts w:hint="eastAsia" w:ascii="宋体" w:hAnsi="宋体" w:cs="宋体"/>
          <w:bCs/>
          <w:color w:val="auto"/>
          <w:sz w:val="28"/>
          <w:szCs w:val="28"/>
          <w:highlight w:val="none"/>
        </w:rPr>
        <w:t>有关规定，同一时间内火灾次数为一次，火灾延续时间</w:t>
      </w:r>
      <w:r>
        <w:rPr>
          <w:rFonts w:ascii="宋体" w:hAnsi="宋体" w:cs="宋体"/>
          <w:bCs/>
          <w:color w:val="auto"/>
          <w:sz w:val="28"/>
          <w:szCs w:val="28"/>
          <w:highlight w:val="none"/>
        </w:rPr>
        <w:t>3</w:t>
      </w:r>
      <w:r>
        <w:rPr>
          <w:rFonts w:hint="eastAsia" w:ascii="宋体" w:hAnsi="宋体" w:cs="宋体"/>
          <w:bCs/>
          <w:color w:val="auto"/>
          <w:sz w:val="28"/>
          <w:szCs w:val="28"/>
          <w:highlight w:val="none"/>
        </w:rPr>
        <w:t>小时。室外设地上式消火栓，消防水量为</w:t>
      </w:r>
      <w:r>
        <w:rPr>
          <w:rFonts w:ascii="宋体" w:hAnsi="宋体" w:cs="宋体"/>
          <w:bCs/>
          <w:color w:val="auto"/>
          <w:sz w:val="28"/>
          <w:szCs w:val="28"/>
          <w:highlight w:val="none"/>
        </w:rPr>
        <w:t>25L/s</w:t>
      </w:r>
      <w:r>
        <w:rPr>
          <w:rFonts w:hint="eastAsia" w:ascii="宋体" w:hAnsi="宋体" w:cs="宋体"/>
          <w:bCs/>
          <w:color w:val="auto"/>
          <w:sz w:val="28"/>
          <w:szCs w:val="28"/>
          <w:highlight w:val="none"/>
        </w:rPr>
        <w:t>，消防最大为水量</w:t>
      </w:r>
      <w:r>
        <w:rPr>
          <w:rFonts w:ascii="宋体" w:hAnsi="宋体" w:cs="宋体"/>
          <w:bCs/>
          <w:color w:val="auto"/>
          <w:sz w:val="28"/>
          <w:szCs w:val="28"/>
          <w:highlight w:val="none"/>
        </w:rPr>
        <w:t>126m</w:t>
      </w:r>
      <w:r>
        <w:rPr>
          <w:rFonts w:ascii="宋体" w:hAnsi="宋体" w:cs="宋体"/>
          <w:bCs/>
          <w:color w:val="auto"/>
          <w:sz w:val="28"/>
          <w:szCs w:val="28"/>
          <w:highlight w:val="none"/>
          <w:vertAlign w:val="superscript"/>
        </w:rPr>
        <w:t>3</w:t>
      </w:r>
      <w:r>
        <w:rPr>
          <w:rFonts w:ascii="宋体" w:hAnsi="宋体" w:cs="宋体"/>
          <w:bCs/>
          <w:color w:val="auto"/>
          <w:sz w:val="28"/>
          <w:szCs w:val="28"/>
          <w:highlight w:val="none"/>
        </w:rPr>
        <w:t>/h</w:t>
      </w:r>
      <w:r>
        <w:rPr>
          <w:rFonts w:hint="eastAsia" w:ascii="宋体" w:hAnsi="宋体" w:cs="宋体"/>
          <w:bCs/>
          <w:color w:val="auto"/>
          <w:sz w:val="28"/>
          <w:szCs w:val="28"/>
          <w:highlight w:val="none"/>
        </w:rPr>
        <w:t>，交接点处供水压力≥</w:t>
      </w:r>
      <w:r>
        <w:rPr>
          <w:rFonts w:ascii="宋体" w:hAnsi="宋体" w:cs="宋体"/>
          <w:bCs/>
          <w:color w:val="auto"/>
          <w:sz w:val="28"/>
          <w:szCs w:val="28"/>
          <w:highlight w:val="none"/>
        </w:rPr>
        <w:t>0.4MPa</w:t>
      </w:r>
      <w:r>
        <w:rPr>
          <w:rFonts w:hint="eastAsia" w:ascii="宋体" w:hAnsi="宋体" w:cs="宋体"/>
          <w:bCs/>
          <w:color w:val="auto"/>
          <w:sz w:val="28"/>
          <w:szCs w:val="28"/>
          <w:highlight w:val="none"/>
        </w:rPr>
        <w:t>。给水接消防给水管网，管材采用无缝钢管，焊接或法兰连接，埋地钢管防腐采用加强级聚乙烯胶带防腐。</w:t>
      </w:r>
      <w:bookmarkEnd w:id="568"/>
      <w:bookmarkEnd w:id="569"/>
      <w:bookmarkEnd w:id="570"/>
      <w:bookmarkEnd w:id="571"/>
      <w:bookmarkEnd w:id="572"/>
      <w:bookmarkEnd w:id="573"/>
    </w:p>
    <w:p w14:paraId="35DB2DF7">
      <w:pPr>
        <w:pStyle w:val="21"/>
        <w:spacing w:line="560" w:lineRule="exact"/>
        <w:ind w:firstLine="31680"/>
        <w:jc w:val="left"/>
        <w:outlineLvl w:val="1"/>
        <w:rPr>
          <w:rFonts w:ascii="宋体" w:cs="宋体"/>
          <w:bCs/>
          <w:color w:val="auto"/>
          <w:sz w:val="28"/>
          <w:szCs w:val="28"/>
          <w:highlight w:val="none"/>
        </w:rPr>
      </w:pPr>
      <w:bookmarkStart w:id="574" w:name="_Toc24194"/>
      <w:bookmarkStart w:id="575" w:name="_Toc9117"/>
      <w:bookmarkStart w:id="576" w:name="_Toc1277"/>
      <w:bookmarkStart w:id="577" w:name="_Toc1659"/>
      <w:bookmarkStart w:id="578" w:name="_Toc17163"/>
      <w:bookmarkStart w:id="579" w:name="_Toc28909"/>
      <w:r>
        <w:rPr>
          <w:rFonts w:hint="eastAsia" w:ascii="宋体" w:hAnsi="宋体" w:cs="宋体"/>
          <w:bCs/>
          <w:color w:val="auto"/>
          <w:sz w:val="28"/>
          <w:szCs w:val="28"/>
          <w:highlight w:val="none"/>
        </w:rPr>
        <w:t>（</w:t>
      </w:r>
      <w:r>
        <w:rPr>
          <w:rFonts w:ascii="宋体" w:hAnsi="宋体" w:cs="宋体"/>
          <w:bCs/>
          <w:color w:val="auto"/>
          <w:sz w:val="28"/>
          <w:szCs w:val="28"/>
          <w:highlight w:val="none"/>
        </w:rPr>
        <w:t>5</w:t>
      </w:r>
      <w:r>
        <w:rPr>
          <w:rFonts w:hint="eastAsia" w:ascii="宋体" w:hAnsi="宋体" w:cs="宋体"/>
          <w:bCs/>
          <w:color w:val="auto"/>
          <w:sz w:val="28"/>
          <w:szCs w:val="28"/>
          <w:highlight w:val="none"/>
        </w:rPr>
        <w:t>）排水系统</w:t>
      </w:r>
      <w:bookmarkEnd w:id="560"/>
      <w:bookmarkEnd w:id="561"/>
      <w:bookmarkEnd w:id="574"/>
      <w:bookmarkEnd w:id="575"/>
      <w:bookmarkEnd w:id="576"/>
      <w:bookmarkEnd w:id="577"/>
      <w:bookmarkEnd w:id="578"/>
      <w:bookmarkEnd w:id="579"/>
    </w:p>
    <w:p w14:paraId="0C56C93A">
      <w:pPr>
        <w:pStyle w:val="21"/>
        <w:spacing w:line="560" w:lineRule="exact"/>
        <w:ind w:firstLine="31680"/>
        <w:jc w:val="left"/>
        <w:outlineLvl w:val="1"/>
        <w:rPr>
          <w:rFonts w:ascii="宋体" w:cs="宋体"/>
          <w:bCs/>
          <w:color w:val="auto"/>
          <w:sz w:val="28"/>
          <w:szCs w:val="28"/>
          <w:highlight w:val="none"/>
        </w:rPr>
      </w:pPr>
      <w:bookmarkStart w:id="580" w:name="_Toc11561"/>
      <w:bookmarkStart w:id="581" w:name="_Toc26800"/>
      <w:bookmarkStart w:id="582" w:name="_Toc13810"/>
      <w:bookmarkStart w:id="583" w:name="_Toc18924"/>
      <w:bookmarkStart w:id="584" w:name="_Toc17719"/>
      <w:bookmarkStart w:id="585" w:name="_Toc20828"/>
      <w:r>
        <w:rPr>
          <w:rFonts w:hint="eastAsia" w:ascii="宋体" w:hAnsi="宋体" w:cs="宋体"/>
          <w:bCs/>
          <w:color w:val="auto"/>
          <w:sz w:val="28"/>
          <w:szCs w:val="28"/>
          <w:highlight w:val="none"/>
        </w:rPr>
        <w:t>界区采用明沟排水，统一排入界区外排水明沟。</w:t>
      </w:r>
      <w:bookmarkEnd w:id="580"/>
      <w:bookmarkEnd w:id="581"/>
      <w:bookmarkEnd w:id="582"/>
      <w:bookmarkEnd w:id="583"/>
      <w:bookmarkEnd w:id="584"/>
      <w:bookmarkEnd w:id="585"/>
    </w:p>
    <w:p w14:paraId="250882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hint="eastAsia" w:ascii="宋体" w:hAnsi="宋体" w:cs="宋体"/>
          <w:bCs/>
          <w:color w:val="auto"/>
          <w:sz w:val="28"/>
          <w:szCs w:val="28"/>
          <w:highlight w:val="none"/>
        </w:rPr>
        <w:t>生产污水排水系统主要为检修作业期间的地坪冲洗水，这部分水由工艺专业收集起来，经过工艺专业的处理后才能排入相应的排水明沟。</w:t>
      </w:r>
    </w:p>
    <w:p w14:paraId="0A614EA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hint="eastAsia" w:ascii="宋体" w:hAnsi="宋体" w:cs="宋体"/>
          <w:bCs/>
          <w:color w:val="auto"/>
          <w:sz w:val="28"/>
          <w:szCs w:val="28"/>
          <w:highlight w:val="none"/>
        </w:rPr>
        <w:t>清净排水系统主要为装置内雨水，清净生产排水及生活洗涤排水，这部分可直接排入明沟。</w:t>
      </w:r>
    </w:p>
    <w:p w14:paraId="699AF71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hint="eastAsia" w:ascii="宋体" w:hAnsi="宋体" w:cs="宋体"/>
          <w:bCs/>
          <w:color w:val="auto"/>
          <w:sz w:val="28"/>
          <w:szCs w:val="28"/>
          <w:highlight w:val="none"/>
        </w:rPr>
        <w:t>界区雨水量的计算：</w:t>
      </w:r>
    </w:p>
    <w:p w14:paraId="75EB10C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hint="eastAsia" w:ascii="宋体" w:hAnsi="宋体" w:cs="宋体"/>
          <w:bCs/>
          <w:color w:val="auto"/>
          <w:sz w:val="28"/>
          <w:szCs w:val="28"/>
          <w:highlight w:val="none"/>
        </w:rPr>
        <w:t>镇江地区的暴雨强度公式：</w:t>
      </w:r>
      <w:r>
        <w:rPr>
          <w:rFonts w:ascii="宋体" w:hAnsi="宋体" w:cs="宋体"/>
          <w:bCs/>
          <w:color w:val="auto"/>
          <w:sz w:val="28"/>
          <w:szCs w:val="28"/>
          <w:highlight w:val="none"/>
        </w:rPr>
        <w:t>q=2418.16(1+0.787lgP) /(t+10.5)0.78(</w:t>
      </w:r>
      <w:r>
        <w:rPr>
          <w:rFonts w:hint="eastAsia" w:ascii="宋体" w:hAnsi="宋体" w:cs="宋体"/>
          <w:bCs/>
          <w:color w:val="auto"/>
          <w:sz w:val="28"/>
          <w:szCs w:val="28"/>
          <w:highlight w:val="none"/>
        </w:rPr>
        <w:t>升</w:t>
      </w:r>
      <w:r>
        <w:rPr>
          <w:rFonts w:ascii="宋体" w:hAnsi="宋体" w:cs="宋体"/>
          <w:bCs/>
          <w:color w:val="auto"/>
          <w:sz w:val="28"/>
          <w:szCs w:val="28"/>
          <w:highlight w:val="none"/>
        </w:rPr>
        <w:t>/</w:t>
      </w:r>
      <w:r>
        <w:rPr>
          <w:rFonts w:hint="eastAsia" w:ascii="宋体" w:hAnsi="宋体" w:cs="宋体"/>
          <w:bCs/>
          <w:color w:val="auto"/>
          <w:sz w:val="28"/>
          <w:szCs w:val="28"/>
          <w:highlight w:val="none"/>
        </w:rPr>
        <w:t>秒</w:t>
      </w:r>
      <w:r>
        <w:rPr>
          <w:rFonts w:ascii="宋体" w:cs="宋体"/>
          <w:bCs/>
          <w:color w:val="auto"/>
          <w:sz w:val="28"/>
          <w:szCs w:val="28"/>
          <w:highlight w:val="none"/>
        </w:rPr>
        <w:t>.</w:t>
      </w:r>
      <w:r>
        <w:rPr>
          <w:rFonts w:hint="eastAsia" w:ascii="宋体" w:hAnsi="宋体" w:cs="宋体"/>
          <w:bCs/>
          <w:color w:val="auto"/>
          <w:sz w:val="28"/>
          <w:szCs w:val="28"/>
          <w:highlight w:val="none"/>
        </w:rPr>
        <w:t>公顷</w:t>
      </w:r>
      <w:r>
        <w:rPr>
          <w:rFonts w:ascii="宋体" w:hAnsi="宋体" w:cs="宋体"/>
          <w:bCs/>
          <w:color w:val="auto"/>
          <w:sz w:val="28"/>
          <w:szCs w:val="28"/>
          <w:highlight w:val="none"/>
        </w:rPr>
        <w:t>)</w:t>
      </w:r>
    </w:p>
    <w:p w14:paraId="76C87D3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hint="eastAsia" w:ascii="宋体" w:hAnsi="宋体" w:cs="宋体"/>
          <w:bCs/>
          <w:color w:val="auto"/>
          <w:sz w:val="28"/>
          <w:szCs w:val="28"/>
          <w:highlight w:val="none"/>
        </w:rPr>
        <w:t>设计流量：</w:t>
      </w:r>
      <w:r>
        <w:rPr>
          <w:rFonts w:ascii="宋体" w:hAnsi="宋体" w:cs="宋体"/>
          <w:bCs/>
          <w:color w:val="auto"/>
          <w:sz w:val="28"/>
          <w:szCs w:val="28"/>
          <w:highlight w:val="none"/>
        </w:rPr>
        <w:t>Q</w:t>
      </w:r>
      <w:r>
        <w:rPr>
          <w:rFonts w:hint="eastAsia" w:ascii="宋体" w:hAnsi="宋体" w:cs="宋体"/>
          <w:bCs/>
          <w:color w:val="auto"/>
          <w:sz w:val="28"/>
          <w:szCs w:val="28"/>
          <w:highlight w:val="none"/>
        </w:rPr>
        <w:t>＝ф</w:t>
      </w:r>
      <w:r>
        <w:rPr>
          <w:rFonts w:ascii="宋体" w:hAnsi="宋体" w:cs="宋体"/>
          <w:bCs/>
          <w:color w:val="auto"/>
          <w:sz w:val="28"/>
          <w:szCs w:val="28"/>
          <w:highlight w:val="none"/>
        </w:rPr>
        <w:t>qF(</w:t>
      </w:r>
      <w:r>
        <w:rPr>
          <w:rFonts w:hint="eastAsia" w:ascii="宋体" w:hAnsi="宋体" w:cs="宋体"/>
          <w:bCs/>
          <w:color w:val="auto"/>
          <w:sz w:val="28"/>
          <w:szCs w:val="28"/>
          <w:highlight w:val="none"/>
        </w:rPr>
        <w:t>升</w:t>
      </w:r>
      <w:r>
        <w:rPr>
          <w:rFonts w:ascii="宋体" w:hAnsi="宋体" w:cs="宋体"/>
          <w:bCs/>
          <w:color w:val="auto"/>
          <w:sz w:val="28"/>
          <w:szCs w:val="28"/>
          <w:highlight w:val="none"/>
        </w:rPr>
        <w:t>/</w:t>
      </w:r>
      <w:r>
        <w:rPr>
          <w:rFonts w:hint="eastAsia" w:ascii="宋体" w:hAnsi="宋体" w:cs="宋体"/>
          <w:bCs/>
          <w:color w:val="auto"/>
          <w:sz w:val="28"/>
          <w:szCs w:val="28"/>
          <w:highlight w:val="none"/>
        </w:rPr>
        <w:t>秒</w:t>
      </w:r>
      <w:r>
        <w:rPr>
          <w:rFonts w:ascii="宋体" w:hAnsi="宋体" w:cs="宋体"/>
          <w:bCs/>
          <w:color w:val="auto"/>
          <w:sz w:val="28"/>
          <w:szCs w:val="28"/>
          <w:highlight w:val="none"/>
        </w:rPr>
        <w:t>)</w:t>
      </w:r>
    </w:p>
    <w:p w14:paraId="71BD1D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ascii="宋体" w:hAnsi="宋体" w:cs="宋体"/>
          <w:bCs/>
          <w:color w:val="auto"/>
          <w:sz w:val="28"/>
          <w:szCs w:val="28"/>
          <w:highlight w:val="none"/>
        </w:rPr>
        <w:t xml:space="preserve">    t </w:t>
      </w:r>
      <w:r>
        <w:rPr>
          <w:rFonts w:hint="eastAsia" w:ascii="宋体" w:hAnsi="宋体" w:cs="宋体"/>
          <w:bCs/>
          <w:color w:val="auto"/>
          <w:sz w:val="28"/>
          <w:szCs w:val="28"/>
          <w:highlight w:val="none"/>
        </w:rPr>
        <w:t>：降雨历时（分钟），取</w:t>
      </w:r>
      <w:r>
        <w:rPr>
          <w:rFonts w:ascii="宋体" w:hAnsi="宋体" w:cs="宋体"/>
          <w:bCs/>
          <w:color w:val="auto"/>
          <w:sz w:val="28"/>
          <w:szCs w:val="28"/>
          <w:highlight w:val="none"/>
        </w:rPr>
        <w:t>20</w:t>
      </w:r>
    </w:p>
    <w:p w14:paraId="7E89E7B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hint="eastAsia" w:ascii="宋体" w:hAnsi="宋体" w:cs="宋体"/>
          <w:bCs/>
          <w:color w:val="auto"/>
          <w:sz w:val="28"/>
          <w:szCs w:val="28"/>
          <w:highlight w:val="none"/>
        </w:rPr>
        <w:t>ф：径流系数，取</w:t>
      </w:r>
      <w:r>
        <w:rPr>
          <w:rFonts w:ascii="宋体" w:hAnsi="宋体" w:cs="宋体"/>
          <w:bCs/>
          <w:color w:val="auto"/>
          <w:sz w:val="28"/>
          <w:szCs w:val="28"/>
          <w:highlight w:val="none"/>
        </w:rPr>
        <w:t>0.9</w:t>
      </w:r>
    </w:p>
    <w:p w14:paraId="2DE315F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ascii="宋体" w:hAnsi="宋体" w:cs="宋体"/>
          <w:bCs/>
          <w:color w:val="auto"/>
          <w:sz w:val="28"/>
          <w:szCs w:val="28"/>
          <w:highlight w:val="none"/>
        </w:rPr>
        <w:t xml:space="preserve">    F</w:t>
      </w:r>
      <w:r>
        <w:rPr>
          <w:rFonts w:hint="eastAsia" w:ascii="宋体" w:hAnsi="宋体" w:cs="宋体"/>
          <w:bCs/>
          <w:color w:val="auto"/>
          <w:sz w:val="28"/>
          <w:szCs w:val="28"/>
          <w:highlight w:val="none"/>
        </w:rPr>
        <w:t>：汇水面积（公顷），约</w:t>
      </w:r>
      <w:r>
        <w:rPr>
          <w:rFonts w:ascii="宋体" w:hAnsi="宋体" w:cs="宋体"/>
          <w:bCs/>
          <w:color w:val="auto"/>
          <w:sz w:val="28"/>
          <w:szCs w:val="28"/>
          <w:highlight w:val="none"/>
        </w:rPr>
        <w:t>0.02</w:t>
      </w:r>
    </w:p>
    <w:p w14:paraId="57CBC8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center"/>
        <w:rPr>
          <w:rFonts w:ascii="宋体" w:cs="宋体"/>
          <w:bCs/>
          <w:color w:val="auto"/>
          <w:sz w:val="28"/>
          <w:szCs w:val="28"/>
          <w:highlight w:val="none"/>
        </w:rPr>
      </w:pPr>
      <w:r>
        <w:rPr>
          <w:rFonts w:ascii="宋体" w:hAnsi="宋体" w:cs="宋体"/>
          <w:bCs/>
          <w:color w:val="auto"/>
          <w:sz w:val="28"/>
          <w:szCs w:val="28"/>
          <w:highlight w:val="none"/>
        </w:rPr>
        <w:t xml:space="preserve">    P</w:t>
      </w:r>
      <w:r>
        <w:rPr>
          <w:rFonts w:hint="eastAsia" w:ascii="宋体" w:hAnsi="宋体" w:cs="宋体"/>
          <w:bCs/>
          <w:color w:val="auto"/>
          <w:sz w:val="28"/>
          <w:szCs w:val="28"/>
          <w:highlight w:val="none"/>
        </w:rPr>
        <w:t>：设计降雨重现期（年），取</w:t>
      </w:r>
      <w:r>
        <w:rPr>
          <w:rFonts w:ascii="宋体" w:hAnsi="宋体" w:cs="宋体"/>
          <w:bCs/>
          <w:color w:val="auto"/>
          <w:sz w:val="28"/>
          <w:szCs w:val="28"/>
          <w:highlight w:val="none"/>
        </w:rPr>
        <w:t>1.0</w:t>
      </w:r>
    </w:p>
    <w:p w14:paraId="78CB95B1">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outlineLvl w:val="1"/>
        <w:rPr>
          <w:rFonts w:ascii="宋体" w:cs="宋体"/>
          <w:bCs/>
          <w:color w:val="auto"/>
          <w:sz w:val="28"/>
          <w:szCs w:val="28"/>
          <w:highlight w:val="none"/>
        </w:rPr>
      </w:pPr>
      <w:bookmarkStart w:id="586" w:name="_Toc27614"/>
      <w:bookmarkStart w:id="587" w:name="_Toc6984"/>
      <w:bookmarkStart w:id="588" w:name="_Toc10223"/>
      <w:bookmarkStart w:id="589" w:name="_Toc8240"/>
      <w:bookmarkStart w:id="590" w:name="_Toc15114"/>
      <w:bookmarkStart w:id="591" w:name="_Toc3666"/>
      <w:r>
        <w:rPr>
          <w:rFonts w:hint="eastAsia" w:ascii="宋体" w:hAnsi="宋体" w:cs="宋体"/>
          <w:bCs/>
          <w:color w:val="auto"/>
          <w:sz w:val="28"/>
          <w:szCs w:val="28"/>
          <w:highlight w:val="none"/>
        </w:rPr>
        <w:t>综上计算得</w:t>
      </w:r>
      <w:r>
        <w:rPr>
          <w:rFonts w:ascii="宋体" w:hAnsi="宋体" w:cs="宋体"/>
          <w:bCs/>
          <w:color w:val="auto"/>
          <w:sz w:val="28"/>
          <w:szCs w:val="28"/>
          <w:highlight w:val="none"/>
        </w:rPr>
        <w:t>Q</w:t>
      </w:r>
      <w:r>
        <w:rPr>
          <w:rFonts w:hint="eastAsia" w:ascii="宋体" w:hAnsi="宋体" w:cs="宋体"/>
          <w:bCs/>
          <w:color w:val="auto"/>
          <w:sz w:val="28"/>
          <w:szCs w:val="28"/>
          <w:highlight w:val="none"/>
        </w:rPr>
        <w:t>≈</w:t>
      </w:r>
      <w:r>
        <w:rPr>
          <w:rFonts w:ascii="宋体" w:hAnsi="宋体" w:cs="宋体"/>
          <w:bCs/>
          <w:color w:val="auto"/>
          <w:sz w:val="28"/>
          <w:szCs w:val="28"/>
          <w:highlight w:val="none"/>
        </w:rPr>
        <w:t>168.16</w:t>
      </w:r>
      <w:r>
        <w:rPr>
          <w:rFonts w:hint="eastAsia" w:ascii="宋体" w:hAnsi="宋体" w:cs="宋体"/>
          <w:bCs/>
          <w:color w:val="auto"/>
          <w:sz w:val="28"/>
          <w:szCs w:val="28"/>
          <w:highlight w:val="none"/>
        </w:rPr>
        <w:t>（升</w:t>
      </w:r>
      <w:r>
        <w:rPr>
          <w:rFonts w:ascii="宋体" w:hAnsi="宋体" w:cs="宋体"/>
          <w:bCs/>
          <w:color w:val="auto"/>
          <w:sz w:val="28"/>
          <w:szCs w:val="28"/>
          <w:highlight w:val="none"/>
        </w:rPr>
        <w:t>/</w:t>
      </w:r>
      <w:r>
        <w:rPr>
          <w:rFonts w:hint="eastAsia" w:ascii="宋体" w:hAnsi="宋体" w:cs="宋体"/>
          <w:bCs/>
          <w:color w:val="auto"/>
          <w:sz w:val="28"/>
          <w:szCs w:val="28"/>
          <w:highlight w:val="none"/>
        </w:rPr>
        <w:t>秒·公顷）</w:t>
      </w:r>
      <w:bookmarkEnd w:id="586"/>
      <w:bookmarkEnd w:id="587"/>
      <w:bookmarkEnd w:id="588"/>
      <w:bookmarkEnd w:id="589"/>
      <w:bookmarkEnd w:id="590"/>
      <w:bookmarkEnd w:id="591"/>
    </w:p>
    <w:p w14:paraId="353C938D">
      <w:pPr>
        <w:spacing w:line="560" w:lineRule="exact"/>
        <w:ind w:firstLine="536" w:firstLineChars="200"/>
        <w:textAlignment w:val="center"/>
        <w:rPr>
          <w:rFonts w:ascii="宋体" w:cs="宋体"/>
          <w:bCs/>
          <w:color w:val="auto"/>
          <w:spacing w:val="-6"/>
          <w:sz w:val="28"/>
          <w:szCs w:val="28"/>
          <w:highlight w:val="none"/>
        </w:rPr>
      </w:pPr>
      <w:bookmarkStart w:id="592" w:name="_Toc399683807"/>
      <w:bookmarkStart w:id="593" w:name="_Toc438214681"/>
      <w:r>
        <w:rPr>
          <w:rFonts w:hint="eastAsia" w:ascii="宋体" w:hAnsi="宋体" w:cs="宋体"/>
          <w:bCs/>
          <w:color w:val="auto"/>
          <w:spacing w:val="-6"/>
          <w:sz w:val="28"/>
          <w:szCs w:val="28"/>
          <w:highlight w:val="none"/>
          <w:lang w:eastAsia="zh-CN"/>
        </w:rPr>
        <w:t>7.</w:t>
      </w:r>
      <w:r>
        <w:rPr>
          <w:rFonts w:ascii="宋体" w:hAnsi="宋体" w:cs="宋体"/>
          <w:bCs/>
          <w:color w:val="auto"/>
          <w:spacing w:val="-6"/>
          <w:sz w:val="28"/>
          <w:szCs w:val="28"/>
          <w:highlight w:val="none"/>
        </w:rPr>
        <w:t>1.</w:t>
      </w:r>
      <w:r>
        <w:rPr>
          <w:rFonts w:hint="eastAsia" w:ascii="宋体" w:hAnsi="宋体" w:cs="宋体"/>
          <w:bCs/>
          <w:color w:val="auto"/>
          <w:spacing w:val="-6"/>
          <w:sz w:val="28"/>
          <w:szCs w:val="28"/>
          <w:highlight w:val="none"/>
          <w:lang w:val="en-US" w:eastAsia="zh-CN"/>
        </w:rPr>
        <w:t>2</w:t>
      </w:r>
      <w:r>
        <w:rPr>
          <w:rFonts w:hint="eastAsia" w:ascii="宋体" w:hAnsi="宋体" w:cs="宋体"/>
          <w:bCs/>
          <w:color w:val="auto"/>
          <w:spacing w:val="-6"/>
          <w:sz w:val="28"/>
          <w:szCs w:val="28"/>
          <w:highlight w:val="none"/>
        </w:rPr>
        <w:t>防雷与接地</w:t>
      </w:r>
      <w:bookmarkEnd w:id="592"/>
      <w:bookmarkEnd w:id="593"/>
    </w:p>
    <w:p w14:paraId="60B9ACE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r>
        <w:rPr>
          <w:rFonts w:hint="eastAsia" w:ascii="宋体" w:hAnsi="宋体" w:eastAsia="宋体" w:cs="宋体"/>
          <w:bCs/>
          <w:color w:val="auto"/>
          <w:spacing w:val="-6"/>
          <w:sz w:val="28"/>
          <w:szCs w:val="28"/>
          <w:highlight w:val="none"/>
        </w:rPr>
        <w:t>根据《建筑物防雷设计规范》、《化工企业静电接地设计规范》等规定，结合装置环境特征、当地气象条件及地质及雷电活动情况，防雷等级按第二类工业建、构筑物考虑，本工程所有工艺装置、设备、管道等均作防静电地，管道法兰应采用截面积不小于6mm</w:t>
      </w:r>
      <w:r>
        <w:rPr>
          <w:rFonts w:hint="eastAsia" w:ascii="宋体" w:hAnsi="宋体" w:eastAsia="宋体" w:cs="宋体"/>
          <w:bCs/>
          <w:color w:val="auto"/>
          <w:spacing w:val="-6"/>
          <w:sz w:val="28"/>
          <w:szCs w:val="28"/>
          <w:highlight w:val="none"/>
          <w:vertAlign w:val="superscript"/>
        </w:rPr>
        <w:t>2</w:t>
      </w:r>
      <w:r>
        <w:rPr>
          <w:rFonts w:hint="eastAsia" w:ascii="宋体" w:hAnsi="宋体" w:eastAsia="宋体" w:cs="宋体"/>
          <w:bCs/>
          <w:color w:val="auto"/>
          <w:spacing w:val="-6"/>
          <w:sz w:val="28"/>
          <w:szCs w:val="28"/>
          <w:highlight w:val="none"/>
        </w:rPr>
        <w:t>的铜片跨接。对于非金属管道采取屏蔽接地。防静电接地电阻≤30欧姆，若与防雷接地共用接地装置，则接地电阻≤10欧姆。</w:t>
      </w:r>
    </w:p>
    <w:p w14:paraId="007B0089">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r>
        <w:rPr>
          <w:rFonts w:hint="eastAsia" w:ascii="宋体" w:hAnsi="宋体" w:eastAsia="宋体" w:cs="宋体"/>
          <w:bCs/>
          <w:color w:val="auto"/>
          <w:spacing w:val="-6"/>
          <w:sz w:val="28"/>
          <w:szCs w:val="28"/>
          <w:highlight w:val="none"/>
        </w:rPr>
        <w:t>静电接地线用25*4mm热镀锌扁钢，接地线与设备和工艺管道用软铜线连接。具有火灾爆炸危险的场所，以及静电危害人身安全的作业区，所有金属用具、移动式金属车辆、梯子、钢体平台等均应静电接地。</w:t>
      </w:r>
    </w:p>
    <w:p w14:paraId="2255D20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rPr>
      </w:pPr>
      <w:bookmarkStart w:id="594" w:name="_Toc4920"/>
      <w:bookmarkStart w:id="595" w:name="_Toc32304"/>
      <w:bookmarkStart w:id="596" w:name="_Toc32595_WPSOffice_Level2"/>
      <w:bookmarkStart w:id="597" w:name="_Toc23154"/>
      <w:bookmarkStart w:id="598" w:name="_Toc26240"/>
      <w:bookmarkStart w:id="599" w:name="_Toc24431_WPSOffice_Level2"/>
      <w:bookmarkStart w:id="600" w:name="_Toc12907_WPSOffice_Level2"/>
      <w:bookmarkStart w:id="601" w:name="_Toc438214684"/>
      <w:bookmarkStart w:id="602" w:name="_Toc25067"/>
      <w:bookmarkStart w:id="603" w:name="_Toc11196_WPSOffice_Level2"/>
      <w:bookmarkStart w:id="604" w:name="_Toc30771"/>
      <w:r>
        <w:rPr>
          <w:rFonts w:hint="eastAsia" w:ascii="宋体" w:hAnsi="宋体" w:eastAsia="宋体" w:cs="宋体"/>
          <w:bCs/>
          <w:color w:val="auto"/>
          <w:spacing w:val="-6"/>
          <w:sz w:val="28"/>
          <w:szCs w:val="28"/>
          <w:highlight w:val="none"/>
          <w:lang w:eastAsia="zh-CN"/>
        </w:rPr>
        <w:t>7.</w:t>
      </w:r>
      <w:r>
        <w:rPr>
          <w:rFonts w:hint="eastAsia" w:ascii="宋体" w:hAnsi="宋体" w:eastAsia="宋体" w:cs="宋体"/>
          <w:bCs/>
          <w:color w:val="auto"/>
          <w:spacing w:val="-6"/>
          <w:sz w:val="28"/>
          <w:szCs w:val="28"/>
          <w:highlight w:val="none"/>
        </w:rPr>
        <w:t>2辅助生产设施</w:t>
      </w:r>
      <w:bookmarkEnd w:id="594"/>
      <w:bookmarkEnd w:id="595"/>
      <w:bookmarkEnd w:id="596"/>
      <w:bookmarkEnd w:id="597"/>
      <w:bookmarkEnd w:id="598"/>
      <w:bookmarkEnd w:id="599"/>
      <w:bookmarkEnd w:id="600"/>
      <w:bookmarkEnd w:id="601"/>
      <w:bookmarkEnd w:id="602"/>
      <w:bookmarkEnd w:id="603"/>
      <w:bookmarkEnd w:id="604"/>
    </w:p>
    <w:p w14:paraId="33F0704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bookmarkStart w:id="605" w:name="_Toc438214685"/>
      <w:bookmarkStart w:id="606" w:name="_Toc399683811"/>
      <w:r>
        <w:rPr>
          <w:rFonts w:hint="eastAsia" w:ascii="宋体" w:hAnsi="宋体" w:eastAsia="宋体" w:cs="宋体"/>
          <w:bCs/>
          <w:color w:val="auto"/>
          <w:spacing w:val="-6"/>
          <w:sz w:val="28"/>
          <w:szCs w:val="28"/>
          <w:highlight w:val="none"/>
          <w:lang w:eastAsia="zh-CN"/>
        </w:rPr>
        <w:t>7.</w:t>
      </w:r>
      <w:r>
        <w:rPr>
          <w:rFonts w:hint="eastAsia" w:ascii="宋体" w:hAnsi="宋体" w:eastAsia="宋体" w:cs="宋体"/>
          <w:bCs/>
          <w:color w:val="auto"/>
          <w:spacing w:val="-6"/>
          <w:sz w:val="28"/>
          <w:szCs w:val="28"/>
          <w:highlight w:val="none"/>
        </w:rPr>
        <w:t>2.1电信</w:t>
      </w:r>
      <w:bookmarkEnd w:id="605"/>
      <w:bookmarkEnd w:id="606"/>
    </w:p>
    <w:p w14:paraId="1B7D7F52">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r>
        <w:rPr>
          <w:rFonts w:hint="eastAsia" w:ascii="宋体" w:hAnsi="宋体" w:eastAsia="宋体" w:cs="宋体"/>
          <w:bCs/>
          <w:color w:val="auto"/>
          <w:spacing w:val="-6"/>
          <w:sz w:val="28"/>
          <w:szCs w:val="28"/>
          <w:highlight w:val="none"/>
        </w:rPr>
        <w:t>本界区内行政电话、调度电话依托公司，依靠现有电信系统设施。</w:t>
      </w:r>
    </w:p>
    <w:p w14:paraId="32B99644">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bookmarkStart w:id="607" w:name="_Toc438214686"/>
      <w:bookmarkStart w:id="608" w:name="_Toc399683812"/>
      <w:r>
        <w:rPr>
          <w:rFonts w:hint="eastAsia" w:ascii="宋体" w:hAnsi="宋体" w:eastAsia="宋体" w:cs="宋体"/>
          <w:bCs/>
          <w:color w:val="auto"/>
          <w:spacing w:val="-6"/>
          <w:sz w:val="28"/>
          <w:szCs w:val="28"/>
          <w:highlight w:val="none"/>
          <w:lang w:eastAsia="zh-CN"/>
        </w:rPr>
        <w:t>7.</w:t>
      </w:r>
      <w:r>
        <w:rPr>
          <w:rFonts w:hint="eastAsia" w:ascii="宋体" w:hAnsi="宋体" w:eastAsia="宋体" w:cs="宋体"/>
          <w:bCs/>
          <w:color w:val="auto"/>
          <w:spacing w:val="-6"/>
          <w:sz w:val="28"/>
          <w:szCs w:val="28"/>
          <w:highlight w:val="none"/>
        </w:rPr>
        <w:t>2.2维修</w:t>
      </w:r>
      <w:bookmarkEnd w:id="607"/>
      <w:bookmarkEnd w:id="608"/>
    </w:p>
    <w:p w14:paraId="1C2D36E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r>
        <w:rPr>
          <w:rFonts w:hint="eastAsia" w:ascii="宋体" w:hAnsi="宋体" w:eastAsia="宋体" w:cs="宋体"/>
          <w:bCs/>
          <w:color w:val="auto"/>
          <w:spacing w:val="-6"/>
          <w:sz w:val="28"/>
          <w:szCs w:val="28"/>
          <w:highlight w:val="none"/>
        </w:rPr>
        <w:t>对于装置区内机、电、仪设备的维修，依托江苏索普新材料科技有限公司的维修设施及机、电、仪修理工，同时承担装置内机、电、仪设备的日常维护和备品备件的更换工作，以及进行日常巡回检查，保证机、电、仪设备正常运行。</w:t>
      </w:r>
    </w:p>
    <w:p w14:paraId="7830A93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bookmarkStart w:id="609" w:name="_Toc438214687"/>
      <w:bookmarkStart w:id="610" w:name="_Toc399683813"/>
      <w:r>
        <w:rPr>
          <w:rFonts w:hint="eastAsia" w:ascii="宋体" w:hAnsi="宋体" w:eastAsia="宋体" w:cs="宋体"/>
          <w:bCs/>
          <w:color w:val="auto"/>
          <w:spacing w:val="-6"/>
          <w:sz w:val="28"/>
          <w:szCs w:val="28"/>
          <w:highlight w:val="none"/>
          <w:lang w:eastAsia="zh-CN"/>
        </w:rPr>
        <w:t>7.</w:t>
      </w:r>
      <w:r>
        <w:rPr>
          <w:rFonts w:hint="eastAsia" w:ascii="宋体" w:hAnsi="宋体" w:eastAsia="宋体" w:cs="宋体"/>
          <w:bCs/>
          <w:color w:val="auto"/>
          <w:spacing w:val="-6"/>
          <w:sz w:val="28"/>
          <w:szCs w:val="28"/>
          <w:highlight w:val="none"/>
        </w:rPr>
        <w:t>2.3分析化验</w:t>
      </w:r>
      <w:bookmarkEnd w:id="609"/>
      <w:bookmarkEnd w:id="610"/>
    </w:p>
    <w:p w14:paraId="28097D1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r>
        <w:rPr>
          <w:rFonts w:hint="eastAsia" w:ascii="宋体" w:hAnsi="宋体" w:eastAsia="宋体" w:cs="宋体"/>
          <w:bCs/>
          <w:color w:val="auto"/>
          <w:spacing w:val="-6"/>
          <w:sz w:val="28"/>
          <w:szCs w:val="28"/>
          <w:highlight w:val="none"/>
        </w:rPr>
        <w:t>本项目的分析化验依托公司分析化验部门。</w:t>
      </w:r>
    </w:p>
    <w:p w14:paraId="12FE010D">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bookmarkStart w:id="611" w:name="_Toc15770"/>
      <w:r>
        <w:rPr>
          <w:rFonts w:hint="eastAsia" w:ascii="宋体" w:hAnsi="宋体" w:eastAsia="宋体" w:cs="宋体"/>
          <w:bCs/>
          <w:color w:val="auto"/>
          <w:spacing w:val="-6"/>
          <w:sz w:val="28"/>
          <w:szCs w:val="28"/>
          <w:highlight w:val="none"/>
          <w:lang w:eastAsia="zh-CN"/>
        </w:rPr>
        <w:t>7.</w:t>
      </w:r>
      <w:r>
        <w:rPr>
          <w:rFonts w:hint="eastAsia" w:ascii="宋体" w:hAnsi="宋体" w:eastAsia="宋体" w:cs="宋体"/>
          <w:bCs/>
          <w:color w:val="auto"/>
          <w:spacing w:val="-6"/>
          <w:sz w:val="28"/>
          <w:szCs w:val="28"/>
          <w:highlight w:val="none"/>
        </w:rPr>
        <w:t>2.4生活福利设施</w:t>
      </w:r>
      <w:bookmarkEnd w:id="611"/>
    </w:p>
    <w:p w14:paraId="7426C99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r>
        <w:rPr>
          <w:rFonts w:hint="eastAsia" w:ascii="宋体" w:hAnsi="宋体" w:eastAsia="宋体" w:cs="宋体"/>
          <w:bCs/>
          <w:color w:val="auto"/>
          <w:spacing w:val="-6"/>
          <w:sz w:val="28"/>
          <w:szCs w:val="28"/>
          <w:highlight w:val="none"/>
        </w:rPr>
        <w:t>生活福利设施如厂区内的办公、食堂、浴室依托原有设施。</w:t>
      </w:r>
    </w:p>
    <w:p w14:paraId="4BBC6F7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p>
    <w:p w14:paraId="08A0062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pPr>
    </w:p>
    <w:p w14:paraId="00D58EC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rPr>
        <w:sectPr>
          <w:pgSz w:w="11906" w:h="16838"/>
          <w:pgMar w:top="1440" w:right="1800" w:bottom="1440" w:left="1800" w:header="851" w:footer="992" w:gutter="0"/>
          <w:pgNumType w:fmt="decimal"/>
          <w:cols w:space="425" w:num="1"/>
          <w:docGrid w:type="lines" w:linePitch="312" w:charSpace="0"/>
        </w:sectPr>
      </w:pPr>
    </w:p>
    <w:p w14:paraId="44152BFB">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612" w:name="_Toc16642"/>
      <w:bookmarkStart w:id="613" w:name="_Toc6341"/>
      <w:bookmarkStart w:id="614" w:name="_Toc19672"/>
      <w:r>
        <w:rPr>
          <w:rFonts w:hint="eastAsia" w:ascii="宋体" w:hAnsi="宋体" w:eastAsia="宋体" w:cs="宋体"/>
          <w:b/>
          <w:bCs w:val="0"/>
          <w:color w:val="auto"/>
          <w:sz w:val="32"/>
          <w:szCs w:val="32"/>
          <w:highlight w:val="none"/>
          <w:lang w:val="zh-CN"/>
        </w:rPr>
        <w:t>第</w:t>
      </w:r>
      <w:r>
        <w:rPr>
          <w:rFonts w:hint="eastAsia" w:ascii="宋体" w:hAnsi="宋体" w:eastAsia="宋体" w:cs="宋体"/>
          <w:b/>
          <w:bCs w:val="0"/>
          <w:color w:val="auto"/>
          <w:sz w:val="32"/>
          <w:szCs w:val="32"/>
          <w:highlight w:val="none"/>
          <w:lang w:val="en-US" w:eastAsia="zh-CN"/>
        </w:rPr>
        <w:t>八</w:t>
      </w:r>
      <w:r>
        <w:rPr>
          <w:rFonts w:hint="eastAsia" w:ascii="宋体" w:hAnsi="宋体" w:eastAsia="宋体" w:cs="宋体"/>
          <w:b/>
          <w:bCs w:val="0"/>
          <w:color w:val="auto"/>
          <w:sz w:val="32"/>
          <w:szCs w:val="32"/>
          <w:highlight w:val="none"/>
          <w:lang w:val="zh-CN"/>
        </w:rPr>
        <w:t>章 节能</w:t>
      </w:r>
      <w:bookmarkEnd w:id="612"/>
      <w:bookmarkEnd w:id="613"/>
      <w:bookmarkEnd w:id="614"/>
    </w:p>
    <w:p w14:paraId="4090A6A0">
      <w:pPr>
        <w:pStyle w:val="21"/>
        <w:numPr>
          <w:ilvl w:val="0"/>
          <w:numId w:val="2"/>
        </w:numPr>
        <w:spacing w:line="560" w:lineRule="exact"/>
        <w:ind w:firstLine="31680"/>
        <w:jc w:val="left"/>
        <w:outlineLvl w:val="1"/>
        <w:rPr>
          <w:rStyle w:val="26"/>
          <w:rFonts w:ascii="宋体" w:hAnsi="Calibri" w:eastAsia="宋体" w:cs="宋体"/>
          <w:vanish/>
          <w:color w:val="auto"/>
          <w:sz w:val="28"/>
          <w:szCs w:val="28"/>
          <w:highlight w:val="none"/>
        </w:rPr>
      </w:pPr>
      <w:bookmarkStart w:id="615" w:name="_Toc493755172"/>
      <w:bookmarkEnd w:id="615"/>
      <w:bookmarkStart w:id="616" w:name="_Toc468190031"/>
      <w:bookmarkEnd w:id="616"/>
      <w:bookmarkStart w:id="617" w:name="_Toc497731173"/>
      <w:bookmarkEnd w:id="617"/>
      <w:bookmarkStart w:id="618" w:name="_Toc485072476"/>
      <w:bookmarkEnd w:id="618"/>
      <w:bookmarkStart w:id="619" w:name="_Toc485131185"/>
      <w:bookmarkEnd w:id="619"/>
      <w:bookmarkStart w:id="620" w:name="_Toc485072678"/>
      <w:bookmarkEnd w:id="620"/>
      <w:bookmarkStart w:id="621" w:name="_Toc472090924"/>
      <w:bookmarkEnd w:id="621"/>
      <w:bookmarkStart w:id="622" w:name="_Toc496512755"/>
      <w:bookmarkEnd w:id="622"/>
      <w:bookmarkStart w:id="623" w:name="_Toc486495332"/>
      <w:bookmarkEnd w:id="623"/>
      <w:bookmarkStart w:id="624" w:name="_Toc18665"/>
      <w:bookmarkEnd w:id="624"/>
      <w:bookmarkStart w:id="625" w:name="_Toc467420258"/>
      <w:bookmarkEnd w:id="625"/>
      <w:bookmarkStart w:id="626" w:name="_Toc485073082"/>
      <w:bookmarkEnd w:id="626"/>
      <w:bookmarkStart w:id="627" w:name="_Toc30182"/>
      <w:bookmarkEnd w:id="627"/>
      <w:bookmarkStart w:id="628" w:name="_Toc485071588"/>
      <w:bookmarkEnd w:id="628"/>
      <w:bookmarkStart w:id="629" w:name="_Toc485148786"/>
      <w:bookmarkEnd w:id="629"/>
      <w:bookmarkStart w:id="630" w:name="_Toc485130982"/>
      <w:bookmarkEnd w:id="630"/>
      <w:bookmarkStart w:id="631" w:name="_Toc492900271"/>
      <w:bookmarkEnd w:id="631"/>
      <w:bookmarkStart w:id="632" w:name="_Toc475520059"/>
      <w:bookmarkEnd w:id="632"/>
      <w:bookmarkStart w:id="633" w:name="_Toc485071790"/>
      <w:bookmarkEnd w:id="633"/>
      <w:bookmarkStart w:id="634" w:name="_Toc485079155"/>
      <w:bookmarkEnd w:id="634"/>
      <w:bookmarkStart w:id="635" w:name="_Toc485139331"/>
      <w:bookmarkEnd w:id="635"/>
      <w:bookmarkStart w:id="636" w:name="_Toc467418886"/>
      <w:bookmarkEnd w:id="636"/>
      <w:bookmarkStart w:id="637" w:name="_Toc470509349"/>
      <w:bookmarkEnd w:id="637"/>
      <w:bookmarkStart w:id="638" w:name="_Toc485139533"/>
      <w:bookmarkEnd w:id="638"/>
      <w:bookmarkStart w:id="639" w:name="_Toc485072880"/>
      <w:bookmarkEnd w:id="639"/>
      <w:bookmarkStart w:id="640" w:name="_Toc32081"/>
      <w:bookmarkEnd w:id="640"/>
      <w:bookmarkStart w:id="641" w:name="_Toc486495602"/>
      <w:bookmarkEnd w:id="641"/>
      <w:bookmarkStart w:id="642" w:name="_Toc467419413"/>
      <w:bookmarkEnd w:id="642"/>
      <w:bookmarkStart w:id="643" w:name="_Toc472090499"/>
      <w:bookmarkEnd w:id="643"/>
      <w:bookmarkStart w:id="644" w:name="_Toc20317"/>
      <w:bookmarkEnd w:id="644"/>
      <w:bookmarkStart w:id="645" w:name="_Toc474941277"/>
      <w:bookmarkEnd w:id="645"/>
    </w:p>
    <w:p w14:paraId="165A5967">
      <w:pPr>
        <w:pStyle w:val="21"/>
        <w:numPr>
          <w:ilvl w:val="0"/>
          <w:numId w:val="2"/>
        </w:numPr>
        <w:spacing w:line="560" w:lineRule="exact"/>
        <w:ind w:firstLine="560"/>
        <w:jc w:val="left"/>
        <w:outlineLvl w:val="1"/>
        <w:rPr>
          <w:rStyle w:val="26"/>
          <w:rFonts w:asciiTheme="minorEastAsia" w:hAnsiTheme="minorEastAsia" w:eastAsiaTheme="minorEastAsia" w:cstheme="minorEastAsia"/>
          <w:vanish/>
          <w:color w:val="auto"/>
          <w:sz w:val="28"/>
          <w:szCs w:val="28"/>
          <w:highlight w:val="none"/>
        </w:rPr>
      </w:pPr>
    </w:p>
    <w:p w14:paraId="17243F77">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646" w:name="_Toc32123_WPSOffice_Level2"/>
      <w:bookmarkStart w:id="647" w:name="_Toc20347_WPSOffice_Level2"/>
      <w:bookmarkStart w:id="648" w:name="_Toc19355"/>
      <w:bookmarkStart w:id="649" w:name="_Toc5875_WPSOffice_Level2"/>
      <w:bookmarkStart w:id="650" w:name="_Toc10279_WPSOffice_Level2"/>
      <w:bookmarkStart w:id="651" w:name="_Toc22523_WPSOffice_Level2"/>
      <w:bookmarkStart w:id="652" w:name="_Toc24430"/>
      <w:bookmarkStart w:id="653" w:name="_Toc7019"/>
      <w:r>
        <w:rPr>
          <w:rFonts w:hint="eastAsia" w:ascii="宋体" w:hAnsi="宋体" w:eastAsia="宋体" w:cs="宋体"/>
          <w:bCs/>
          <w:color w:val="auto"/>
          <w:spacing w:val="-6"/>
          <w:sz w:val="28"/>
          <w:szCs w:val="28"/>
          <w:highlight w:val="none"/>
          <w:lang w:eastAsia="zh-CN"/>
        </w:rPr>
        <w:t>8.1</w:t>
      </w:r>
      <w:bookmarkEnd w:id="646"/>
      <w:bookmarkEnd w:id="647"/>
      <w:bookmarkEnd w:id="648"/>
      <w:bookmarkEnd w:id="649"/>
      <w:bookmarkEnd w:id="650"/>
      <w:bookmarkEnd w:id="651"/>
      <w:bookmarkStart w:id="654" w:name="_Toc20427"/>
      <w:bookmarkStart w:id="655" w:name="_Toc12015"/>
      <w:r>
        <w:rPr>
          <w:rFonts w:hint="eastAsia" w:ascii="宋体" w:hAnsi="宋体" w:eastAsia="宋体" w:cs="宋体"/>
          <w:bCs/>
          <w:color w:val="auto"/>
          <w:spacing w:val="-6"/>
          <w:sz w:val="28"/>
          <w:szCs w:val="28"/>
          <w:highlight w:val="none"/>
          <w:lang w:eastAsia="zh-CN"/>
        </w:rPr>
        <w:t>设计依据</w:t>
      </w:r>
      <w:bookmarkEnd w:id="652"/>
      <w:bookmarkEnd w:id="653"/>
      <w:bookmarkEnd w:id="654"/>
      <w:bookmarkEnd w:id="655"/>
    </w:p>
    <w:p w14:paraId="3053C09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656" w:name="_Toc2475"/>
      <w:bookmarkStart w:id="657" w:name="_Toc29196"/>
      <w:r>
        <w:rPr>
          <w:rFonts w:hint="eastAsia" w:ascii="宋体" w:hAnsi="宋体" w:eastAsia="宋体" w:cs="宋体"/>
          <w:bCs/>
          <w:color w:val="auto"/>
          <w:spacing w:val="-6"/>
          <w:sz w:val="28"/>
          <w:szCs w:val="28"/>
          <w:highlight w:val="none"/>
          <w:lang w:eastAsia="zh-CN"/>
        </w:rPr>
        <w:t>8.1.1 法律、法规</w:t>
      </w:r>
      <w:bookmarkEnd w:id="656"/>
      <w:bookmarkEnd w:id="657"/>
    </w:p>
    <w:p w14:paraId="0374AC9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658" w:name="_Toc28256"/>
      <w:r>
        <w:rPr>
          <w:rFonts w:hint="eastAsia" w:ascii="宋体" w:hAnsi="宋体" w:eastAsia="宋体" w:cs="宋体"/>
          <w:bCs/>
          <w:color w:val="auto"/>
          <w:spacing w:val="-6"/>
          <w:sz w:val="28"/>
          <w:szCs w:val="28"/>
          <w:highlight w:val="none"/>
          <w:lang w:eastAsia="zh-CN"/>
        </w:rPr>
        <w:t>《中华人民共和国节约能源法》（2018年修正）</w:t>
      </w:r>
      <w:bookmarkEnd w:id="658"/>
    </w:p>
    <w:p w14:paraId="26F1F22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《中华人民共和国清洁生产促进法》（2012年7月1日施行）</w:t>
      </w:r>
    </w:p>
    <w:p w14:paraId="3C2862B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《中华人民共和国循环经济促进法》（2018年修正）</w:t>
      </w:r>
    </w:p>
    <w:p w14:paraId="73BD92F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《江苏省节约能源条例》（2021年修正）</w:t>
      </w:r>
    </w:p>
    <w:p w14:paraId="6DC4BC7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val="zh-CN" w:eastAsia="zh-CN"/>
        </w:rPr>
      </w:pPr>
      <w:bookmarkStart w:id="659" w:name="_Toc4942"/>
      <w:bookmarkStart w:id="660" w:name="_Toc24577"/>
      <w:r>
        <w:rPr>
          <w:rFonts w:hint="eastAsia" w:ascii="宋体" w:hAnsi="宋体" w:eastAsia="宋体" w:cs="宋体"/>
          <w:bCs/>
          <w:color w:val="auto"/>
          <w:spacing w:val="-6"/>
          <w:sz w:val="28"/>
          <w:szCs w:val="28"/>
          <w:highlight w:val="none"/>
          <w:lang w:eastAsia="zh-CN"/>
        </w:rPr>
        <w:t>8</w:t>
      </w:r>
      <w:r>
        <w:rPr>
          <w:rFonts w:hint="eastAsia" w:ascii="宋体" w:hAnsi="宋体" w:eastAsia="宋体" w:cs="宋体"/>
          <w:bCs/>
          <w:color w:val="auto"/>
          <w:spacing w:val="-6"/>
          <w:sz w:val="28"/>
          <w:szCs w:val="28"/>
          <w:highlight w:val="none"/>
          <w:lang w:val="zh-CN" w:eastAsia="zh-CN"/>
        </w:rPr>
        <w:t>.1.2 行政法规、文件及规划</w:t>
      </w:r>
      <w:bookmarkEnd w:id="659"/>
      <w:bookmarkEnd w:id="660"/>
    </w:p>
    <w:p w14:paraId="09020AB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661" w:name="_Toc19764"/>
      <w:r>
        <w:rPr>
          <w:rFonts w:hint="eastAsia" w:ascii="宋体" w:hAnsi="宋体" w:eastAsia="宋体" w:cs="宋体"/>
          <w:bCs/>
          <w:color w:val="auto"/>
          <w:spacing w:val="-6"/>
          <w:sz w:val="28"/>
          <w:szCs w:val="28"/>
          <w:highlight w:val="none"/>
          <w:lang w:eastAsia="zh-CN"/>
        </w:rPr>
        <w:t>《国务院关于加强节能工作的决定》（国发[2006]28号）</w:t>
      </w:r>
      <w:bookmarkEnd w:id="661"/>
    </w:p>
    <w:p w14:paraId="67D8461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《省政府办公厅关于印发江苏省控制能源消费总量工作方案的通知》（省政办发〔2014〕75号）</w:t>
      </w:r>
    </w:p>
    <w:p w14:paraId="0B4C9A1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《江苏省国民经济和社会发展第十四个五年规划和二〇三五年远景目标纲要》</w:t>
      </w:r>
    </w:p>
    <w:p w14:paraId="432F59F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《镇江市国民经济和社会发展第十四个五年规划和二〇三五年远景目标纲要》</w:t>
      </w:r>
    </w:p>
    <w:p w14:paraId="11CE5491">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662" w:name="_Toc547"/>
      <w:r>
        <w:rPr>
          <w:rFonts w:hint="eastAsia" w:ascii="宋体" w:hAnsi="宋体" w:eastAsia="宋体" w:cs="宋体"/>
          <w:bCs/>
          <w:color w:val="auto"/>
          <w:spacing w:val="-6"/>
          <w:sz w:val="28"/>
          <w:szCs w:val="28"/>
          <w:highlight w:val="none"/>
          <w:lang w:eastAsia="zh-CN"/>
        </w:rPr>
        <w:t>《江苏省“十四五”能源规划》</w:t>
      </w:r>
      <w:bookmarkEnd w:id="662"/>
    </w:p>
    <w:p w14:paraId="2A9D0FE6">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《江苏省工业和信息产业结构调整限制、淘汰目录和能耗限额》（2015年）（苏政办发〔2015〕118号）</w:t>
      </w:r>
    </w:p>
    <w:p w14:paraId="6D5A4BB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《江苏省化工产业结构调整限制、淘汰和禁止目录(2020年本)》(2020年本)（苏政办发【2020】32号）</w:t>
      </w:r>
    </w:p>
    <w:p w14:paraId="1B89B26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《产业结构调整指导目录（2019年本）》（国家发展和改革委员会令〔2021〕第49号）修正版</w:t>
      </w:r>
    </w:p>
    <w:p w14:paraId="658C5F65">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val="zh-CN" w:eastAsia="zh-CN"/>
        </w:rPr>
      </w:pPr>
      <w:bookmarkStart w:id="663" w:name="_Toc25954"/>
      <w:bookmarkStart w:id="664" w:name="_Toc1326"/>
      <w:r>
        <w:rPr>
          <w:rFonts w:hint="eastAsia" w:ascii="宋体" w:hAnsi="宋体" w:eastAsia="宋体" w:cs="宋体"/>
          <w:bCs/>
          <w:color w:val="auto"/>
          <w:spacing w:val="-6"/>
          <w:sz w:val="28"/>
          <w:szCs w:val="28"/>
          <w:highlight w:val="none"/>
          <w:lang w:eastAsia="zh-CN"/>
        </w:rPr>
        <w:t>8</w:t>
      </w:r>
      <w:r>
        <w:rPr>
          <w:rFonts w:hint="eastAsia" w:ascii="宋体" w:hAnsi="宋体" w:eastAsia="宋体" w:cs="宋体"/>
          <w:bCs/>
          <w:color w:val="auto"/>
          <w:spacing w:val="-6"/>
          <w:sz w:val="28"/>
          <w:szCs w:val="28"/>
          <w:highlight w:val="none"/>
          <w:lang w:val="zh-CN" w:eastAsia="zh-CN"/>
        </w:rPr>
        <w:t>.1.3 相关标准和规范</w:t>
      </w:r>
      <w:bookmarkEnd w:id="663"/>
      <w:bookmarkEnd w:id="664"/>
    </w:p>
    <w:p w14:paraId="5916701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665" w:name="_Toc30644"/>
      <w:r>
        <w:rPr>
          <w:rFonts w:hint="eastAsia" w:ascii="宋体" w:hAnsi="宋体" w:eastAsia="宋体" w:cs="宋体"/>
          <w:bCs/>
          <w:color w:val="auto"/>
          <w:spacing w:val="-6"/>
          <w:sz w:val="28"/>
          <w:szCs w:val="28"/>
          <w:highlight w:val="none"/>
          <w:lang w:eastAsia="zh-CN"/>
        </w:rPr>
        <w:t>《综合能耗计算通则》GB/T2859-2020</w:t>
      </w:r>
      <w:bookmarkEnd w:id="665"/>
    </w:p>
    <w:p w14:paraId="567B93B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default" w:ascii="宋体" w:hAnsi="宋体" w:eastAsia="宋体" w:cs="宋体"/>
          <w:bCs/>
          <w:color w:val="auto"/>
          <w:spacing w:val="-6"/>
          <w:sz w:val="28"/>
          <w:szCs w:val="28"/>
          <w:highlight w:val="none"/>
          <w:lang w:val="en-US" w:eastAsia="zh-CN"/>
        </w:rPr>
      </w:pPr>
      <w:r>
        <w:rPr>
          <w:rFonts w:hint="eastAsia" w:ascii="宋体" w:hAnsi="宋体" w:eastAsia="宋体" w:cs="宋体"/>
          <w:bCs/>
          <w:color w:val="auto"/>
          <w:spacing w:val="-6"/>
          <w:sz w:val="28"/>
          <w:szCs w:val="28"/>
          <w:highlight w:val="none"/>
          <w:lang w:eastAsia="zh-CN"/>
        </w:rPr>
        <w:t>《工业企业能源管理导则》GB/T 15587-20</w:t>
      </w:r>
      <w:r>
        <w:rPr>
          <w:rFonts w:hint="eastAsia" w:ascii="宋体" w:hAnsi="宋体" w:eastAsia="宋体" w:cs="宋体"/>
          <w:bCs/>
          <w:color w:val="auto"/>
          <w:spacing w:val="-6"/>
          <w:sz w:val="28"/>
          <w:szCs w:val="28"/>
          <w:highlight w:val="none"/>
          <w:lang w:val="en-US" w:eastAsia="zh-CN"/>
        </w:rPr>
        <w:t>23</w:t>
      </w:r>
    </w:p>
    <w:p w14:paraId="006560F5">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《用能单位能源计量器具配备和管理通则》GB17167-2006</w:t>
      </w:r>
    </w:p>
    <w:p w14:paraId="610F89D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《化工采暖通风与空气调节设计规范》HG/T20698-2009</w:t>
      </w:r>
    </w:p>
    <w:p w14:paraId="2A694B8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《公共建筑节能设计标准》GB50189-2015</w:t>
      </w:r>
    </w:p>
    <w:p w14:paraId="441B438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《建筑照明设计标准》GB/T 50034-2024</w:t>
      </w:r>
    </w:p>
    <w:p w14:paraId="217463B5">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666" w:name="_Toc459109132"/>
      <w:bookmarkStart w:id="667" w:name="_Toc26183"/>
      <w:bookmarkStart w:id="668" w:name="_Toc17018"/>
      <w:r>
        <w:rPr>
          <w:rFonts w:hint="eastAsia" w:ascii="宋体" w:hAnsi="宋体" w:eastAsia="宋体" w:cs="宋体"/>
          <w:bCs/>
          <w:color w:val="auto"/>
          <w:spacing w:val="-6"/>
          <w:sz w:val="28"/>
          <w:szCs w:val="28"/>
          <w:highlight w:val="none"/>
          <w:lang w:eastAsia="zh-CN"/>
        </w:rPr>
        <w:t xml:space="preserve">8.2 </w:t>
      </w:r>
      <w:bookmarkEnd w:id="666"/>
      <w:r>
        <w:rPr>
          <w:rFonts w:hint="eastAsia" w:ascii="宋体" w:hAnsi="宋体" w:eastAsia="宋体" w:cs="宋体"/>
          <w:bCs/>
          <w:color w:val="auto"/>
          <w:spacing w:val="-6"/>
          <w:sz w:val="28"/>
          <w:szCs w:val="28"/>
          <w:highlight w:val="none"/>
          <w:lang w:eastAsia="zh-CN"/>
        </w:rPr>
        <w:t>能耗指标及分析</w:t>
      </w:r>
      <w:bookmarkEnd w:id="667"/>
      <w:bookmarkEnd w:id="668"/>
    </w:p>
    <w:p w14:paraId="5100DF0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依据《综合能耗计算通则》（GB/T2589-2020），综合能耗计算的能源指用能单位实际消耗的各种能源，包括主要生产系统、辅助生产系统和附属生产系统用能以及用作原料的能源。</w:t>
      </w:r>
    </w:p>
    <w:p w14:paraId="0324F4A7">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本项目生产过程中实际消耗的能源品种有：</w:t>
      </w:r>
    </w:p>
    <w:p w14:paraId="2A1E0A5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☆耗能工质：仪表空气、氮气</w:t>
      </w:r>
    </w:p>
    <w:p w14:paraId="249E99F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耗能工质中的仪表空气、氮气为项目界区内的自产能源及耗能工质，其用能已计入电耗，不再重复计。</w:t>
      </w:r>
    </w:p>
    <w:p w14:paraId="36EDC173">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default" w:ascii="宋体" w:hAnsi="宋体" w:cs="宋体"/>
          <w:bCs/>
          <w:color w:val="auto"/>
          <w:spacing w:val="-6"/>
          <w:sz w:val="28"/>
          <w:szCs w:val="28"/>
          <w:highlight w:val="none"/>
          <w:lang w:val="en-US" w:eastAsia="zh-CN"/>
        </w:rPr>
      </w:pPr>
      <w:r>
        <w:rPr>
          <w:rFonts w:hint="eastAsia" w:ascii="宋体" w:hAnsi="宋体" w:eastAsia="宋体" w:cs="宋体"/>
          <w:bCs/>
          <w:color w:val="auto"/>
          <w:spacing w:val="-6"/>
          <w:sz w:val="28"/>
          <w:szCs w:val="28"/>
          <w:highlight w:val="none"/>
          <w:lang w:eastAsia="zh-CN"/>
        </w:rPr>
        <w:t>因此，</w:t>
      </w:r>
      <w:r>
        <w:rPr>
          <w:rFonts w:hint="eastAsia" w:ascii="宋体" w:hAnsi="宋体" w:cs="宋体"/>
          <w:bCs/>
          <w:color w:val="auto"/>
          <w:spacing w:val="-6"/>
          <w:sz w:val="28"/>
          <w:szCs w:val="28"/>
          <w:highlight w:val="none"/>
          <w:lang w:val="en-US" w:eastAsia="zh-CN"/>
        </w:rPr>
        <w:t>本项目不涉及新增能耗。</w:t>
      </w:r>
    </w:p>
    <w:p w14:paraId="371D3236">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669" w:name="_Toc459109133"/>
      <w:bookmarkStart w:id="670" w:name="_Toc23032"/>
      <w:bookmarkStart w:id="671" w:name="_Toc22944"/>
      <w:r>
        <w:rPr>
          <w:rFonts w:hint="eastAsia" w:ascii="宋体" w:hAnsi="宋体" w:eastAsia="宋体" w:cs="宋体"/>
          <w:bCs/>
          <w:color w:val="auto"/>
          <w:spacing w:val="-6"/>
          <w:sz w:val="28"/>
          <w:szCs w:val="28"/>
          <w:highlight w:val="none"/>
          <w:lang w:eastAsia="zh-CN"/>
        </w:rPr>
        <w:t>8.</w:t>
      </w:r>
      <w:bookmarkEnd w:id="669"/>
      <w:r>
        <w:rPr>
          <w:rFonts w:hint="eastAsia" w:ascii="宋体" w:hAnsi="宋体" w:eastAsia="宋体" w:cs="宋体"/>
          <w:bCs/>
          <w:color w:val="auto"/>
          <w:spacing w:val="-6"/>
          <w:sz w:val="28"/>
          <w:szCs w:val="28"/>
          <w:highlight w:val="none"/>
          <w:lang w:eastAsia="zh-CN"/>
        </w:rPr>
        <w:t>3 节能措施</w:t>
      </w:r>
      <w:bookmarkEnd w:id="670"/>
      <w:bookmarkEnd w:id="671"/>
    </w:p>
    <w:p w14:paraId="3C0CB87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1、严格按照《用能单位能源计量器具配备和管理通则》（GB17167-2006）的要求做好能源计量工作。</w:t>
      </w:r>
    </w:p>
    <w:p w14:paraId="0E260422">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2、积极开展清洁生产审计，从生产过程的各个环节控制物耗和能耗。</w:t>
      </w:r>
    </w:p>
    <w:p w14:paraId="496542F3">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3、加强企业内部管理，实施成本控制法，制定能源消耗定额，落实成本控制责任制，通过提高内部管理水平降低产品能耗。</w:t>
      </w:r>
    </w:p>
    <w:p w14:paraId="1EA69E89">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4、加强对设备设施的运行管理，保证系统在最优状态下运行，以提高运行效率。</w:t>
      </w:r>
    </w:p>
    <w:p w14:paraId="0BD4A0F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5、定期监督、检查能源利用状况。</w:t>
      </w:r>
    </w:p>
    <w:p w14:paraId="65986DB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6、开展节能教育，提高全员节能意识和水平。</w:t>
      </w:r>
    </w:p>
    <w:p w14:paraId="24D7648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7、建立节能工作责任制，建立健全能源消耗原始记录和统计台帐，对本企业主要耗能产品制定先进、合理的能源消耗定额，将各项能源消耗定额分解落实到车间、班组、岗位，并认真进行考核。对节能工作取得成绩的集体和个人给予奖励。</w:t>
      </w:r>
    </w:p>
    <w:p w14:paraId="68DE654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8、积极开展节能技术革新和节能改造工作。</w:t>
      </w:r>
    </w:p>
    <w:p w14:paraId="67BC0A16">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9、经常开展节能合理化建议活动。</w:t>
      </w:r>
    </w:p>
    <w:p w14:paraId="53B43357">
      <w:pPr>
        <w:pStyle w:val="20"/>
        <w:ind w:firstLine="31680"/>
        <w:rPr>
          <w:color w:val="auto"/>
          <w:highlight w:val="none"/>
        </w:rPr>
      </w:pPr>
    </w:p>
    <w:p w14:paraId="03B496FA">
      <w:pPr>
        <w:rPr>
          <w:color w:val="auto"/>
          <w:highlight w:val="none"/>
        </w:rPr>
      </w:pPr>
    </w:p>
    <w:p w14:paraId="5204C770">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1422CA48">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672" w:name="_Toc25192"/>
      <w:bookmarkStart w:id="673" w:name="_Toc28025"/>
      <w:bookmarkStart w:id="674" w:name="_Toc14532"/>
      <w:bookmarkStart w:id="675" w:name="_Toc7773"/>
      <w:r>
        <w:rPr>
          <w:rFonts w:hint="eastAsia" w:ascii="宋体" w:hAnsi="宋体" w:eastAsia="宋体" w:cs="宋体"/>
          <w:b/>
          <w:bCs w:val="0"/>
          <w:color w:val="auto"/>
          <w:sz w:val="32"/>
          <w:szCs w:val="32"/>
          <w:highlight w:val="none"/>
          <w:lang w:val="zh-CN"/>
        </w:rPr>
        <w:t>第</w:t>
      </w:r>
      <w:r>
        <w:rPr>
          <w:rFonts w:hint="eastAsia" w:ascii="宋体" w:hAnsi="宋体" w:eastAsia="宋体" w:cs="宋体"/>
          <w:b/>
          <w:bCs w:val="0"/>
          <w:color w:val="auto"/>
          <w:sz w:val="32"/>
          <w:szCs w:val="32"/>
          <w:highlight w:val="none"/>
          <w:lang w:val="en-US" w:eastAsia="zh-CN"/>
        </w:rPr>
        <w:t>九</w:t>
      </w:r>
      <w:r>
        <w:rPr>
          <w:rFonts w:hint="eastAsia" w:ascii="宋体" w:hAnsi="宋体" w:eastAsia="宋体" w:cs="宋体"/>
          <w:b/>
          <w:bCs w:val="0"/>
          <w:color w:val="auto"/>
          <w:sz w:val="32"/>
          <w:szCs w:val="32"/>
          <w:highlight w:val="none"/>
          <w:lang w:val="zh-CN"/>
        </w:rPr>
        <w:t>章 消防</w:t>
      </w:r>
      <w:bookmarkEnd w:id="672"/>
      <w:bookmarkEnd w:id="673"/>
      <w:bookmarkEnd w:id="674"/>
      <w:bookmarkEnd w:id="675"/>
    </w:p>
    <w:p w14:paraId="15CA63B4">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676" w:name="_Toc27651"/>
      <w:bookmarkStart w:id="677" w:name="_Toc9158"/>
      <w:bookmarkStart w:id="678" w:name="_Toc8105"/>
      <w:bookmarkStart w:id="679" w:name="_Toc167809698"/>
      <w:bookmarkStart w:id="680" w:name="_Toc15623"/>
      <w:bookmarkStart w:id="681" w:name="_Toc32524"/>
      <w:bookmarkStart w:id="682" w:name="_Toc397"/>
      <w:bookmarkStart w:id="683" w:name="_Toc30641"/>
      <w:bookmarkStart w:id="684" w:name="_Toc18768"/>
      <w:bookmarkStart w:id="685" w:name="_Toc29559"/>
      <w:bookmarkStart w:id="686" w:name="_Toc10553"/>
      <w:bookmarkStart w:id="687" w:name="_Toc16729"/>
      <w:bookmarkStart w:id="688" w:name="_Toc13538"/>
      <w:bookmarkStart w:id="689" w:name="_Toc129423228"/>
      <w:bookmarkStart w:id="690" w:name="_Toc88554353"/>
      <w:bookmarkStart w:id="691" w:name="_Toc32692"/>
      <w:bookmarkStart w:id="692" w:name="_Toc18780"/>
      <w:bookmarkStart w:id="693" w:name="_Toc358793968"/>
      <w:bookmarkStart w:id="694" w:name="_Toc243131995"/>
      <w:bookmarkStart w:id="695" w:name="_Toc19463"/>
      <w:bookmarkStart w:id="696" w:name="_Toc129483936"/>
      <w:bookmarkStart w:id="697" w:name="_Toc19523"/>
      <w:bookmarkStart w:id="698" w:name="_Toc13572"/>
      <w:bookmarkStart w:id="699" w:name="_Toc330911998"/>
      <w:bookmarkStart w:id="700" w:name="_Toc173057538"/>
      <w:bookmarkStart w:id="701" w:name="_Toc167781592"/>
      <w:bookmarkStart w:id="702" w:name="_Toc12217"/>
      <w:bookmarkStart w:id="703" w:name="_Toc92100813"/>
      <w:bookmarkStart w:id="704" w:name="_Toc6547"/>
      <w:bookmarkStart w:id="705" w:name="_Toc24631"/>
      <w:bookmarkStart w:id="706" w:name="_Toc9229"/>
      <w:bookmarkStart w:id="707" w:name="_Toc72207938"/>
      <w:bookmarkStart w:id="708" w:name="_Toc22967"/>
      <w:bookmarkStart w:id="709" w:name="_Toc30449"/>
      <w:bookmarkStart w:id="710" w:name="_Toc82050995"/>
      <w:bookmarkStart w:id="711" w:name="_Toc156271720"/>
      <w:r>
        <w:rPr>
          <w:rFonts w:hint="eastAsia" w:ascii="宋体" w:hAnsi="宋体" w:eastAsia="宋体" w:cs="宋体"/>
          <w:bCs/>
          <w:color w:val="auto"/>
          <w:spacing w:val="-6"/>
          <w:sz w:val="28"/>
          <w:szCs w:val="28"/>
          <w:highlight w:val="none"/>
          <w:lang w:eastAsia="zh-CN"/>
        </w:rPr>
        <w:t>9.1 消防体制和贯彻方针</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115055FB">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采用专职消防和义务消防相结合的消防体制，设置必要的岗位应急使用的消防设施。贯彻“预防为主、防消结合，减少火灾损失，保障人身和财产安全”的消防原则。严格执行国家有关的设计防火规范，采取可靠的防范措施，防止和减少火灾危害；严格执行国家各项抗灾防火技术和行政法规，积极采用先进成熟的抗灾防灾技术，做到设施可靠、技术先进、经济合理、便于操作。</w:t>
      </w:r>
    </w:p>
    <w:p w14:paraId="7A6BFFF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消防设施根据规模、火灾危险及邻近有关单位的消防协作条件等因素综合考虑确定。消防设施与主体工程同时设计、同时施工、同时投入生产和使用。</w:t>
      </w:r>
    </w:p>
    <w:p w14:paraId="4A971134">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712" w:name="_Toc17105"/>
      <w:bookmarkStart w:id="713" w:name="_Toc3611"/>
      <w:bookmarkStart w:id="714" w:name="_Toc16513"/>
      <w:bookmarkStart w:id="715" w:name="_Toc11226"/>
      <w:bookmarkStart w:id="716" w:name="_Toc243131996"/>
      <w:bookmarkStart w:id="717" w:name="_Toc5306"/>
      <w:bookmarkStart w:id="718" w:name="_Toc10857"/>
      <w:bookmarkStart w:id="719" w:name="_Toc13290"/>
      <w:bookmarkStart w:id="720" w:name="_Toc358793969"/>
      <w:bookmarkStart w:id="721" w:name="_Toc15628"/>
      <w:bookmarkStart w:id="722" w:name="_Toc20465"/>
      <w:bookmarkStart w:id="723" w:name="_Toc448"/>
      <w:bookmarkStart w:id="724" w:name="_Toc32199"/>
      <w:bookmarkStart w:id="725" w:name="_Toc21235"/>
      <w:bookmarkStart w:id="726" w:name="_Toc21137"/>
      <w:bookmarkStart w:id="727" w:name="_Toc6117"/>
      <w:bookmarkStart w:id="728" w:name="_Toc27168"/>
      <w:bookmarkStart w:id="729" w:name="_Toc30380"/>
      <w:bookmarkStart w:id="730" w:name="_Toc3520"/>
      <w:bookmarkStart w:id="731" w:name="_Toc2480"/>
      <w:bookmarkStart w:id="732" w:name="_Toc1172"/>
      <w:bookmarkStart w:id="733" w:name="_Toc26968"/>
      <w:bookmarkStart w:id="734" w:name="_Toc10822"/>
      <w:bookmarkStart w:id="735" w:name="_Toc2835"/>
      <w:bookmarkStart w:id="736" w:name="_Toc18870"/>
      <w:bookmarkStart w:id="737" w:name="_Toc330911999"/>
      <w:r>
        <w:rPr>
          <w:rFonts w:hint="eastAsia" w:ascii="宋体" w:hAnsi="宋体" w:eastAsia="宋体" w:cs="宋体"/>
          <w:bCs/>
          <w:color w:val="auto"/>
          <w:spacing w:val="-6"/>
          <w:sz w:val="28"/>
          <w:szCs w:val="28"/>
          <w:highlight w:val="none"/>
          <w:lang w:eastAsia="zh-CN"/>
        </w:rPr>
        <w:t>9.2 编制依据</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05ACC72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738" w:name="_Toc129423230"/>
      <w:bookmarkStart w:id="739" w:name="_Toc243131997"/>
      <w:bookmarkStart w:id="740" w:name="_Toc358793970"/>
      <w:bookmarkStart w:id="741" w:name="_Toc330912000"/>
      <w:bookmarkStart w:id="742" w:name="_Toc15270"/>
      <w:bookmarkStart w:id="743" w:name="_Toc7089"/>
      <w:bookmarkStart w:id="744" w:name="_Toc32321"/>
      <w:bookmarkStart w:id="745" w:name="_Toc28444"/>
      <w:bookmarkStart w:id="746" w:name="_Toc7788"/>
      <w:bookmarkStart w:id="747" w:name="_Toc21426"/>
      <w:bookmarkStart w:id="748" w:name="_Toc3387"/>
      <w:bookmarkStart w:id="749" w:name="_Toc4451"/>
      <w:bookmarkStart w:id="750" w:name="_Toc30887"/>
      <w:bookmarkStart w:id="751" w:name="_Toc4644"/>
      <w:bookmarkStart w:id="752" w:name="_Toc3462"/>
      <w:bookmarkStart w:id="753" w:name="_Toc30017"/>
      <w:bookmarkStart w:id="754" w:name="_Toc9064"/>
      <w:bookmarkStart w:id="755" w:name="_Toc31548"/>
      <w:bookmarkStart w:id="756" w:name="_Toc6667"/>
      <w:bookmarkStart w:id="757" w:name="_Toc31683"/>
      <w:bookmarkStart w:id="758" w:name="_Toc16640"/>
      <w:bookmarkStart w:id="759" w:name="_Toc11787"/>
      <w:bookmarkStart w:id="760" w:name="_Toc5093"/>
      <w:bookmarkStart w:id="761" w:name="_Toc24971"/>
      <w:r>
        <w:rPr>
          <w:rFonts w:hint="eastAsia" w:ascii="宋体" w:hAnsi="宋体" w:eastAsia="宋体" w:cs="宋体"/>
          <w:bCs/>
          <w:color w:val="auto"/>
          <w:spacing w:val="-6"/>
          <w:sz w:val="28"/>
          <w:szCs w:val="28"/>
          <w:highlight w:val="none"/>
          <w:lang w:eastAsia="zh-CN"/>
        </w:rPr>
        <w:t>《中华人民共和国消防法》2019年4月23日修正</w:t>
      </w:r>
    </w:p>
    <w:p w14:paraId="3DACAE9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《建设工程消防监督管理规定》中华人民共和国公安部令第106号</w:t>
      </w:r>
    </w:p>
    <w:p w14:paraId="2C06DC13">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《建筑设计防火规范（2018版）》GB50016－2014</w:t>
      </w:r>
    </w:p>
    <w:p w14:paraId="0A79611A">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《建筑灭火器配置设计规范》GB50140-2005</w:t>
      </w:r>
    </w:p>
    <w:p w14:paraId="7DEE67D3">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《火灾自动报警系统设计规范》 GB50116-2013</w:t>
      </w:r>
    </w:p>
    <w:p w14:paraId="27B61026">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《爆炸和火灾危险环境电力装置设计规范》GB50058-2014</w:t>
      </w:r>
    </w:p>
    <w:p w14:paraId="2D036AE1">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《建筑物防雷设计规范》 GB50057-2010</w:t>
      </w:r>
    </w:p>
    <w:p w14:paraId="5B8AFC7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 xml:space="preserve">《泡沫灭火系统设计规范》GB50151-2021 </w:t>
      </w:r>
    </w:p>
    <w:p w14:paraId="7E90BB42">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762" w:name="_Toc14358"/>
      <w:bookmarkStart w:id="763" w:name="_Toc3724"/>
      <w:bookmarkStart w:id="764" w:name="_Toc29591"/>
      <w:r>
        <w:rPr>
          <w:rFonts w:hint="eastAsia" w:ascii="宋体" w:hAnsi="宋体" w:eastAsia="宋体" w:cs="宋体"/>
          <w:bCs/>
          <w:color w:val="auto"/>
          <w:spacing w:val="-6"/>
          <w:sz w:val="28"/>
          <w:szCs w:val="28"/>
          <w:highlight w:val="none"/>
          <w:lang w:eastAsia="zh-CN"/>
        </w:rPr>
        <w:t xml:space="preserve">9.3 </w:t>
      </w:r>
      <w:bookmarkEnd w:id="738"/>
      <w:bookmarkEnd w:id="739"/>
      <w:r>
        <w:rPr>
          <w:rFonts w:hint="eastAsia" w:ascii="宋体" w:hAnsi="宋体" w:eastAsia="宋体" w:cs="宋体"/>
          <w:bCs/>
          <w:color w:val="auto"/>
          <w:spacing w:val="-6"/>
          <w:sz w:val="28"/>
          <w:szCs w:val="28"/>
          <w:highlight w:val="none"/>
          <w:lang w:eastAsia="zh-CN"/>
        </w:rPr>
        <w:t>工程的</w:t>
      </w:r>
      <w:bookmarkEnd w:id="740"/>
      <w:bookmarkEnd w:id="741"/>
      <w:r>
        <w:rPr>
          <w:rFonts w:hint="eastAsia" w:ascii="宋体" w:hAnsi="宋体" w:eastAsia="宋体" w:cs="宋体"/>
          <w:bCs/>
          <w:color w:val="auto"/>
          <w:spacing w:val="-6"/>
          <w:sz w:val="28"/>
          <w:szCs w:val="28"/>
          <w:highlight w:val="none"/>
          <w:lang w:eastAsia="zh-CN"/>
        </w:rPr>
        <w:t>火灾危险性类别</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45A5B542">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765" w:name="_Toc23401"/>
      <w:bookmarkStart w:id="766" w:name="_Toc32639"/>
      <w:bookmarkStart w:id="767" w:name="_Toc27258"/>
      <w:bookmarkStart w:id="768" w:name="_Toc9172"/>
      <w:bookmarkStart w:id="769" w:name="_Toc29745"/>
      <w:bookmarkStart w:id="770" w:name="_Toc30002"/>
      <w:bookmarkStart w:id="771" w:name="_Toc12926"/>
      <w:bookmarkStart w:id="772" w:name="_Toc26851"/>
      <w:bookmarkStart w:id="773" w:name="_Toc4116"/>
      <w:bookmarkStart w:id="774" w:name="_Toc29540"/>
      <w:bookmarkStart w:id="775" w:name="_Toc26913"/>
      <w:bookmarkStart w:id="776" w:name="_Toc30095"/>
      <w:bookmarkStart w:id="777" w:name="_Toc2026"/>
      <w:bookmarkStart w:id="778" w:name="_Toc13507"/>
      <w:bookmarkStart w:id="779" w:name="_Toc31882"/>
      <w:bookmarkStart w:id="780" w:name="_Toc15691"/>
      <w:bookmarkStart w:id="781" w:name="_Toc15632"/>
      <w:bookmarkStart w:id="782" w:name="_Toc22934"/>
      <w:bookmarkStart w:id="783" w:name="_Toc30611"/>
      <w:bookmarkStart w:id="784" w:name="_Toc21425"/>
      <w:bookmarkStart w:id="785" w:name="_Toc243131998"/>
      <w:bookmarkStart w:id="786" w:name="_Toc358793971"/>
      <w:bookmarkStart w:id="787" w:name="_Toc330912001"/>
      <w:bookmarkStart w:id="788" w:name="OLE_LINK12"/>
      <w:r>
        <w:rPr>
          <w:rFonts w:hint="eastAsia" w:ascii="宋体" w:hAnsi="宋体" w:eastAsia="宋体" w:cs="宋体"/>
          <w:bCs/>
          <w:color w:val="auto"/>
          <w:spacing w:val="-6"/>
          <w:sz w:val="28"/>
          <w:szCs w:val="28"/>
          <w:highlight w:val="none"/>
          <w:lang w:eastAsia="zh-CN"/>
        </w:rPr>
        <w:t>本项目</w:t>
      </w:r>
      <w:r>
        <w:rPr>
          <w:rFonts w:hint="eastAsia" w:ascii="宋体" w:hAnsi="宋体" w:eastAsia="宋体" w:cs="宋体"/>
          <w:bCs/>
          <w:color w:val="auto"/>
          <w:spacing w:val="-6"/>
          <w:sz w:val="28"/>
          <w:szCs w:val="28"/>
          <w:highlight w:val="none"/>
          <w:lang w:val="en-US" w:eastAsia="zh-CN"/>
        </w:rPr>
        <w:t>储存</w:t>
      </w:r>
      <w:r>
        <w:rPr>
          <w:rFonts w:hint="eastAsia" w:ascii="宋体" w:hAnsi="宋体" w:eastAsia="宋体" w:cs="宋体"/>
          <w:bCs/>
          <w:color w:val="auto"/>
          <w:spacing w:val="-6"/>
          <w:sz w:val="28"/>
          <w:szCs w:val="28"/>
          <w:highlight w:val="none"/>
          <w:lang w:eastAsia="zh-CN"/>
        </w:rPr>
        <w:t>过程中具有火灾爆炸危险的主要物质是</w:t>
      </w:r>
      <w:r>
        <w:rPr>
          <w:rFonts w:hint="eastAsia" w:ascii="宋体" w:hAnsi="宋体" w:eastAsia="宋体" w:cs="宋体"/>
          <w:bCs/>
          <w:color w:val="auto"/>
          <w:spacing w:val="-6"/>
          <w:sz w:val="28"/>
          <w:szCs w:val="28"/>
          <w:highlight w:val="none"/>
          <w:lang w:val="en-US" w:eastAsia="zh-CN"/>
        </w:rPr>
        <w:t>醋酐、盐酸</w:t>
      </w:r>
      <w:r>
        <w:rPr>
          <w:rFonts w:hint="eastAsia" w:ascii="宋体" w:hAnsi="宋体" w:eastAsia="宋体" w:cs="宋体"/>
          <w:bCs/>
          <w:color w:val="auto"/>
          <w:spacing w:val="-6"/>
          <w:sz w:val="28"/>
          <w:szCs w:val="28"/>
          <w:highlight w:val="none"/>
          <w:lang w:eastAsia="zh-CN"/>
        </w:rPr>
        <w:t>，其</w:t>
      </w:r>
      <w:r>
        <w:rPr>
          <w:rFonts w:hint="eastAsia" w:ascii="宋体" w:hAnsi="宋体" w:eastAsia="宋体" w:cs="宋体"/>
          <w:bCs/>
          <w:color w:val="auto"/>
          <w:spacing w:val="-6"/>
          <w:sz w:val="28"/>
          <w:szCs w:val="28"/>
          <w:highlight w:val="none"/>
          <w:lang w:val="en-US" w:eastAsia="zh-CN"/>
        </w:rPr>
        <w:t>储罐</w:t>
      </w:r>
      <w:r>
        <w:rPr>
          <w:rFonts w:hint="eastAsia" w:ascii="宋体" w:hAnsi="宋体" w:eastAsia="宋体" w:cs="宋体"/>
          <w:bCs/>
          <w:color w:val="auto"/>
          <w:spacing w:val="-6"/>
          <w:sz w:val="28"/>
          <w:szCs w:val="28"/>
          <w:highlight w:val="none"/>
          <w:lang w:eastAsia="zh-CN"/>
        </w:rPr>
        <w:t>火灾危险性分类为乙类、</w:t>
      </w:r>
      <w:r>
        <w:rPr>
          <w:rFonts w:hint="eastAsia" w:ascii="宋体" w:hAnsi="宋体" w:eastAsia="宋体" w:cs="宋体"/>
          <w:bCs/>
          <w:color w:val="auto"/>
          <w:spacing w:val="-6"/>
          <w:sz w:val="28"/>
          <w:szCs w:val="28"/>
          <w:highlight w:val="none"/>
          <w:lang w:val="en-US" w:eastAsia="zh-CN"/>
        </w:rPr>
        <w:t>丁类</w:t>
      </w:r>
      <w:r>
        <w:rPr>
          <w:rFonts w:hint="eastAsia" w:ascii="宋体" w:hAnsi="宋体" w:eastAsia="宋体" w:cs="宋体"/>
          <w:bCs/>
          <w:color w:val="auto"/>
          <w:spacing w:val="-6"/>
          <w:sz w:val="28"/>
          <w:szCs w:val="28"/>
          <w:highlight w:val="none"/>
          <w:lang w:eastAsia="zh-CN"/>
        </w:rPr>
        <w:t>。</w:t>
      </w:r>
    </w:p>
    <w:p w14:paraId="625CCF15">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789" w:name="_Toc27503"/>
      <w:bookmarkStart w:id="790" w:name="_Toc14271"/>
      <w:r>
        <w:rPr>
          <w:rFonts w:hint="eastAsia" w:ascii="宋体" w:hAnsi="宋体" w:eastAsia="宋体" w:cs="宋体"/>
          <w:bCs/>
          <w:color w:val="auto"/>
          <w:spacing w:val="-6"/>
          <w:sz w:val="28"/>
          <w:szCs w:val="28"/>
          <w:highlight w:val="none"/>
          <w:lang w:eastAsia="zh-CN"/>
        </w:rPr>
        <w:t>9.4 厂区消防现状</w:t>
      </w:r>
      <w:bookmarkEnd w:id="765"/>
      <w:bookmarkEnd w:id="766"/>
      <w:bookmarkEnd w:id="789"/>
      <w:bookmarkEnd w:id="790"/>
    </w:p>
    <w:p w14:paraId="5826CF07">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791" w:name="_Toc14503"/>
      <w:bookmarkStart w:id="792" w:name="_Toc12070"/>
      <w:r>
        <w:rPr>
          <w:rFonts w:hint="eastAsia" w:ascii="宋体" w:hAnsi="宋体" w:eastAsia="宋体" w:cs="宋体"/>
          <w:bCs/>
          <w:color w:val="auto"/>
          <w:spacing w:val="-6"/>
          <w:sz w:val="28"/>
          <w:szCs w:val="28"/>
          <w:highlight w:val="none"/>
          <w:lang w:eastAsia="zh-CN"/>
        </w:rPr>
        <w:t>（1）公司设有专职消防队，配备专职消防队员13人，配备1台8吨泡沫水罐消防车、1台气体防护车。</w:t>
      </w:r>
    </w:p>
    <w:p w14:paraId="54C858B9">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（2）厂区周围消防环境。园区有镇江市消防大队，附近谏壁电厂、6904油库和索普集团等单位均有专职消防队,可联合形成消防网络。</w:t>
      </w:r>
    </w:p>
    <w:p w14:paraId="3D42D337">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（3）厂区总图布置符合有关规范进行设计，保证安全距离。生产区和厂前区有绿化隔离带分割，各生产区四周有环形消防车道，宽度满足消防车通道要求。</w:t>
      </w:r>
    </w:p>
    <w:p w14:paraId="6C0A7B0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（4）江苏索普新材料科技有限公司现有消防管网来自园区管网，现有消防用水供水量、压力均满足规范要求，项目内设置有消防水池及消防泵房，可作为有效补充。</w:t>
      </w:r>
    </w:p>
    <w:p w14:paraId="2C33312F">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（5）厂区消防给水管采用焊接钢管，形成环状管网，室外设SS100-1.6型地上式消火栓，厂内道路按100-120米设置消防栓。</w:t>
      </w:r>
    </w:p>
    <w:p w14:paraId="377F88B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793" w:name="_Toc19746"/>
      <w:bookmarkStart w:id="794" w:name="_Toc26964"/>
      <w:r>
        <w:rPr>
          <w:rFonts w:hint="eastAsia" w:ascii="宋体" w:hAnsi="宋体" w:eastAsia="宋体" w:cs="宋体"/>
          <w:bCs/>
          <w:color w:val="auto"/>
          <w:spacing w:val="-6"/>
          <w:sz w:val="28"/>
          <w:szCs w:val="28"/>
          <w:highlight w:val="none"/>
          <w:lang w:eastAsia="zh-CN"/>
        </w:rPr>
        <w:t>9.5采用的防火措施及配置的消防系统</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91"/>
      <w:bookmarkEnd w:id="792"/>
      <w:bookmarkEnd w:id="793"/>
      <w:bookmarkEnd w:id="794"/>
    </w:p>
    <w:p w14:paraId="0D1F64DB">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795" w:name="_Toc2128"/>
      <w:bookmarkStart w:id="796" w:name="_Toc16881"/>
      <w:bookmarkStart w:id="797" w:name="_Toc14775"/>
      <w:bookmarkStart w:id="798" w:name="_Toc18192"/>
      <w:bookmarkStart w:id="799" w:name="_Toc9370"/>
      <w:bookmarkStart w:id="800" w:name="_Toc17209"/>
      <w:bookmarkStart w:id="801" w:name="_Toc19095"/>
      <w:bookmarkStart w:id="802" w:name="_Toc26556"/>
      <w:bookmarkStart w:id="803" w:name="_Toc2688"/>
      <w:bookmarkStart w:id="804" w:name="_Toc1989"/>
      <w:bookmarkStart w:id="805" w:name="_Toc19303"/>
      <w:bookmarkStart w:id="806" w:name="_Toc20331"/>
      <w:bookmarkStart w:id="807" w:name="_Toc21884"/>
      <w:bookmarkStart w:id="808" w:name="_Toc9549"/>
      <w:r>
        <w:rPr>
          <w:rFonts w:hint="eastAsia" w:ascii="宋体" w:hAnsi="宋体" w:eastAsia="宋体" w:cs="宋体"/>
          <w:bCs/>
          <w:color w:val="auto"/>
          <w:spacing w:val="-6"/>
          <w:sz w:val="28"/>
          <w:szCs w:val="28"/>
          <w:highlight w:val="none"/>
          <w:lang w:eastAsia="zh-CN"/>
        </w:rPr>
        <w:t>9.5.1</w:t>
      </w:r>
      <w:bookmarkEnd w:id="795"/>
      <w:bookmarkEnd w:id="796"/>
      <w:bookmarkEnd w:id="797"/>
      <w:bookmarkEnd w:id="798"/>
      <w:bookmarkEnd w:id="799"/>
      <w:bookmarkEnd w:id="800"/>
      <w:bookmarkEnd w:id="801"/>
      <w:bookmarkEnd w:id="802"/>
      <w:bookmarkEnd w:id="803"/>
      <w:bookmarkEnd w:id="804"/>
      <w:bookmarkEnd w:id="805"/>
      <w:bookmarkEnd w:id="806"/>
      <w:bookmarkEnd w:id="807"/>
      <w:r>
        <w:rPr>
          <w:rFonts w:hint="eastAsia" w:ascii="宋体" w:hAnsi="宋体" w:eastAsia="宋体" w:cs="宋体"/>
          <w:bCs/>
          <w:color w:val="auto"/>
          <w:spacing w:val="-6"/>
          <w:sz w:val="28"/>
          <w:szCs w:val="28"/>
          <w:highlight w:val="none"/>
          <w:lang w:eastAsia="zh-CN"/>
        </w:rPr>
        <w:t>总图</w:t>
      </w:r>
      <w:bookmarkEnd w:id="808"/>
    </w:p>
    <w:p w14:paraId="08E980F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809" w:name="_Toc2613"/>
      <w:bookmarkStart w:id="810" w:name="_Toc17538"/>
      <w:r>
        <w:rPr>
          <w:rFonts w:hint="eastAsia" w:ascii="宋体" w:hAnsi="宋体" w:eastAsia="宋体" w:cs="宋体"/>
          <w:bCs/>
          <w:color w:val="auto"/>
          <w:spacing w:val="-6"/>
          <w:sz w:val="28"/>
          <w:szCs w:val="28"/>
          <w:highlight w:val="none"/>
          <w:lang w:eastAsia="zh-CN"/>
        </w:rPr>
        <w:t>总图布置上，严格执行防火规范，各装置厂房间按规范留有足够的安全距离。装置区内道路环形布置，以保证消防通道的畅通无阻。</w:t>
      </w:r>
    </w:p>
    <w:p w14:paraId="27AAD163">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在总图布置时，力求在满足现行有关设计、消防、安全等规范和法规的要求的前提下，做到工艺流程顺畅、管线布置短捷、运输线路畅通。</w:t>
      </w:r>
    </w:p>
    <w:bookmarkEnd w:id="785"/>
    <w:bookmarkEnd w:id="786"/>
    <w:bookmarkEnd w:id="787"/>
    <w:bookmarkEnd w:id="788"/>
    <w:bookmarkEnd w:id="809"/>
    <w:bookmarkEnd w:id="810"/>
    <w:p w14:paraId="587EFA0E">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811" w:name="_Toc14657"/>
      <w:bookmarkStart w:id="812" w:name="_Toc330912002"/>
      <w:bookmarkStart w:id="813" w:name="_Toc358793972"/>
      <w:bookmarkStart w:id="814" w:name="_Toc29096"/>
      <w:bookmarkStart w:id="815" w:name="_Toc29195"/>
      <w:r>
        <w:rPr>
          <w:rFonts w:hint="eastAsia" w:ascii="宋体" w:hAnsi="宋体" w:eastAsia="宋体" w:cs="宋体"/>
          <w:bCs/>
          <w:color w:val="auto"/>
          <w:spacing w:val="-6"/>
          <w:sz w:val="28"/>
          <w:szCs w:val="28"/>
          <w:highlight w:val="none"/>
          <w:lang w:eastAsia="zh-CN"/>
        </w:rPr>
        <w:t>9.5.2建筑</w:t>
      </w:r>
      <w:bookmarkEnd w:id="811"/>
    </w:p>
    <w:p w14:paraId="1202FE47">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根据装置生产的火灾危险性分类的不同，按照《石油化工企业设计防火标准（2018年版）》（GB 50160-2008）和《建筑设计防火规范（2018版）》（GB50016-2014）的要求，进行建筑物的防火设计。有火灾爆炸危险场所的建构筑物的结构形式采用钢筋混凝土柱或框架结构，并设置必要的泄压面积及防火地坪，选用材料符合防火防爆要求。</w:t>
      </w:r>
    </w:p>
    <w:p w14:paraId="203B062C">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816" w:name="_Toc25844"/>
      <w:r>
        <w:rPr>
          <w:rFonts w:hint="eastAsia" w:ascii="宋体" w:hAnsi="宋体" w:eastAsia="宋体" w:cs="宋体"/>
          <w:bCs/>
          <w:color w:val="auto"/>
          <w:spacing w:val="-6"/>
          <w:sz w:val="28"/>
          <w:szCs w:val="28"/>
          <w:highlight w:val="none"/>
          <w:lang w:eastAsia="zh-CN"/>
        </w:rPr>
        <w:t>9.5.3 电气</w:t>
      </w:r>
      <w:bookmarkEnd w:id="816"/>
    </w:p>
    <w:p w14:paraId="39E71B87">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本项目设计采用《建筑设计防火规范（2018版）》（GB50016-2014），《建筑物防雷设计防火规范》（GB50057-2010），《爆炸和火灾危险环境电力装置设计防火规范》（GB50058-2014）等规范。电气专业防火的重点是防雷、防静电和接地的设计。</w:t>
      </w:r>
    </w:p>
    <w:p w14:paraId="35EE4995">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根据车间的不同环境特性，选用防腐、防水、防尘、防爆的电气设备，并设置防雷、防静电设施和接地保护。</w:t>
      </w:r>
    </w:p>
    <w:bookmarkEnd w:id="812"/>
    <w:bookmarkEnd w:id="813"/>
    <w:bookmarkEnd w:id="814"/>
    <w:bookmarkEnd w:id="815"/>
    <w:p w14:paraId="198F4976">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817" w:name="_Toc228"/>
      <w:bookmarkStart w:id="818" w:name="_Toc177563900"/>
      <w:bookmarkStart w:id="819" w:name="_Toc9901"/>
      <w:bookmarkStart w:id="820" w:name="_Toc23883"/>
      <w:bookmarkStart w:id="821" w:name="_Toc15576"/>
      <w:bookmarkStart w:id="822" w:name="_Toc4623"/>
      <w:bookmarkStart w:id="823" w:name="_Toc12386"/>
      <w:bookmarkStart w:id="824" w:name="_Toc18537"/>
      <w:bookmarkStart w:id="825" w:name="_Toc32205"/>
      <w:bookmarkStart w:id="826" w:name="_Toc20563"/>
      <w:bookmarkStart w:id="827" w:name="_Toc31479"/>
      <w:bookmarkStart w:id="828" w:name="_Toc11024"/>
      <w:bookmarkStart w:id="829" w:name="_Toc24596"/>
      <w:bookmarkStart w:id="830" w:name="_Toc358793978"/>
      <w:bookmarkStart w:id="831" w:name="_Toc21582"/>
      <w:bookmarkStart w:id="832" w:name="_Toc3448"/>
      <w:bookmarkStart w:id="833" w:name="_Toc21249"/>
      <w:bookmarkStart w:id="834" w:name="_Toc330912009"/>
      <w:bookmarkStart w:id="835" w:name="_Toc24768"/>
      <w:bookmarkStart w:id="836" w:name="_Toc27998"/>
      <w:bookmarkStart w:id="837" w:name="_Toc29424"/>
      <w:r>
        <w:rPr>
          <w:rFonts w:hint="eastAsia" w:ascii="宋体" w:hAnsi="宋体" w:eastAsia="宋体" w:cs="宋体"/>
          <w:bCs/>
          <w:color w:val="auto"/>
          <w:spacing w:val="-6"/>
          <w:sz w:val="28"/>
          <w:szCs w:val="28"/>
          <w:highlight w:val="none"/>
          <w:lang w:eastAsia="zh-CN"/>
        </w:rPr>
        <w:t>9.5.4 移动式灭火器配置</w:t>
      </w:r>
      <w:bookmarkEnd w:id="817"/>
      <w:bookmarkEnd w:id="818"/>
    </w:p>
    <w:p w14:paraId="31F42A21">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bookmarkStart w:id="838" w:name="_Toc16275"/>
      <w:bookmarkStart w:id="839" w:name="_Toc9543"/>
      <w:bookmarkStart w:id="840" w:name="_Toc11947"/>
      <w:r>
        <w:rPr>
          <w:rFonts w:hint="eastAsia" w:ascii="宋体" w:hAnsi="宋体" w:eastAsia="宋体" w:cs="宋体"/>
          <w:bCs/>
          <w:color w:val="auto"/>
          <w:spacing w:val="-6"/>
          <w:sz w:val="28"/>
          <w:szCs w:val="28"/>
          <w:highlight w:val="none"/>
          <w:lang w:eastAsia="zh-CN"/>
        </w:rPr>
        <w:t>依据《建筑设计防火规范（2018年版）》（GB50016-2014）、《建筑灭火器配置设计规范》（GB50140-2005）的要求，在各生产装置及辅助生产装置均按其危险等级，设置手提式或推车式灭火器，以迅速扑救小型火点的初期火灾。根据现行国家相关标准在本工程范围内配置一定数量的移动式灭火设备和器材。</w:t>
      </w:r>
    </w:p>
    <w:p w14:paraId="14468930">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outlineLvl w:val="1"/>
        <w:rPr>
          <w:rFonts w:hint="eastAsia" w:ascii="宋体" w:hAnsi="宋体" w:eastAsia="宋体" w:cs="宋体"/>
          <w:bCs/>
          <w:color w:val="auto"/>
          <w:spacing w:val="-6"/>
          <w:sz w:val="28"/>
          <w:szCs w:val="28"/>
          <w:highlight w:val="none"/>
          <w:lang w:eastAsia="zh-CN"/>
        </w:rPr>
      </w:pPr>
      <w:bookmarkStart w:id="841" w:name="_Toc25745"/>
      <w:bookmarkStart w:id="842" w:name="_Toc10067"/>
      <w:bookmarkStart w:id="843" w:name="_Toc27855"/>
      <w:r>
        <w:rPr>
          <w:rFonts w:hint="eastAsia" w:ascii="宋体" w:hAnsi="宋体" w:eastAsia="宋体" w:cs="宋体"/>
          <w:bCs/>
          <w:color w:val="auto"/>
          <w:spacing w:val="-6"/>
          <w:sz w:val="28"/>
          <w:szCs w:val="28"/>
          <w:highlight w:val="none"/>
          <w:lang w:eastAsia="zh-CN"/>
        </w:rPr>
        <w:t>9.6 安全可靠性</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08829F48">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本工程采取以预防为主的方针，从总图布置、建筑设计上，都以安全、防火为出发点，有系统地进行全面考虑。在消防措施上，将水消防和化学消防相结合，可以保证扑灭初期火灾，但在扑灭初期火灾的同时，应立即向消防部门发出报警信号，以求援助。</w:t>
      </w:r>
    </w:p>
    <w:p w14:paraId="2D048923">
      <w:pPr>
        <w:keepNext w:val="0"/>
        <w:keepLines w:val="0"/>
        <w:pageBreakBefore w:val="0"/>
        <w:widowControl w:val="0"/>
        <w:kinsoku/>
        <w:wordWrap/>
        <w:overflowPunct/>
        <w:topLinePunct w:val="0"/>
        <w:autoSpaceDE/>
        <w:autoSpaceDN/>
        <w:bidi w:val="0"/>
        <w:adjustRightInd/>
        <w:snapToGrid/>
        <w:spacing w:line="560" w:lineRule="exact"/>
        <w:ind w:firstLine="536" w:firstLineChars="200"/>
        <w:textAlignment w:val="center"/>
        <w:rPr>
          <w:rFonts w:hint="eastAsia" w:ascii="宋体" w:hAnsi="宋体" w:eastAsia="宋体" w:cs="宋体"/>
          <w:bCs/>
          <w:color w:val="auto"/>
          <w:spacing w:val="-6"/>
          <w:sz w:val="28"/>
          <w:szCs w:val="28"/>
          <w:highlight w:val="none"/>
          <w:lang w:eastAsia="zh-CN"/>
        </w:rPr>
      </w:pPr>
      <w:r>
        <w:rPr>
          <w:rFonts w:hint="eastAsia" w:ascii="宋体" w:hAnsi="宋体" w:eastAsia="宋体" w:cs="宋体"/>
          <w:bCs/>
          <w:color w:val="auto"/>
          <w:spacing w:val="-6"/>
          <w:sz w:val="28"/>
          <w:szCs w:val="28"/>
          <w:highlight w:val="none"/>
          <w:lang w:eastAsia="zh-CN"/>
        </w:rPr>
        <w:t>采用以上消防措施后，只要严格按照的关规范进行施工，认真执行操作规程，加强防火安全意识，就可使工程火灾危险性降低，防火安全得到保障。</w:t>
      </w:r>
    </w:p>
    <w:p w14:paraId="26BBBF4E">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p>
    <w:p w14:paraId="28135F72">
      <w:pPr>
        <w:keepNext w:val="0"/>
        <w:keepLines w:val="0"/>
        <w:pageBreakBefore w:val="0"/>
        <w:widowControl w:val="0"/>
        <w:kinsoku/>
        <w:wordWrap/>
        <w:overflowPunct/>
        <w:topLinePunct w:val="0"/>
        <w:autoSpaceDE/>
        <w:autoSpaceDN/>
        <w:bidi w:val="0"/>
        <w:spacing w:line="560" w:lineRule="exact"/>
        <w:textAlignment w:val="auto"/>
        <w:rPr>
          <w:color w:val="auto"/>
          <w:highlight w:val="none"/>
        </w:rPr>
      </w:pPr>
    </w:p>
    <w:p w14:paraId="12C51946">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79EA8684">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844" w:name="_Toc25217"/>
      <w:bookmarkStart w:id="845" w:name="_Toc22953"/>
      <w:bookmarkStart w:id="846" w:name="_Toc10817"/>
      <w:bookmarkStart w:id="847" w:name="_Toc6511"/>
      <w:bookmarkStart w:id="848" w:name="_Toc31560"/>
      <w:bookmarkStart w:id="849" w:name="_Toc14407_WPSOffice_Level1"/>
      <w:bookmarkStart w:id="850" w:name="_Toc20993_WPSOffice_Level1"/>
      <w:bookmarkStart w:id="851" w:name="_Toc20125"/>
      <w:r>
        <w:rPr>
          <w:rFonts w:hint="eastAsia" w:ascii="宋体" w:hAnsi="宋体" w:eastAsia="宋体" w:cs="宋体"/>
          <w:b/>
          <w:bCs w:val="0"/>
          <w:color w:val="auto"/>
          <w:sz w:val="32"/>
          <w:szCs w:val="32"/>
          <w:highlight w:val="none"/>
          <w:lang w:val="zh-CN"/>
        </w:rPr>
        <w:t>第十章 环境保护</w:t>
      </w:r>
      <w:bookmarkEnd w:id="844"/>
      <w:bookmarkEnd w:id="845"/>
      <w:bookmarkEnd w:id="846"/>
      <w:bookmarkEnd w:id="847"/>
      <w:bookmarkEnd w:id="848"/>
      <w:bookmarkEnd w:id="849"/>
      <w:bookmarkEnd w:id="850"/>
      <w:bookmarkEnd w:id="851"/>
    </w:p>
    <w:p w14:paraId="7455F4CE">
      <w:pPr>
        <w:pStyle w:val="21"/>
        <w:numPr>
          <w:ilvl w:val="0"/>
          <w:numId w:val="4"/>
        </w:numPr>
        <w:spacing w:line="560" w:lineRule="exact"/>
        <w:ind w:firstLine="31680"/>
        <w:jc w:val="left"/>
        <w:outlineLvl w:val="1"/>
        <w:rPr>
          <w:rStyle w:val="26"/>
          <w:rFonts w:ascii="宋体" w:hAnsi="Calibri" w:eastAsia="宋体" w:cs="宋体"/>
          <w:bCs/>
          <w:vanish/>
          <w:color w:val="auto"/>
          <w:sz w:val="28"/>
          <w:szCs w:val="28"/>
          <w:highlight w:val="none"/>
        </w:rPr>
      </w:pPr>
      <w:bookmarkStart w:id="852" w:name="_Toc472090512"/>
      <w:bookmarkEnd w:id="852"/>
      <w:bookmarkStart w:id="853" w:name="_Toc485131198"/>
      <w:bookmarkEnd w:id="853"/>
      <w:bookmarkStart w:id="854" w:name="_Toc474941290"/>
      <w:bookmarkEnd w:id="854"/>
      <w:bookmarkStart w:id="855" w:name="_Toc467418899"/>
      <w:bookmarkEnd w:id="855"/>
      <w:bookmarkStart w:id="856" w:name="_Toc485071803"/>
      <w:bookmarkEnd w:id="856"/>
      <w:bookmarkStart w:id="857" w:name="_Toc485072893"/>
      <w:bookmarkEnd w:id="857"/>
      <w:bookmarkStart w:id="858" w:name="_Toc485139344"/>
      <w:bookmarkEnd w:id="858"/>
      <w:bookmarkStart w:id="859" w:name="_Toc8617"/>
      <w:bookmarkEnd w:id="859"/>
      <w:bookmarkStart w:id="860" w:name="_Toc485139546"/>
      <w:bookmarkEnd w:id="860"/>
      <w:bookmarkStart w:id="861" w:name="_Toc485072691"/>
      <w:bookmarkEnd w:id="861"/>
      <w:bookmarkStart w:id="862" w:name="_Toc486495615"/>
      <w:bookmarkEnd w:id="862"/>
      <w:bookmarkStart w:id="863" w:name="_Toc486495345"/>
      <w:bookmarkEnd w:id="863"/>
      <w:bookmarkStart w:id="864" w:name="_Toc475520072"/>
      <w:bookmarkEnd w:id="864"/>
      <w:bookmarkStart w:id="865" w:name="_Toc468190044"/>
      <w:bookmarkEnd w:id="865"/>
      <w:bookmarkStart w:id="866" w:name="_Toc485130995"/>
      <w:bookmarkEnd w:id="866"/>
      <w:bookmarkStart w:id="867" w:name="_Toc472090937"/>
      <w:bookmarkEnd w:id="867"/>
      <w:bookmarkStart w:id="868" w:name="_Toc485148799"/>
      <w:bookmarkEnd w:id="868"/>
      <w:bookmarkStart w:id="869" w:name="_Toc485079168"/>
      <w:bookmarkEnd w:id="869"/>
      <w:bookmarkStart w:id="870" w:name="_Toc485071601"/>
      <w:bookmarkEnd w:id="870"/>
      <w:bookmarkStart w:id="871" w:name="_Toc470509362"/>
      <w:bookmarkEnd w:id="871"/>
      <w:bookmarkStart w:id="872" w:name="_Toc485072489"/>
      <w:bookmarkEnd w:id="872"/>
      <w:bookmarkStart w:id="873" w:name="_Toc9340"/>
      <w:bookmarkEnd w:id="873"/>
      <w:bookmarkStart w:id="874" w:name="_Toc492900284"/>
      <w:bookmarkEnd w:id="874"/>
      <w:bookmarkStart w:id="875" w:name="_Toc496512768"/>
      <w:bookmarkEnd w:id="875"/>
      <w:bookmarkStart w:id="876" w:name="_Toc493755185"/>
      <w:bookmarkEnd w:id="876"/>
      <w:bookmarkStart w:id="877" w:name="_Toc467420271"/>
      <w:bookmarkEnd w:id="877"/>
      <w:bookmarkStart w:id="878" w:name="_Toc24126"/>
      <w:bookmarkEnd w:id="878"/>
      <w:bookmarkStart w:id="879" w:name="_Toc485073095"/>
      <w:bookmarkEnd w:id="879"/>
      <w:bookmarkStart w:id="880" w:name="_Toc497731186"/>
      <w:bookmarkEnd w:id="880"/>
      <w:bookmarkStart w:id="881" w:name="_Toc467419426"/>
      <w:bookmarkEnd w:id="881"/>
    </w:p>
    <w:p w14:paraId="2C8FE2D9">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Style w:val="26"/>
          <w:rFonts w:ascii="宋体" w:hAnsi="Calibri" w:eastAsia="宋体" w:cs="宋体"/>
          <w:bCs/>
          <w:color w:val="auto"/>
          <w:sz w:val="28"/>
          <w:szCs w:val="28"/>
          <w:highlight w:val="none"/>
        </w:rPr>
      </w:pPr>
      <w:bookmarkStart w:id="882" w:name="_Toc8312"/>
      <w:bookmarkStart w:id="883" w:name="_Toc17290"/>
      <w:bookmarkStart w:id="884" w:name="_Toc14854_WPSOffice_Level2"/>
      <w:bookmarkStart w:id="885" w:name="_Toc18889"/>
      <w:bookmarkStart w:id="886" w:name="_Toc28530"/>
      <w:bookmarkStart w:id="887" w:name="_Toc25660_WPSOffice_Level2"/>
      <w:bookmarkStart w:id="888" w:name="_Toc27860_WPSOffice_Level2"/>
      <w:bookmarkStart w:id="889" w:name="_Toc23961"/>
      <w:bookmarkStart w:id="890" w:name="_Toc1515"/>
      <w:bookmarkStart w:id="891" w:name="_Toc1358"/>
      <w:bookmarkStart w:id="892" w:name="_Toc9029_WPSOffice_Level2"/>
      <w:r>
        <w:rPr>
          <w:rStyle w:val="26"/>
          <w:rFonts w:hint="eastAsia" w:ascii="宋体" w:hAnsi="宋体" w:cs="宋体"/>
          <w:bCs/>
          <w:color w:val="auto"/>
          <w:sz w:val="28"/>
          <w:szCs w:val="28"/>
          <w:highlight w:val="none"/>
          <w:lang w:eastAsia="zh-CN"/>
        </w:rPr>
        <w:t>10.</w:t>
      </w:r>
      <w:r>
        <w:rPr>
          <w:rStyle w:val="26"/>
          <w:rFonts w:ascii="宋体" w:hAnsi="宋体" w:eastAsia="宋体" w:cs="宋体"/>
          <w:bCs/>
          <w:color w:val="auto"/>
          <w:sz w:val="28"/>
          <w:szCs w:val="28"/>
          <w:highlight w:val="none"/>
        </w:rPr>
        <w:t>1</w:t>
      </w:r>
      <w:r>
        <w:rPr>
          <w:rStyle w:val="26"/>
          <w:rFonts w:hint="eastAsia" w:ascii="宋体" w:hAnsi="宋体" w:eastAsia="宋体" w:cs="宋体"/>
          <w:bCs/>
          <w:color w:val="auto"/>
          <w:sz w:val="28"/>
          <w:szCs w:val="28"/>
          <w:highlight w:val="none"/>
        </w:rPr>
        <w:t>环境质量现状</w:t>
      </w:r>
      <w:bookmarkEnd w:id="882"/>
      <w:bookmarkEnd w:id="883"/>
    </w:p>
    <w:p w14:paraId="52B8E0E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ascii="宋体" w:hAnsi="宋体" w:cs="宋体"/>
          <w:bCs/>
          <w:color w:val="auto"/>
          <w:sz w:val="28"/>
          <w:szCs w:val="28"/>
          <w:highlight w:val="none"/>
        </w:rPr>
        <w:t>(1)</w:t>
      </w:r>
      <w:r>
        <w:rPr>
          <w:rFonts w:hint="eastAsia" w:ascii="宋体" w:hAnsi="宋体" w:cs="宋体"/>
          <w:bCs/>
          <w:color w:val="auto"/>
          <w:sz w:val="28"/>
          <w:szCs w:val="28"/>
          <w:highlight w:val="none"/>
        </w:rPr>
        <w:t>地理位置</w:t>
      </w:r>
    </w:p>
    <w:p w14:paraId="18A6EDD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3"/>
        <w:rPr>
          <w:rFonts w:ascii="宋体" w:cs="宋体"/>
          <w:color w:val="auto"/>
          <w:sz w:val="28"/>
          <w:szCs w:val="28"/>
          <w:highlight w:val="none"/>
        </w:rPr>
      </w:pPr>
      <w:r>
        <w:rPr>
          <w:rFonts w:hint="eastAsia" w:ascii="宋体" w:hAnsi="宋体" w:cs="宋体"/>
          <w:color w:val="auto"/>
          <w:sz w:val="28"/>
          <w:szCs w:val="28"/>
          <w:highlight w:val="none"/>
        </w:rPr>
        <w:t>江苏索普新材料科技有限公司位于江苏省镇江经济开发区镇江新区大港临江西路</w:t>
      </w:r>
      <w:r>
        <w:rPr>
          <w:rFonts w:ascii="宋体" w:hAnsi="宋体" w:cs="宋体"/>
          <w:color w:val="auto"/>
          <w:sz w:val="28"/>
          <w:szCs w:val="28"/>
          <w:highlight w:val="none"/>
        </w:rPr>
        <w:t>35</w:t>
      </w:r>
      <w:r>
        <w:rPr>
          <w:rFonts w:hint="eastAsia" w:ascii="宋体" w:hAnsi="宋体" w:cs="宋体"/>
          <w:color w:val="auto"/>
          <w:sz w:val="28"/>
          <w:szCs w:val="28"/>
          <w:highlight w:val="none"/>
        </w:rPr>
        <w:t>号。</w:t>
      </w:r>
    </w:p>
    <w:p w14:paraId="2446FD3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cs="宋体"/>
          <w:bCs/>
          <w:color w:val="auto"/>
          <w:sz w:val="28"/>
          <w:szCs w:val="28"/>
          <w:highlight w:val="none"/>
        </w:rPr>
      </w:pPr>
      <w:r>
        <w:rPr>
          <w:rFonts w:ascii="宋体" w:hAnsi="宋体" w:cs="宋体"/>
          <w:bCs/>
          <w:color w:val="auto"/>
          <w:sz w:val="28"/>
          <w:szCs w:val="28"/>
          <w:highlight w:val="none"/>
        </w:rPr>
        <w:t>(2)</w:t>
      </w:r>
      <w:r>
        <w:rPr>
          <w:rFonts w:hint="eastAsia" w:ascii="宋体" w:hAnsi="宋体" w:cs="宋体"/>
          <w:bCs/>
          <w:color w:val="auto"/>
          <w:sz w:val="28"/>
          <w:szCs w:val="28"/>
          <w:highlight w:val="none"/>
        </w:rPr>
        <w:t>气象特征</w:t>
      </w:r>
    </w:p>
    <w:p w14:paraId="259D42B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bCs/>
          <w:color w:val="auto"/>
          <w:sz w:val="28"/>
          <w:szCs w:val="28"/>
          <w:highlight w:val="none"/>
        </w:rPr>
      </w:pPr>
      <w:r>
        <w:rPr>
          <w:rFonts w:hint="eastAsia" w:ascii="宋体" w:hAnsi="宋体" w:cs="宋体"/>
          <w:color w:val="auto"/>
          <w:sz w:val="28"/>
          <w:szCs w:val="28"/>
          <w:highlight w:val="none"/>
        </w:rPr>
        <w:t>项目所在地年平均气温</w:t>
      </w:r>
      <w:r>
        <w:rPr>
          <w:rFonts w:ascii="宋体" w:hAnsi="宋体" w:cs="宋体"/>
          <w:color w:val="auto"/>
          <w:sz w:val="28"/>
          <w:szCs w:val="28"/>
          <w:highlight w:val="none"/>
        </w:rPr>
        <w:t>15.2</w:t>
      </w:r>
      <w:r>
        <w:rPr>
          <w:rFonts w:hint="eastAsia" w:ascii="宋体" w:hAnsi="宋体" w:cs="宋体"/>
          <w:color w:val="auto"/>
          <w:sz w:val="28"/>
          <w:szCs w:val="28"/>
          <w:highlight w:val="none"/>
        </w:rPr>
        <w:t>℃，年平均降水量</w:t>
      </w:r>
      <w:r>
        <w:rPr>
          <w:rFonts w:ascii="宋体" w:hAnsi="宋体" w:cs="宋体"/>
          <w:color w:val="auto"/>
          <w:sz w:val="28"/>
          <w:szCs w:val="28"/>
          <w:highlight w:val="none"/>
        </w:rPr>
        <w:t>1015.8mm</w:t>
      </w:r>
      <w:r>
        <w:rPr>
          <w:rFonts w:hint="eastAsia" w:ascii="宋体" w:hAnsi="宋体" w:cs="宋体"/>
          <w:color w:val="auto"/>
          <w:sz w:val="28"/>
          <w:szCs w:val="28"/>
          <w:highlight w:val="none"/>
        </w:rPr>
        <w:t>，年平</w:t>
      </w:r>
      <w:r>
        <w:rPr>
          <w:rFonts w:hint="eastAsia" w:ascii="宋体" w:hAnsi="宋体" w:cs="宋体"/>
          <w:bCs/>
          <w:color w:val="auto"/>
          <w:sz w:val="28"/>
          <w:szCs w:val="28"/>
          <w:highlight w:val="none"/>
        </w:rPr>
        <w:t>均风速</w:t>
      </w:r>
      <w:r>
        <w:rPr>
          <w:rFonts w:ascii="宋体" w:hAnsi="宋体" w:cs="宋体"/>
          <w:bCs/>
          <w:color w:val="auto"/>
          <w:sz w:val="28"/>
          <w:szCs w:val="28"/>
          <w:highlight w:val="none"/>
        </w:rPr>
        <w:t>3.8m/s</w:t>
      </w:r>
      <w:r>
        <w:rPr>
          <w:rFonts w:hint="eastAsia" w:ascii="宋体" w:hAnsi="宋体" w:cs="宋体"/>
          <w:bCs/>
          <w:color w:val="auto"/>
          <w:sz w:val="28"/>
          <w:szCs w:val="28"/>
          <w:highlight w:val="none"/>
        </w:rPr>
        <w:t>，年平均湿度</w:t>
      </w:r>
      <w:r>
        <w:rPr>
          <w:rFonts w:ascii="宋体" w:hAnsi="宋体" w:cs="宋体"/>
          <w:bCs/>
          <w:color w:val="auto"/>
          <w:sz w:val="28"/>
          <w:szCs w:val="28"/>
          <w:highlight w:val="none"/>
        </w:rPr>
        <w:t>80%</w:t>
      </w:r>
      <w:r>
        <w:rPr>
          <w:rFonts w:hint="eastAsia" w:ascii="宋体" w:hAnsi="宋体" w:cs="宋体"/>
          <w:bCs/>
          <w:color w:val="auto"/>
          <w:sz w:val="28"/>
          <w:szCs w:val="28"/>
          <w:highlight w:val="none"/>
        </w:rPr>
        <w:t>，常年主导风向为东南风、东南东风，平均风速为</w:t>
      </w:r>
      <w:r>
        <w:rPr>
          <w:rFonts w:ascii="宋体" w:hAnsi="宋体" w:cs="宋体"/>
          <w:bCs/>
          <w:color w:val="auto"/>
          <w:sz w:val="28"/>
          <w:szCs w:val="28"/>
          <w:highlight w:val="none"/>
        </w:rPr>
        <w:t>3.3m/s</w:t>
      </w:r>
      <w:r>
        <w:rPr>
          <w:rFonts w:hint="eastAsia" w:ascii="宋体" w:hAnsi="宋体" w:cs="宋体"/>
          <w:bCs/>
          <w:color w:val="auto"/>
          <w:sz w:val="28"/>
          <w:szCs w:val="28"/>
          <w:highlight w:val="none"/>
        </w:rPr>
        <w:t>。</w:t>
      </w:r>
    </w:p>
    <w:p w14:paraId="00C8C8E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ascii="宋体" w:hAnsi="宋体" w:cs="宋体"/>
          <w:bCs/>
          <w:color w:val="auto"/>
          <w:sz w:val="28"/>
          <w:szCs w:val="28"/>
          <w:highlight w:val="none"/>
        </w:rPr>
      </w:pPr>
      <w:r>
        <w:rPr>
          <w:rFonts w:ascii="宋体" w:hAnsi="宋体" w:cs="宋体"/>
          <w:bCs/>
          <w:color w:val="auto"/>
          <w:sz w:val="28"/>
          <w:szCs w:val="28"/>
          <w:highlight w:val="none"/>
        </w:rPr>
        <w:t xml:space="preserve">(3) </w:t>
      </w:r>
      <w:r>
        <w:rPr>
          <w:rFonts w:hint="eastAsia" w:ascii="宋体" w:hAnsi="宋体" w:cs="宋体"/>
          <w:bCs/>
          <w:color w:val="auto"/>
          <w:sz w:val="28"/>
          <w:szCs w:val="28"/>
          <w:highlight w:val="none"/>
        </w:rPr>
        <w:t>企业“三废”排放现状</w:t>
      </w:r>
    </w:p>
    <w:p w14:paraId="005858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rPr>
        <w:t>目前环境质量符合国家标准，符合</w:t>
      </w:r>
      <w:r>
        <w:rPr>
          <w:rFonts w:ascii="宋体" w:hAnsi="宋体" w:cs="宋体"/>
          <w:bCs/>
          <w:color w:val="auto"/>
          <w:sz w:val="28"/>
          <w:szCs w:val="28"/>
          <w:highlight w:val="none"/>
        </w:rPr>
        <w:t>GBZ2.1-2019</w:t>
      </w:r>
      <w:r>
        <w:rPr>
          <w:rFonts w:hint="eastAsia" w:ascii="宋体" w:hAnsi="宋体" w:cs="宋体"/>
          <w:bCs/>
          <w:color w:val="auto"/>
          <w:sz w:val="28"/>
          <w:szCs w:val="28"/>
          <w:highlight w:val="none"/>
        </w:rPr>
        <w:t>、</w:t>
      </w:r>
      <w:r>
        <w:rPr>
          <w:rFonts w:ascii="宋体" w:hAnsi="宋体" w:cs="宋体"/>
          <w:bCs/>
          <w:color w:val="auto"/>
          <w:sz w:val="28"/>
          <w:szCs w:val="28"/>
          <w:highlight w:val="none"/>
        </w:rPr>
        <w:t>GBZ2.2-2007</w:t>
      </w:r>
      <w:r>
        <w:rPr>
          <w:rFonts w:hint="eastAsia" w:ascii="宋体" w:hAnsi="宋体" w:cs="宋体"/>
          <w:bCs/>
          <w:color w:val="auto"/>
          <w:sz w:val="28"/>
          <w:szCs w:val="28"/>
          <w:highlight w:val="none"/>
          <w:lang w:eastAsia="zh-CN"/>
        </w:rPr>
        <w:t>《工作场所有害因素职业接触限值》短时间接触容许浓度之要求；大气粉尘项目符合GBZ2.1-2019、GBZ2.2-2007《工作场所有害因素职业接触限值》短时间接触容许浓度要求;噪声项目符合《工业企业设计卫生标准》GBZ1-2010的要求。</w:t>
      </w:r>
    </w:p>
    <w:bookmarkEnd w:id="884"/>
    <w:bookmarkEnd w:id="885"/>
    <w:bookmarkEnd w:id="886"/>
    <w:bookmarkEnd w:id="887"/>
    <w:bookmarkEnd w:id="888"/>
    <w:bookmarkEnd w:id="889"/>
    <w:bookmarkEnd w:id="890"/>
    <w:bookmarkEnd w:id="891"/>
    <w:bookmarkEnd w:id="892"/>
    <w:p w14:paraId="770C6F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eastAsia="zh-CN"/>
        </w:rPr>
      </w:pPr>
      <w:bookmarkStart w:id="893" w:name="_Toc12889"/>
      <w:bookmarkStart w:id="894" w:name="_Toc30517"/>
      <w:bookmarkStart w:id="895" w:name="_Toc28545"/>
      <w:bookmarkStart w:id="896" w:name="_Toc29508"/>
      <w:bookmarkStart w:id="897" w:name="_Toc21277"/>
      <w:bookmarkStart w:id="898" w:name="_Toc26107"/>
      <w:bookmarkStart w:id="899" w:name="_Toc28472"/>
      <w:bookmarkStart w:id="900" w:name="_Toc25965"/>
      <w:bookmarkStart w:id="901" w:name="_Toc30305"/>
      <w:bookmarkStart w:id="902" w:name="_Toc28078"/>
      <w:bookmarkStart w:id="903" w:name="_Toc26660"/>
      <w:bookmarkStart w:id="904" w:name="_Toc28851"/>
      <w:bookmarkStart w:id="905" w:name="_Toc7637"/>
      <w:bookmarkStart w:id="906" w:name="_Toc21289"/>
      <w:bookmarkStart w:id="907" w:name="_Toc27432"/>
      <w:bookmarkStart w:id="908" w:name="_Toc18571"/>
      <w:bookmarkStart w:id="909" w:name="_Toc9367"/>
      <w:bookmarkStart w:id="910" w:name="_Toc105"/>
      <w:bookmarkStart w:id="911" w:name="_Toc12753"/>
      <w:bookmarkStart w:id="912" w:name="_Toc14666"/>
      <w:bookmarkStart w:id="913" w:name="_Toc31022"/>
      <w:bookmarkStart w:id="914" w:name="_Toc27064"/>
      <w:bookmarkStart w:id="915" w:name="_Toc17668"/>
      <w:bookmarkStart w:id="916" w:name="_Toc31879"/>
      <w:bookmarkStart w:id="917" w:name="_Toc4820_WPSOffice_Level2"/>
      <w:bookmarkStart w:id="918" w:name="_Toc26205"/>
      <w:bookmarkStart w:id="919" w:name="_Toc13469"/>
      <w:bookmarkStart w:id="920" w:name="_Toc15773_WPSOffice_Level2"/>
      <w:bookmarkStart w:id="921" w:name="_Toc28251_WPSOffice_Level2"/>
      <w:bookmarkStart w:id="922" w:name="_Toc4282"/>
      <w:bookmarkStart w:id="923" w:name="_Toc21690_WPSOffice_Level2"/>
      <w:bookmarkStart w:id="924" w:name="_Toc26194"/>
      <w:bookmarkStart w:id="925" w:name="_Toc33"/>
      <w:r>
        <w:rPr>
          <w:rFonts w:hint="eastAsia" w:ascii="宋体" w:hAnsi="宋体" w:cs="宋体"/>
          <w:bCs/>
          <w:color w:val="auto"/>
          <w:sz w:val="28"/>
          <w:szCs w:val="28"/>
          <w:highlight w:val="none"/>
          <w:lang w:eastAsia="zh-CN"/>
        </w:rPr>
        <w:t>10.2执行的有关环境保护法律、法规和标准</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3457184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《中华人民共和国环境保护法》2014年4月24日修订</w:t>
      </w:r>
    </w:p>
    <w:p w14:paraId="2CAF5DC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《中华人民共和国大气污染防治法》2018年10月26日修订</w:t>
      </w:r>
    </w:p>
    <w:p w14:paraId="7F248A7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《中华人民共和国水污染防治法》2017年6月27日修订</w:t>
      </w:r>
    </w:p>
    <w:p w14:paraId="5A012A3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《中华人民共和国噪声污染防治法》2022年6月5日施行</w:t>
      </w:r>
    </w:p>
    <w:p w14:paraId="209C860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《中华人民共和国固体废物污染环境防治法》2020年9月1日施行</w:t>
      </w:r>
    </w:p>
    <w:p w14:paraId="259CD89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《中华人民共和国环境影响评价法》2018年12月29日修正</w:t>
      </w:r>
    </w:p>
    <w:p w14:paraId="4DCDF5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《中华人民共和国清洁生产促进法》2012年2月29日修正</w:t>
      </w:r>
    </w:p>
    <w:p w14:paraId="1515A5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《建设项目环境保护管理条例》2017年7月16日修正</w:t>
      </w:r>
    </w:p>
    <w:p w14:paraId="519D777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《环境空气质量标准》GB3095-2012</w:t>
      </w:r>
    </w:p>
    <w:p w14:paraId="5D7B78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《地表水环境质量标准》GB3838-2002</w:t>
      </w:r>
    </w:p>
    <w:p w14:paraId="38BA05A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《声环境质量标准》GB3096-2008</w:t>
      </w:r>
    </w:p>
    <w:p w14:paraId="3216D3D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《地下水质量标准》GB/T14848-2017</w:t>
      </w:r>
    </w:p>
    <w:p w14:paraId="193D2A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《土壤环境质量 建设用地土壤污染风险管控标准（试行）》GB 36600-2018</w:t>
      </w:r>
    </w:p>
    <w:p w14:paraId="6F9076B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《大气污染物综合排放标准》GB16297-1996</w:t>
      </w:r>
    </w:p>
    <w:p w14:paraId="69C044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《污水综合排放标准》GB8978-1996</w:t>
      </w:r>
    </w:p>
    <w:p w14:paraId="45E9CDE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《恶臭污染物排放标准》GB14554-1993</w:t>
      </w:r>
    </w:p>
    <w:p w14:paraId="0158BCC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《工业企业厂界环境噪声排放标准》GB12348-2008</w:t>
      </w:r>
    </w:p>
    <w:bookmarkEnd w:id="917"/>
    <w:bookmarkEnd w:id="918"/>
    <w:bookmarkEnd w:id="919"/>
    <w:bookmarkEnd w:id="920"/>
    <w:bookmarkEnd w:id="921"/>
    <w:bookmarkEnd w:id="922"/>
    <w:bookmarkEnd w:id="923"/>
    <w:bookmarkEnd w:id="924"/>
    <w:bookmarkEnd w:id="925"/>
    <w:p w14:paraId="37C7364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rPr>
      </w:pPr>
      <w:bookmarkStart w:id="926" w:name="_Toc14162"/>
      <w:bookmarkStart w:id="927" w:name="_Toc17999"/>
      <w:bookmarkStart w:id="928" w:name="_Toc1393"/>
      <w:bookmarkStart w:id="929" w:name="_Toc23431"/>
      <w:bookmarkStart w:id="930" w:name="_Toc304272650"/>
      <w:bookmarkStart w:id="931" w:name="_Toc303753625"/>
      <w:r>
        <w:rPr>
          <w:rFonts w:hint="eastAsia" w:ascii="宋体" w:hAnsi="宋体" w:cs="宋体"/>
          <w:bCs/>
          <w:color w:val="auto"/>
          <w:sz w:val="28"/>
          <w:szCs w:val="28"/>
          <w:highlight w:val="none"/>
          <w:lang w:eastAsia="zh-CN"/>
        </w:rPr>
        <w:t>10.</w:t>
      </w:r>
      <w:r>
        <w:rPr>
          <w:rFonts w:hint="eastAsia" w:ascii="宋体" w:hAnsi="宋体" w:cs="宋体"/>
          <w:bCs/>
          <w:color w:val="auto"/>
          <w:sz w:val="28"/>
          <w:szCs w:val="28"/>
          <w:highlight w:val="none"/>
        </w:rPr>
        <w:t>3建设项目的主要污染源及污染物处理</w:t>
      </w:r>
      <w:bookmarkEnd w:id="926"/>
      <w:bookmarkEnd w:id="927"/>
      <w:bookmarkEnd w:id="928"/>
      <w:bookmarkEnd w:id="929"/>
    </w:p>
    <w:p w14:paraId="444F7C8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lang w:eastAsia="zh-CN"/>
        </w:rPr>
        <w:t>10.</w:t>
      </w:r>
      <w:r>
        <w:rPr>
          <w:rFonts w:hint="eastAsia" w:ascii="宋体" w:hAnsi="宋体" w:cs="宋体"/>
          <w:bCs/>
          <w:color w:val="auto"/>
          <w:sz w:val="28"/>
          <w:szCs w:val="28"/>
          <w:highlight w:val="none"/>
        </w:rPr>
        <w:t>3.1三废处理原则</w:t>
      </w:r>
    </w:p>
    <w:p w14:paraId="46D74F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1）严格执行国家环保法律法规和规定，坚持环境保护与经济社会发展相协调，经济效益、社会效益和环境效益并重的原则，环境保护实行以防为主，结合治理、化害为利、变废为宝，控、防、治、管并施，使再生能源市场生态建设走上良性发展的轨道。</w:t>
      </w:r>
    </w:p>
    <w:p w14:paraId="6DD37B9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（2）采用成熟、稳定、实用、经济合理的处理工艺，保证处理效果，节省投资，降低运行成本。</w:t>
      </w:r>
    </w:p>
    <w:p w14:paraId="3D579B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（3）系统运行灵活、管理方便、维修简单，充分考虑操作简便，减少操作劳动强度。</w:t>
      </w:r>
    </w:p>
    <w:p w14:paraId="7E321C8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rPr>
        <w:t>（4）采取有效措施减小对周围环境的影响，合理控制噪声、气味，妥善处理、处置固体废弃物，避免二次污染。</w:t>
      </w:r>
    </w:p>
    <w:p w14:paraId="4957B41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rPr>
      </w:pPr>
      <w:r>
        <w:rPr>
          <w:rFonts w:hint="eastAsia" w:ascii="宋体" w:hAnsi="宋体" w:cs="宋体"/>
          <w:bCs/>
          <w:color w:val="auto"/>
          <w:sz w:val="28"/>
          <w:szCs w:val="28"/>
          <w:highlight w:val="none"/>
          <w:lang w:eastAsia="zh-CN"/>
        </w:rPr>
        <w:t>10.</w:t>
      </w:r>
      <w:r>
        <w:rPr>
          <w:rFonts w:hint="eastAsia" w:ascii="宋体" w:hAnsi="宋体" w:cs="宋体"/>
          <w:bCs/>
          <w:color w:val="auto"/>
          <w:sz w:val="28"/>
          <w:szCs w:val="28"/>
          <w:highlight w:val="none"/>
        </w:rPr>
        <w:t>3.2</w:t>
      </w:r>
      <w:bookmarkEnd w:id="930"/>
      <w:bookmarkEnd w:id="931"/>
      <w:r>
        <w:rPr>
          <w:rFonts w:hint="eastAsia" w:ascii="宋体" w:hAnsi="宋体" w:cs="宋体"/>
          <w:bCs/>
          <w:color w:val="auto"/>
          <w:sz w:val="28"/>
          <w:szCs w:val="28"/>
          <w:highlight w:val="none"/>
        </w:rPr>
        <w:t>废气</w:t>
      </w:r>
    </w:p>
    <w:p w14:paraId="127ACD5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rPr>
        <w:t>本项目废气主要为</w:t>
      </w:r>
      <w:r>
        <w:rPr>
          <w:rFonts w:hint="eastAsia" w:ascii="宋体" w:hAnsi="宋体" w:cs="宋体"/>
          <w:bCs/>
          <w:color w:val="auto"/>
          <w:sz w:val="28"/>
          <w:szCs w:val="28"/>
          <w:highlight w:val="none"/>
          <w:lang w:val="en-US" w:eastAsia="zh-CN"/>
        </w:rPr>
        <w:t>储罐收发过程中呼吸阀排出的VOC</w:t>
      </w:r>
      <w:r>
        <w:rPr>
          <w:rFonts w:hint="eastAsia" w:ascii="宋体" w:hAnsi="宋体" w:cs="宋体"/>
          <w:bCs/>
          <w:color w:val="auto"/>
          <w:sz w:val="28"/>
          <w:szCs w:val="28"/>
          <w:highlight w:val="none"/>
          <w:vertAlign w:val="subscript"/>
          <w:lang w:val="en-US" w:eastAsia="zh-CN"/>
        </w:rPr>
        <w:t>S</w:t>
      </w:r>
      <w:r>
        <w:rPr>
          <w:rFonts w:hint="eastAsia" w:ascii="宋体" w:hAnsi="宋体" w:cs="宋体"/>
          <w:bCs/>
          <w:color w:val="auto"/>
          <w:sz w:val="28"/>
          <w:szCs w:val="28"/>
          <w:highlight w:val="none"/>
        </w:rPr>
        <w:t>，尾气经</w:t>
      </w:r>
      <w:r>
        <w:rPr>
          <w:rFonts w:hint="eastAsia" w:ascii="宋体" w:hAnsi="宋体" w:cs="宋体"/>
          <w:bCs/>
          <w:color w:val="auto"/>
          <w:sz w:val="28"/>
          <w:szCs w:val="28"/>
          <w:highlight w:val="none"/>
          <w:lang w:val="en-US" w:eastAsia="zh-CN"/>
        </w:rPr>
        <w:t>水洗</w:t>
      </w:r>
      <w:r>
        <w:rPr>
          <w:rFonts w:hint="eastAsia" w:ascii="宋体" w:hAnsi="宋体" w:cs="宋体"/>
          <w:bCs/>
          <w:color w:val="auto"/>
          <w:sz w:val="28"/>
          <w:szCs w:val="28"/>
          <w:highlight w:val="none"/>
          <w:lang w:eastAsia="zh-CN"/>
        </w:rPr>
        <w:t>高空排放；符合《大气污染物综合排放标准》（DB32/4041-2021）。</w:t>
      </w:r>
    </w:p>
    <w:p w14:paraId="19F5783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10.3.3废水</w:t>
      </w:r>
    </w:p>
    <w:p w14:paraId="35D2F94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本项目不涉及生产性废水，废水主要为检修过程中的地面冲洗水，主要含有</w:t>
      </w:r>
      <w:r>
        <w:rPr>
          <w:rFonts w:hint="eastAsia" w:ascii="宋体" w:hAnsi="宋体" w:cs="宋体"/>
          <w:bCs/>
          <w:color w:val="auto"/>
          <w:sz w:val="28"/>
          <w:szCs w:val="28"/>
          <w:highlight w:val="none"/>
          <w:lang w:val="en-US" w:eastAsia="zh-CN"/>
        </w:rPr>
        <w:t>酸</w:t>
      </w:r>
      <w:r>
        <w:rPr>
          <w:rFonts w:hint="eastAsia" w:ascii="宋体" w:hAnsi="宋体" w:cs="宋体"/>
          <w:bCs/>
          <w:color w:val="auto"/>
          <w:sz w:val="28"/>
          <w:szCs w:val="28"/>
          <w:highlight w:val="none"/>
          <w:lang w:eastAsia="zh-CN"/>
        </w:rPr>
        <w:t>、油污等。</w:t>
      </w:r>
    </w:p>
    <w:p w14:paraId="6D29BBE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10.3.4噪声</w:t>
      </w:r>
    </w:p>
    <w:p w14:paraId="1C53CCB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机泵等动力机械产生的噪声，各类介质在管道内流动和排气等产生的噪声，形成对周围环境的影响。</w:t>
      </w:r>
    </w:p>
    <w:p w14:paraId="38EF607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eastAsia="zh-CN"/>
        </w:rPr>
      </w:pPr>
      <w:bookmarkStart w:id="932" w:name="_Toc27616_WPSOffice_Level2"/>
      <w:bookmarkStart w:id="933" w:name="_Toc32594"/>
      <w:bookmarkStart w:id="934" w:name="_Toc22311"/>
      <w:bookmarkStart w:id="935" w:name="_Toc29338"/>
      <w:bookmarkStart w:id="936" w:name="_Toc1559"/>
      <w:bookmarkStart w:id="937" w:name="_Toc14237_WPSOffice_Level2"/>
      <w:bookmarkStart w:id="938" w:name="_Toc16339_WPSOffice_Level2"/>
      <w:bookmarkStart w:id="939" w:name="_Toc29697_WPSOffice_Level2"/>
      <w:bookmarkStart w:id="940" w:name="_Toc8403"/>
      <w:bookmarkStart w:id="941" w:name="_Toc476577730"/>
      <w:bookmarkStart w:id="942" w:name="_Toc252646392"/>
      <w:r>
        <w:rPr>
          <w:rFonts w:hint="eastAsia" w:ascii="宋体" w:hAnsi="宋体" w:cs="宋体"/>
          <w:bCs/>
          <w:color w:val="auto"/>
          <w:sz w:val="28"/>
          <w:szCs w:val="28"/>
          <w:highlight w:val="none"/>
          <w:lang w:eastAsia="zh-CN"/>
        </w:rPr>
        <w:t>10.4环境保护治理措施</w:t>
      </w:r>
      <w:bookmarkEnd w:id="932"/>
      <w:bookmarkEnd w:id="933"/>
      <w:bookmarkEnd w:id="934"/>
      <w:bookmarkEnd w:id="935"/>
      <w:bookmarkEnd w:id="936"/>
      <w:bookmarkEnd w:id="937"/>
      <w:bookmarkEnd w:id="938"/>
      <w:bookmarkEnd w:id="939"/>
      <w:bookmarkEnd w:id="940"/>
    </w:p>
    <w:p w14:paraId="1BF9F2E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eastAsia="zh-CN"/>
        </w:rPr>
      </w:pPr>
      <w:r>
        <w:rPr>
          <w:rFonts w:hint="eastAsia" w:ascii="宋体" w:hAnsi="宋体" w:cs="宋体"/>
          <w:bCs/>
          <w:color w:val="auto"/>
          <w:sz w:val="28"/>
          <w:szCs w:val="28"/>
          <w:highlight w:val="none"/>
          <w:lang w:eastAsia="zh-CN"/>
        </w:rPr>
        <w:t>本工程对生产中排放的各类污染物，本着减量、回收利用和妥善处理的原则，最大限度控制污染物的最终排放量，以达到清洁生产和保护环境的目的。</w:t>
      </w:r>
    </w:p>
    <w:p w14:paraId="44D8AFE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10.4.1 废水治理</w:t>
      </w:r>
      <w:bookmarkEnd w:id="941"/>
      <w:bookmarkEnd w:id="942"/>
    </w:p>
    <w:p w14:paraId="7BABDFF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943" w:name="_Toc476577731"/>
      <w:r>
        <w:rPr>
          <w:rFonts w:hint="eastAsia" w:ascii="宋体" w:hAnsi="宋体" w:cs="宋体"/>
          <w:bCs/>
          <w:color w:val="auto"/>
          <w:sz w:val="28"/>
          <w:szCs w:val="28"/>
          <w:highlight w:val="none"/>
          <w:lang w:val="en-US" w:eastAsia="zh-CN"/>
        </w:rPr>
        <w:t>本项目废水实行“清污分流”原则，清净下水和雨水直接排入工厂雨水管网。检修废水、生活污水和初期雨水送公司现有污水处理装置。</w:t>
      </w:r>
    </w:p>
    <w:p w14:paraId="0930AFA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10.4.2噪声的防治</w:t>
      </w:r>
      <w:bookmarkEnd w:id="943"/>
    </w:p>
    <w:p w14:paraId="0624A6B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项目运行后，会产生一定的噪声源。因此，需要从以下几个方面采取控制噪声危害的措施。</w:t>
      </w:r>
    </w:p>
    <w:p w14:paraId="6380689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944" w:name="_Toc10486"/>
      <w:bookmarkStart w:id="945" w:name="_Toc303753631"/>
      <w:bookmarkStart w:id="946" w:name="_Toc3446"/>
      <w:bookmarkStart w:id="947" w:name="_Toc476577735"/>
      <w:bookmarkStart w:id="948" w:name="_Toc304272656"/>
      <w:r>
        <w:rPr>
          <w:rFonts w:hint="eastAsia" w:ascii="宋体" w:hAnsi="宋体" w:cs="宋体"/>
          <w:bCs/>
          <w:color w:val="auto"/>
          <w:sz w:val="28"/>
          <w:szCs w:val="28"/>
          <w:highlight w:val="none"/>
          <w:lang w:val="en-US" w:eastAsia="zh-CN"/>
        </w:rPr>
        <w:t>设计中采用下列治理措施：</w:t>
      </w:r>
    </w:p>
    <w:p w14:paraId="0AED1D5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（1）噪声源治理。采用低噪音设备，风机的基础采取隔震措施；进出口管道设消声器，管道采用软性接头；选用低噪声设备。</w:t>
      </w:r>
    </w:p>
    <w:p w14:paraId="30C193F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（2）隔声措施。操作室与声源隔开，在建筑结构上考虑隔声、吸声处理，使生产室内噪声降低至90 dB（A）。</w:t>
      </w:r>
    </w:p>
    <w:p w14:paraId="5D9D94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采取以上措施，环境噪声强度可大为降低。生产场所可低于90 dB（A），厂区边缘昼、夜可分别降至60及50 dB（A）以下。</w:t>
      </w:r>
    </w:p>
    <w:p w14:paraId="42AAC2B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949" w:name="_Toc31786"/>
      <w:r>
        <w:rPr>
          <w:rFonts w:hint="eastAsia" w:ascii="宋体" w:hAnsi="宋体" w:cs="宋体"/>
          <w:bCs/>
          <w:color w:val="auto"/>
          <w:sz w:val="28"/>
          <w:szCs w:val="28"/>
          <w:highlight w:val="none"/>
          <w:lang w:val="en-US" w:eastAsia="zh-CN"/>
        </w:rPr>
        <w:t>10.4.3其他环境保护措施</w:t>
      </w:r>
      <w:bookmarkEnd w:id="949"/>
    </w:p>
    <w:p w14:paraId="005C62E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生产、生活设施以及仓库应设置相应的消防设施，并预留适当的消防通道。</w:t>
      </w:r>
    </w:p>
    <w:p w14:paraId="07DA643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通风、通水、照明以及电气设备的设计安装规范的要求进行设计和施工。</w:t>
      </w:r>
    </w:p>
    <w:p w14:paraId="4F565BE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建筑物应具有良好的通风、排水设施，对墙壁、门窗等进行耐酸处理。</w:t>
      </w:r>
    </w:p>
    <w:p w14:paraId="72EE1F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对噪音比较大的通用设备应采取降噪措施，如基础减震、隔震、吸声墙体和顶棚结构、GM标准的门窗等，可以有效地降低噪音带来的危害。</w:t>
      </w:r>
    </w:p>
    <w:p w14:paraId="7A76F4C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pPr>
      <w:bookmarkStart w:id="950" w:name="_Toc5887"/>
      <w:bookmarkStart w:id="951" w:name="_Toc8292_WPSOffice_Level2"/>
      <w:bookmarkStart w:id="952" w:name="_Toc12735"/>
      <w:bookmarkStart w:id="953" w:name="_Toc22247_WPSOffice_Level2"/>
      <w:bookmarkStart w:id="954" w:name="_Toc2812_WPSOffice_Level2"/>
      <w:bookmarkStart w:id="955" w:name="_Toc19304"/>
      <w:bookmarkStart w:id="956" w:name="_Toc18282_WPSOffice_Level2"/>
      <w:bookmarkStart w:id="957" w:name="_Toc26360"/>
      <w:bookmarkStart w:id="958" w:name="_Toc3184"/>
      <w:r>
        <w:rPr>
          <w:rFonts w:hint="eastAsia" w:ascii="宋体" w:hAnsi="宋体" w:cs="宋体"/>
          <w:bCs/>
          <w:color w:val="auto"/>
          <w:sz w:val="28"/>
          <w:szCs w:val="28"/>
          <w:highlight w:val="none"/>
          <w:lang w:val="en-US" w:eastAsia="zh-CN"/>
        </w:rPr>
        <w:t>10.5</w:t>
      </w:r>
      <w:bookmarkEnd w:id="950"/>
      <w:bookmarkEnd w:id="951"/>
      <w:bookmarkEnd w:id="952"/>
      <w:bookmarkEnd w:id="953"/>
      <w:bookmarkEnd w:id="954"/>
      <w:bookmarkEnd w:id="955"/>
      <w:bookmarkEnd w:id="956"/>
      <w:r>
        <w:rPr>
          <w:rFonts w:hint="eastAsia" w:ascii="宋体" w:hAnsi="宋体" w:cs="宋体"/>
          <w:bCs/>
          <w:color w:val="auto"/>
          <w:sz w:val="28"/>
          <w:szCs w:val="28"/>
          <w:highlight w:val="none"/>
          <w:lang w:val="en-US" w:eastAsia="zh-CN"/>
        </w:rPr>
        <w:t xml:space="preserve"> 环境影响分析</w:t>
      </w:r>
      <w:bookmarkEnd w:id="944"/>
      <w:bookmarkEnd w:id="945"/>
      <w:bookmarkEnd w:id="946"/>
      <w:bookmarkEnd w:id="947"/>
      <w:bookmarkEnd w:id="948"/>
      <w:bookmarkEnd w:id="957"/>
      <w:bookmarkEnd w:id="958"/>
    </w:p>
    <w:p w14:paraId="6739B45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本项目位于江苏索普新材料科技有限公司内，产业区基础设施较为完善，环境条件良好。建设单位只要能够严格执行环境保护有关规章制度，项目的运行不会对环境造成新的污染。</w:t>
      </w:r>
    </w:p>
    <w:p w14:paraId="4869DE8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p>
    <w:p w14:paraId="71B638F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p>
    <w:p w14:paraId="0D5BC25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745C4C43">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959" w:name="_Toc30262"/>
      <w:bookmarkStart w:id="960" w:name="_Toc12043"/>
      <w:bookmarkStart w:id="961" w:name="_Toc27152"/>
      <w:bookmarkStart w:id="962" w:name="_Toc23867"/>
      <w:bookmarkStart w:id="963" w:name="_Toc18170"/>
      <w:bookmarkStart w:id="964" w:name="_Toc19643"/>
      <w:bookmarkStart w:id="965" w:name="_Toc5377"/>
      <w:bookmarkStart w:id="966" w:name="_Toc7082"/>
      <w:bookmarkStart w:id="967" w:name="_Toc27319"/>
      <w:bookmarkStart w:id="968" w:name="_Toc1972"/>
      <w:bookmarkStart w:id="969" w:name="_Toc21577"/>
      <w:bookmarkStart w:id="970" w:name="_Toc18414"/>
      <w:bookmarkStart w:id="971" w:name="_Toc28439"/>
      <w:bookmarkStart w:id="972" w:name="_Toc31568"/>
      <w:bookmarkStart w:id="973" w:name="_Toc9249"/>
      <w:bookmarkStart w:id="974" w:name="_Toc5167"/>
      <w:r>
        <w:rPr>
          <w:rFonts w:hint="eastAsia" w:ascii="宋体" w:hAnsi="宋体" w:eastAsia="宋体" w:cs="宋体"/>
          <w:b/>
          <w:bCs w:val="0"/>
          <w:color w:val="auto"/>
          <w:sz w:val="32"/>
          <w:szCs w:val="32"/>
          <w:highlight w:val="none"/>
          <w:lang w:val="zh-CN"/>
        </w:rPr>
        <w:t>第十</w:t>
      </w:r>
      <w:r>
        <w:rPr>
          <w:rFonts w:hint="eastAsia" w:ascii="宋体" w:hAnsi="宋体" w:eastAsia="宋体" w:cs="宋体"/>
          <w:b/>
          <w:bCs w:val="0"/>
          <w:color w:val="auto"/>
          <w:sz w:val="32"/>
          <w:szCs w:val="32"/>
          <w:highlight w:val="none"/>
          <w:lang w:val="en-US" w:eastAsia="zh-CN"/>
        </w:rPr>
        <w:t>一</w:t>
      </w:r>
      <w:r>
        <w:rPr>
          <w:rFonts w:hint="eastAsia" w:ascii="宋体" w:hAnsi="宋体" w:eastAsia="宋体" w:cs="宋体"/>
          <w:b/>
          <w:bCs w:val="0"/>
          <w:color w:val="auto"/>
          <w:sz w:val="32"/>
          <w:szCs w:val="32"/>
          <w:highlight w:val="none"/>
          <w:lang w:val="zh-CN"/>
        </w:rPr>
        <w:t>章 职业卫生及安全</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71E6F88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pPr>
      <w:bookmarkStart w:id="975" w:name="_Toc31454"/>
      <w:bookmarkStart w:id="976" w:name="_Toc13156"/>
      <w:bookmarkStart w:id="977" w:name="_Toc28957"/>
      <w:bookmarkStart w:id="978" w:name="_Toc4851"/>
      <w:bookmarkStart w:id="979" w:name="_Toc1351"/>
      <w:bookmarkStart w:id="980" w:name="_Toc20123"/>
      <w:bookmarkStart w:id="981" w:name="_Toc27276"/>
      <w:bookmarkStart w:id="982" w:name="_Toc9599"/>
      <w:bookmarkStart w:id="983" w:name="_Toc3717"/>
      <w:bookmarkStart w:id="984" w:name="_Toc6254"/>
      <w:bookmarkStart w:id="985" w:name="_Toc3839"/>
      <w:bookmarkStart w:id="986" w:name="_Toc11353"/>
      <w:bookmarkStart w:id="987" w:name="_Toc25135"/>
      <w:bookmarkStart w:id="988" w:name="_Toc12701"/>
      <w:bookmarkStart w:id="989" w:name="_Toc13145"/>
      <w:bookmarkStart w:id="990" w:name="_Toc4171"/>
      <w:bookmarkStart w:id="991" w:name="_Toc7612"/>
      <w:bookmarkStart w:id="992" w:name="_Toc14187"/>
      <w:bookmarkStart w:id="993" w:name="_Toc6331"/>
      <w:bookmarkStart w:id="994" w:name="_Toc10222"/>
      <w:bookmarkStart w:id="995" w:name="_Toc11092"/>
      <w:bookmarkStart w:id="996" w:name="_Toc6615"/>
      <w:r>
        <w:rPr>
          <w:rFonts w:hint="eastAsia" w:ascii="宋体" w:hAnsi="宋体" w:cs="宋体"/>
          <w:bCs/>
          <w:color w:val="auto"/>
          <w:sz w:val="28"/>
          <w:szCs w:val="28"/>
          <w:highlight w:val="none"/>
          <w:lang w:val="en-US" w:eastAsia="zh-CN"/>
        </w:rPr>
        <w:t>11.1 执行的法律法规、部门规章及标准规范</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6FDC150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997" w:name="_Toc2338"/>
      <w:bookmarkStart w:id="998" w:name="_Toc1383"/>
      <w:bookmarkStart w:id="999" w:name="_Toc8640"/>
      <w:bookmarkStart w:id="1000" w:name="_Toc16741"/>
      <w:bookmarkStart w:id="1001" w:name="_Toc5223"/>
      <w:bookmarkStart w:id="1002" w:name="_Toc30853"/>
      <w:bookmarkStart w:id="1003" w:name="_Toc32252"/>
      <w:bookmarkStart w:id="1004" w:name="_Toc11432"/>
      <w:bookmarkStart w:id="1005" w:name="_Toc29262"/>
      <w:bookmarkStart w:id="1006" w:name="_Toc11663"/>
      <w:bookmarkStart w:id="1007" w:name="_Toc30941"/>
      <w:bookmarkStart w:id="1008" w:name="_Toc17395"/>
      <w:bookmarkStart w:id="1009" w:name="_Toc29235"/>
      <w:bookmarkStart w:id="1010" w:name="_Toc15687"/>
      <w:bookmarkStart w:id="1011" w:name="_Toc7671"/>
      <w:bookmarkStart w:id="1012" w:name="_Toc17310"/>
      <w:bookmarkStart w:id="1013" w:name="_Toc5615"/>
      <w:bookmarkStart w:id="1014" w:name="_Toc6465"/>
      <w:bookmarkStart w:id="1015" w:name="_Toc5235"/>
      <w:bookmarkStart w:id="1016" w:name="_Toc14223"/>
      <w:bookmarkStart w:id="1017" w:name="_Toc7541"/>
      <w:bookmarkStart w:id="1018" w:name="_Toc23771"/>
      <w:bookmarkStart w:id="1019" w:name="_Toc19686"/>
      <w:bookmarkStart w:id="1020" w:name="_Toc1626"/>
      <w:bookmarkStart w:id="1021" w:name="_Toc18214"/>
      <w:bookmarkStart w:id="1022" w:name="_Toc14230"/>
      <w:bookmarkStart w:id="1023" w:name="_Toc32078"/>
      <w:bookmarkStart w:id="1024" w:name="_Toc28678"/>
      <w:bookmarkStart w:id="1025" w:name="_Toc11569"/>
      <w:bookmarkStart w:id="1026" w:name="_Toc29782"/>
      <w:bookmarkStart w:id="1027" w:name="_Toc22606"/>
      <w:bookmarkStart w:id="1028" w:name="_Toc7242"/>
      <w:r>
        <w:rPr>
          <w:rFonts w:hint="eastAsia" w:ascii="宋体" w:hAnsi="宋体" w:cs="宋体"/>
          <w:bCs/>
          <w:color w:val="auto"/>
          <w:sz w:val="28"/>
          <w:szCs w:val="28"/>
          <w:highlight w:val="none"/>
          <w:lang w:val="en-US" w:eastAsia="zh-CN"/>
        </w:rPr>
        <w:t>11.1.1 设计原则</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59C12E9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严格执行国家、地方、行业及企业制定的各项有关安全卫生的标准、规定及规范，做到职业安全卫生与主体工程同时设计、同时施工、同时投入生产和使用。</w:t>
      </w:r>
    </w:p>
    <w:p w14:paraId="4DDEE42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选用先进、可靠、安全的工艺流程，尽量减少操作人员的劳动强度，降低体能消耗，保证操作人员的作业和生活环境，满足安全卫生的要求。</w:t>
      </w:r>
    </w:p>
    <w:p w14:paraId="3FBF535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贯彻“安全第一，预防为主”的方针和“生产必须安全、安全为了生产”的设计思想，对生产中易燃、易爆、有毒、有害物质设置必要的防范措施，并实施有效控制，防止事故的发生，实现生产的“安、稳、长、满、优”。</w:t>
      </w:r>
    </w:p>
    <w:p w14:paraId="1C3F4FD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29" w:name="_Toc15428"/>
      <w:r>
        <w:rPr>
          <w:rFonts w:hint="eastAsia" w:ascii="宋体" w:hAnsi="宋体" w:cs="宋体"/>
          <w:bCs/>
          <w:color w:val="auto"/>
          <w:sz w:val="28"/>
          <w:szCs w:val="28"/>
          <w:highlight w:val="none"/>
          <w:lang w:val="en-US" w:eastAsia="zh-CN"/>
        </w:rPr>
        <w:t xml:space="preserve">11.1.2 </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Pr>
          <w:rFonts w:hint="eastAsia" w:ascii="宋体" w:hAnsi="宋体" w:cs="宋体"/>
          <w:bCs/>
          <w:color w:val="auto"/>
          <w:sz w:val="28"/>
          <w:szCs w:val="28"/>
          <w:highlight w:val="none"/>
          <w:lang w:val="en-US" w:eastAsia="zh-CN"/>
        </w:rPr>
        <w:t>法律法规</w:t>
      </w:r>
      <w:bookmarkEnd w:id="1029"/>
    </w:p>
    <w:p w14:paraId="6C13BF3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30" w:name="_Toc30893"/>
      <w:bookmarkStart w:id="1031" w:name="_Toc26376"/>
      <w:bookmarkStart w:id="1032" w:name="_Toc9855"/>
      <w:bookmarkStart w:id="1033" w:name="_Toc4808"/>
      <w:bookmarkStart w:id="1034" w:name="_Toc22077"/>
      <w:bookmarkStart w:id="1035" w:name="_Toc17300"/>
      <w:bookmarkStart w:id="1036" w:name="_Toc8698"/>
      <w:bookmarkStart w:id="1037" w:name="_Toc4614"/>
      <w:bookmarkStart w:id="1038" w:name="_Toc6842"/>
      <w:bookmarkStart w:id="1039" w:name="_Toc31368"/>
      <w:bookmarkStart w:id="1040" w:name="_Toc24517"/>
      <w:bookmarkStart w:id="1041" w:name="_Toc28103"/>
      <w:bookmarkStart w:id="1042" w:name="_Toc6374"/>
      <w:bookmarkStart w:id="1043" w:name="_Toc25434"/>
      <w:bookmarkStart w:id="1044" w:name="_Toc17822"/>
      <w:bookmarkStart w:id="1045" w:name="_Toc8489"/>
      <w:bookmarkStart w:id="1046" w:name="_Toc31633"/>
      <w:bookmarkStart w:id="1047" w:name="_Toc362"/>
      <w:r>
        <w:rPr>
          <w:rFonts w:hint="eastAsia" w:ascii="宋体" w:hAnsi="宋体" w:cs="宋体"/>
          <w:bCs/>
          <w:color w:val="auto"/>
          <w:sz w:val="28"/>
          <w:szCs w:val="28"/>
          <w:highlight w:val="none"/>
          <w:lang w:val="en-US" w:eastAsia="zh-CN"/>
        </w:rPr>
        <w:t>《中华人民共和国安全生产法》(2021年9月1日起施行)</w:t>
      </w:r>
    </w:p>
    <w:p w14:paraId="5578FE0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《中华人民共和国劳动法》（2018年12月29日修正）</w:t>
      </w:r>
    </w:p>
    <w:p w14:paraId="6491F86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《中华人民共和国职业病防治法》(2018年12月29日修正)</w:t>
      </w:r>
    </w:p>
    <w:p w14:paraId="7FF929D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《中华人民共和国劳动合同法》（2013年7月1日起施行）</w:t>
      </w:r>
    </w:p>
    <w:p w14:paraId="45405F6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《中华人民共和国清洁生产促进法》(2012年7月1日起施行)</w:t>
      </w:r>
    </w:p>
    <w:p w14:paraId="29D2F9A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《建设工程安全生产管理条例》（2004年2月1日施行）</w:t>
      </w:r>
    </w:p>
    <w:p w14:paraId="707EB48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《生产安全事故报告和调查处理条例》(2007年6月1日起施行)</w:t>
      </w:r>
    </w:p>
    <w:p w14:paraId="48692CD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48" w:name="_Toc191565175"/>
      <w:bookmarkStart w:id="1049" w:name="_Toc191180557"/>
      <w:bookmarkStart w:id="1050" w:name="_Toc191183833"/>
      <w:bookmarkStart w:id="1051" w:name="_Toc191780566"/>
      <w:r>
        <w:rPr>
          <w:rFonts w:hint="eastAsia" w:ascii="宋体" w:hAnsi="宋体" w:cs="宋体"/>
          <w:bCs/>
          <w:color w:val="auto"/>
          <w:sz w:val="28"/>
          <w:szCs w:val="28"/>
          <w:highlight w:val="none"/>
          <w:lang w:val="en-US" w:eastAsia="zh-CN"/>
        </w:rPr>
        <w:t>《女职工劳动保护特别规定》（2012年4月28日起施行）</w:t>
      </w:r>
    </w:p>
    <w:bookmarkEnd w:id="1048"/>
    <w:bookmarkEnd w:id="1049"/>
    <w:bookmarkEnd w:id="1050"/>
    <w:bookmarkEnd w:id="1051"/>
    <w:p w14:paraId="344319C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《安全生产培训管理办法》 (2015年7月1日起施行)</w:t>
      </w:r>
    </w:p>
    <w:p w14:paraId="6B134C6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《江苏省安全生产条例》(2023年7月1日起施行)</w:t>
      </w:r>
    </w:p>
    <w:p w14:paraId="6E726F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《江苏省劳动保护条例》(2004年6月17日修正)</w:t>
      </w:r>
    </w:p>
    <w:p w14:paraId="450D8F6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《江苏省职业病防治条例》(2002年6月22日修正)</w:t>
      </w:r>
    </w:p>
    <w:p w14:paraId="4273EA1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52" w:name="_Toc11567"/>
      <w:r>
        <w:rPr>
          <w:rFonts w:hint="eastAsia" w:ascii="宋体" w:hAnsi="宋体" w:cs="宋体"/>
          <w:bCs/>
          <w:color w:val="auto"/>
          <w:sz w:val="28"/>
          <w:szCs w:val="28"/>
          <w:highlight w:val="none"/>
          <w:lang w:val="en-US" w:eastAsia="zh-CN"/>
        </w:rPr>
        <w:t>11.1.3 设计采用标准和规范</w:t>
      </w:r>
      <w:bookmarkEnd w:id="1052"/>
    </w:p>
    <w:p w14:paraId="0A4AF4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53" w:name="_Toc1718"/>
      <w:bookmarkStart w:id="1054" w:name="_Toc352328493"/>
      <w:bookmarkStart w:id="1055" w:name="_Toc15148"/>
      <w:bookmarkStart w:id="1056" w:name="_Toc31470"/>
      <w:bookmarkStart w:id="1057" w:name="_Toc4147"/>
      <w:r>
        <w:rPr>
          <w:rFonts w:hint="eastAsia" w:ascii="宋体" w:hAnsi="宋体" w:cs="宋体"/>
          <w:bCs/>
          <w:color w:val="auto"/>
          <w:sz w:val="28"/>
          <w:szCs w:val="28"/>
          <w:highlight w:val="none"/>
          <w:lang w:val="en-US" w:eastAsia="zh-CN"/>
        </w:rPr>
        <w:t>《化工企业安全卫生设计规范》HG20571-2014</w:t>
      </w:r>
    </w:p>
    <w:p w14:paraId="600B23D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《爆炸和火灾危险环境电力装置设计规范》GB50058-2014</w:t>
      </w:r>
    </w:p>
    <w:p w14:paraId="5092E13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《建筑设计防火规范(2018年版)》GB50016-2014</w:t>
      </w:r>
    </w:p>
    <w:p w14:paraId="72F39D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《化工企业静电接地设计规程》HG/T20675-1990</w:t>
      </w:r>
    </w:p>
    <w:p w14:paraId="1172413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《建筑物防雷设计设计规范》GB50057-2010</w:t>
      </w:r>
    </w:p>
    <w:p w14:paraId="399CB41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《化工建设项目噪声控制设计规定》HG20503-1992</w:t>
      </w:r>
    </w:p>
    <w:p w14:paraId="1796463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《化工企业照明设计技术规定》HG/T20586-1996</w:t>
      </w:r>
    </w:p>
    <w:p w14:paraId="4F3714C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《工作场所有害因素职业接触限值第1部分：化学有害因素》GBZ2.1-2019</w:t>
      </w:r>
    </w:p>
    <w:p w14:paraId="730A7C2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《工作场所有害因素职业接触限值 第2部分:物理因素》GBZ 2.2-2007</w:t>
      </w:r>
    </w:p>
    <w:p w14:paraId="39B0B10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《工业企业设计卫生标准》GBZ1-2010</w:t>
      </w:r>
    </w:p>
    <w:p w14:paraId="72CA84F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pPr>
      <w:bookmarkStart w:id="1058" w:name="_Toc22185"/>
      <w:bookmarkStart w:id="1059" w:name="_Toc3416"/>
      <w:r>
        <w:rPr>
          <w:rFonts w:hint="eastAsia" w:ascii="宋体" w:hAnsi="宋体" w:cs="宋体"/>
          <w:bCs/>
          <w:color w:val="auto"/>
          <w:sz w:val="28"/>
          <w:szCs w:val="28"/>
          <w:highlight w:val="none"/>
          <w:lang w:val="en-US" w:eastAsia="zh-CN"/>
        </w:rPr>
        <w:t>11.2 项目地区的主要自然灾害及防护措施</w:t>
      </w:r>
      <w:bookmarkEnd w:id="1053"/>
      <w:bookmarkEnd w:id="1054"/>
      <w:bookmarkEnd w:id="1055"/>
      <w:bookmarkEnd w:id="1056"/>
      <w:bookmarkEnd w:id="1058"/>
      <w:bookmarkEnd w:id="1059"/>
    </w:p>
    <w:p w14:paraId="6B789C5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60" w:name="_Toc30723"/>
      <w:r>
        <w:rPr>
          <w:rFonts w:hint="eastAsia" w:ascii="宋体" w:hAnsi="宋体" w:cs="宋体"/>
          <w:bCs/>
          <w:color w:val="auto"/>
          <w:sz w:val="28"/>
          <w:szCs w:val="28"/>
          <w:highlight w:val="none"/>
          <w:lang w:val="en-US" w:eastAsia="zh-CN"/>
        </w:rPr>
        <w:t>1、地震</w:t>
      </w:r>
      <w:bookmarkEnd w:id="1060"/>
    </w:p>
    <w:p w14:paraId="75A841D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根据《建筑抗震设计规范》及《江苏省抗震设防烈度标准》，建构筑物均按抗震烈度7度设防，设计基本地震加速度值为0.15g，主要设备采用地脚螺栓与基础固定连接。</w:t>
      </w:r>
    </w:p>
    <w:p w14:paraId="22E5CB6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61" w:name="_Toc26070"/>
      <w:r>
        <w:rPr>
          <w:rFonts w:hint="eastAsia" w:ascii="宋体" w:hAnsi="宋体" w:cs="宋体"/>
          <w:bCs/>
          <w:color w:val="auto"/>
          <w:sz w:val="28"/>
          <w:szCs w:val="28"/>
          <w:highlight w:val="none"/>
          <w:lang w:val="en-US" w:eastAsia="zh-CN"/>
        </w:rPr>
        <w:t>2、雷击</w:t>
      </w:r>
      <w:bookmarkEnd w:id="1061"/>
    </w:p>
    <w:p w14:paraId="178D4D7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本地区夏季为雷雨多发季节，建构筑物需配相应的防雷设施，建立避雷网，使需要保护的建构筑物均在保护之内，预防雷击。</w:t>
      </w:r>
    </w:p>
    <w:p w14:paraId="6D03659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62" w:name="_Toc12893"/>
      <w:r>
        <w:rPr>
          <w:rFonts w:hint="eastAsia" w:ascii="宋体" w:hAnsi="宋体" w:cs="宋体"/>
          <w:bCs/>
          <w:color w:val="auto"/>
          <w:sz w:val="28"/>
          <w:szCs w:val="28"/>
          <w:highlight w:val="none"/>
          <w:lang w:val="en-US" w:eastAsia="zh-CN"/>
        </w:rPr>
        <w:t>3、气候</w:t>
      </w:r>
      <w:bookmarkEnd w:id="1062"/>
    </w:p>
    <w:p w14:paraId="0017201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本地区地处亚热带季风海洋性气候，夏季较热，冬天较冷。项目地夏季为雷雨多发季节，可能的自然灾害形式主要有：雷电、暴雨、台风、洪水等；冬天气温较低，可造成冻寒伤害。</w:t>
      </w:r>
    </w:p>
    <w:p w14:paraId="314F9F6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夏季办公室操作间防暑措施：设置空调。为防冬季带来的危害，操作间、办公室和控制室可设置必要的采暖措施。管道也应采取相应的防冻保暖措施。</w:t>
      </w:r>
    </w:p>
    <w:p w14:paraId="26A2678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为防洪排涝，建厂时厂址标高应高于历年洪水最高水位，防止建构筑物被水淹渍。</w:t>
      </w:r>
    </w:p>
    <w:p w14:paraId="2412E7A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pPr>
      <w:bookmarkStart w:id="1063" w:name="_Toc1821"/>
      <w:bookmarkStart w:id="1064" w:name="_Toc3549"/>
      <w:bookmarkStart w:id="1065" w:name="_Toc23929"/>
      <w:r>
        <w:rPr>
          <w:rFonts w:hint="eastAsia" w:ascii="宋体" w:hAnsi="宋体" w:cs="宋体"/>
          <w:bCs/>
          <w:color w:val="auto"/>
          <w:sz w:val="28"/>
          <w:szCs w:val="28"/>
          <w:highlight w:val="none"/>
          <w:lang w:val="en-US" w:eastAsia="zh-CN"/>
        </w:rPr>
        <w:t>11.3 生产过程中危险有害因素和职业病分析</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57"/>
      <w:bookmarkEnd w:id="1063"/>
      <w:bookmarkEnd w:id="1064"/>
      <w:bookmarkEnd w:id="1065"/>
    </w:p>
    <w:p w14:paraId="669407A4">
      <w:pPr>
        <w:spacing w:line="560" w:lineRule="exact"/>
        <w:ind w:firstLine="396" w:firstLineChars="200"/>
        <w:jc w:val="center"/>
        <w:textAlignment w:val="center"/>
        <w:rPr>
          <w:rFonts w:hint="eastAsia" w:ascii="宋体" w:hAnsi="宋体" w:cs="宋体"/>
          <w:color w:val="auto"/>
          <w:spacing w:val="-6"/>
          <w:szCs w:val="21"/>
          <w:highlight w:val="none"/>
        </w:rPr>
      </w:pPr>
      <w:r>
        <w:rPr>
          <w:rFonts w:hint="eastAsia" w:ascii="宋体" w:hAnsi="宋体" w:cs="宋体"/>
          <w:color w:val="auto"/>
          <w:spacing w:val="-6"/>
          <w:szCs w:val="21"/>
          <w:highlight w:val="none"/>
        </w:rPr>
        <w:t>表</w:t>
      </w:r>
      <w:r>
        <w:rPr>
          <w:rFonts w:hint="eastAsia" w:ascii="宋体" w:hAnsi="宋体" w:cs="宋体"/>
          <w:color w:val="auto"/>
          <w:spacing w:val="-6"/>
          <w:szCs w:val="21"/>
          <w:highlight w:val="none"/>
          <w:lang w:eastAsia="zh-CN"/>
        </w:rPr>
        <w:t>11.</w:t>
      </w:r>
      <w:r>
        <w:rPr>
          <w:rFonts w:hint="eastAsia" w:ascii="宋体" w:hAnsi="宋体" w:cs="宋体"/>
          <w:color w:val="auto"/>
          <w:spacing w:val="-6"/>
          <w:szCs w:val="21"/>
          <w:highlight w:val="none"/>
        </w:rPr>
        <w:t>3-1  项目主要危险、有害物质的危险、有害特性表</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1068"/>
        <w:gridCol w:w="1250"/>
        <w:gridCol w:w="576"/>
        <w:gridCol w:w="524"/>
        <w:gridCol w:w="524"/>
        <w:gridCol w:w="782"/>
        <w:gridCol w:w="810"/>
        <w:gridCol w:w="773"/>
        <w:gridCol w:w="705"/>
        <w:gridCol w:w="936"/>
        <w:gridCol w:w="888"/>
        <w:gridCol w:w="525"/>
        <w:gridCol w:w="4280"/>
      </w:tblGrid>
      <w:tr w14:paraId="26E9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trPr>
        <w:tc>
          <w:tcPr>
            <w:tcW w:w="192" w:type="pct"/>
            <w:vMerge w:val="restart"/>
            <w:vAlign w:val="center"/>
          </w:tcPr>
          <w:p w14:paraId="2FD4A5DB">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序号</w:t>
            </w:r>
          </w:p>
        </w:tc>
        <w:tc>
          <w:tcPr>
            <w:tcW w:w="384" w:type="pct"/>
            <w:vMerge w:val="restart"/>
            <w:vAlign w:val="center"/>
          </w:tcPr>
          <w:p w14:paraId="00737BDE">
            <w:pPr>
              <w:spacing w:line="200" w:lineRule="exact"/>
              <w:jc w:val="center"/>
              <w:rPr>
                <w:rFonts w:ascii="宋体"/>
                <w:b/>
                <w:color w:val="auto"/>
                <w:sz w:val="18"/>
                <w:szCs w:val="18"/>
                <w:highlight w:val="none"/>
              </w:rPr>
            </w:pPr>
            <w:r>
              <w:rPr>
                <w:rFonts w:hint="eastAsia" w:ascii="宋体" w:hAnsi="宋体"/>
                <w:b/>
                <w:color w:val="auto"/>
                <w:sz w:val="18"/>
                <w:szCs w:val="18"/>
                <w:highlight w:val="none"/>
              </w:rPr>
              <w:t>物质名称</w:t>
            </w:r>
          </w:p>
          <w:p w14:paraId="63B0F5EC">
            <w:pPr>
              <w:spacing w:line="200" w:lineRule="exact"/>
              <w:jc w:val="center"/>
              <w:rPr>
                <w:rFonts w:ascii="宋体"/>
                <w:b/>
                <w:color w:val="auto"/>
                <w:sz w:val="18"/>
                <w:szCs w:val="18"/>
                <w:highlight w:val="none"/>
              </w:rPr>
            </w:pPr>
            <w:r>
              <w:rPr>
                <w:rFonts w:ascii="宋体" w:hAnsi="宋体"/>
                <w:b/>
                <w:color w:val="auto"/>
                <w:sz w:val="18"/>
                <w:szCs w:val="18"/>
                <w:highlight w:val="none"/>
              </w:rPr>
              <w:t>UN</w:t>
            </w:r>
            <w:r>
              <w:rPr>
                <w:rFonts w:hint="eastAsia" w:ascii="宋体" w:hAnsi="宋体"/>
                <w:b/>
                <w:color w:val="auto"/>
                <w:sz w:val="18"/>
                <w:szCs w:val="18"/>
                <w:highlight w:val="none"/>
              </w:rPr>
              <w:t>号</w:t>
            </w:r>
          </w:p>
          <w:p w14:paraId="589FBF3F">
            <w:pPr>
              <w:spacing w:line="200" w:lineRule="exact"/>
              <w:ind w:right="-55" w:rightChars="-26"/>
              <w:jc w:val="center"/>
              <w:rPr>
                <w:rFonts w:ascii="宋体"/>
                <w:b/>
                <w:color w:val="auto"/>
                <w:sz w:val="18"/>
                <w:szCs w:val="18"/>
                <w:highlight w:val="none"/>
              </w:rPr>
            </w:pPr>
            <w:r>
              <w:rPr>
                <w:rFonts w:ascii="宋体" w:hAnsi="宋体"/>
                <w:b/>
                <w:color w:val="auto"/>
                <w:sz w:val="18"/>
                <w:szCs w:val="18"/>
                <w:highlight w:val="none"/>
              </w:rPr>
              <w:t>C</w:t>
            </w:r>
            <w:r>
              <w:rPr>
                <w:rFonts w:hint="eastAsia" w:ascii="宋体" w:hAnsi="宋体"/>
                <w:b/>
                <w:color w:val="auto"/>
                <w:sz w:val="18"/>
                <w:szCs w:val="18"/>
                <w:highlight w:val="none"/>
                <w:lang w:val="en-US" w:eastAsia="zh-CN"/>
              </w:rPr>
              <w:t>AS</w:t>
            </w:r>
            <w:r>
              <w:rPr>
                <w:rFonts w:hint="eastAsia" w:ascii="宋体" w:hAnsi="宋体"/>
                <w:b/>
                <w:color w:val="auto"/>
                <w:sz w:val="18"/>
                <w:szCs w:val="18"/>
                <w:highlight w:val="none"/>
              </w:rPr>
              <w:t>号</w:t>
            </w:r>
          </w:p>
        </w:tc>
        <w:tc>
          <w:tcPr>
            <w:tcW w:w="448" w:type="pct"/>
            <w:vMerge w:val="restart"/>
            <w:vAlign w:val="center"/>
          </w:tcPr>
          <w:p w14:paraId="6BE2A519">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性状</w:t>
            </w:r>
          </w:p>
        </w:tc>
        <w:tc>
          <w:tcPr>
            <w:tcW w:w="384" w:type="pct"/>
            <w:gridSpan w:val="2"/>
            <w:vAlign w:val="center"/>
          </w:tcPr>
          <w:p w14:paraId="3D254804">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相对（蒸气）</w:t>
            </w:r>
          </w:p>
          <w:p w14:paraId="2354D328">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密度</w:t>
            </w:r>
          </w:p>
        </w:tc>
        <w:tc>
          <w:tcPr>
            <w:tcW w:w="192" w:type="pct"/>
            <w:vMerge w:val="restart"/>
            <w:vAlign w:val="center"/>
          </w:tcPr>
          <w:p w14:paraId="3154D6F4">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闪点℃</w:t>
            </w:r>
          </w:p>
        </w:tc>
        <w:tc>
          <w:tcPr>
            <w:tcW w:w="283" w:type="pct"/>
            <w:vMerge w:val="restart"/>
            <w:vAlign w:val="center"/>
          </w:tcPr>
          <w:p w14:paraId="479677AA">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熔点℃</w:t>
            </w:r>
          </w:p>
        </w:tc>
        <w:tc>
          <w:tcPr>
            <w:tcW w:w="293" w:type="pct"/>
            <w:vMerge w:val="restart"/>
            <w:vAlign w:val="center"/>
          </w:tcPr>
          <w:p w14:paraId="6D179709">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沸点℃</w:t>
            </w:r>
          </w:p>
        </w:tc>
        <w:tc>
          <w:tcPr>
            <w:tcW w:w="280" w:type="pct"/>
            <w:vMerge w:val="restart"/>
            <w:vAlign w:val="center"/>
          </w:tcPr>
          <w:p w14:paraId="772422AD">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lang w:val="en-US" w:eastAsia="zh-CN"/>
              </w:rPr>
              <w:t>自燃</w:t>
            </w:r>
            <w:r>
              <w:rPr>
                <w:rFonts w:hint="eastAsia" w:ascii="宋体" w:hAnsi="宋体"/>
                <w:b/>
                <w:bCs/>
                <w:color w:val="auto"/>
                <w:sz w:val="18"/>
                <w:szCs w:val="18"/>
                <w:highlight w:val="none"/>
              </w:rPr>
              <w:t>温度℃</w:t>
            </w:r>
          </w:p>
        </w:tc>
        <w:tc>
          <w:tcPr>
            <w:tcW w:w="256" w:type="pct"/>
            <w:vMerge w:val="restart"/>
            <w:vAlign w:val="center"/>
          </w:tcPr>
          <w:p w14:paraId="6EE9269F">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火灾危险分类</w:t>
            </w:r>
          </w:p>
        </w:tc>
        <w:tc>
          <w:tcPr>
            <w:tcW w:w="254" w:type="pct"/>
            <w:vMerge w:val="restart"/>
            <w:vAlign w:val="center"/>
          </w:tcPr>
          <w:p w14:paraId="3EB568F3">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爆炸极限</w:t>
            </w:r>
            <w:r>
              <w:rPr>
                <w:rFonts w:ascii="宋体" w:hAnsi="宋体"/>
                <w:b/>
                <w:bCs/>
                <w:color w:val="auto"/>
                <w:sz w:val="18"/>
                <w:szCs w:val="18"/>
                <w:highlight w:val="none"/>
              </w:rPr>
              <w:t>V%</w:t>
            </w:r>
          </w:p>
        </w:tc>
        <w:tc>
          <w:tcPr>
            <w:tcW w:w="320" w:type="pct"/>
            <w:vMerge w:val="restart"/>
            <w:vAlign w:val="center"/>
          </w:tcPr>
          <w:p w14:paraId="7B2DB0CA">
            <w:pPr>
              <w:spacing w:line="200" w:lineRule="exact"/>
              <w:ind w:right="-55" w:rightChars="-26"/>
              <w:jc w:val="center"/>
              <w:rPr>
                <w:rFonts w:ascii="宋体"/>
                <w:b/>
                <w:bCs/>
                <w:color w:val="auto"/>
                <w:sz w:val="18"/>
                <w:szCs w:val="18"/>
                <w:highlight w:val="none"/>
              </w:rPr>
            </w:pPr>
            <w:r>
              <w:rPr>
                <w:rFonts w:ascii="宋体" w:hAnsi="宋体"/>
                <w:b/>
                <w:bCs/>
                <w:color w:val="auto"/>
                <w:sz w:val="18"/>
                <w:szCs w:val="18"/>
                <w:highlight w:val="none"/>
              </w:rPr>
              <w:t>LD</w:t>
            </w:r>
            <w:r>
              <w:rPr>
                <w:rFonts w:ascii="宋体" w:hAnsi="宋体"/>
                <w:b/>
                <w:bCs/>
                <w:color w:val="auto"/>
                <w:sz w:val="18"/>
                <w:szCs w:val="18"/>
                <w:highlight w:val="none"/>
                <w:vertAlign w:val="subscript"/>
              </w:rPr>
              <w:t>50</w:t>
            </w:r>
          </w:p>
          <w:p w14:paraId="2B1AB30A">
            <w:pPr>
              <w:spacing w:line="200" w:lineRule="exact"/>
              <w:ind w:right="-55" w:rightChars="-26"/>
              <w:jc w:val="center"/>
              <w:rPr>
                <w:rFonts w:ascii="宋体"/>
                <w:b/>
                <w:bCs/>
                <w:color w:val="auto"/>
                <w:sz w:val="18"/>
                <w:szCs w:val="18"/>
                <w:highlight w:val="none"/>
              </w:rPr>
            </w:pPr>
            <w:r>
              <w:rPr>
                <w:rFonts w:ascii="宋体" w:hAnsi="宋体"/>
                <w:b/>
                <w:bCs/>
                <w:color w:val="auto"/>
                <w:sz w:val="18"/>
                <w:szCs w:val="18"/>
                <w:highlight w:val="none"/>
              </w:rPr>
              <w:t>mg/kg</w:t>
            </w:r>
          </w:p>
          <w:p w14:paraId="513F560F">
            <w:pPr>
              <w:spacing w:line="200" w:lineRule="exact"/>
              <w:ind w:right="-55" w:rightChars="-26"/>
              <w:jc w:val="center"/>
              <w:rPr>
                <w:rFonts w:ascii="宋体"/>
                <w:b/>
                <w:bCs/>
                <w:color w:val="auto"/>
                <w:sz w:val="18"/>
                <w:szCs w:val="18"/>
                <w:highlight w:val="none"/>
              </w:rPr>
            </w:pPr>
            <w:r>
              <w:rPr>
                <w:rFonts w:hint="eastAsia" w:ascii="宋体" w:hAnsi="宋体" w:cs="宋体"/>
                <w:b/>
                <w:color w:val="auto"/>
                <w:kern w:val="0"/>
                <w:sz w:val="18"/>
                <w:szCs w:val="18"/>
                <w:highlight w:val="none"/>
              </w:rPr>
              <w:t>大鼠经口</w:t>
            </w:r>
          </w:p>
        </w:tc>
        <w:tc>
          <w:tcPr>
            <w:tcW w:w="192" w:type="pct"/>
            <w:vMerge w:val="restart"/>
            <w:vAlign w:val="center"/>
          </w:tcPr>
          <w:p w14:paraId="5C3AB96A">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危害程度级别</w:t>
            </w:r>
          </w:p>
        </w:tc>
        <w:tc>
          <w:tcPr>
            <w:tcW w:w="1516" w:type="pct"/>
            <w:vMerge w:val="restart"/>
            <w:vAlign w:val="center"/>
          </w:tcPr>
          <w:p w14:paraId="0CB94524">
            <w:pPr>
              <w:spacing w:line="200" w:lineRule="exact"/>
              <w:ind w:right="-55" w:rightChars="-26"/>
              <w:jc w:val="center"/>
              <w:rPr>
                <w:rFonts w:ascii="宋体"/>
                <w:b/>
                <w:bCs/>
                <w:color w:val="auto"/>
                <w:sz w:val="18"/>
                <w:szCs w:val="18"/>
                <w:highlight w:val="none"/>
              </w:rPr>
            </w:pPr>
            <w:r>
              <w:rPr>
                <w:rFonts w:hint="eastAsia" w:ascii="宋体" w:hAnsi="宋体"/>
                <w:b/>
                <w:bCs/>
                <w:color w:val="auto"/>
                <w:sz w:val="18"/>
                <w:szCs w:val="18"/>
                <w:highlight w:val="none"/>
              </w:rPr>
              <w:t>危险有害性</w:t>
            </w:r>
          </w:p>
        </w:tc>
      </w:tr>
      <w:tr w14:paraId="6301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2" w:type="pct"/>
            <w:vMerge w:val="continue"/>
            <w:vAlign w:val="center"/>
          </w:tcPr>
          <w:p w14:paraId="61276A01">
            <w:pPr>
              <w:widowControl/>
              <w:spacing w:line="200" w:lineRule="exact"/>
              <w:jc w:val="left"/>
              <w:rPr>
                <w:rFonts w:ascii="宋体"/>
                <w:b/>
                <w:bCs/>
                <w:color w:val="auto"/>
                <w:sz w:val="18"/>
                <w:szCs w:val="18"/>
                <w:highlight w:val="none"/>
              </w:rPr>
            </w:pPr>
          </w:p>
        </w:tc>
        <w:tc>
          <w:tcPr>
            <w:tcW w:w="384" w:type="pct"/>
            <w:vMerge w:val="continue"/>
            <w:vAlign w:val="center"/>
          </w:tcPr>
          <w:p w14:paraId="158F5A25">
            <w:pPr>
              <w:widowControl/>
              <w:spacing w:line="200" w:lineRule="exact"/>
              <w:jc w:val="left"/>
              <w:rPr>
                <w:rFonts w:ascii="宋体"/>
                <w:b/>
                <w:color w:val="auto"/>
                <w:sz w:val="18"/>
                <w:szCs w:val="18"/>
                <w:highlight w:val="none"/>
              </w:rPr>
            </w:pPr>
          </w:p>
        </w:tc>
        <w:tc>
          <w:tcPr>
            <w:tcW w:w="448" w:type="pct"/>
            <w:vMerge w:val="continue"/>
            <w:vAlign w:val="center"/>
          </w:tcPr>
          <w:p w14:paraId="4DDC029E">
            <w:pPr>
              <w:widowControl/>
              <w:spacing w:line="200" w:lineRule="exact"/>
              <w:jc w:val="left"/>
              <w:rPr>
                <w:rFonts w:ascii="宋体"/>
                <w:b/>
                <w:bCs/>
                <w:color w:val="auto"/>
                <w:sz w:val="18"/>
                <w:szCs w:val="18"/>
                <w:highlight w:val="none"/>
              </w:rPr>
            </w:pPr>
          </w:p>
        </w:tc>
        <w:tc>
          <w:tcPr>
            <w:tcW w:w="192" w:type="pct"/>
            <w:vAlign w:val="center"/>
          </w:tcPr>
          <w:p w14:paraId="3738BDE7">
            <w:pPr>
              <w:spacing w:line="200" w:lineRule="exact"/>
              <w:ind w:right="-55" w:rightChars="-26"/>
              <w:jc w:val="center"/>
              <w:rPr>
                <w:rFonts w:ascii="宋体"/>
                <w:bCs/>
                <w:color w:val="auto"/>
                <w:sz w:val="18"/>
                <w:szCs w:val="18"/>
                <w:highlight w:val="none"/>
              </w:rPr>
            </w:pPr>
            <w:r>
              <w:rPr>
                <w:rFonts w:hint="eastAsia" w:ascii="宋体" w:hAnsi="宋体"/>
                <w:bCs/>
                <w:color w:val="auto"/>
                <w:sz w:val="18"/>
                <w:szCs w:val="18"/>
                <w:highlight w:val="none"/>
              </w:rPr>
              <w:t>水</w:t>
            </w:r>
            <w:r>
              <w:rPr>
                <w:rFonts w:ascii="宋体" w:hAnsi="宋体"/>
                <w:bCs/>
                <w:color w:val="auto"/>
                <w:sz w:val="18"/>
                <w:szCs w:val="18"/>
                <w:highlight w:val="none"/>
              </w:rPr>
              <w:t>=1</w:t>
            </w:r>
          </w:p>
        </w:tc>
        <w:tc>
          <w:tcPr>
            <w:tcW w:w="192" w:type="pct"/>
            <w:vAlign w:val="center"/>
          </w:tcPr>
          <w:p w14:paraId="46794BDE">
            <w:pPr>
              <w:spacing w:line="200" w:lineRule="exact"/>
              <w:ind w:right="-55" w:rightChars="-26"/>
              <w:jc w:val="center"/>
              <w:rPr>
                <w:rFonts w:ascii="宋体"/>
                <w:bCs/>
                <w:color w:val="auto"/>
                <w:sz w:val="18"/>
                <w:szCs w:val="18"/>
                <w:highlight w:val="none"/>
              </w:rPr>
            </w:pPr>
            <w:r>
              <w:rPr>
                <w:rFonts w:hint="eastAsia" w:ascii="宋体" w:hAnsi="宋体"/>
                <w:bCs/>
                <w:color w:val="auto"/>
                <w:sz w:val="18"/>
                <w:szCs w:val="18"/>
                <w:highlight w:val="none"/>
              </w:rPr>
              <w:t>空气</w:t>
            </w:r>
            <w:r>
              <w:rPr>
                <w:rFonts w:ascii="宋体" w:hAnsi="宋体"/>
                <w:bCs/>
                <w:color w:val="auto"/>
                <w:sz w:val="18"/>
                <w:szCs w:val="18"/>
                <w:highlight w:val="none"/>
              </w:rPr>
              <w:t>=1</w:t>
            </w:r>
          </w:p>
        </w:tc>
        <w:tc>
          <w:tcPr>
            <w:tcW w:w="192" w:type="pct"/>
            <w:vMerge w:val="continue"/>
            <w:vAlign w:val="center"/>
          </w:tcPr>
          <w:p w14:paraId="584C5B7E">
            <w:pPr>
              <w:widowControl/>
              <w:spacing w:line="200" w:lineRule="exact"/>
              <w:jc w:val="left"/>
              <w:rPr>
                <w:rFonts w:ascii="宋体"/>
                <w:b/>
                <w:bCs/>
                <w:color w:val="auto"/>
                <w:sz w:val="18"/>
                <w:szCs w:val="18"/>
                <w:highlight w:val="none"/>
              </w:rPr>
            </w:pPr>
          </w:p>
        </w:tc>
        <w:tc>
          <w:tcPr>
            <w:tcW w:w="283" w:type="pct"/>
            <w:vMerge w:val="continue"/>
            <w:vAlign w:val="center"/>
          </w:tcPr>
          <w:p w14:paraId="75855D13">
            <w:pPr>
              <w:widowControl/>
              <w:spacing w:line="200" w:lineRule="exact"/>
              <w:jc w:val="left"/>
              <w:rPr>
                <w:rFonts w:ascii="宋体"/>
                <w:b/>
                <w:bCs/>
                <w:color w:val="auto"/>
                <w:sz w:val="18"/>
                <w:szCs w:val="18"/>
                <w:highlight w:val="none"/>
              </w:rPr>
            </w:pPr>
          </w:p>
        </w:tc>
        <w:tc>
          <w:tcPr>
            <w:tcW w:w="293" w:type="pct"/>
            <w:vMerge w:val="continue"/>
            <w:vAlign w:val="center"/>
          </w:tcPr>
          <w:p w14:paraId="0CCF6D90">
            <w:pPr>
              <w:widowControl/>
              <w:spacing w:line="200" w:lineRule="exact"/>
              <w:jc w:val="left"/>
              <w:rPr>
                <w:rFonts w:ascii="宋体"/>
                <w:b/>
                <w:bCs/>
                <w:color w:val="auto"/>
                <w:sz w:val="18"/>
                <w:szCs w:val="18"/>
                <w:highlight w:val="none"/>
              </w:rPr>
            </w:pPr>
          </w:p>
        </w:tc>
        <w:tc>
          <w:tcPr>
            <w:tcW w:w="280" w:type="pct"/>
            <w:vMerge w:val="continue"/>
            <w:vAlign w:val="center"/>
          </w:tcPr>
          <w:p w14:paraId="018B641E">
            <w:pPr>
              <w:widowControl/>
              <w:spacing w:line="200" w:lineRule="exact"/>
              <w:jc w:val="left"/>
              <w:rPr>
                <w:rFonts w:ascii="宋体"/>
                <w:b/>
                <w:bCs/>
                <w:color w:val="auto"/>
                <w:sz w:val="18"/>
                <w:szCs w:val="18"/>
                <w:highlight w:val="none"/>
              </w:rPr>
            </w:pPr>
          </w:p>
        </w:tc>
        <w:tc>
          <w:tcPr>
            <w:tcW w:w="256" w:type="pct"/>
            <w:vMerge w:val="continue"/>
            <w:vAlign w:val="center"/>
          </w:tcPr>
          <w:p w14:paraId="613B5C89">
            <w:pPr>
              <w:widowControl/>
              <w:spacing w:line="200" w:lineRule="exact"/>
              <w:jc w:val="left"/>
              <w:rPr>
                <w:rFonts w:ascii="宋体"/>
                <w:b/>
                <w:bCs/>
                <w:color w:val="auto"/>
                <w:sz w:val="18"/>
                <w:szCs w:val="18"/>
                <w:highlight w:val="none"/>
              </w:rPr>
            </w:pPr>
          </w:p>
        </w:tc>
        <w:tc>
          <w:tcPr>
            <w:tcW w:w="254" w:type="pct"/>
            <w:vMerge w:val="continue"/>
            <w:vAlign w:val="center"/>
          </w:tcPr>
          <w:p w14:paraId="7304CA4F">
            <w:pPr>
              <w:widowControl/>
              <w:spacing w:line="200" w:lineRule="exact"/>
              <w:jc w:val="left"/>
              <w:rPr>
                <w:rFonts w:ascii="宋体"/>
                <w:b/>
                <w:bCs/>
                <w:color w:val="auto"/>
                <w:sz w:val="18"/>
                <w:szCs w:val="18"/>
                <w:highlight w:val="none"/>
              </w:rPr>
            </w:pPr>
          </w:p>
        </w:tc>
        <w:tc>
          <w:tcPr>
            <w:tcW w:w="320" w:type="pct"/>
            <w:vMerge w:val="continue"/>
            <w:vAlign w:val="center"/>
          </w:tcPr>
          <w:p w14:paraId="0B7BF63C">
            <w:pPr>
              <w:widowControl/>
              <w:spacing w:line="200" w:lineRule="exact"/>
              <w:jc w:val="left"/>
              <w:rPr>
                <w:rFonts w:ascii="宋体"/>
                <w:b/>
                <w:bCs/>
                <w:color w:val="auto"/>
                <w:sz w:val="18"/>
                <w:szCs w:val="18"/>
                <w:highlight w:val="none"/>
              </w:rPr>
            </w:pPr>
          </w:p>
        </w:tc>
        <w:tc>
          <w:tcPr>
            <w:tcW w:w="192" w:type="pct"/>
            <w:vMerge w:val="continue"/>
            <w:vAlign w:val="center"/>
          </w:tcPr>
          <w:p w14:paraId="007FDED5">
            <w:pPr>
              <w:widowControl/>
              <w:spacing w:line="200" w:lineRule="exact"/>
              <w:jc w:val="left"/>
              <w:rPr>
                <w:rFonts w:ascii="宋体"/>
                <w:b/>
                <w:bCs/>
                <w:color w:val="auto"/>
                <w:sz w:val="18"/>
                <w:szCs w:val="18"/>
                <w:highlight w:val="none"/>
              </w:rPr>
            </w:pPr>
          </w:p>
        </w:tc>
        <w:tc>
          <w:tcPr>
            <w:tcW w:w="1516" w:type="pct"/>
            <w:vMerge w:val="continue"/>
            <w:vAlign w:val="center"/>
          </w:tcPr>
          <w:p w14:paraId="3DA54D96">
            <w:pPr>
              <w:widowControl/>
              <w:spacing w:line="200" w:lineRule="exact"/>
              <w:jc w:val="left"/>
              <w:rPr>
                <w:rFonts w:ascii="宋体"/>
                <w:b/>
                <w:bCs/>
                <w:color w:val="auto"/>
                <w:sz w:val="18"/>
                <w:szCs w:val="18"/>
                <w:highlight w:val="none"/>
              </w:rPr>
            </w:pPr>
          </w:p>
        </w:tc>
      </w:tr>
      <w:tr w14:paraId="751A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2" w:type="pct"/>
            <w:vAlign w:val="center"/>
          </w:tcPr>
          <w:p w14:paraId="19164D4D">
            <w:pPr>
              <w:spacing w:line="200" w:lineRule="exact"/>
              <w:jc w:val="center"/>
              <w:rPr>
                <w:rFonts w:ascii="宋体"/>
                <w:bCs/>
                <w:color w:val="auto"/>
                <w:sz w:val="18"/>
                <w:szCs w:val="18"/>
                <w:highlight w:val="none"/>
              </w:rPr>
            </w:pPr>
            <w:r>
              <w:rPr>
                <w:rFonts w:ascii="宋体" w:hAnsi="宋体"/>
                <w:bCs/>
                <w:color w:val="auto"/>
                <w:sz w:val="18"/>
                <w:szCs w:val="18"/>
                <w:highlight w:val="none"/>
              </w:rPr>
              <w:t>1</w:t>
            </w:r>
          </w:p>
        </w:tc>
        <w:tc>
          <w:tcPr>
            <w:tcW w:w="384" w:type="pct"/>
            <w:vAlign w:val="center"/>
          </w:tcPr>
          <w:p w14:paraId="60BDBE06">
            <w:pPr>
              <w:spacing w:line="200" w:lineRule="exact"/>
              <w:rPr>
                <w:rFonts w:hint="eastAsia" w:ascii="宋体" w:hAnsi="宋体"/>
                <w:color w:val="auto"/>
                <w:kern w:val="0"/>
                <w:sz w:val="18"/>
                <w:szCs w:val="18"/>
                <w:highlight w:val="none"/>
                <w:lang w:val="en-US" w:eastAsia="zh-CN"/>
              </w:rPr>
            </w:pPr>
            <w:r>
              <w:rPr>
                <w:rFonts w:hint="eastAsia" w:ascii="宋体" w:hAnsi="宋体"/>
                <w:color w:val="auto"/>
                <w:kern w:val="0"/>
                <w:sz w:val="18"/>
                <w:szCs w:val="18"/>
                <w:highlight w:val="none"/>
                <w:lang w:val="en-US" w:eastAsia="zh-CN"/>
              </w:rPr>
              <w:t>醋酐</w:t>
            </w:r>
          </w:p>
          <w:p w14:paraId="48F1C225">
            <w:pPr>
              <w:spacing w:line="200" w:lineRule="exact"/>
              <w:rPr>
                <w:rFonts w:hint="eastAsia" w:ascii="宋体" w:hAnsi="宋体"/>
                <w:color w:val="auto"/>
                <w:kern w:val="0"/>
                <w:sz w:val="18"/>
                <w:szCs w:val="18"/>
                <w:highlight w:val="none"/>
                <w:lang w:val="en-US" w:eastAsia="zh-CN"/>
              </w:rPr>
            </w:pPr>
            <w:r>
              <w:rPr>
                <w:rFonts w:hint="eastAsia" w:ascii="宋体" w:hAnsi="宋体"/>
                <w:color w:val="auto"/>
                <w:kern w:val="0"/>
                <w:sz w:val="18"/>
                <w:szCs w:val="18"/>
                <w:highlight w:val="none"/>
                <w:lang w:val="en-US" w:eastAsia="zh-CN"/>
              </w:rPr>
              <w:t>1750</w:t>
            </w:r>
          </w:p>
          <w:p w14:paraId="5D969EF5">
            <w:pPr>
              <w:spacing w:line="200" w:lineRule="exact"/>
              <w:rPr>
                <w:rFonts w:hint="default" w:ascii="宋体" w:hAnsi="宋体"/>
                <w:color w:val="auto"/>
                <w:kern w:val="0"/>
                <w:sz w:val="18"/>
                <w:szCs w:val="18"/>
                <w:highlight w:val="none"/>
                <w:lang w:val="en-US" w:eastAsia="zh-CN"/>
              </w:rPr>
            </w:pPr>
            <w:r>
              <w:rPr>
                <w:rFonts w:hint="eastAsia" w:ascii="宋体" w:hAnsi="宋体"/>
                <w:color w:val="auto"/>
                <w:kern w:val="0"/>
                <w:sz w:val="18"/>
                <w:szCs w:val="18"/>
                <w:highlight w:val="none"/>
                <w:lang w:val="en-US" w:eastAsia="zh-CN"/>
              </w:rPr>
              <w:t>108-24-7</w:t>
            </w:r>
          </w:p>
        </w:tc>
        <w:tc>
          <w:tcPr>
            <w:tcW w:w="448" w:type="pct"/>
            <w:vAlign w:val="center"/>
          </w:tcPr>
          <w:p w14:paraId="361906EB">
            <w:pPr>
              <w:spacing w:line="200" w:lineRule="exact"/>
              <w:rPr>
                <w:rFonts w:hint="eastAsia" w:ascii="宋体" w:hAnsi="宋体"/>
                <w:color w:val="auto"/>
                <w:kern w:val="0"/>
                <w:sz w:val="18"/>
                <w:szCs w:val="18"/>
                <w:highlight w:val="none"/>
              </w:rPr>
            </w:pPr>
            <w:r>
              <w:rPr>
                <w:rFonts w:hint="eastAsia" w:ascii="宋体" w:hAnsi="宋体"/>
                <w:color w:val="auto"/>
                <w:kern w:val="0"/>
                <w:sz w:val="18"/>
                <w:szCs w:val="18"/>
                <w:highlight w:val="none"/>
              </w:rPr>
              <w:t>无色透明液体,有刺激气味,其蒸气为催泪毒气</w:t>
            </w:r>
          </w:p>
        </w:tc>
        <w:tc>
          <w:tcPr>
            <w:tcW w:w="192" w:type="pct"/>
            <w:vAlign w:val="center"/>
          </w:tcPr>
          <w:p w14:paraId="38F03B9F">
            <w:pPr>
              <w:spacing w:line="200" w:lineRule="exact"/>
              <w:rPr>
                <w:rFonts w:hint="default" w:ascii="宋体" w:hAnsi="宋体" w:eastAsia="宋体"/>
                <w:color w:val="auto"/>
                <w:kern w:val="0"/>
                <w:sz w:val="18"/>
                <w:szCs w:val="18"/>
                <w:highlight w:val="none"/>
                <w:lang w:val="en-US" w:eastAsia="zh-CN"/>
              </w:rPr>
            </w:pPr>
            <w:r>
              <w:rPr>
                <w:rFonts w:hint="eastAsia" w:ascii="宋体" w:hAnsi="宋体"/>
                <w:color w:val="auto"/>
                <w:kern w:val="0"/>
                <w:sz w:val="18"/>
                <w:szCs w:val="18"/>
                <w:highlight w:val="none"/>
                <w:lang w:val="en-US" w:eastAsia="zh-CN"/>
              </w:rPr>
              <w:t>1.08</w:t>
            </w:r>
          </w:p>
        </w:tc>
        <w:tc>
          <w:tcPr>
            <w:tcW w:w="192" w:type="pct"/>
            <w:vAlign w:val="center"/>
          </w:tcPr>
          <w:p w14:paraId="15D05073">
            <w:pPr>
              <w:spacing w:line="200" w:lineRule="exact"/>
              <w:ind w:left="1" w:leftChars="-51" w:hanging="108" w:hangingChars="60"/>
              <w:jc w:val="center"/>
              <w:rPr>
                <w:rFonts w:hint="default" w:ascii="宋体" w:eastAsia="宋体"/>
                <w:bCs/>
                <w:color w:val="auto"/>
                <w:sz w:val="18"/>
                <w:szCs w:val="18"/>
                <w:highlight w:val="none"/>
                <w:lang w:val="en-US" w:eastAsia="zh-CN"/>
              </w:rPr>
            </w:pPr>
            <w:r>
              <w:rPr>
                <w:rFonts w:hint="eastAsia" w:ascii="宋体" w:hAnsi="宋体"/>
                <w:bCs/>
                <w:color w:val="auto"/>
                <w:sz w:val="18"/>
                <w:szCs w:val="18"/>
                <w:highlight w:val="none"/>
                <w:lang w:val="en-US" w:eastAsia="zh-CN"/>
              </w:rPr>
              <w:t>3.52</w:t>
            </w:r>
          </w:p>
        </w:tc>
        <w:tc>
          <w:tcPr>
            <w:tcW w:w="192" w:type="pct"/>
            <w:vAlign w:val="center"/>
          </w:tcPr>
          <w:p w14:paraId="4BE23B23">
            <w:pPr>
              <w:spacing w:line="200" w:lineRule="exact"/>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49</w:t>
            </w:r>
          </w:p>
        </w:tc>
        <w:tc>
          <w:tcPr>
            <w:tcW w:w="283" w:type="pct"/>
            <w:vAlign w:val="center"/>
          </w:tcPr>
          <w:p w14:paraId="5B0A8FA9">
            <w:pPr>
              <w:spacing w:line="200" w:lineRule="exact"/>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-73.1</w:t>
            </w:r>
          </w:p>
        </w:tc>
        <w:tc>
          <w:tcPr>
            <w:tcW w:w="293" w:type="pct"/>
            <w:vAlign w:val="center"/>
          </w:tcPr>
          <w:p w14:paraId="497B1DF8">
            <w:pPr>
              <w:spacing w:line="200" w:lineRule="exact"/>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140</w:t>
            </w:r>
          </w:p>
        </w:tc>
        <w:tc>
          <w:tcPr>
            <w:tcW w:w="280" w:type="pct"/>
            <w:vAlign w:val="center"/>
          </w:tcPr>
          <w:p w14:paraId="353EAE8B">
            <w:pPr>
              <w:spacing w:line="200" w:lineRule="exact"/>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326</w:t>
            </w:r>
          </w:p>
        </w:tc>
        <w:tc>
          <w:tcPr>
            <w:tcW w:w="256" w:type="pct"/>
            <w:vAlign w:val="center"/>
          </w:tcPr>
          <w:p w14:paraId="0D224F5D">
            <w:pPr>
              <w:spacing w:line="200" w:lineRule="exact"/>
              <w:jc w:val="center"/>
              <w:rPr>
                <w:rFonts w:ascii="宋体"/>
                <w:bCs/>
                <w:color w:val="auto"/>
                <w:sz w:val="18"/>
                <w:szCs w:val="18"/>
                <w:highlight w:val="none"/>
              </w:rPr>
            </w:pPr>
            <w:r>
              <w:rPr>
                <w:rFonts w:hint="eastAsia" w:ascii="宋体" w:hAnsi="宋体"/>
                <w:bCs/>
                <w:color w:val="auto"/>
                <w:sz w:val="18"/>
                <w:szCs w:val="18"/>
                <w:highlight w:val="none"/>
              </w:rPr>
              <w:t>乙类</w:t>
            </w:r>
          </w:p>
        </w:tc>
        <w:tc>
          <w:tcPr>
            <w:tcW w:w="254" w:type="pct"/>
            <w:vAlign w:val="center"/>
          </w:tcPr>
          <w:p w14:paraId="7B1961FF">
            <w:pPr>
              <w:spacing w:line="200" w:lineRule="exact"/>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2.7-10.3</w:t>
            </w:r>
          </w:p>
        </w:tc>
        <w:tc>
          <w:tcPr>
            <w:tcW w:w="320" w:type="pct"/>
            <w:vAlign w:val="center"/>
          </w:tcPr>
          <w:p w14:paraId="653DE2A3">
            <w:pPr>
              <w:spacing w:line="200" w:lineRule="exact"/>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1780</w:t>
            </w:r>
          </w:p>
        </w:tc>
        <w:tc>
          <w:tcPr>
            <w:tcW w:w="192" w:type="pct"/>
            <w:vAlign w:val="center"/>
          </w:tcPr>
          <w:p w14:paraId="64A2731F">
            <w:pPr>
              <w:spacing w:line="200" w:lineRule="exact"/>
              <w:ind w:right="-55" w:rightChars="-26"/>
              <w:jc w:val="center"/>
              <w:rPr>
                <w:rFonts w:ascii="宋体"/>
                <w:bCs/>
                <w:color w:val="auto"/>
                <w:sz w:val="18"/>
                <w:szCs w:val="18"/>
                <w:highlight w:val="none"/>
              </w:rPr>
            </w:pPr>
            <w:r>
              <w:rPr>
                <w:rFonts w:hint="eastAsia" w:ascii="宋体" w:hAnsi="宋体"/>
                <w:bCs/>
                <w:color w:val="auto"/>
                <w:sz w:val="18"/>
                <w:szCs w:val="18"/>
                <w:highlight w:val="none"/>
                <w:lang w:val="en-US" w:eastAsia="zh-CN"/>
              </w:rPr>
              <w:t>中度</w:t>
            </w:r>
            <w:r>
              <w:rPr>
                <w:rFonts w:hint="eastAsia" w:ascii="宋体" w:hAnsi="宋体"/>
                <w:bCs/>
                <w:color w:val="auto"/>
                <w:sz w:val="18"/>
                <w:szCs w:val="18"/>
                <w:highlight w:val="none"/>
              </w:rPr>
              <w:t>危害</w:t>
            </w:r>
          </w:p>
        </w:tc>
        <w:tc>
          <w:tcPr>
            <w:tcW w:w="1516" w:type="pct"/>
            <w:vAlign w:val="center"/>
          </w:tcPr>
          <w:p w14:paraId="69F5E008">
            <w:pPr>
              <w:spacing w:line="200" w:lineRule="exact"/>
              <w:rPr>
                <w:rFonts w:hint="eastAsia" w:ascii="宋体" w:hAnsi="宋体"/>
                <w:color w:val="auto"/>
                <w:kern w:val="0"/>
                <w:sz w:val="18"/>
                <w:szCs w:val="18"/>
                <w:highlight w:val="none"/>
                <w:lang w:eastAsia="zh-CN"/>
              </w:rPr>
            </w:pPr>
            <w:r>
              <w:rPr>
                <w:rFonts w:hint="eastAsia" w:ascii="宋体" w:hAnsi="宋体"/>
                <w:color w:val="auto"/>
                <w:kern w:val="0"/>
                <w:sz w:val="18"/>
                <w:szCs w:val="18"/>
                <w:highlight w:val="none"/>
              </w:rPr>
              <w:t>吸入后对呼吸道有刺激作用,引起咳嗽、胸痛、呼吸困难。蒸气对眼有刺激性。眼和皮肤直接接触液体可致灼伤。口服灼伤口腔和消化道,出现腹痛、恶心、呕吐和休克等</w:t>
            </w:r>
            <w:r>
              <w:rPr>
                <w:rFonts w:hint="eastAsia" w:ascii="宋体" w:hAnsi="宋体"/>
                <w:color w:val="auto"/>
                <w:kern w:val="0"/>
                <w:sz w:val="18"/>
                <w:szCs w:val="18"/>
                <w:highlight w:val="none"/>
                <w:lang w:eastAsia="zh-CN"/>
              </w:rPr>
              <w:t>。</w:t>
            </w:r>
          </w:p>
          <w:p w14:paraId="74D3E780">
            <w:pPr>
              <w:spacing w:line="200" w:lineRule="exact"/>
              <w:rPr>
                <w:rFonts w:hint="eastAsia" w:ascii="宋体" w:hAnsi="宋体"/>
                <w:color w:val="auto"/>
                <w:kern w:val="0"/>
                <w:sz w:val="18"/>
                <w:szCs w:val="18"/>
                <w:highlight w:val="none"/>
              </w:rPr>
            </w:pPr>
            <w:r>
              <w:rPr>
                <w:rFonts w:hint="eastAsia" w:ascii="宋体" w:hAnsi="宋体"/>
                <w:color w:val="auto"/>
                <w:kern w:val="0"/>
                <w:sz w:val="18"/>
                <w:szCs w:val="18"/>
                <w:highlight w:val="none"/>
              </w:rPr>
              <w:t>慢性影响 受本品蒸气慢性作用的工人,可有结膜</w:t>
            </w:r>
          </w:p>
          <w:p w14:paraId="4953E541">
            <w:pPr>
              <w:spacing w:line="200" w:lineRule="exact"/>
              <w:rPr>
                <w:rFonts w:hint="eastAsia" w:ascii="宋体" w:hAnsi="宋体"/>
                <w:color w:val="auto"/>
                <w:kern w:val="0"/>
                <w:sz w:val="18"/>
                <w:szCs w:val="18"/>
                <w:highlight w:val="none"/>
                <w:lang w:eastAsia="zh-CN"/>
              </w:rPr>
            </w:pPr>
            <w:r>
              <w:rPr>
                <w:rFonts w:hint="eastAsia" w:ascii="宋体" w:hAnsi="宋体"/>
                <w:color w:val="auto"/>
                <w:kern w:val="0"/>
                <w:sz w:val="18"/>
                <w:szCs w:val="18"/>
                <w:highlight w:val="none"/>
              </w:rPr>
              <w:t>炎、畏光、上呼吸道刺激等</w:t>
            </w:r>
            <w:r>
              <w:rPr>
                <w:rFonts w:hint="eastAsia" w:ascii="宋体" w:hAnsi="宋体"/>
                <w:color w:val="auto"/>
                <w:kern w:val="0"/>
                <w:sz w:val="18"/>
                <w:szCs w:val="18"/>
                <w:highlight w:val="none"/>
                <w:lang w:eastAsia="zh-CN"/>
              </w:rPr>
              <w:t>。</w:t>
            </w:r>
          </w:p>
        </w:tc>
      </w:tr>
      <w:tr w14:paraId="0AEB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92" w:type="pct"/>
            <w:vAlign w:val="center"/>
          </w:tcPr>
          <w:p w14:paraId="16E1469B">
            <w:pPr>
              <w:spacing w:line="200" w:lineRule="exact"/>
              <w:jc w:val="center"/>
              <w:rPr>
                <w:rFonts w:ascii="宋体"/>
                <w:bCs/>
                <w:color w:val="auto"/>
                <w:sz w:val="18"/>
                <w:szCs w:val="18"/>
                <w:highlight w:val="none"/>
              </w:rPr>
            </w:pPr>
            <w:r>
              <w:rPr>
                <w:rFonts w:ascii="宋体" w:hAnsi="宋体"/>
                <w:bCs/>
                <w:color w:val="auto"/>
                <w:sz w:val="18"/>
                <w:szCs w:val="18"/>
                <w:highlight w:val="none"/>
              </w:rPr>
              <w:t>2</w:t>
            </w:r>
          </w:p>
        </w:tc>
        <w:tc>
          <w:tcPr>
            <w:tcW w:w="384" w:type="pct"/>
            <w:vAlign w:val="center"/>
          </w:tcPr>
          <w:p w14:paraId="37CBADF6">
            <w:pPr>
              <w:spacing w:line="200" w:lineRule="exact"/>
              <w:rPr>
                <w:rFonts w:hint="eastAsia" w:ascii="宋体" w:hAnsi="宋体"/>
                <w:color w:val="auto"/>
                <w:kern w:val="0"/>
                <w:sz w:val="18"/>
                <w:szCs w:val="18"/>
                <w:highlight w:val="none"/>
                <w:lang w:val="en-US" w:eastAsia="zh-CN"/>
              </w:rPr>
            </w:pPr>
            <w:r>
              <w:rPr>
                <w:rFonts w:hint="eastAsia" w:ascii="宋体" w:hAnsi="宋体"/>
                <w:color w:val="auto"/>
                <w:kern w:val="0"/>
                <w:sz w:val="18"/>
                <w:szCs w:val="18"/>
                <w:highlight w:val="none"/>
                <w:lang w:val="en-US" w:eastAsia="zh-CN"/>
              </w:rPr>
              <w:t>盐酸</w:t>
            </w:r>
          </w:p>
          <w:p w14:paraId="368195A8">
            <w:pPr>
              <w:spacing w:line="200" w:lineRule="exact"/>
              <w:rPr>
                <w:rFonts w:hint="default" w:ascii="宋体" w:hAnsi="宋体"/>
                <w:color w:val="auto"/>
                <w:kern w:val="0"/>
                <w:sz w:val="18"/>
                <w:szCs w:val="18"/>
                <w:highlight w:val="none"/>
                <w:lang w:val="en-US" w:eastAsia="zh-CN"/>
              </w:rPr>
            </w:pPr>
            <w:r>
              <w:rPr>
                <w:rFonts w:hint="eastAsia" w:ascii="宋体" w:hAnsi="宋体"/>
                <w:color w:val="auto"/>
                <w:kern w:val="0"/>
                <w:sz w:val="18"/>
                <w:szCs w:val="18"/>
                <w:highlight w:val="none"/>
              </w:rPr>
              <w:t>1</w:t>
            </w:r>
            <w:r>
              <w:rPr>
                <w:rFonts w:hint="eastAsia" w:ascii="宋体" w:hAnsi="宋体"/>
                <w:color w:val="auto"/>
                <w:kern w:val="0"/>
                <w:sz w:val="18"/>
                <w:szCs w:val="18"/>
                <w:highlight w:val="none"/>
                <w:lang w:val="en-US" w:eastAsia="zh-CN"/>
              </w:rPr>
              <w:t>789</w:t>
            </w:r>
          </w:p>
          <w:p w14:paraId="45423BD9">
            <w:pPr>
              <w:spacing w:line="200" w:lineRule="exact"/>
              <w:rPr>
                <w:rFonts w:hint="eastAsia" w:ascii="宋体" w:hAnsi="宋体"/>
                <w:color w:val="auto"/>
                <w:kern w:val="0"/>
                <w:sz w:val="18"/>
                <w:szCs w:val="18"/>
                <w:highlight w:val="none"/>
              </w:rPr>
            </w:pPr>
            <w:r>
              <w:rPr>
                <w:rFonts w:hint="eastAsia" w:ascii="宋体" w:hAnsi="宋体"/>
                <w:color w:val="auto"/>
                <w:kern w:val="0"/>
                <w:sz w:val="18"/>
                <w:szCs w:val="18"/>
                <w:highlight w:val="none"/>
              </w:rPr>
              <w:t>7647-01-0</w:t>
            </w:r>
          </w:p>
        </w:tc>
        <w:tc>
          <w:tcPr>
            <w:tcW w:w="448" w:type="pct"/>
            <w:vAlign w:val="center"/>
          </w:tcPr>
          <w:p w14:paraId="595B2590">
            <w:pPr>
              <w:spacing w:line="200" w:lineRule="exact"/>
              <w:rPr>
                <w:rFonts w:hint="eastAsia" w:ascii="宋体" w:hAnsi="宋体"/>
                <w:color w:val="auto"/>
                <w:kern w:val="0"/>
                <w:sz w:val="18"/>
                <w:szCs w:val="18"/>
                <w:highlight w:val="none"/>
              </w:rPr>
            </w:pPr>
            <w:r>
              <w:rPr>
                <w:rFonts w:hint="eastAsia" w:ascii="宋体" w:hAnsi="宋体"/>
                <w:color w:val="auto"/>
                <w:kern w:val="0"/>
                <w:sz w:val="18"/>
                <w:szCs w:val="18"/>
                <w:highlight w:val="none"/>
              </w:rPr>
              <w:t>无色或微黄色发烟液体,有刺鼻的酸味</w:t>
            </w:r>
          </w:p>
        </w:tc>
        <w:tc>
          <w:tcPr>
            <w:tcW w:w="192" w:type="pct"/>
            <w:vAlign w:val="center"/>
          </w:tcPr>
          <w:p w14:paraId="4D8D010A">
            <w:pPr>
              <w:spacing w:line="200" w:lineRule="exact"/>
              <w:ind w:right="-55" w:rightChars="-26"/>
              <w:jc w:val="center"/>
              <w:rPr>
                <w:rFonts w:hint="default" w:ascii="宋体" w:eastAsia="宋体"/>
                <w:bCs/>
                <w:color w:val="auto"/>
                <w:sz w:val="18"/>
                <w:szCs w:val="18"/>
                <w:highlight w:val="none"/>
                <w:lang w:val="en-US" w:eastAsia="zh-CN"/>
              </w:rPr>
            </w:pPr>
            <w:r>
              <w:rPr>
                <w:rFonts w:hint="eastAsia" w:ascii="宋体" w:hAnsi="宋体"/>
                <w:bCs/>
                <w:color w:val="auto"/>
                <w:sz w:val="18"/>
                <w:szCs w:val="18"/>
                <w:highlight w:val="none"/>
                <w:lang w:val="en-US" w:eastAsia="zh-CN"/>
              </w:rPr>
              <w:t>1.1</w:t>
            </w:r>
          </w:p>
        </w:tc>
        <w:tc>
          <w:tcPr>
            <w:tcW w:w="192" w:type="pct"/>
            <w:vAlign w:val="center"/>
          </w:tcPr>
          <w:p w14:paraId="5564E065">
            <w:pPr>
              <w:spacing w:line="200" w:lineRule="exact"/>
              <w:ind w:right="-55" w:rightChars="-26"/>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1.26</w:t>
            </w:r>
          </w:p>
        </w:tc>
        <w:tc>
          <w:tcPr>
            <w:tcW w:w="192" w:type="pct"/>
            <w:vAlign w:val="center"/>
          </w:tcPr>
          <w:p w14:paraId="44D47384">
            <w:pPr>
              <w:spacing w:line="200" w:lineRule="exact"/>
              <w:ind w:right="-55" w:rightChars="-26"/>
              <w:jc w:val="center"/>
              <w:rPr>
                <w:rFonts w:hint="eastAsia" w:ascii="宋体" w:eastAsia="宋体"/>
                <w:bCs/>
                <w:color w:val="auto"/>
                <w:sz w:val="18"/>
                <w:szCs w:val="18"/>
                <w:highlight w:val="none"/>
                <w:lang w:val="en-US" w:eastAsia="zh-CN"/>
              </w:rPr>
            </w:pPr>
            <w:r>
              <w:rPr>
                <w:rFonts w:hint="eastAsia" w:ascii="宋体"/>
                <w:bCs/>
                <w:color w:val="auto"/>
                <w:sz w:val="18"/>
                <w:szCs w:val="18"/>
                <w:highlight w:val="none"/>
                <w:lang w:val="en-US" w:eastAsia="zh-CN"/>
              </w:rPr>
              <w:t>/</w:t>
            </w:r>
          </w:p>
        </w:tc>
        <w:tc>
          <w:tcPr>
            <w:tcW w:w="283" w:type="pct"/>
            <w:vAlign w:val="center"/>
          </w:tcPr>
          <w:p w14:paraId="21A973C0">
            <w:pPr>
              <w:spacing w:line="200" w:lineRule="exact"/>
              <w:ind w:right="-55" w:rightChars="-26"/>
              <w:jc w:val="center"/>
              <w:rPr>
                <w:rFonts w:hint="default" w:ascii="宋体" w:eastAsia="宋体"/>
                <w:bCs/>
                <w:color w:val="auto"/>
                <w:sz w:val="18"/>
                <w:szCs w:val="18"/>
                <w:highlight w:val="none"/>
                <w:lang w:val="en-US" w:eastAsia="zh-CN"/>
              </w:rPr>
            </w:pPr>
            <w:r>
              <w:rPr>
                <w:rFonts w:hint="eastAsia" w:ascii="宋体" w:hAnsi="宋体"/>
                <w:bCs/>
                <w:color w:val="auto"/>
                <w:sz w:val="18"/>
                <w:szCs w:val="18"/>
                <w:highlight w:val="none"/>
                <w:lang w:val="en-US" w:eastAsia="zh-CN"/>
              </w:rPr>
              <w:t>-114.8</w:t>
            </w:r>
          </w:p>
        </w:tc>
        <w:tc>
          <w:tcPr>
            <w:tcW w:w="293" w:type="pct"/>
            <w:vAlign w:val="center"/>
          </w:tcPr>
          <w:p w14:paraId="55930F38">
            <w:pPr>
              <w:spacing w:line="200" w:lineRule="exact"/>
              <w:ind w:right="-55" w:rightChars="-26"/>
              <w:jc w:val="center"/>
              <w:rPr>
                <w:rFonts w:hint="default" w:ascii="宋体" w:eastAsia="宋体"/>
                <w:bCs/>
                <w:color w:val="auto"/>
                <w:sz w:val="18"/>
                <w:szCs w:val="18"/>
                <w:highlight w:val="none"/>
                <w:lang w:val="en-US" w:eastAsia="zh-CN"/>
              </w:rPr>
            </w:pPr>
            <w:r>
              <w:rPr>
                <w:rFonts w:ascii="宋体" w:hAnsi="宋体"/>
                <w:bCs/>
                <w:color w:val="auto"/>
                <w:sz w:val="18"/>
                <w:szCs w:val="18"/>
                <w:highlight w:val="none"/>
              </w:rPr>
              <w:t>1</w:t>
            </w:r>
            <w:r>
              <w:rPr>
                <w:rFonts w:hint="eastAsia" w:ascii="宋体" w:hAnsi="宋体"/>
                <w:bCs/>
                <w:color w:val="auto"/>
                <w:sz w:val="18"/>
                <w:szCs w:val="18"/>
                <w:highlight w:val="none"/>
                <w:lang w:val="en-US" w:eastAsia="zh-CN"/>
              </w:rPr>
              <w:t>08.6</w:t>
            </w:r>
          </w:p>
        </w:tc>
        <w:tc>
          <w:tcPr>
            <w:tcW w:w="280" w:type="pct"/>
            <w:vAlign w:val="center"/>
          </w:tcPr>
          <w:p w14:paraId="6AB303CF">
            <w:pPr>
              <w:spacing w:line="200" w:lineRule="exact"/>
              <w:ind w:right="-55" w:rightChars="-26"/>
              <w:jc w:val="center"/>
              <w:rPr>
                <w:rFonts w:hint="eastAsia" w:ascii="宋体" w:eastAsia="宋体"/>
                <w:bCs/>
                <w:color w:val="auto"/>
                <w:sz w:val="18"/>
                <w:szCs w:val="18"/>
                <w:highlight w:val="none"/>
                <w:lang w:val="en-US" w:eastAsia="zh-CN"/>
              </w:rPr>
            </w:pPr>
            <w:r>
              <w:rPr>
                <w:rFonts w:hint="eastAsia" w:ascii="宋体"/>
                <w:bCs/>
                <w:color w:val="auto"/>
                <w:sz w:val="18"/>
                <w:szCs w:val="18"/>
                <w:highlight w:val="none"/>
                <w:lang w:val="en-US" w:eastAsia="zh-CN"/>
              </w:rPr>
              <w:t>/</w:t>
            </w:r>
          </w:p>
        </w:tc>
        <w:tc>
          <w:tcPr>
            <w:tcW w:w="256" w:type="pct"/>
            <w:vAlign w:val="center"/>
          </w:tcPr>
          <w:p w14:paraId="6FAC8909">
            <w:pPr>
              <w:spacing w:line="200" w:lineRule="exact"/>
              <w:ind w:right="-55" w:rightChars="-26"/>
              <w:jc w:val="center"/>
              <w:rPr>
                <w:rFonts w:ascii="宋体"/>
                <w:bCs/>
                <w:color w:val="auto"/>
                <w:sz w:val="18"/>
                <w:szCs w:val="18"/>
                <w:highlight w:val="none"/>
              </w:rPr>
            </w:pPr>
            <w:r>
              <w:rPr>
                <w:rFonts w:hint="eastAsia" w:ascii="宋体" w:hAnsi="宋体"/>
                <w:bCs/>
                <w:color w:val="auto"/>
                <w:sz w:val="18"/>
                <w:szCs w:val="18"/>
                <w:highlight w:val="none"/>
                <w:lang w:val="en-US" w:eastAsia="zh-CN"/>
              </w:rPr>
              <w:t>丁</w:t>
            </w:r>
            <w:r>
              <w:rPr>
                <w:rFonts w:hint="eastAsia" w:ascii="宋体" w:hAnsi="宋体"/>
                <w:bCs/>
                <w:color w:val="auto"/>
                <w:sz w:val="18"/>
                <w:szCs w:val="18"/>
                <w:highlight w:val="none"/>
              </w:rPr>
              <w:t>类</w:t>
            </w:r>
          </w:p>
        </w:tc>
        <w:tc>
          <w:tcPr>
            <w:tcW w:w="254" w:type="pct"/>
            <w:vAlign w:val="center"/>
          </w:tcPr>
          <w:p w14:paraId="207A339C">
            <w:pPr>
              <w:spacing w:line="200" w:lineRule="exact"/>
              <w:ind w:right="-55" w:rightChars="-26"/>
              <w:jc w:val="center"/>
              <w:rPr>
                <w:rFonts w:hint="eastAsia" w:ascii="宋体" w:eastAsia="宋体"/>
                <w:bCs/>
                <w:color w:val="auto"/>
                <w:sz w:val="18"/>
                <w:szCs w:val="18"/>
                <w:highlight w:val="none"/>
                <w:lang w:val="en-US" w:eastAsia="zh-CN"/>
              </w:rPr>
            </w:pPr>
            <w:r>
              <w:rPr>
                <w:rFonts w:hint="eastAsia" w:ascii="宋体"/>
                <w:bCs/>
                <w:color w:val="auto"/>
                <w:sz w:val="18"/>
                <w:szCs w:val="18"/>
                <w:highlight w:val="none"/>
                <w:lang w:val="en-US" w:eastAsia="zh-CN"/>
              </w:rPr>
              <w:t>/</w:t>
            </w:r>
          </w:p>
        </w:tc>
        <w:tc>
          <w:tcPr>
            <w:tcW w:w="320" w:type="pct"/>
            <w:vAlign w:val="center"/>
          </w:tcPr>
          <w:p w14:paraId="679531DB">
            <w:pPr>
              <w:spacing w:line="200" w:lineRule="exact"/>
              <w:ind w:right="-55" w:rightChars="-26"/>
              <w:jc w:val="center"/>
              <w:rPr>
                <w:rFonts w:hint="default" w:ascii="宋体" w:eastAsia="宋体"/>
                <w:bCs/>
                <w:color w:val="auto"/>
                <w:sz w:val="18"/>
                <w:szCs w:val="18"/>
                <w:highlight w:val="none"/>
                <w:lang w:val="en-US" w:eastAsia="zh-CN"/>
              </w:rPr>
            </w:pPr>
            <w:r>
              <w:rPr>
                <w:rFonts w:hint="eastAsia" w:ascii="宋体"/>
                <w:bCs/>
                <w:color w:val="auto"/>
                <w:sz w:val="18"/>
                <w:szCs w:val="18"/>
                <w:highlight w:val="none"/>
                <w:lang w:val="en-US" w:eastAsia="zh-CN"/>
              </w:rPr>
              <w:t>900</w:t>
            </w:r>
          </w:p>
        </w:tc>
        <w:tc>
          <w:tcPr>
            <w:tcW w:w="192" w:type="pct"/>
            <w:vAlign w:val="center"/>
          </w:tcPr>
          <w:p w14:paraId="6EF354A3">
            <w:pPr>
              <w:spacing w:line="200" w:lineRule="exact"/>
              <w:ind w:right="-55" w:rightChars="-26"/>
              <w:jc w:val="center"/>
              <w:rPr>
                <w:rFonts w:ascii="宋体"/>
                <w:color w:val="auto"/>
                <w:kern w:val="0"/>
                <w:sz w:val="18"/>
                <w:szCs w:val="18"/>
                <w:highlight w:val="none"/>
              </w:rPr>
            </w:pPr>
            <w:r>
              <w:rPr>
                <w:rFonts w:hint="eastAsia" w:ascii="宋体" w:hAnsi="宋体"/>
                <w:color w:val="auto"/>
                <w:kern w:val="0"/>
                <w:sz w:val="18"/>
                <w:szCs w:val="18"/>
                <w:highlight w:val="none"/>
                <w:lang w:val="en-US" w:eastAsia="zh-CN"/>
              </w:rPr>
              <w:t>高度</w:t>
            </w:r>
            <w:r>
              <w:rPr>
                <w:rFonts w:hint="eastAsia" w:ascii="宋体" w:hAnsi="宋体"/>
                <w:color w:val="auto"/>
                <w:kern w:val="0"/>
                <w:sz w:val="18"/>
                <w:szCs w:val="18"/>
                <w:highlight w:val="none"/>
              </w:rPr>
              <w:t>危害</w:t>
            </w:r>
          </w:p>
        </w:tc>
        <w:tc>
          <w:tcPr>
            <w:tcW w:w="1516" w:type="pct"/>
            <w:vAlign w:val="center"/>
          </w:tcPr>
          <w:p w14:paraId="2FE14100">
            <w:pPr>
              <w:spacing w:line="200" w:lineRule="exact"/>
              <w:rPr>
                <w:rFonts w:hint="eastAsia" w:ascii="宋体" w:hAnsi="宋体" w:eastAsia="宋体"/>
                <w:color w:val="auto"/>
                <w:kern w:val="0"/>
                <w:sz w:val="18"/>
                <w:szCs w:val="18"/>
                <w:highlight w:val="none"/>
                <w:lang w:eastAsia="zh-CN"/>
              </w:rPr>
            </w:pPr>
            <w:r>
              <w:rPr>
                <w:rFonts w:hint="eastAsia" w:ascii="宋体" w:hAnsi="宋体"/>
                <w:color w:val="auto"/>
                <w:kern w:val="0"/>
                <w:sz w:val="18"/>
                <w:szCs w:val="18"/>
                <w:highlight w:val="none"/>
              </w:rPr>
              <w:t>接触其蒸气或雾,可引起急性中毒,出现眼结膜炎,鼻及口腔黏膜有烧灼感,鼻衄,齿龈出血,气管炎等。误服可引起消化道灼伤、溃疡形成,有可能引起胃穿孔、腹膜炎等。眼和皮肤接触可致灼伤</w:t>
            </w:r>
            <w:r>
              <w:rPr>
                <w:rFonts w:hint="eastAsia" w:ascii="宋体" w:hAnsi="宋体"/>
                <w:color w:val="auto"/>
                <w:kern w:val="0"/>
                <w:sz w:val="18"/>
                <w:szCs w:val="18"/>
                <w:highlight w:val="none"/>
                <w:lang w:eastAsia="zh-CN"/>
              </w:rPr>
              <w:t>。</w:t>
            </w:r>
          </w:p>
          <w:p w14:paraId="2D224DC8">
            <w:pPr>
              <w:spacing w:line="200" w:lineRule="exact"/>
              <w:rPr>
                <w:rFonts w:hint="eastAsia" w:ascii="宋体" w:hAnsi="宋体"/>
                <w:color w:val="auto"/>
                <w:kern w:val="0"/>
                <w:sz w:val="18"/>
                <w:szCs w:val="18"/>
                <w:highlight w:val="none"/>
              </w:rPr>
            </w:pPr>
            <w:r>
              <w:rPr>
                <w:rFonts w:hint="eastAsia" w:ascii="宋体" w:hAnsi="宋体"/>
                <w:color w:val="auto"/>
                <w:kern w:val="0"/>
                <w:sz w:val="18"/>
                <w:szCs w:val="18"/>
                <w:highlight w:val="none"/>
              </w:rPr>
              <w:t>慢性影响 长期接触,引起慢性鼻炎、慢性支气管</w:t>
            </w:r>
          </w:p>
          <w:p w14:paraId="3CBD256A">
            <w:pPr>
              <w:spacing w:line="200" w:lineRule="exact"/>
              <w:rPr>
                <w:rFonts w:hint="eastAsia" w:ascii="宋体" w:hAnsi="宋体"/>
                <w:color w:val="auto"/>
                <w:kern w:val="0"/>
                <w:sz w:val="18"/>
                <w:szCs w:val="18"/>
                <w:highlight w:val="none"/>
              </w:rPr>
            </w:pPr>
            <w:r>
              <w:rPr>
                <w:rFonts w:hint="eastAsia" w:ascii="宋体" w:hAnsi="宋体"/>
                <w:color w:val="auto"/>
                <w:kern w:val="0"/>
                <w:sz w:val="18"/>
                <w:szCs w:val="18"/>
                <w:highlight w:val="none"/>
              </w:rPr>
              <w:t>炎、牙齿酸蚀症及皮肤损害</w:t>
            </w:r>
          </w:p>
        </w:tc>
      </w:tr>
    </w:tbl>
    <w:p w14:paraId="69B50BDE">
      <w:pPr>
        <w:pStyle w:val="20"/>
        <w:ind w:firstLine="31680"/>
        <w:rPr>
          <w:color w:val="auto"/>
          <w:highlight w:val="none"/>
        </w:rPr>
        <w:sectPr>
          <w:pgSz w:w="16838" w:h="11906" w:orient="landscape"/>
          <w:pgMar w:top="1800" w:right="1440" w:bottom="1800" w:left="1440" w:header="851" w:footer="992" w:gutter="0"/>
          <w:pgNumType w:fmt="decimal"/>
          <w:cols w:space="425" w:num="1"/>
          <w:docGrid w:type="lines" w:linePitch="312" w:charSpace="0"/>
        </w:sectPr>
      </w:pPr>
    </w:p>
    <w:p w14:paraId="6AA6492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pPr>
      <w:bookmarkStart w:id="1066" w:name="_Toc24876"/>
      <w:bookmarkStart w:id="1067" w:name="_Toc19427"/>
      <w:bookmarkStart w:id="1068" w:name="_Toc503433310"/>
      <w:bookmarkStart w:id="1069" w:name="_Toc32161"/>
      <w:bookmarkStart w:id="1070" w:name="_Toc2540"/>
      <w:bookmarkStart w:id="1071" w:name="_Toc7676"/>
      <w:bookmarkStart w:id="1072" w:name="_Toc12970"/>
      <w:bookmarkStart w:id="1073" w:name="_Toc6219"/>
      <w:bookmarkStart w:id="1074" w:name="_Toc9239"/>
      <w:bookmarkStart w:id="1075" w:name="_Toc20596"/>
      <w:bookmarkStart w:id="1076" w:name="_Toc7825"/>
      <w:bookmarkStart w:id="1077" w:name="_Toc23947"/>
      <w:bookmarkStart w:id="1078" w:name="_Toc9773"/>
      <w:bookmarkStart w:id="1079" w:name="_Toc17709"/>
      <w:bookmarkStart w:id="1080" w:name="_Toc14056"/>
      <w:bookmarkStart w:id="1081" w:name="_Toc8550"/>
      <w:bookmarkStart w:id="1082" w:name="_Toc13716"/>
      <w:bookmarkStart w:id="1083" w:name="_Toc5633"/>
      <w:bookmarkStart w:id="1084" w:name="_Toc21455"/>
      <w:bookmarkStart w:id="1085" w:name="_Toc18566"/>
      <w:bookmarkStart w:id="1086" w:name="_Toc20206"/>
      <w:r>
        <w:rPr>
          <w:rFonts w:hint="eastAsia" w:ascii="宋体" w:hAnsi="宋体" w:cs="宋体"/>
          <w:bCs/>
          <w:color w:val="auto"/>
          <w:sz w:val="28"/>
          <w:szCs w:val="28"/>
          <w:highlight w:val="none"/>
          <w:lang w:val="en-US" w:eastAsia="zh-CN"/>
        </w:rPr>
        <w:t>11.4 劳动安全卫生主要措施</w:t>
      </w:r>
      <w:bookmarkEnd w:id="1066"/>
      <w:bookmarkEnd w:id="1067"/>
      <w:bookmarkEnd w:id="1068"/>
      <w:bookmarkEnd w:id="1069"/>
      <w:bookmarkEnd w:id="1070"/>
      <w:bookmarkEnd w:id="1071"/>
      <w:bookmarkEnd w:id="1072"/>
    </w:p>
    <w:p w14:paraId="6C3EBF4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87" w:name="_Toc3424"/>
      <w:r>
        <w:rPr>
          <w:rFonts w:hint="eastAsia" w:ascii="宋体" w:hAnsi="宋体" w:cs="宋体"/>
          <w:bCs/>
          <w:color w:val="auto"/>
          <w:sz w:val="28"/>
          <w:szCs w:val="28"/>
          <w:highlight w:val="none"/>
          <w:lang w:val="en-US" w:eastAsia="zh-CN"/>
        </w:rPr>
        <w:t>11.4.1设计原则</w:t>
      </w:r>
      <w:bookmarkEnd w:id="1087"/>
    </w:p>
    <w:p w14:paraId="04EA918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本设计贯彻“安全第一，预防为主”的方针，安全卫生设施必须执行与主体工程同时设计、同时施工、同时投产的“三同时”制度，以保证企业生产安全，保证人民生命财产的安全。</w:t>
      </w:r>
    </w:p>
    <w:p w14:paraId="1EF4DAE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本设计充分依靠江苏索普新材料科技有限公司的组织管理机构和设施。</w:t>
      </w:r>
    </w:p>
    <w:p w14:paraId="3EC084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bookmarkStart w:id="1088" w:name="_Toc2508"/>
      <w:r>
        <w:rPr>
          <w:rFonts w:hint="eastAsia" w:ascii="宋体" w:hAnsi="宋体" w:cs="宋体"/>
          <w:bCs/>
          <w:color w:val="auto"/>
          <w:sz w:val="28"/>
          <w:szCs w:val="28"/>
          <w:highlight w:val="none"/>
          <w:lang w:val="en-US" w:eastAsia="zh-CN"/>
        </w:rPr>
        <w:t>11.4.2安全措施</w:t>
      </w:r>
      <w:bookmarkEnd w:id="1088"/>
    </w:p>
    <w:p w14:paraId="164DE18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（1）总图</w:t>
      </w:r>
    </w:p>
    <w:p w14:paraId="16DBFA1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1）总平面布置图严格执行《建筑设计防火规范》【2018版】（GB50016-2014）、《石油化工防火设计规范》【2018版】（GB50160-2008）。工厂或设施的间距符合有关规范要求。</w:t>
      </w:r>
    </w:p>
    <w:p w14:paraId="72550B9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2）厂区平面布置图中生产装置、厂房及原料、成品仓库与其它建筑物之间满足防火间距的要求，并设置足够的消防器材、火灾报警系统、毒害气体检测报警系统、高压消防水系统，以达到防火灭火的要求。</w:t>
      </w:r>
    </w:p>
    <w:p w14:paraId="46B3CC5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3）采用架空电力线路进出厂区的总变电站，布置在厂区的边缘，居甲类生产厂房或者库区的距离不小于25米。</w:t>
      </w:r>
    </w:p>
    <w:p w14:paraId="6B15FE6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4）按照办公生活区与生产区域分开的原则，办公生活区与生产区域的间距符合安全要求，采用了绿化带进一步降低有害物质的影响。生产区域未设置职工宿舍等生活设施，无生产用房、仓库、职工宿舍“三合一”的现象。</w:t>
      </w:r>
    </w:p>
    <w:p w14:paraId="2B81F5D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5）道路布置满足《建筑设计防火规范》的要求，做到人货分流，运输车辆不允许进入主要生产区域：消防道路的净宽和净空高度均不小于5m。</w:t>
      </w:r>
    </w:p>
    <w:p w14:paraId="18803B6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（2）防火防爆措施</w:t>
      </w:r>
    </w:p>
    <w:p w14:paraId="78593C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本项目生产装置采用自动化控制，设有报警联锁和紧急切断装置等。</w:t>
      </w:r>
    </w:p>
    <w:p w14:paraId="5B15B46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本项目涉及易燃液体的场所设置可燃气体泄漏报警探头，报警信号送24小时有人值守的控制室。</w:t>
      </w:r>
    </w:p>
    <w:p w14:paraId="274ED4B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在爆炸区域范围内所有电气设备均采用防爆型。</w:t>
      </w:r>
    </w:p>
    <w:p w14:paraId="76B165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设备、管道进行静电接地和跨接，防止静电积聚。</w:t>
      </w:r>
    </w:p>
    <w:p w14:paraId="20AECED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根据火灾危险类别和工艺特点，设置手持式灭火器及推车式灭火器。</w:t>
      </w:r>
    </w:p>
    <w:p w14:paraId="40D239C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（3）防腐蚀、防高温措施</w:t>
      </w:r>
    </w:p>
    <w:p w14:paraId="517D114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高温设备、管线均采取保温措施，同时加强个体防护，防止发生高温灼伤。腐蚀性介质的设备、管道要用耐腐蚀材料。其它各装置根据工作环境特点配备各种必须的防护用具和用品。包括眼面防护用具、工业安全帽、工作帽、防护手套、防护鞋靴、防毒面具、耳塞、耳罩及护肤用品等。</w:t>
      </w:r>
    </w:p>
    <w:p w14:paraId="1FC29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（4）防雷、防静电措施</w:t>
      </w:r>
    </w:p>
    <w:p w14:paraId="49C646B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工艺装置区建筑物、构筑物的防雷分类及防雷措施，均按《建筑物防雷设计规范》（GB50057-2010）的要求进行设计。具有火灾爆炸危险的生产装置设防静电接地系统。所有金属外壳不带电的用电设备均需可靠接地。工作接地、安全接地、防雷接地、防静电接地公用接地网，并与全厂接地网相连。</w:t>
      </w:r>
    </w:p>
    <w:p w14:paraId="40ABC38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（5）机械伤害、高处坠落的防范措施</w:t>
      </w:r>
    </w:p>
    <w:p w14:paraId="2BB6E42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对高速旋转或往复运动的机械零件部件设计可靠的防护器、挡板或安全围栏。传运输设备、皮带输送线设计带有栏杆的安全走道，爬梯平台设有扶手和护围等。高空设备上的扶手和护栏，严格依据相关规范进行设计。</w:t>
      </w:r>
    </w:p>
    <w:p w14:paraId="07C1221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（6）噪声防治措施</w:t>
      </w:r>
    </w:p>
    <w:p w14:paraId="11880F5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防噪措施根据《工业企业设计卫生标准》、《工业企业噪声控制设计规范》等相关标准进行。在设备选型时首先选用低噪声设备，必要时采取消声、隔声、吸声、隔振或综合控制措施；管道设计与调节阀的选型做到防止振动和噪声，管道截面力求不突变；管道与强烈振动的设备连接处具有一定的柔性。</w:t>
      </w:r>
    </w:p>
    <w:p w14:paraId="390C424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在噪声源集中的厂房，设置隔声工作间；对噪声超标的放空口设置消声器。对出入高噪声区的人员必须配带耳塞或耳罩等防护用品。</w:t>
      </w:r>
    </w:p>
    <w:p w14:paraId="59DE491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（7）安全教育</w:t>
      </w:r>
    </w:p>
    <w:p w14:paraId="444BB3D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职工必须经过三级安全教育，并通过考试，考试合格后方可上岗。加强安全防范意识，掌握安全知识，提高员工的应对能力。</w:t>
      </w:r>
    </w:p>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14:paraId="0FCF87F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（8）其它安全措施</w:t>
      </w:r>
    </w:p>
    <w:p w14:paraId="2DA0EA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在有危险的场所设置相应的安全栏杆、网、盖板等防护措施，设置安全色、安全标志和事故照明。对设备、管道定期检修，保证生产设备的完好率，在生产过程中存在机械伤害、物体打击、高空坠落、触电等危险、有害因素。</w:t>
      </w:r>
    </w:p>
    <w:p w14:paraId="0F2EE56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（9）应急预案的制订和演练</w:t>
      </w:r>
    </w:p>
    <w:p w14:paraId="3CFDE7A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根据国家安监总局发布的事故应急预案编制导则（单位版）编制应急救援预案，配备应急救援器材，并经常演练，做到熟练掌握各种应急措施，通讯联络等各方面的知识和技能，建立应急反应体系，熟练处理突发事件，以使事故的损失减至最小。</w:t>
      </w:r>
    </w:p>
    <w:p w14:paraId="165D63A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（10）制订各种规章制度，严格保证生产活动中有章可循，确保安全、环保、职业卫生工作的正常进行。</w:t>
      </w:r>
    </w:p>
    <w:p w14:paraId="43A0CFC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pPr>
      <w:bookmarkStart w:id="1089" w:name="_Toc3854"/>
      <w:bookmarkStart w:id="1090" w:name="_Toc26425"/>
      <w:bookmarkStart w:id="1091" w:name="_Toc31761"/>
      <w:bookmarkStart w:id="1092" w:name="_Toc9866"/>
      <w:bookmarkStart w:id="1093" w:name="_Toc23742"/>
      <w:bookmarkStart w:id="1094" w:name="_Toc22595"/>
      <w:bookmarkStart w:id="1095" w:name="_Toc9396"/>
      <w:bookmarkStart w:id="1096" w:name="_Toc9345"/>
      <w:bookmarkStart w:id="1097" w:name="_Toc3647"/>
      <w:bookmarkStart w:id="1098" w:name="_Toc1482"/>
      <w:bookmarkStart w:id="1099" w:name="_Toc17154"/>
      <w:bookmarkStart w:id="1100" w:name="_Toc22307"/>
      <w:bookmarkStart w:id="1101" w:name="_Toc10944"/>
      <w:bookmarkStart w:id="1102" w:name="_Toc8612"/>
      <w:bookmarkStart w:id="1103" w:name="_Toc2095"/>
      <w:bookmarkStart w:id="1104" w:name="_Toc11303"/>
      <w:bookmarkStart w:id="1105" w:name="_Toc1444"/>
      <w:bookmarkStart w:id="1106" w:name="_Toc25345"/>
      <w:bookmarkStart w:id="1107" w:name="_Toc12193"/>
      <w:bookmarkStart w:id="1108" w:name="_Toc3755"/>
      <w:bookmarkStart w:id="1109" w:name="_Toc23655"/>
      <w:r>
        <w:rPr>
          <w:rFonts w:hint="eastAsia" w:ascii="宋体" w:hAnsi="宋体" w:cs="宋体"/>
          <w:bCs/>
          <w:color w:val="auto"/>
          <w:sz w:val="28"/>
          <w:szCs w:val="28"/>
          <w:highlight w:val="none"/>
          <w:lang w:val="en-US" w:eastAsia="zh-CN"/>
        </w:rPr>
        <w:t>11.5 职业卫生管理机构</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2D1867B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pPr>
      <w:r>
        <w:rPr>
          <w:rFonts w:hint="eastAsia" w:ascii="宋体" w:hAnsi="宋体" w:cs="宋体"/>
          <w:bCs/>
          <w:color w:val="auto"/>
          <w:sz w:val="28"/>
          <w:szCs w:val="28"/>
          <w:highlight w:val="none"/>
          <w:lang w:val="en-US" w:eastAsia="zh-CN"/>
        </w:rPr>
        <w:t>为保证本工程建设、生产安全运行，根据国家规定和本项目的实际情况，设置专门劳动安全卫生管理机构，配置相应专职安全管理员，负责本项目的安全职业卫生管理工作。</w:t>
      </w:r>
    </w:p>
    <w:p w14:paraId="046FB6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宋体" w:hAnsi="宋体" w:cs="宋体"/>
          <w:bCs/>
          <w:color w:val="auto"/>
          <w:sz w:val="28"/>
          <w:szCs w:val="28"/>
          <w:highlight w:val="none"/>
          <w:lang w:val="en-US" w:eastAsia="zh-CN"/>
        </w:rPr>
      </w:pPr>
      <w:bookmarkStart w:id="1110" w:name="_Toc20795"/>
      <w:bookmarkStart w:id="1111" w:name="_Toc21298"/>
      <w:bookmarkStart w:id="1112" w:name="_Toc7418"/>
      <w:bookmarkStart w:id="1113" w:name="_Toc26446"/>
      <w:bookmarkStart w:id="1114" w:name="_Toc29965"/>
      <w:bookmarkStart w:id="1115" w:name="_Toc24956"/>
      <w:bookmarkStart w:id="1116" w:name="_Toc5729"/>
      <w:bookmarkStart w:id="1117" w:name="_Toc20024"/>
      <w:bookmarkStart w:id="1118" w:name="_Toc19619"/>
      <w:bookmarkStart w:id="1119" w:name="_Toc13305"/>
      <w:bookmarkStart w:id="1120" w:name="_Toc12659"/>
      <w:bookmarkStart w:id="1121" w:name="_Toc8596"/>
      <w:bookmarkStart w:id="1122" w:name="_Toc22554"/>
      <w:bookmarkStart w:id="1123" w:name="_Toc11766"/>
      <w:bookmarkStart w:id="1124" w:name="_Toc21166"/>
      <w:bookmarkStart w:id="1125" w:name="_Toc32145"/>
      <w:bookmarkStart w:id="1126" w:name="_Toc18317"/>
      <w:bookmarkStart w:id="1127" w:name="_Toc1315"/>
      <w:bookmarkStart w:id="1128" w:name="_Toc241"/>
      <w:bookmarkStart w:id="1129" w:name="_Toc20440"/>
      <w:bookmarkStart w:id="1130" w:name="_Toc29254"/>
      <w:r>
        <w:rPr>
          <w:rFonts w:hint="eastAsia" w:ascii="宋体" w:hAnsi="宋体" w:cs="宋体"/>
          <w:bCs/>
          <w:color w:val="auto"/>
          <w:sz w:val="28"/>
          <w:szCs w:val="28"/>
          <w:highlight w:val="none"/>
          <w:lang w:val="en-US" w:eastAsia="zh-CN"/>
        </w:rPr>
        <w:t>11.6 预期效果及建议</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2A11328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cs="宋体"/>
          <w:bCs/>
          <w:color w:val="auto"/>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cs="宋体"/>
          <w:bCs/>
          <w:color w:val="auto"/>
          <w:sz w:val="28"/>
          <w:szCs w:val="28"/>
          <w:highlight w:val="none"/>
          <w:lang w:val="en-US" w:eastAsia="zh-CN"/>
        </w:rPr>
        <w:t xml:space="preserve">本项目设计采用可靠、先进的生产工艺和设备，各专业设计中严格执行有关规范中劳动安全和工业卫生的规定要求，对影响劳动和工业卫生的因素，均采用了切实可行的防范措施，预期在正常情况下能保证安全生产和达到工业企业设计卫生标准的要求。 </w:t>
      </w:r>
      <w:bookmarkStart w:id="1131" w:name="_Toc3261"/>
      <w:bookmarkStart w:id="1132" w:name="_Toc25621"/>
      <w:bookmarkStart w:id="1133" w:name="_Toc3474"/>
      <w:bookmarkStart w:id="1134" w:name="_Toc25358"/>
      <w:bookmarkStart w:id="1135" w:name="_Toc16973"/>
      <w:bookmarkStart w:id="1136" w:name="_Toc9993"/>
      <w:bookmarkStart w:id="1137" w:name="_Toc10534"/>
    </w:p>
    <w:bookmarkEnd w:id="1131"/>
    <w:bookmarkEnd w:id="1132"/>
    <w:bookmarkEnd w:id="1133"/>
    <w:bookmarkEnd w:id="1134"/>
    <w:bookmarkEnd w:id="1135"/>
    <w:bookmarkEnd w:id="1136"/>
    <w:bookmarkEnd w:id="1137"/>
    <w:p w14:paraId="4A180380">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1138" w:name="_Toc3625_WPSOffice_Level1"/>
      <w:bookmarkStart w:id="1139" w:name="_Toc27519"/>
      <w:bookmarkStart w:id="1140" w:name="_Toc28548"/>
      <w:bookmarkStart w:id="1141" w:name="_Toc29245_WPSOffice_Level1"/>
      <w:bookmarkStart w:id="1142" w:name="_Toc6395"/>
      <w:bookmarkStart w:id="1143" w:name="_Toc22067"/>
      <w:bookmarkStart w:id="1144" w:name="_Toc29406"/>
      <w:bookmarkStart w:id="1145" w:name="_Toc30410_WPSOffice_Level1"/>
      <w:bookmarkStart w:id="1146" w:name="_Toc12547"/>
      <w:bookmarkStart w:id="1147" w:name="_Toc4182_WPSOffice_Level1"/>
      <w:r>
        <w:rPr>
          <w:rFonts w:hint="eastAsia" w:ascii="宋体" w:hAnsi="宋体" w:eastAsia="宋体" w:cs="宋体"/>
          <w:b/>
          <w:bCs w:val="0"/>
          <w:color w:val="auto"/>
          <w:sz w:val="32"/>
          <w:szCs w:val="32"/>
          <w:highlight w:val="none"/>
          <w:lang w:val="zh-CN"/>
        </w:rPr>
        <w:t>第十</w:t>
      </w:r>
      <w:r>
        <w:rPr>
          <w:rFonts w:hint="eastAsia" w:ascii="宋体" w:hAnsi="宋体" w:eastAsia="宋体" w:cs="宋体"/>
          <w:b/>
          <w:bCs w:val="0"/>
          <w:color w:val="auto"/>
          <w:sz w:val="32"/>
          <w:szCs w:val="32"/>
          <w:highlight w:val="none"/>
          <w:lang w:val="en-US" w:eastAsia="zh-CN"/>
        </w:rPr>
        <w:t>二</w:t>
      </w:r>
      <w:r>
        <w:rPr>
          <w:rFonts w:hint="eastAsia" w:ascii="宋体" w:hAnsi="宋体" w:eastAsia="宋体" w:cs="宋体"/>
          <w:b/>
          <w:bCs w:val="0"/>
          <w:color w:val="auto"/>
          <w:sz w:val="32"/>
          <w:szCs w:val="32"/>
          <w:highlight w:val="none"/>
          <w:lang w:val="zh-CN"/>
        </w:rPr>
        <w:t>章 组织机构与人力资源配置</w:t>
      </w:r>
      <w:bookmarkEnd w:id="1138"/>
      <w:bookmarkEnd w:id="1139"/>
      <w:bookmarkEnd w:id="1140"/>
      <w:bookmarkEnd w:id="1141"/>
      <w:bookmarkEnd w:id="1142"/>
      <w:bookmarkEnd w:id="1143"/>
      <w:bookmarkEnd w:id="1144"/>
      <w:bookmarkEnd w:id="1145"/>
      <w:bookmarkEnd w:id="1146"/>
      <w:bookmarkEnd w:id="1147"/>
    </w:p>
    <w:p w14:paraId="515DFB90">
      <w:pPr>
        <w:pStyle w:val="21"/>
        <w:numPr>
          <w:ilvl w:val="0"/>
          <w:numId w:val="4"/>
        </w:numPr>
        <w:spacing w:line="560" w:lineRule="exact"/>
        <w:ind w:firstLineChars="0"/>
        <w:jc w:val="left"/>
        <w:outlineLvl w:val="1"/>
        <w:rPr>
          <w:rStyle w:val="26"/>
          <w:rFonts w:ascii="宋体" w:hAnsi="Calibri" w:eastAsia="宋体" w:cs="宋体"/>
          <w:bCs/>
          <w:vanish/>
          <w:color w:val="auto"/>
          <w:sz w:val="28"/>
          <w:szCs w:val="28"/>
          <w:highlight w:val="none"/>
        </w:rPr>
      </w:pPr>
      <w:bookmarkStart w:id="1148" w:name="_Toc493755210"/>
      <w:bookmarkEnd w:id="1148"/>
      <w:bookmarkStart w:id="1149" w:name="_Toc485131223"/>
      <w:bookmarkEnd w:id="1149"/>
      <w:bookmarkStart w:id="1150" w:name="_Toc472090962"/>
      <w:bookmarkEnd w:id="1150"/>
      <w:bookmarkStart w:id="1151" w:name="_Toc485139369"/>
      <w:bookmarkEnd w:id="1151"/>
      <w:bookmarkStart w:id="1152" w:name="_Toc468190069"/>
      <w:bookmarkEnd w:id="1152"/>
      <w:bookmarkStart w:id="1153" w:name="_Toc467418924"/>
      <w:bookmarkEnd w:id="1153"/>
      <w:bookmarkStart w:id="1154" w:name="_Toc497731211"/>
      <w:bookmarkEnd w:id="1154"/>
      <w:bookmarkStart w:id="1155" w:name="_Toc467419451"/>
      <w:bookmarkEnd w:id="1155"/>
      <w:bookmarkStart w:id="1156" w:name="_Toc485131020"/>
      <w:bookmarkEnd w:id="1156"/>
      <w:bookmarkStart w:id="1157" w:name="_Toc472090537"/>
      <w:bookmarkEnd w:id="1157"/>
      <w:bookmarkStart w:id="1158" w:name="_Toc485073120"/>
      <w:bookmarkEnd w:id="1158"/>
      <w:bookmarkStart w:id="1159" w:name="_Toc470509387"/>
      <w:bookmarkEnd w:id="1159"/>
      <w:bookmarkStart w:id="1160" w:name="_Toc485139571"/>
      <w:bookmarkEnd w:id="1160"/>
      <w:bookmarkStart w:id="1161" w:name="_Toc485071626"/>
      <w:bookmarkEnd w:id="1161"/>
      <w:bookmarkStart w:id="1162" w:name="_Toc485148824"/>
      <w:bookmarkEnd w:id="1162"/>
      <w:bookmarkStart w:id="1163" w:name="_Toc486495370"/>
      <w:bookmarkEnd w:id="1163"/>
      <w:bookmarkStart w:id="1164" w:name="_Toc492900309"/>
      <w:bookmarkEnd w:id="1164"/>
      <w:bookmarkStart w:id="1165" w:name="_Toc485072716"/>
      <w:bookmarkEnd w:id="1165"/>
      <w:bookmarkStart w:id="1166" w:name="_Toc475520097"/>
      <w:bookmarkEnd w:id="1166"/>
      <w:bookmarkStart w:id="1167" w:name="_Toc467420296"/>
      <w:bookmarkEnd w:id="1167"/>
      <w:bookmarkStart w:id="1168" w:name="_Toc485072918"/>
      <w:bookmarkEnd w:id="1168"/>
      <w:bookmarkStart w:id="1169" w:name="_Toc496512793"/>
      <w:bookmarkEnd w:id="1169"/>
      <w:bookmarkStart w:id="1170" w:name="_Toc485071828"/>
      <w:bookmarkEnd w:id="1170"/>
      <w:bookmarkStart w:id="1171" w:name="_Toc485079193"/>
      <w:bookmarkEnd w:id="1171"/>
      <w:bookmarkStart w:id="1172" w:name="_Toc486495640"/>
      <w:bookmarkEnd w:id="1172"/>
      <w:bookmarkStart w:id="1173" w:name="_Toc2179"/>
      <w:bookmarkEnd w:id="1173"/>
      <w:bookmarkStart w:id="1174" w:name="_Toc27518"/>
      <w:bookmarkEnd w:id="1174"/>
      <w:bookmarkStart w:id="1175" w:name="_Toc485072514"/>
      <w:bookmarkEnd w:id="1175"/>
      <w:bookmarkStart w:id="1176" w:name="_Toc5268"/>
      <w:bookmarkEnd w:id="1176"/>
      <w:bookmarkStart w:id="1177" w:name="_Toc474941315"/>
      <w:bookmarkEnd w:id="1177"/>
      <w:bookmarkStart w:id="1178" w:name="_Toc32606"/>
      <w:bookmarkEnd w:id="1178"/>
    </w:p>
    <w:p w14:paraId="02BC5032">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bCs/>
          <w:color w:val="auto"/>
          <w:kern w:val="2"/>
          <w:sz w:val="28"/>
          <w:szCs w:val="28"/>
          <w:highlight w:val="none"/>
          <w:lang w:val="en-US" w:eastAsia="zh-CN" w:bidi="ar-SA"/>
        </w:rPr>
      </w:pPr>
      <w:bookmarkStart w:id="1179" w:name="_Toc23951"/>
      <w:bookmarkStart w:id="1180" w:name="_Toc18205_WPSOffice_Level2"/>
      <w:bookmarkStart w:id="1181" w:name="_Toc7889_WPSOffice_Level2"/>
      <w:bookmarkStart w:id="1182" w:name="_Toc18899"/>
      <w:bookmarkStart w:id="1183" w:name="_Toc13253"/>
      <w:bookmarkStart w:id="1184" w:name="_Toc11727"/>
      <w:bookmarkStart w:id="1185" w:name="_Toc6166_WPSOffice_Level2"/>
      <w:bookmarkStart w:id="1186" w:name="_Toc17618_WPSOffice_Level2"/>
      <w:bookmarkStart w:id="1187" w:name="_Toc13"/>
      <w:bookmarkStart w:id="1188" w:name="_Toc16223"/>
      <w:r>
        <w:rPr>
          <w:rFonts w:hint="eastAsia" w:ascii="宋体" w:hAnsi="宋体" w:eastAsia="宋体" w:cs="宋体"/>
          <w:bCs/>
          <w:color w:val="auto"/>
          <w:kern w:val="2"/>
          <w:sz w:val="28"/>
          <w:szCs w:val="28"/>
          <w:highlight w:val="none"/>
          <w:lang w:val="en-US" w:eastAsia="zh-CN" w:bidi="ar-SA"/>
        </w:rPr>
        <w:t>12.1企业管理体制及组织机构设置</w:t>
      </w:r>
      <w:bookmarkEnd w:id="1179"/>
      <w:bookmarkEnd w:id="1180"/>
      <w:bookmarkEnd w:id="1181"/>
      <w:bookmarkEnd w:id="1182"/>
      <w:bookmarkEnd w:id="1183"/>
      <w:bookmarkEnd w:id="1184"/>
      <w:bookmarkEnd w:id="1185"/>
      <w:bookmarkEnd w:id="1186"/>
      <w:bookmarkEnd w:id="1187"/>
      <w:bookmarkEnd w:id="1188"/>
    </w:p>
    <w:p w14:paraId="0FDD8C0E">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本项目管理归江苏索普新材料科技有限公司统一管理，在项目组织和运作方面按江苏索普新材料科技有限公司的模式运作。</w:t>
      </w:r>
    </w:p>
    <w:p w14:paraId="211FCEFC">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本着职责分明、灵活高效的原则，内部机构应作如下设置：</w:t>
      </w:r>
    </w:p>
    <w:p w14:paraId="5C457462">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综合办公室：负责日常档案、行政后勤、对外联系及干部、人员调配、工资福利、劳动保障等工作。</w:t>
      </w:r>
    </w:p>
    <w:p w14:paraId="73290956">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生产部：负责日常生产管理、计划布置、原辅材料采购、维持运营等工作。</w:t>
      </w:r>
    </w:p>
    <w:p w14:paraId="1B5B3C24">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环安部：负责安全、环保、保卫等工作。</w:t>
      </w:r>
    </w:p>
    <w:p w14:paraId="4DE1B83B">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事业部：负责生产运营、技术、维保等工作。</w:t>
      </w:r>
    </w:p>
    <w:p w14:paraId="76CD1869">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bCs/>
          <w:color w:val="auto"/>
          <w:kern w:val="2"/>
          <w:sz w:val="28"/>
          <w:szCs w:val="28"/>
          <w:highlight w:val="none"/>
          <w:lang w:val="en-GB" w:eastAsia="zh-CN" w:bidi="ar-SA"/>
        </w:rPr>
      </w:pPr>
      <w:bookmarkStart w:id="1189" w:name="_Toc22297_WPSOffice_Level2"/>
      <w:bookmarkStart w:id="1190" w:name="_Toc8210"/>
      <w:bookmarkStart w:id="1191" w:name="_Toc13106"/>
      <w:bookmarkStart w:id="1192" w:name="_Toc10760"/>
      <w:bookmarkStart w:id="1193" w:name="_Toc8502_WPSOffice_Level2"/>
      <w:bookmarkStart w:id="1194" w:name="_Toc17117"/>
      <w:bookmarkStart w:id="1195" w:name="_Toc6807_WPSOffice_Level2"/>
      <w:bookmarkStart w:id="1196" w:name="_Toc2578_WPSOffice_Level2"/>
      <w:bookmarkStart w:id="1197" w:name="_Toc7192"/>
      <w:bookmarkStart w:id="1198" w:name="_Toc3419"/>
      <w:bookmarkStart w:id="1199" w:name="_Toc12914_WPSOffice_Level2"/>
      <w:bookmarkStart w:id="1200" w:name="_Toc17645"/>
      <w:bookmarkStart w:id="1201" w:name="_Toc1702"/>
      <w:r>
        <w:rPr>
          <w:rFonts w:hint="eastAsia" w:ascii="宋体" w:hAnsi="宋体" w:eastAsia="宋体" w:cs="宋体"/>
          <w:bCs/>
          <w:color w:val="auto"/>
          <w:kern w:val="2"/>
          <w:sz w:val="28"/>
          <w:szCs w:val="28"/>
          <w:highlight w:val="none"/>
          <w:lang w:val="en-GB" w:eastAsia="zh-CN" w:bidi="ar-SA"/>
        </w:rPr>
        <w:t>12.2生产班制与人力资源配置</w:t>
      </w:r>
      <w:bookmarkEnd w:id="1189"/>
      <w:bookmarkEnd w:id="1190"/>
      <w:bookmarkEnd w:id="1191"/>
      <w:bookmarkEnd w:id="1192"/>
      <w:bookmarkEnd w:id="1193"/>
      <w:bookmarkEnd w:id="1194"/>
      <w:bookmarkEnd w:id="1195"/>
      <w:bookmarkEnd w:id="1196"/>
      <w:bookmarkEnd w:id="1197"/>
    </w:p>
    <w:p w14:paraId="47D715EA">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本项目为</w:t>
      </w:r>
      <w:r>
        <w:rPr>
          <w:rFonts w:hint="eastAsia" w:ascii="宋体" w:hAnsi="宋体" w:eastAsia="宋体" w:cs="宋体"/>
          <w:bCs/>
          <w:color w:val="auto"/>
          <w:kern w:val="2"/>
          <w:sz w:val="28"/>
          <w:szCs w:val="28"/>
          <w:highlight w:val="none"/>
          <w:lang w:val="zh-CN" w:eastAsia="zh-CN" w:bidi="ar-SA"/>
        </w:rPr>
        <w:t>新增储罐</w:t>
      </w:r>
      <w:r>
        <w:rPr>
          <w:rFonts w:hint="eastAsia" w:ascii="宋体" w:hAnsi="宋体" w:eastAsia="宋体" w:cs="宋体"/>
          <w:bCs/>
          <w:color w:val="auto"/>
          <w:kern w:val="2"/>
          <w:sz w:val="28"/>
          <w:szCs w:val="28"/>
          <w:highlight w:val="none"/>
          <w:lang w:val="en-US" w:eastAsia="zh-CN" w:bidi="ar-SA"/>
        </w:rPr>
        <w:t>项目装置：盐酸储罐属于氯苯事业部，醋酐储罐盐化事业部，操作人员依托原装置人员，不考虑新增生产人员。</w:t>
      </w:r>
    </w:p>
    <w:p w14:paraId="64D68554">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生产班制按现有四班二运转模式实施。</w:t>
      </w:r>
    </w:p>
    <w:p w14:paraId="4894FAC3">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outlineLvl w:val="1"/>
        <w:rPr>
          <w:rFonts w:hint="eastAsia" w:ascii="宋体" w:hAnsi="宋体" w:eastAsia="宋体" w:cs="宋体"/>
          <w:bCs/>
          <w:color w:val="auto"/>
          <w:kern w:val="2"/>
          <w:sz w:val="28"/>
          <w:szCs w:val="28"/>
          <w:highlight w:val="none"/>
          <w:lang w:val="en-US" w:eastAsia="zh-CN" w:bidi="ar-SA"/>
        </w:rPr>
      </w:pPr>
      <w:bookmarkStart w:id="1202" w:name="_Toc31709"/>
      <w:bookmarkStart w:id="1203" w:name="_Toc25617"/>
      <w:r>
        <w:rPr>
          <w:rFonts w:hint="eastAsia" w:ascii="宋体" w:hAnsi="宋体" w:eastAsia="宋体" w:cs="宋体"/>
          <w:bCs/>
          <w:color w:val="auto"/>
          <w:kern w:val="2"/>
          <w:sz w:val="28"/>
          <w:szCs w:val="28"/>
          <w:highlight w:val="none"/>
          <w:lang w:val="en-US" w:eastAsia="zh-CN" w:bidi="ar-SA"/>
        </w:rPr>
        <w:t>12.3人员培训</w:t>
      </w:r>
      <w:bookmarkEnd w:id="1198"/>
      <w:bookmarkEnd w:id="1199"/>
      <w:bookmarkEnd w:id="1200"/>
      <w:bookmarkEnd w:id="1201"/>
      <w:bookmarkEnd w:id="1202"/>
      <w:bookmarkEnd w:id="1203"/>
    </w:p>
    <w:p w14:paraId="7AD94921">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本项目所需的生产及技术管理人员必须具备相关的基础理论和业务知识。各类岗位人员必须进行专业培训，培训合格方能持证上岗。</w:t>
      </w:r>
    </w:p>
    <w:p w14:paraId="6EDFDA68">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bookmarkStart w:id="1204" w:name="_Toc231112885"/>
      <w:r>
        <w:rPr>
          <w:rFonts w:hint="eastAsia" w:ascii="宋体" w:hAnsi="宋体" w:eastAsia="宋体" w:cs="宋体"/>
          <w:bCs/>
          <w:color w:val="auto"/>
          <w:kern w:val="2"/>
          <w:sz w:val="28"/>
          <w:szCs w:val="28"/>
          <w:highlight w:val="none"/>
          <w:lang w:val="en-US" w:eastAsia="zh-CN" w:bidi="ar-SA"/>
        </w:rPr>
        <w:t>12.3.1</w:t>
      </w:r>
      <w:bookmarkEnd w:id="1204"/>
      <w:bookmarkStart w:id="1205" w:name="_Toc231112886"/>
      <w:r>
        <w:rPr>
          <w:rFonts w:hint="eastAsia" w:ascii="宋体" w:hAnsi="宋体" w:eastAsia="宋体" w:cs="宋体"/>
          <w:bCs/>
          <w:color w:val="auto"/>
          <w:kern w:val="2"/>
          <w:sz w:val="28"/>
          <w:szCs w:val="28"/>
          <w:highlight w:val="none"/>
          <w:lang w:val="en-US" w:eastAsia="zh-CN" w:bidi="ar-SA"/>
        </w:rPr>
        <w:t>培训内容</w:t>
      </w:r>
      <w:bookmarkEnd w:id="1205"/>
    </w:p>
    <w:p w14:paraId="1CB74D47">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培训按操作管理人员工种的不同设置相应的培训课程。培训的内容以各种技术理论及相关设备的操作与运行维护为主，主要内容包括：</w:t>
      </w:r>
    </w:p>
    <w:p w14:paraId="0E35850D">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1）介绍本工程工艺流程和各构筑物的功能；</w:t>
      </w:r>
    </w:p>
    <w:p w14:paraId="51E30CE3">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2）设备的培训。主要包括：装置和设备的手动操作及自动操作，正常运行中需要的手动运作及调节，设备例行检查、润滑等，设备维护保养，设备装置的隔离、拆卸和更换，故障的查找等。</w:t>
      </w:r>
    </w:p>
    <w:p w14:paraId="51B1F9BD">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3）到现场熟悉各构筑物；</w:t>
      </w:r>
    </w:p>
    <w:p w14:paraId="65B056E7">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4）分析化验及操作方法；</w:t>
      </w:r>
    </w:p>
    <w:p w14:paraId="3169C8D0">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5）现场工艺运行的培训。</w:t>
      </w:r>
    </w:p>
    <w:p w14:paraId="740744C9">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bookmarkStart w:id="1206" w:name="_Toc96582229"/>
      <w:bookmarkStart w:id="1207" w:name="_Toc185010903"/>
      <w:bookmarkStart w:id="1208" w:name="_Toc230110408"/>
      <w:bookmarkStart w:id="1209" w:name="_Toc231112887"/>
      <w:r>
        <w:rPr>
          <w:rFonts w:hint="eastAsia" w:ascii="宋体" w:hAnsi="宋体" w:eastAsia="宋体" w:cs="宋体"/>
          <w:bCs/>
          <w:color w:val="auto"/>
          <w:kern w:val="2"/>
          <w:sz w:val="28"/>
          <w:szCs w:val="28"/>
          <w:highlight w:val="none"/>
          <w:lang w:val="en-US" w:eastAsia="zh-CN" w:bidi="ar-SA"/>
        </w:rPr>
        <w:t>12.3.2知识技能</w:t>
      </w:r>
      <w:bookmarkEnd w:id="1206"/>
      <w:bookmarkEnd w:id="1207"/>
      <w:bookmarkEnd w:id="1208"/>
      <w:bookmarkEnd w:id="1209"/>
    </w:p>
    <w:p w14:paraId="3E5CF9FF">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经培训后使运行操作人员具备以下知识技能：</w:t>
      </w:r>
    </w:p>
    <w:p w14:paraId="58932B77">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1）掌握基本知识、概念和原理；</w:t>
      </w:r>
    </w:p>
    <w:p w14:paraId="0A8E0722">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2）熟悉本装置的工艺流程、技术参数；</w:t>
      </w:r>
    </w:p>
    <w:p w14:paraId="6944662E">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3）熟悉本装置的设备规格、性能、机械电气结构等；</w:t>
      </w:r>
    </w:p>
    <w:p w14:paraId="764D5E2D">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4）熟悉本装置设备的运行、操作及维护；</w:t>
      </w:r>
    </w:p>
    <w:p w14:paraId="215BBFAA">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5）能熟练对各种工艺控制指标进行化验分析、判断；</w:t>
      </w:r>
    </w:p>
    <w:p w14:paraId="19F3F602">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6）能针对出现的工艺异常现象或故障情况，采取措施进行工艺调整；</w:t>
      </w:r>
    </w:p>
    <w:p w14:paraId="22350B02">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7）要用系统的观点，对整个装置的工艺运行进行整体考虑或调整；</w:t>
      </w:r>
    </w:p>
    <w:p w14:paraId="467FBAE4">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8）具有总结和分析历史数据的能力。</w:t>
      </w:r>
    </w:p>
    <w:p w14:paraId="28907A8F">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GB" w:eastAsia="zh-CN" w:bidi="ar-SA"/>
        </w:rPr>
      </w:pPr>
      <w:r>
        <w:rPr>
          <w:rFonts w:hint="eastAsia" w:ascii="宋体" w:hAnsi="宋体" w:eastAsia="宋体" w:cs="宋体"/>
          <w:bCs/>
          <w:color w:val="auto"/>
          <w:kern w:val="2"/>
          <w:sz w:val="28"/>
          <w:szCs w:val="28"/>
          <w:highlight w:val="none"/>
          <w:lang w:val="en-US" w:eastAsia="zh-CN" w:bidi="ar-SA"/>
        </w:rPr>
        <w:t>9）具有对生产经济运行数据总结、分析的能力。</w:t>
      </w:r>
    </w:p>
    <w:p w14:paraId="798A9025">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pPr>
    </w:p>
    <w:p w14:paraId="040A6FA9">
      <w:pPr>
        <w:pStyle w:val="20"/>
        <w:keepNext w:val="0"/>
        <w:keepLines w:val="0"/>
        <w:pageBreakBefore w:val="0"/>
        <w:widowControl w:val="0"/>
        <w:kinsoku/>
        <w:wordWrap/>
        <w:overflowPunct/>
        <w:topLinePunct w:val="0"/>
        <w:autoSpaceDE/>
        <w:autoSpaceDN/>
        <w:bidi w:val="0"/>
        <w:adjustRightInd w:val="0"/>
        <w:snapToGrid w:val="0"/>
        <w:spacing w:line="560" w:lineRule="exact"/>
        <w:ind w:firstLine="31680"/>
        <w:textAlignment w:val="auto"/>
        <w:rPr>
          <w:rFonts w:hint="eastAsia" w:ascii="宋体" w:hAnsi="宋体" w:eastAsia="宋体" w:cs="宋体"/>
          <w:bCs/>
          <w:color w:val="auto"/>
          <w:kern w:val="2"/>
          <w:sz w:val="28"/>
          <w:szCs w:val="28"/>
          <w:highlight w:val="none"/>
          <w:lang w:val="en-US" w:eastAsia="zh-CN" w:bidi="ar-SA"/>
        </w:rPr>
        <w:sectPr>
          <w:pgSz w:w="11906" w:h="16838"/>
          <w:pgMar w:top="1440" w:right="1800" w:bottom="1440" w:left="1800" w:header="851" w:footer="992" w:gutter="0"/>
          <w:pgNumType w:fmt="decimal"/>
          <w:cols w:space="425" w:num="1"/>
          <w:docGrid w:type="lines" w:linePitch="312" w:charSpace="0"/>
        </w:sectPr>
      </w:pPr>
    </w:p>
    <w:p w14:paraId="7731C6A5">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1210" w:name="_Toc13171_WPSOffice_Level1"/>
      <w:bookmarkStart w:id="1211" w:name="_Toc15839_WPSOffice_Level1"/>
      <w:bookmarkStart w:id="1212" w:name="_Toc17879_WPSOffice_Level1"/>
      <w:bookmarkStart w:id="1213" w:name="_Toc28132"/>
      <w:bookmarkStart w:id="1214" w:name="_Toc16573"/>
      <w:bookmarkStart w:id="1215" w:name="_Toc10956"/>
      <w:bookmarkStart w:id="1216" w:name="_Toc15803_WPSOffice_Level1"/>
      <w:r>
        <w:rPr>
          <w:rFonts w:hint="eastAsia" w:ascii="宋体" w:hAnsi="宋体" w:eastAsia="宋体" w:cs="宋体"/>
          <w:b/>
          <w:bCs w:val="0"/>
          <w:color w:val="auto"/>
          <w:sz w:val="32"/>
          <w:szCs w:val="32"/>
          <w:highlight w:val="none"/>
          <w:lang w:val="zh-CN"/>
        </w:rPr>
        <w:t>第十</w:t>
      </w:r>
      <w:r>
        <w:rPr>
          <w:rFonts w:hint="eastAsia" w:ascii="宋体" w:hAnsi="宋体" w:eastAsia="宋体" w:cs="宋体"/>
          <w:b/>
          <w:bCs w:val="0"/>
          <w:color w:val="auto"/>
          <w:sz w:val="32"/>
          <w:szCs w:val="32"/>
          <w:highlight w:val="none"/>
          <w:lang w:val="en-US" w:eastAsia="zh-CN"/>
        </w:rPr>
        <w:t>三</w:t>
      </w:r>
      <w:r>
        <w:rPr>
          <w:rFonts w:hint="eastAsia" w:ascii="宋体" w:hAnsi="宋体" w:eastAsia="宋体" w:cs="宋体"/>
          <w:b/>
          <w:bCs w:val="0"/>
          <w:color w:val="auto"/>
          <w:sz w:val="32"/>
          <w:szCs w:val="32"/>
          <w:highlight w:val="none"/>
          <w:lang w:val="zh-CN"/>
        </w:rPr>
        <w:t>章 项目实施计划</w:t>
      </w:r>
      <w:bookmarkEnd w:id="1210"/>
      <w:bookmarkEnd w:id="1211"/>
      <w:bookmarkEnd w:id="1212"/>
      <w:bookmarkEnd w:id="1213"/>
      <w:bookmarkEnd w:id="1214"/>
      <w:bookmarkEnd w:id="1215"/>
      <w:bookmarkEnd w:id="1216"/>
    </w:p>
    <w:p w14:paraId="2BD58452">
      <w:pPr>
        <w:pStyle w:val="21"/>
        <w:numPr>
          <w:ilvl w:val="0"/>
          <w:numId w:val="4"/>
        </w:numPr>
        <w:spacing w:line="560" w:lineRule="exact"/>
        <w:ind w:firstLine="0" w:firstLineChars="0"/>
        <w:jc w:val="left"/>
        <w:outlineLvl w:val="1"/>
        <w:rPr>
          <w:rStyle w:val="26"/>
          <w:rFonts w:ascii="宋体" w:hAnsi="Calibri" w:eastAsia="宋体" w:cs="宋体"/>
          <w:bCs/>
          <w:vanish/>
          <w:color w:val="auto"/>
          <w:sz w:val="28"/>
          <w:szCs w:val="28"/>
          <w:highlight w:val="none"/>
        </w:rPr>
      </w:pPr>
      <w:bookmarkStart w:id="1217" w:name="_Toc486495375"/>
      <w:bookmarkEnd w:id="1217"/>
      <w:bookmarkStart w:id="1218" w:name="_Toc485131228"/>
      <w:bookmarkEnd w:id="1218"/>
      <w:bookmarkStart w:id="1219" w:name="_Toc474941320"/>
      <w:bookmarkEnd w:id="1219"/>
      <w:bookmarkStart w:id="1220" w:name="_Toc475520102"/>
      <w:bookmarkEnd w:id="1220"/>
      <w:bookmarkStart w:id="1221" w:name="_Toc467419456"/>
      <w:bookmarkEnd w:id="1221"/>
      <w:bookmarkStart w:id="1222" w:name="_Toc467418929"/>
      <w:bookmarkEnd w:id="1222"/>
      <w:bookmarkStart w:id="1223" w:name="_Toc472090967"/>
      <w:bookmarkEnd w:id="1223"/>
      <w:bookmarkStart w:id="1224" w:name="_Toc485131025"/>
      <w:bookmarkEnd w:id="1224"/>
      <w:bookmarkStart w:id="1225" w:name="_Toc468190074"/>
      <w:bookmarkEnd w:id="1225"/>
      <w:bookmarkStart w:id="1226" w:name="_Toc467420301"/>
      <w:bookmarkEnd w:id="1226"/>
      <w:bookmarkStart w:id="1227" w:name="_Toc485139374"/>
      <w:bookmarkEnd w:id="1227"/>
      <w:bookmarkStart w:id="1228" w:name="_Toc472090542"/>
      <w:bookmarkEnd w:id="1228"/>
      <w:bookmarkStart w:id="1229" w:name="_Toc470509392"/>
      <w:bookmarkEnd w:id="1229"/>
      <w:bookmarkStart w:id="1230" w:name="_Toc485139576"/>
      <w:bookmarkEnd w:id="1230"/>
      <w:bookmarkStart w:id="1231" w:name="_Toc485071631"/>
      <w:bookmarkEnd w:id="1231"/>
      <w:bookmarkStart w:id="1232" w:name="_Toc15203"/>
      <w:bookmarkEnd w:id="1232"/>
      <w:bookmarkStart w:id="1233" w:name="_Toc496512798"/>
      <w:bookmarkEnd w:id="1233"/>
      <w:bookmarkStart w:id="1234" w:name="_Toc493755215"/>
      <w:bookmarkEnd w:id="1234"/>
      <w:bookmarkStart w:id="1235" w:name="_Toc497731216"/>
      <w:bookmarkEnd w:id="1235"/>
      <w:bookmarkStart w:id="1236" w:name="_Toc485079198"/>
      <w:bookmarkEnd w:id="1236"/>
      <w:bookmarkStart w:id="1237" w:name="_Toc485072519"/>
      <w:bookmarkEnd w:id="1237"/>
      <w:bookmarkStart w:id="1238" w:name="_Toc492900314"/>
      <w:bookmarkEnd w:id="1238"/>
      <w:bookmarkStart w:id="1239" w:name="_Toc485148829"/>
      <w:bookmarkEnd w:id="1239"/>
      <w:bookmarkStart w:id="1240" w:name="_Toc486495645"/>
      <w:bookmarkEnd w:id="1240"/>
      <w:bookmarkStart w:id="1241" w:name="_Toc485072923"/>
      <w:bookmarkEnd w:id="1241"/>
      <w:bookmarkStart w:id="1242" w:name="_Toc485073125"/>
      <w:bookmarkEnd w:id="1242"/>
      <w:bookmarkStart w:id="1243" w:name="_Toc485072721"/>
      <w:bookmarkEnd w:id="1243"/>
      <w:bookmarkStart w:id="1244" w:name="_Toc485071833"/>
      <w:bookmarkEnd w:id="1244"/>
    </w:p>
    <w:p w14:paraId="4E12F6A6">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bCs/>
          <w:color w:val="auto"/>
          <w:sz w:val="28"/>
          <w:szCs w:val="28"/>
          <w:highlight w:val="none"/>
        </w:rPr>
      </w:pPr>
      <w:bookmarkStart w:id="1245" w:name="_Toc2019_WPSOffice_Level2"/>
      <w:bookmarkStart w:id="1246" w:name="_Toc22504_WPSOffice_Level2"/>
      <w:bookmarkStart w:id="1247" w:name="_Toc7020"/>
      <w:bookmarkStart w:id="1248" w:name="_Toc22809"/>
      <w:bookmarkStart w:id="1249" w:name="_Toc32683_WPSOffice_Level2"/>
      <w:bookmarkStart w:id="1250" w:name="_Toc4685_WPSOffice_Level2"/>
      <w:bookmarkStart w:id="1251" w:name="_Toc18990"/>
      <w:r>
        <w:rPr>
          <w:rFonts w:hint="eastAsia" w:ascii="宋体" w:hAnsi="宋体" w:cs="宋体"/>
          <w:bCs/>
          <w:color w:val="auto"/>
          <w:sz w:val="28"/>
          <w:szCs w:val="28"/>
          <w:highlight w:val="none"/>
          <w:lang w:eastAsia="zh-CN"/>
        </w:rPr>
        <w:t>13.</w:t>
      </w:r>
      <w:r>
        <w:rPr>
          <w:rFonts w:ascii="宋体" w:hAnsi="宋体" w:cs="宋体"/>
          <w:bCs/>
          <w:color w:val="auto"/>
          <w:sz w:val="28"/>
          <w:szCs w:val="28"/>
          <w:highlight w:val="none"/>
        </w:rPr>
        <w:t>1</w:t>
      </w:r>
      <w:r>
        <w:rPr>
          <w:rFonts w:hint="eastAsia" w:ascii="宋体" w:hAnsi="宋体" w:cs="宋体"/>
          <w:bCs/>
          <w:color w:val="auto"/>
          <w:sz w:val="28"/>
          <w:szCs w:val="28"/>
          <w:highlight w:val="none"/>
        </w:rPr>
        <w:t>项目的组织与管理</w:t>
      </w:r>
      <w:bookmarkEnd w:id="1245"/>
      <w:bookmarkEnd w:id="1246"/>
      <w:bookmarkEnd w:id="1247"/>
      <w:bookmarkEnd w:id="1248"/>
      <w:bookmarkEnd w:id="1249"/>
      <w:bookmarkEnd w:id="1250"/>
      <w:bookmarkEnd w:id="1251"/>
    </w:p>
    <w:p w14:paraId="734050B2">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本项目由江苏索普新材料科技有限公司负责项目工程的整体协调，并配备专业施工安全队伍，确保项目的施工质量和施工进度。</w:t>
      </w:r>
    </w:p>
    <w:p w14:paraId="36B37773">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本项目的建设应尽可能不影响原装置的生产，当不可避免时，亦应将影响减至最小程度。</w:t>
      </w:r>
    </w:p>
    <w:p w14:paraId="1076E5E8">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本项目与原装置有部分联系，须采取措施以减少对原有生产的影响。</w:t>
      </w:r>
    </w:p>
    <w:p w14:paraId="64404C75">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Fonts w:ascii="宋体" w:cs="宋体"/>
          <w:bCs/>
          <w:color w:val="auto"/>
          <w:sz w:val="28"/>
          <w:szCs w:val="28"/>
          <w:highlight w:val="none"/>
        </w:rPr>
      </w:pPr>
      <w:bookmarkStart w:id="1252" w:name="_Toc20977_WPSOffice_Level2"/>
      <w:bookmarkStart w:id="1253" w:name="_Toc10366_WPSOffice_Level2"/>
      <w:bookmarkStart w:id="1254" w:name="_Toc31822_WPSOffice_Level2"/>
      <w:bookmarkStart w:id="1255" w:name="_Toc15736"/>
      <w:bookmarkStart w:id="1256" w:name="_Toc28056_WPSOffice_Level2"/>
      <w:bookmarkStart w:id="1257" w:name="_Toc9057"/>
      <w:bookmarkStart w:id="1258" w:name="_Toc8697"/>
      <w:r>
        <w:rPr>
          <w:rFonts w:hint="eastAsia" w:ascii="宋体" w:hAnsi="宋体" w:cs="宋体"/>
          <w:bCs/>
          <w:color w:val="auto"/>
          <w:sz w:val="28"/>
          <w:szCs w:val="28"/>
          <w:highlight w:val="none"/>
          <w:lang w:eastAsia="zh-CN"/>
        </w:rPr>
        <w:t>13.</w:t>
      </w:r>
      <w:r>
        <w:rPr>
          <w:rFonts w:ascii="宋体" w:hAnsi="宋体" w:cs="宋体"/>
          <w:bCs/>
          <w:color w:val="auto"/>
          <w:sz w:val="28"/>
          <w:szCs w:val="28"/>
          <w:highlight w:val="none"/>
        </w:rPr>
        <w:t>2</w:t>
      </w:r>
      <w:r>
        <w:rPr>
          <w:rFonts w:hint="eastAsia" w:ascii="宋体" w:hAnsi="宋体" w:cs="宋体"/>
          <w:bCs/>
          <w:color w:val="auto"/>
          <w:sz w:val="28"/>
          <w:szCs w:val="28"/>
          <w:highlight w:val="none"/>
        </w:rPr>
        <w:t>实施进度计划</w:t>
      </w:r>
      <w:bookmarkEnd w:id="1252"/>
      <w:bookmarkEnd w:id="1253"/>
      <w:bookmarkEnd w:id="1254"/>
      <w:bookmarkEnd w:id="1255"/>
      <w:bookmarkEnd w:id="1256"/>
      <w:bookmarkEnd w:id="1257"/>
      <w:bookmarkEnd w:id="1258"/>
    </w:p>
    <w:p w14:paraId="53F6ACB1">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Fonts w:ascii="宋体" w:cs="宋体"/>
          <w:bCs/>
          <w:color w:val="auto"/>
          <w:sz w:val="28"/>
          <w:szCs w:val="28"/>
          <w:highlight w:val="none"/>
        </w:rPr>
      </w:pPr>
      <w:r>
        <w:rPr>
          <w:rFonts w:hint="eastAsia" w:ascii="宋体" w:hAnsi="宋体" w:cs="宋体"/>
          <w:bCs/>
          <w:color w:val="auto"/>
          <w:sz w:val="28"/>
          <w:szCs w:val="28"/>
          <w:highlight w:val="none"/>
        </w:rPr>
        <w:t>（</w:t>
      </w:r>
      <w:r>
        <w:rPr>
          <w:rFonts w:ascii="宋体" w:hAnsi="宋体" w:cs="宋体"/>
          <w:bCs/>
          <w:color w:val="auto"/>
          <w:sz w:val="28"/>
          <w:szCs w:val="28"/>
          <w:highlight w:val="none"/>
        </w:rPr>
        <w:t>1</w:t>
      </w:r>
      <w:r>
        <w:rPr>
          <w:rFonts w:hint="eastAsia" w:ascii="宋体" w:hAnsi="宋体" w:cs="宋体"/>
          <w:bCs/>
          <w:color w:val="auto"/>
          <w:sz w:val="28"/>
          <w:szCs w:val="28"/>
          <w:highlight w:val="none"/>
        </w:rPr>
        <w:t>）本项目实施拟分下述阶段：　　</w:t>
      </w:r>
      <w:r>
        <w:rPr>
          <w:rFonts w:ascii="宋体" w:cs="宋体"/>
          <w:bCs/>
          <w:color w:val="auto"/>
          <w:sz w:val="28"/>
          <w:szCs w:val="28"/>
          <w:highlight w:val="none"/>
        </w:rPr>
        <w:tab/>
      </w:r>
      <w:r>
        <w:rPr>
          <w:rFonts w:ascii="宋体" w:cs="宋体"/>
          <w:bCs/>
          <w:color w:val="auto"/>
          <w:sz w:val="28"/>
          <w:szCs w:val="28"/>
          <w:highlight w:val="none"/>
        </w:rPr>
        <w:tab/>
      </w:r>
    </w:p>
    <w:tbl>
      <w:tblPr>
        <w:tblStyle w:val="15"/>
        <w:tblW w:w="6946"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2835"/>
      </w:tblGrid>
      <w:tr w14:paraId="1BE7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6C492093">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基础设计</w:t>
            </w:r>
          </w:p>
        </w:tc>
        <w:tc>
          <w:tcPr>
            <w:tcW w:w="2835" w:type="dxa"/>
            <w:vAlign w:val="center"/>
          </w:tcPr>
          <w:p w14:paraId="73077852">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cs="宋体"/>
                <w:color w:val="auto"/>
                <w:sz w:val="21"/>
                <w:szCs w:val="21"/>
                <w:highlight w:val="none"/>
                <w:lang w:val="en-US" w:eastAsia="zh-CN"/>
              </w:rPr>
              <w:t>3</w:t>
            </w:r>
            <w:r>
              <w:rPr>
                <w:rStyle w:val="26"/>
                <w:rFonts w:hint="eastAsia" w:ascii="宋体" w:hAnsi="宋体" w:eastAsia="宋体" w:cs="宋体"/>
                <w:color w:val="auto"/>
                <w:sz w:val="21"/>
                <w:szCs w:val="21"/>
                <w:highlight w:val="none"/>
              </w:rPr>
              <w:t>月</w:t>
            </w:r>
          </w:p>
        </w:tc>
      </w:tr>
      <w:tr w14:paraId="54D8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29C27ECF">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详细设计</w:t>
            </w:r>
          </w:p>
        </w:tc>
        <w:tc>
          <w:tcPr>
            <w:tcW w:w="2835" w:type="dxa"/>
            <w:vAlign w:val="center"/>
          </w:tcPr>
          <w:p w14:paraId="080C1DC4">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ascii="宋体" w:hAnsi="宋体" w:eastAsia="宋体" w:cs="宋体"/>
                <w:color w:val="auto"/>
                <w:sz w:val="21"/>
                <w:szCs w:val="21"/>
                <w:highlight w:val="none"/>
              </w:rPr>
              <w:t>1</w:t>
            </w:r>
            <w:r>
              <w:rPr>
                <w:rStyle w:val="26"/>
                <w:rFonts w:hint="eastAsia" w:ascii="宋体" w:hAnsi="宋体" w:eastAsia="宋体" w:cs="宋体"/>
                <w:color w:val="auto"/>
                <w:sz w:val="21"/>
                <w:szCs w:val="21"/>
                <w:highlight w:val="none"/>
              </w:rPr>
              <w:t>月</w:t>
            </w:r>
          </w:p>
        </w:tc>
      </w:tr>
      <w:tr w14:paraId="0A06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26D38BA3">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土建工程</w:t>
            </w:r>
          </w:p>
        </w:tc>
        <w:tc>
          <w:tcPr>
            <w:tcW w:w="2835" w:type="dxa"/>
            <w:vAlign w:val="center"/>
          </w:tcPr>
          <w:p w14:paraId="16603CBC">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cs="宋体"/>
                <w:color w:val="auto"/>
                <w:sz w:val="21"/>
                <w:szCs w:val="21"/>
                <w:highlight w:val="none"/>
                <w:lang w:val="en-US" w:eastAsia="zh-CN"/>
              </w:rPr>
              <w:t>2</w:t>
            </w:r>
            <w:r>
              <w:rPr>
                <w:rStyle w:val="26"/>
                <w:rFonts w:hint="eastAsia" w:ascii="宋体" w:hAnsi="宋体" w:eastAsia="宋体" w:cs="宋体"/>
                <w:color w:val="auto"/>
                <w:sz w:val="21"/>
                <w:szCs w:val="21"/>
                <w:highlight w:val="none"/>
              </w:rPr>
              <w:t>月</w:t>
            </w:r>
          </w:p>
        </w:tc>
      </w:tr>
      <w:tr w14:paraId="0E1F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111659F9">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设备与材料采购</w:t>
            </w:r>
          </w:p>
        </w:tc>
        <w:tc>
          <w:tcPr>
            <w:tcW w:w="2835" w:type="dxa"/>
            <w:vAlign w:val="center"/>
          </w:tcPr>
          <w:p w14:paraId="7C6BE8AE">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ascii="宋体" w:hAnsi="宋体" w:cs="宋体"/>
                <w:color w:val="auto"/>
                <w:sz w:val="21"/>
                <w:szCs w:val="21"/>
                <w:highlight w:val="none"/>
              </w:rPr>
              <w:t>4</w:t>
            </w:r>
            <w:r>
              <w:rPr>
                <w:rStyle w:val="26"/>
                <w:rFonts w:hint="eastAsia" w:ascii="宋体" w:hAnsi="宋体" w:eastAsia="宋体" w:cs="宋体"/>
                <w:color w:val="auto"/>
                <w:sz w:val="21"/>
                <w:szCs w:val="21"/>
                <w:highlight w:val="none"/>
              </w:rPr>
              <w:t>月</w:t>
            </w:r>
          </w:p>
        </w:tc>
      </w:tr>
      <w:tr w14:paraId="5A3F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2C6BB58D">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安装工程</w:t>
            </w:r>
          </w:p>
        </w:tc>
        <w:tc>
          <w:tcPr>
            <w:tcW w:w="2835" w:type="dxa"/>
            <w:vAlign w:val="center"/>
          </w:tcPr>
          <w:p w14:paraId="155174D7">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ascii="宋体" w:hAnsi="宋体" w:cs="宋体"/>
                <w:color w:val="auto"/>
                <w:sz w:val="21"/>
                <w:szCs w:val="21"/>
                <w:highlight w:val="none"/>
              </w:rPr>
              <w:t>3</w:t>
            </w:r>
            <w:r>
              <w:rPr>
                <w:rStyle w:val="26"/>
                <w:rFonts w:hint="eastAsia" w:ascii="宋体" w:hAnsi="宋体" w:eastAsia="宋体" w:cs="宋体"/>
                <w:color w:val="auto"/>
                <w:sz w:val="21"/>
                <w:szCs w:val="21"/>
                <w:highlight w:val="none"/>
              </w:rPr>
              <w:t>月</w:t>
            </w:r>
          </w:p>
        </w:tc>
      </w:tr>
      <w:tr w14:paraId="75BC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7D5C6717">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单机与联动试车</w:t>
            </w:r>
          </w:p>
        </w:tc>
        <w:tc>
          <w:tcPr>
            <w:tcW w:w="2835" w:type="dxa"/>
            <w:vAlign w:val="center"/>
          </w:tcPr>
          <w:p w14:paraId="4A526736">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ascii="宋体" w:hAnsi="宋体" w:eastAsia="宋体" w:cs="宋体"/>
                <w:color w:val="auto"/>
                <w:sz w:val="21"/>
                <w:szCs w:val="21"/>
                <w:highlight w:val="none"/>
              </w:rPr>
              <w:t>1</w:t>
            </w:r>
            <w:r>
              <w:rPr>
                <w:rStyle w:val="26"/>
                <w:rFonts w:hint="eastAsia" w:ascii="宋体" w:hAnsi="宋体" w:eastAsia="宋体" w:cs="宋体"/>
                <w:color w:val="auto"/>
                <w:sz w:val="21"/>
                <w:szCs w:val="21"/>
                <w:highlight w:val="none"/>
              </w:rPr>
              <w:t>月</w:t>
            </w:r>
          </w:p>
        </w:tc>
      </w:tr>
      <w:tr w14:paraId="58BF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11" w:type="dxa"/>
            <w:vAlign w:val="center"/>
          </w:tcPr>
          <w:p w14:paraId="490BCD33">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hint="eastAsia" w:ascii="宋体" w:hAnsi="宋体" w:eastAsia="宋体" w:cs="宋体"/>
                <w:color w:val="auto"/>
                <w:sz w:val="21"/>
                <w:szCs w:val="21"/>
                <w:highlight w:val="none"/>
              </w:rPr>
              <w:t>投料试车与考核</w:t>
            </w:r>
          </w:p>
        </w:tc>
        <w:tc>
          <w:tcPr>
            <w:tcW w:w="2835" w:type="dxa"/>
            <w:vAlign w:val="center"/>
          </w:tcPr>
          <w:p w14:paraId="4F6033F6">
            <w:pPr>
              <w:autoSpaceDE w:val="0"/>
              <w:autoSpaceDN w:val="0"/>
              <w:adjustRightInd w:val="0"/>
              <w:snapToGrid w:val="0"/>
              <w:spacing w:line="400" w:lineRule="exact"/>
              <w:ind w:firstLine="420" w:firstLineChars="200"/>
              <w:jc w:val="center"/>
              <w:rPr>
                <w:rStyle w:val="26"/>
                <w:rFonts w:ascii="宋体" w:hAnsi="Calibri" w:eastAsia="宋体" w:cs="宋体"/>
                <w:color w:val="auto"/>
                <w:sz w:val="21"/>
                <w:szCs w:val="21"/>
                <w:highlight w:val="none"/>
              </w:rPr>
            </w:pPr>
            <w:r>
              <w:rPr>
                <w:rStyle w:val="26"/>
                <w:rFonts w:ascii="宋体" w:hAnsi="宋体" w:eastAsia="宋体" w:cs="宋体"/>
                <w:color w:val="auto"/>
                <w:sz w:val="21"/>
                <w:szCs w:val="21"/>
                <w:highlight w:val="none"/>
              </w:rPr>
              <w:t>1</w:t>
            </w:r>
            <w:r>
              <w:rPr>
                <w:rStyle w:val="26"/>
                <w:rFonts w:hint="eastAsia" w:ascii="宋体" w:hAnsi="宋体" w:eastAsia="宋体" w:cs="宋体"/>
                <w:color w:val="auto"/>
                <w:sz w:val="21"/>
                <w:szCs w:val="21"/>
                <w:highlight w:val="none"/>
              </w:rPr>
              <w:t>月</w:t>
            </w:r>
          </w:p>
        </w:tc>
      </w:tr>
    </w:tbl>
    <w:p w14:paraId="051645EB">
      <w:pPr>
        <w:pStyle w:val="21"/>
        <w:spacing w:line="560" w:lineRule="exact"/>
        <w:ind w:firstLine="31680"/>
        <w:jc w:val="left"/>
        <w:rPr>
          <w:rFonts w:ascii="宋体" w:cs="宋体"/>
          <w:bCs/>
          <w:color w:val="auto"/>
          <w:sz w:val="28"/>
          <w:szCs w:val="28"/>
          <w:highlight w:val="none"/>
        </w:rPr>
      </w:pPr>
      <w:r>
        <w:rPr>
          <w:rFonts w:hint="eastAsia" w:ascii="宋体" w:hAnsi="宋体" w:cs="宋体"/>
          <w:bCs/>
          <w:color w:val="auto"/>
          <w:sz w:val="28"/>
          <w:szCs w:val="28"/>
          <w:highlight w:val="none"/>
        </w:rPr>
        <w:t>上述各个阶段相互交错进行。结合现有装置的建设经验，本装置的建设期从基础设开始时计算起，至投产考核完毕共</w:t>
      </w:r>
      <w:r>
        <w:rPr>
          <w:rFonts w:ascii="宋体" w:hAnsi="宋体" w:cs="宋体"/>
          <w:bCs/>
          <w:color w:val="auto"/>
          <w:sz w:val="28"/>
          <w:szCs w:val="28"/>
          <w:highlight w:val="none"/>
        </w:rPr>
        <w:t>12</w:t>
      </w:r>
      <w:r>
        <w:rPr>
          <w:rFonts w:hint="eastAsia" w:ascii="宋体" w:hAnsi="宋体" w:cs="宋体"/>
          <w:bCs/>
          <w:color w:val="auto"/>
          <w:sz w:val="28"/>
          <w:szCs w:val="28"/>
          <w:highlight w:val="none"/>
        </w:rPr>
        <w:t>个月。</w:t>
      </w:r>
    </w:p>
    <w:p w14:paraId="6D99FF26">
      <w:pPr>
        <w:pStyle w:val="21"/>
        <w:spacing w:line="560" w:lineRule="exact"/>
        <w:ind w:firstLine="31680"/>
        <w:jc w:val="left"/>
        <w:rPr>
          <w:rFonts w:ascii="宋体" w:cs="宋体"/>
          <w:bCs/>
          <w:color w:val="auto"/>
          <w:sz w:val="28"/>
          <w:szCs w:val="28"/>
          <w:highlight w:val="none"/>
        </w:rPr>
      </w:pPr>
      <w:bookmarkStart w:id="1259" w:name="_Toc257019890"/>
      <w:bookmarkStart w:id="1260" w:name="_Toc4296"/>
      <w:bookmarkStart w:id="1261" w:name="_Toc266341714"/>
      <w:bookmarkStart w:id="1262" w:name="_Toc422904643"/>
      <w:bookmarkStart w:id="1263" w:name="_Toc267915140"/>
      <w:bookmarkStart w:id="1264" w:name="_Toc253085880"/>
      <w:bookmarkStart w:id="1265" w:name="_Toc235241706"/>
      <w:bookmarkStart w:id="1266" w:name="_Toc235693257"/>
      <w:r>
        <w:rPr>
          <w:rFonts w:hint="eastAsia" w:ascii="宋体" w:hAnsi="宋体" w:cs="宋体"/>
          <w:bCs/>
          <w:color w:val="auto"/>
          <w:sz w:val="28"/>
          <w:szCs w:val="28"/>
          <w:highlight w:val="none"/>
        </w:rPr>
        <w:t>（</w:t>
      </w:r>
      <w:r>
        <w:rPr>
          <w:rFonts w:ascii="宋体" w:hAnsi="宋体" w:cs="宋体"/>
          <w:bCs/>
          <w:color w:val="auto"/>
          <w:sz w:val="28"/>
          <w:szCs w:val="28"/>
          <w:highlight w:val="none"/>
        </w:rPr>
        <w:t>2</w:t>
      </w:r>
      <w:r>
        <w:rPr>
          <w:rFonts w:hint="eastAsia" w:ascii="宋体" w:hAnsi="宋体" w:cs="宋体"/>
          <w:bCs/>
          <w:color w:val="auto"/>
          <w:sz w:val="28"/>
          <w:szCs w:val="28"/>
          <w:highlight w:val="none"/>
        </w:rPr>
        <w:t>）项目实施初步进度表</w:t>
      </w:r>
      <w:bookmarkEnd w:id="1259"/>
      <w:bookmarkEnd w:id="1260"/>
      <w:bookmarkEnd w:id="1261"/>
      <w:bookmarkEnd w:id="1262"/>
      <w:bookmarkEnd w:id="1263"/>
      <w:bookmarkEnd w:id="1264"/>
      <w:bookmarkEnd w:id="1265"/>
      <w:bookmarkEnd w:id="1266"/>
    </w:p>
    <w:p w14:paraId="3028F45E">
      <w:pPr>
        <w:pStyle w:val="21"/>
        <w:spacing w:line="560" w:lineRule="exact"/>
        <w:ind w:left="425" w:firstLine="31680"/>
        <w:jc w:val="left"/>
        <w:rPr>
          <w:rFonts w:ascii="宋体" w:cs="宋体"/>
          <w:bCs/>
          <w:color w:val="auto"/>
          <w:sz w:val="28"/>
          <w:szCs w:val="28"/>
          <w:highlight w:val="none"/>
        </w:rPr>
      </w:pPr>
    </w:p>
    <w:p w14:paraId="0BED7754">
      <w:pPr>
        <w:pStyle w:val="21"/>
        <w:spacing w:line="560" w:lineRule="exact"/>
        <w:ind w:left="480" w:firstLine="0" w:firstLineChars="0"/>
        <w:jc w:val="left"/>
        <w:rPr>
          <w:rStyle w:val="26"/>
          <w:rFonts w:ascii="宋体" w:hAnsi="Calibri" w:eastAsia="宋体" w:cs="宋体"/>
          <w:bCs/>
          <w:color w:val="auto"/>
          <w:sz w:val="28"/>
          <w:szCs w:val="28"/>
          <w:highlight w:val="none"/>
        </w:rPr>
      </w:pPr>
    </w:p>
    <w:p w14:paraId="3BC23FA8">
      <w:pPr>
        <w:pStyle w:val="21"/>
        <w:spacing w:line="560" w:lineRule="exact"/>
        <w:ind w:left="480" w:firstLine="0" w:firstLineChars="0"/>
        <w:jc w:val="left"/>
        <w:rPr>
          <w:rStyle w:val="26"/>
          <w:rFonts w:ascii="宋体" w:hAnsi="Calibri" w:eastAsia="宋体" w:cs="宋体"/>
          <w:bCs/>
          <w:color w:val="auto"/>
          <w:sz w:val="28"/>
          <w:szCs w:val="28"/>
          <w:highlight w:val="none"/>
        </w:rPr>
      </w:pPr>
    </w:p>
    <w:p w14:paraId="3F21B443">
      <w:pPr>
        <w:pStyle w:val="21"/>
        <w:spacing w:line="560" w:lineRule="exact"/>
        <w:ind w:left="480" w:firstLine="0" w:firstLineChars="0"/>
        <w:jc w:val="left"/>
        <w:rPr>
          <w:rStyle w:val="26"/>
          <w:rFonts w:ascii="宋体" w:hAnsi="Calibri" w:eastAsia="宋体" w:cs="宋体"/>
          <w:bCs/>
          <w:color w:val="auto"/>
          <w:sz w:val="28"/>
          <w:szCs w:val="28"/>
          <w:highlight w:val="none"/>
        </w:rPr>
      </w:pPr>
    </w:p>
    <w:tbl>
      <w:tblPr>
        <w:tblStyle w:val="15"/>
        <w:tblpPr w:leftFromText="180" w:rightFromText="180" w:vertAnchor="text" w:horzAnchor="page" w:tblpXSpec="center" w:tblpY="362"/>
        <w:tblOverlap w:val="never"/>
        <w:tblW w:w="768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660"/>
        <w:gridCol w:w="454"/>
        <w:gridCol w:w="454"/>
        <w:gridCol w:w="454"/>
        <w:gridCol w:w="454"/>
        <w:gridCol w:w="454"/>
        <w:gridCol w:w="454"/>
        <w:gridCol w:w="454"/>
        <w:gridCol w:w="454"/>
        <w:gridCol w:w="454"/>
        <w:gridCol w:w="454"/>
        <w:gridCol w:w="454"/>
        <w:gridCol w:w="454"/>
        <w:gridCol w:w="573"/>
      </w:tblGrid>
      <w:tr w14:paraId="2CF5B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1" w:hRule="exact"/>
          <w:jc w:val="center"/>
        </w:trPr>
        <w:tc>
          <w:tcPr>
            <w:tcW w:w="1660" w:type="dxa"/>
            <w:shd w:val="clear" w:color="auto" w:fill="E0E0E0"/>
            <w:vAlign w:val="center"/>
          </w:tcPr>
          <w:p w14:paraId="7AF8095C">
            <w:pPr>
              <w:pStyle w:val="27"/>
              <w:tabs>
                <w:tab w:val="right" w:pos="1840"/>
              </w:tabs>
              <w:rPr>
                <w:rFonts w:hAnsi="宋体" w:cs="宋体"/>
                <w:color w:val="auto"/>
                <w:szCs w:val="24"/>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28575</wp:posOffset>
                      </wp:positionV>
                      <wp:extent cx="1009015" cy="514350"/>
                      <wp:effectExtent l="1905" t="4445" r="17780" b="14605"/>
                      <wp:wrapNone/>
                      <wp:docPr id="9" name="直接连接符 9"/>
                      <wp:cNvGraphicFramePr/>
                      <a:graphic xmlns:a="http://schemas.openxmlformats.org/drawingml/2006/main">
                        <a:graphicData uri="http://schemas.microsoft.com/office/word/2010/wordprocessingShape">
                          <wps:wsp>
                            <wps:cNvCnPr/>
                            <wps:spPr>
                              <a:xfrm flipH="1">
                                <a:off x="0" y="0"/>
                                <a:ext cx="1009015" cy="514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95pt;margin-top:2.25pt;height:40.5pt;width:79.45pt;z-index:251664384;mso-width-relative:page;mso-height-relative:page;" filled="f" stroked="t" coordsize="21600,21600" o:gfxdata="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JykaXWAAAABwEAAA8AAAAAAAAAAQAgAAAAIgAAAGRycy9kb3du&#10;cmV2LnhtbFBLAQIUABQAAAAIAIdO4kBbjMKVAQIAAPMDAAAOAAAAAAAAAAEAIAAAACUBAABkcnMv&#10;ZTJvRG9jLnhtbFBLBQYAAAAABgAGAFkBAACYBQAAAAA=&#10;">
                      <v:fill on="f" focussize="0,0"/>
                      <v:stroke color="#000000" joinstyle="round"/>
                      <v:imagedata o:title=""/>
                      <o:lock v:ext="edit" aspectratio="f"/>
                    </v:line>
                  </w:pict>
                </mc:Fallback>
              </mc:AlternateContent>
            </w:r>
            <w:r>
              <w:rPr>
                <w:rFonts w:hAnsi="宋体" w:cs="宋体"/>
                <w:color w:val="auto"/>
                <w:szCs w:val="24"/>
                <w:highlight w:val="none"/>
              </w:rPr>
              <w:t xml:space="preserve"> </w:t>
            </w:r>
            <w:r>
              <w:rPr>
                <w:rFonts w:hint="eastAsia" w:hAnsi="宋体" w:cs="宋体"/>
                <w:color w:val="auto"/>
                <w:szCs w:val="24"/>
                <w:highlight w:val="none"/>
              </w:rPr>
              <w:t>进度</w:t>
            </w:r>
            <w:r>
              <w:rPr>
                <w:rFonts w:hAnsi="宋体" w:cs="宋体"/>
                <w:color w:val="auto"/>
                <w:szCs w:val="24"/>
                <w:highlight w:val="none"/>
              </w:rPr>
              <w:t>(</w:t>
            </w:r>
            <w:r>
              <w:rPr>
                <w:rFonts w:hint="eastAsia" w:hAnsi="宋体" w:cs="宋体"/>
                <w:color w:val="auto"/>
                <w:szCs w:val="24"/>
                <w:highlight w:val="none"/>
              </w:rPr>
              <w:t>月</w:t>
            </w:r>
            <w:r>
              <w:rPr>
                <w:rFonts w:hAnsi="宋体" w:cs="宋体"/>
                <w:color w:val="auto"/>
                <w:szCs w:val="24"/>
                <w:highlight w:val="none"/>
              </w:rPr>
              <w:t>)</w:t>
            </w:r>
          </w:p>
          <w:p w14:paraId="1E2679CF">
            <w:pPr>
              <w:pStyle w:val="27"/>
              <w:tabs>
                <w:tab w:val="right" w:pos="1840"/>
              </w:tabs>
              <w:ind w:firstLine="960" w:firstLineChars="400"/>
              <w:rPr>
                <w:rFonts w:hAnsi="宋体" w:cs="宋体"/>
                <w:color w:val="auto"/>
                <w:szCs w:val="24"/>
                <w:highlight w:val="none"/>
              </w:rPr>
            </w:pPr>
            <w:r>
              <w:rPr>
                <w:rFonts w:hint="eastAsia" w:hAnsi="宋体" w:cs="宋体"/>
                <w:color w:val="auto"/>
                <w:szCs w:val="24"/>
                <w:highlight w:val="none"/>
              </w:rPr>
              <w:t>阶段</w:t>
            </w:r>
          </w:p>
        </w:tc>
        <w:tc>
          <w:tcPr>
            <w:tcW w:w="454" w:type="dxa"/>
            <w:shd w:val="clear" w:color="auto" w:fill="E0E0E0"/>
            <w:vAlign w:val="center"/>
          </w:tcPr>
          <w:p w14:paraId="48D99CCE">
            <w:pPr>
              <w:jc w:val="center"/>
              <w:rPr>
                <w:color w:val="auto"/>
                <w:highlight w:val="none"/>
              </w:rPr>
            </w:pPr>
            <w:r>
              <w:rPr>
                <w:color w:val="auto"/>
                <w:highlight w:val="none"/>
              </w:rPr>
              <w:t>1</w:t>
            </w:r>
          </w:p>
        </w:tc>
        <w:tc>
          <w:tcPr>
            <w:tcW w:w="454" w:type="dxa"/>
            <w:shd w:val="clear" w:color="auto" w:fill="E0E0E0"/>
            <w:vAlign w:val="center"/>
          </w:tcPr>
          <w:p w14:paraId="4FA30584">
            <w:pPr>
              <w:jc w:val="center"/>
              <w:rPr>
                <w:color w:val="auto"/>
                <w:highlight w:val="none"/>
              </w:rPr>
            </w:pPr>
            <w:r>
              <w:rPr>
                <w:color w:val="auto"/>
                <w:highlight w:val="none"/>
              </w:rPr>
              <w:t>2</w:t>
            </w:r>
          </w:p>
        </w:tc>
        <w:tc>
          <w:tcPr>
            <w:tcW w:w="454" w:type="dxa"/>
            <w:shd w:val="clear" w:color="auto" w:fill="E0E0E0"/>
            <w:vAlign w:val="center"/>
          </w:tcPr>
          <w:p w14:paraId="5163F700">
            <w:pPr>
              <w:jc w:val="center"/>
              <w:rPr>
                <w:color w:val="auto"/>
                <w:highlight w:val="none"/>
              </w:rPr>
            </w:pPr>
            <w:r>
              <w:rPr>
                <w:color w:val="auto"/>
                <w:highlight w:val="none"/>
              </w:rPr>
              <w:t>3</w:t>
            </w:r>
          </w:p>
        </w:tc>
        <w:tc>
          <w:tcPr>
            <w:tcW w:w="454" w:type="dxa"/>
            <w:shd w:val="clear" w:color="auto" w:fill="E0E0E0"/>
            <w:vAlign w:val="center"/>
          </w:tcPr>
          <w:p w14:paraId="69E681DD">
            <w:pPr>
              <w:jc w:val="center"/>
              <w:rPr>
                <w:color w:val="auto"/>
                <w:highlight w:val="none"/>
              </w:rPr>
            </w:pPr>
            <w:r>
              <w:rPr>
                <w:color w:val="auto"/>
                <w:highlight w:val="none"/>
              </w:rPr>
              <w:t>4</w:t>
            </w:r>
          </w:p>
        </w:tc>
        <w:tc>
          <w:tcPr>
            <w:tcW w:w="454" w:type="dxa"/>
            <w:shd w:val="clear" w:color="auto" w:fill="E0E0E0"/>
            <w:vAlign w:val="center"/>
          </w:tcPr>
          <w:p w14:paraId="22DF8D43">
            <w:pPr>
              <w:jc w:val="center"/>
              <w:rPr>
                <w:color w:val="auto"/>
                <w:highlight w:val="none"/>
              </w:rPr>
            </w:pPr>
            <w:r>
              <w:rPr>
                <w:color w:val="auto"/>
                <w:highlight w:val="none"/>
              </w:rPr>
              <w:t>5</w:t>
            </w:r>
          </w:p>
        </w:tc>
        <w:tc>
          <w:tcPr>
            <w:tcW w:w="454" w:type="dxa"/>
            <w:shd w:val="clear" w:color="auto" w:fill="E0E0E0"/>
            <w:vAlign w:val="center"/>
          </w:tcPr>
          <w:p w14:paraId="191764A5">
            <w:pPr>
              <w:jc w:val="center"/>
              <w:rPr>
                <w:color w:val="auto"/>
                <w:highlight w:val="none"/>
              </w:rPr>
            </w:pPr>
            <w:r>
              <w:rPr>
                <w:color w:val="auto"/>
                <w:highlight w:val="none"/>
              </w:rPr>
              <w:t>6</w:t>
            </w:r>
          </w:p>
        </w:tc>
        <w:tc>
          <w:tcPr>
            <w:tcW w:w="454" w:type="dxa"/>
            <w:shd w:val="clear" w:color="auto" w:fill="E0E0E0"/>
            <w:vAlign w:val="center"/>
          </w:tcPr>
          <w:p w14:paraId="6ACE3DD6">
            <w:pPr>
              <w:jc w:val="center"/>
              <w:rPr>
                <w:color w:val="auto"/>
                <w:highlight w:val="none"/>
              </w:rPr>
            </w:pPr>
            <w:r>
              <w:rPr>
                <w:color w:val="auto"/>
                <w:highlight w:val="none"/>
              </w:rPr>
              <w:t>7</w:t>
            </w:r>
          </w:p>
        </w:tc>
        <w:tc>
          <w:tcPr>
            <w:tcW w:w="454" w:type="dxa"/>
            <w:shd w:val="clear" w:color="auto" w:fill="E0E0E0"/>
            <w:vAlign w:val="center"/>
          </w:tcPr>
          <w:p w14:paraId="19451B7F">
            <w:pPr>
              <w:jc w:val="center"/>
              <w:rPr>
                <w:color w:val="auto"/>
                <w:highlight w:val="none"/>
              </w:rPr>
            </w:pPr>
            <w:r>
              <w:rPr>
                <w:color w:val="auto"/>
                <w:highlight w:val="none"/>
              </w:rPr>
              <w:t>8</w:t>
            </w:r>
          </w:p>
        </w:tc>
        <w:tc>
          <w:tcPr>
            <w:tcW w:w="454" w:type="dxa"/>
            <w:shd w:val="clear" w:color="auto" w:fill="E0E0E0"/>
            <w:vAlign w:val="center"/>
          </w:tcPr>
          <w:p w14:paraId="5A8DCE68">
            <w:pPr>
              <w:jc w:val="center"/>
              <w:rPr>
                <w:color w:val="auto"/>
                <w:highlight w:val="none"/>
              </w:rPr>
            </w:pPr>
            <w:r>
              <w:rPr>
                <w:color w:val="auto"/>
                <w:highlight w:val="none"/>
              </w:rPr>
              <w:t>9</w:t>
            </w:r>
          </w:p>
        </w:tc>
        <w:tc>
          <w:tcPr>
            <w:tcW w:w="454" w:type="dxa"/>
            <w:shd w:val="clear" w:color="auto" w:fill="E0E0E0"/>
            <w:vAlign w:val="center"/>
          </w:tcPr>
          <w:p w14:paraId="434C4146">
            <w:pPr>
              <w:jc w:val="center"/>
              <w:rPr>
                <w:color w:val="auto"/>
                <w:highlight w:val="none"/>
              </w:rPr>
            </w:pPr>
            <w:r>
              <w:rPr>
                <w:color w:val="auto"/>
                <w:highlight w:val="none"/>
              </w:rPr>
              <w:t>10</w:t>
            </w:r>
          </w:p>
        </w:tc>
        <w:tc>
          <w:tcPr>
            <w:tcW w:w="454" w:type="dxa"/>
            <w:shd w:val="clear" w:color="auto" w:fill="E0E0E0"/>
            <w:vAlign w:val="center"/>
          </w:tcPr>
          <w:p w14:paraId="5BACD815">
            <w:pPr>
              <w:jc w:val="center"/>
              <w:rPr>
                <w:color w:val="auto"/>
                <w:highlight w:val="none"/>
              </w:rPr>
            </w:pPr>
            <w:r>
              <w:rPr>
                <w:color w:val="auto"/>
                <w:highlight w:val="none"/>
              </w:rPr>
              <w:t>11</w:t>
            </w:r>
          </w:p>
        </w:tc>
        <w:tc>
          <w:tcPr>
            <w:tcW w:w="454" w:type="dxa"/>
            <w:shd w:val="clear" w:color="auto" w:fill="E0E0E0"/>
            <w:vAlign w:val="center"/>
          </w:tcPr>
          <w:p w14:paraId="3A73A31C">
            <w:pPr>
              <w:jc w:val="center"/>
              <w:rPr>
                <w:color w:val="auto"/>
                <w:highlight w:val="none"/>
              </w:rPr>
            </w:pPr>
            <w:r>
              <w:rPr>
                <w:color w:val="auto"/>
                <w:highlight w:val="none"/>
              </w:rPr>
              <w:t>12</w:t>
            </w:r>
          </w:p>
        </w:tc>
        <w:tc>
          <w:tcPr>
            <w:tcW w:w="573" w:type="dxa"/>
            <w:shd w:val="clear" w:color="auto" w:fill="E0E0E0"/>
            <w:vAlign w:val="center"/>
          </w:tcPr>
          <w:p w14:paraId="12E022DB">
            <w:pPr>
              <w:pStyle w:val="27"/>
              <w:rPr>
                <w:rFonts w:hAnsi="宋体" w:cs="宋体"/>
                <w:color w:val="auto"/>
                <w:szCs w:val="24"/>
                <w:highlight w:val="none"/>
              </w:rPr>
            </w:pPr>
            <w:r>
              <w:rPr>
                <w:rFonts w:hint="eastAsia" w:hAnsi="宋体" w:cs="宋体"/>
                <w:color w:val="auto"/>
                <w:szCs w:val="24"/>
                <w:highlight w:val="none"/>
              </w:rPr>
              <w:t>备注</w:t>
            </w:r>
          </w:p>
        </w:tc>
      </w:tr>
      <w:tr w14:paraId="4CB86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3" w:hRule="exact"/>
          <w:jc w:val="center"/>
        </w:trPr>
        <w:tc>
          <w:tcPr>
            <w:tcW w:w="1660" w:type="dxa"/>
            <w:vAlign w:val="center"/>
          </w:tcPr>
          <w:p w14:paraId="7FF77BE9">
            <w:pPr>
              <w:pStyle w:val="27"/>
              <w:rPr>
                <w:rFonts w:hAnsi="宋体" w:cs="宋体"/>
                <w:color w:val="auto"/>
                <w:sz w:val="21"/>
                <w:szCs w:val="21"/>
                <w:highlight w:val="none"/>
              </w:rPr>
            </w:pPr>
            <w:r>
              <w:rPr>
                <w:rFonts w:hint="eastAsia" w:hAnsi="宋体" w:cs="宋体"/>
                <w:color w:val="auto"/>
                <w:sz w:val="21"/>
                <w:szCs w:val="21"/>
                <w:highlight w:val="none"/>
              </w:rPr>
              <w:t>基础设计</w:t>
            </w:r>
          </w:p>
        </w:tc>
        <w:tc>
          <w:tcPr>
            <w:tcW w:w="454" w:type="dxa"/>
            <w:vAlign w:val="center"/>
          </w:tcPr>
          <w:p w14:paraId="1501DCE3">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-12700</wp:posOffset>
                      </wp:positionH>
                      <wp:positionV relativeFrom="paragraph">
                        <wp:posOffset>198755</wp:posOffset>
                      </wp:positionV>
                      <wp:extent cx="857250" cy="2540"/>
                      <wp:effectExtent l="0" t="25400" r="0" b="29210"/>
                      <wp:wrapNone/>
                      <wp:docPr id="10" name="直接连接符 10"/>
                      <wp:cNvGraphicFramePr/>
                      <a:graphic xmlns:a="http://schemas.openxmlformats.org/drawingml/2006/main">
                        <a:graphicData uri="http://schemas.microsoft.com/office/word/2010/wordprocessingShape">
                          <wps:wsp>
                            <wps:cNvCnPr/>
                            <wps:spPr>
                              <a:xfrm>
                                <a:off x="0" y="0"/>
                                <a:ext cx="857250" cy="2540"/>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pt;margin-top:15.65pt;height:0.2pt;width:67.5pt;z-index:251667456;mso-width-relative:page;mso-height-relative:page;" filled="f" stroked="t" coordsize="21600,21600" o:gfxdata="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J2qxdcAAAAIAQAADwAAAAAAAAABACAAAAAiAAAAZHJzL2Rvd25yZXYueG1s&#10;UEsBAhQAFAAAAAgAh07iQMg5GmH5AQAA6QMAAA4AAAAAAAAAAQAgAAAAJgEAAGRycy9lMm9Eb2Mu&#10;eG1sUEsFBgAAAAAGAAYAWQEAAJEFAAAAAA==&#10;">
                      <v:fill on="f" focussize="0,0"/>
                      <v:stroke weight="4pt" color="#5F5F5F" joinstyle="round"/>
                      <v:imagedata o:title=""/>
                      <o:lock v:ext="edit" aspectratio="f"/>
                    </v:line>
                  </w:pict>
                </mc:Fallback>
              </mc:AlternateContent>
            </w:r>
          </w:p>
        </w:tc>
        <w:tc>
          <w:tcPr>
            <w:tcW w:w="454" w:type="dxa"/>
            <w:vAlign w:val="center"/>
          </w:tcPr>
          <w:p w14:paraId="7D71B50B">
            <w:pPr>
              <w:pStyle w:val="27"/>
              <w:rPr>
                <w:rFonts w:hAnsi="宋体" w:cs="宋体"/>
                <w:color w:val="auto"/>
                <w:szCs w:val="24"/>
                <w:highlight w:val="none"/>
              </w:rPr>
            </w:pPr>
          </w:p>
        </w:tc>
        <w:tc>
          <w:tcPr>
            <w:tcW w:w="454" w:type="dxa"/>
            <w:vAlign w:val="center"/>
          </w:tcPr>
          <w:p w14:paraId="6411CF03">
            <w:pPr>
              <w:pStyle w:val="27"/>
              <w:rPr>
                <w:rFonts w:hAnsi="宋体" w:cs="宋体"/>
                <w:color w:val="auto"/>
                <w:szCs w:val="24"/>
                <w:highlight w:val="none"/>
              </w:rPr>
            </w:pPr>
          </w:p>
        </w:tc>
        <w:tc>
          <w:tcPr>
            <w:tcW w:w="454" w:type="dxa"/>
            <w:vAlign w:val="center"/>
          </w:tcPr>
          <w:p w14:paraId="639AADC2">
            <w:pPr>
              <w:pStyle w:val="27"/>
              <w:rPr>
                <w:rFonts w:hAnsi="宋体" w:cs="宋体"/>
                <w:color w:val="auto"/>
                <w:szCs w:val="24"/>
                <w:highlight w:val="none"/>
              </w:rPr>
            </w:pPr>
          </w:p>
        </w:tc>
        <w:tc>
          <w:tcPr>
            <w:tcW w:w="454" w:type="dxa"/>
            <w:vAlign w:val="center"/>
          </w:tcPr>
          <w:p w14:paraId="437278EB">
            <w:pPr>
              <w:pStyle w:val="27"/>
              <w:rPr>
                <w:rFonts w:hAnsi="宋体" w:cs="宋体"/>
                <w:color w:val="auto"/>
                <w:szCs w:val="24"/>
                <w:highlight w:val="none"/>
              </w:rPr>
            </w:pPr>
          </w:p>
        </w:tc>
        <w:tc>
          <w:tcPr>
            <w:tcW w:w="454" w:type="dxa"/>
            <w:vAlign w:val="center"/>
          </w:tcPr>
          <w:p w14:paraId="74BCB9BB">
            <w:pPr>
              <w:pStyle w:val="27"/>
              <w:rPr>
                <w:rFonts w:hAnsi="宋体" w:cs="宋体"/>
                <w:color w:val="auto"/>
                <w:szCs w:val="24"/>
                <w:highlight w:val="none"/>
              </w:rPr>
            </w:pPr>
          </w:p>
        </w:tc>
        <w:tc>
          <w:tcPr>
            <w:tcW w:w="454" w:type="dxa"/>
            <w:vAlign w:val="center"/>
          </w:tcPr>
          <w:p w14:paraId="44D25894">
            <w:pPr>
              <w:pStyle w:val="27"/>
              <w:rPr>
                <w:rFonts w:hAnsi="宋体" w:cs="宋体"/>
                <w:color w:val="auto"/>
                <w:szCs w:val="24"/>
                <w:highlight w:val="none"/>
              </w:rPr>
            </w:pPr>
          </w:p>
        </w:tc>
        <w:tc>
          <w:tcPr>
            <w:tcW w:w="454" w:type="dxa"/>
            <w:vAlign w:val="center"/>
          </w:tcPr>
          <w:p w14:paraId="30FD9534">
            <w:pPr>
              <w:pStyle w:val="27"/>
              <w:rPr>
                <w:rFonts w:hAnsi="宋体" w:cs="宋体"/>
                <w:color w:val="auto"/>
                <w:szCs w:val="24"/>
                <w:highlight w:val="none"/>
              </w:rPr>
            </w:pPr>
          </w:p>
        </w:tc>
        <w:tc>
          <w:tcPr>
            <w:tcW w:w="454" w:type="dxa"/>
            <w:vAlign w:val="center"/>
          </w:tcPr>
          <w:p w14:paraId="5296DB87">
            <w:pPr>
              <w:pStyle w:val="27"/>
              <w:rPr>
                <w:rFonts w:hAnsi="宋体" w:cs="宋体"/>
                <w:color w:val="auto"/>
                <w:szCs w:val="24"/>
                <w:highlight w:val="none"/>
              </w:rPr>
            </w:pPr>
          </w:p>
        </w:tc>
        <w:tc>
          <w:tcPr>
            <w:tcW w:w="454" w:type="dxa"/>
            <w:vAlign w:val="center"/>
          </w:tcPr>
          <w:p w14:paraId="58B67D64">
            <w:pPr>
              <w:pStyle w:val="27"/>
              <w:rPr>
                <w:rFonts w:hAnsi="宋体" w:cs="宋体"/>
                <w:color w:val="auto"/>
                <w:szCs w:val="24"/>
                <w:highlight w:val="none"/>
              </w:rPr>
            </w:pPr>
          </w:p>
        </w:tc>
        <w:tc>
          <w:tcPr>
            <w:tcW w:w="454" w:type="dxa"/>
            <w:vAlign w:val="center"/>
          </w:tcPr>
          <w:p w14:paraId="17076665">
            <w:pPr>
              <w:pStyle w:val="27"/>
              <w:rPr>
                <w:rFonts w:hAnsi="宋体" w:cs="宋体"/>
                <w:color w:val="auto"/>
                <w:szCs w:val="24"/>
                <w:highlight w:val="none"/>
              </w:rPr>
            </w:pPr>
          </w:p>
        </w:tc>
        <w:tc>
          <w:tcPr>
            <w:tcW w:w="454" w:type="dxa"/>
            <w:vAlign w:val="center"/>
          </w:tcPr>
          <w:p w14:paraId="59D0B44A">
            <w:pPr>
              <w:pStyle w:val="27"/>
              <w:rPr>
                <w:rFonts w:hAnsi="宋体" w:cs="宋体"/>
                <w:color w:val="auto"/>
                <w:szCs w:val="24"/>
                <w:highlight w:val="none"/>
              </w:rPr>
            </w:pPr>
          </w:p>
        </w:tc>
        <w:tc>
          <w:tcPr>
            <w:tcW w:w="573" w:type="dxa"/>
            <w:vAlign w:val="center"/>
          </w:tcPr>
          <w:p w14:paraId="6F0B67C4">
            <w:pPr>
              <w:pStyle w:val="27"/>
              <w:rPr>
                <w:rFonts w:hAnsi="宋体" w:cs="宋体"/>
                <w:color w:val="auto"/>
                <w:szCs w:val="24"/>
                <w:highlight w:val="none"/>
              </w:rPr>
            </w:pPr>
          </w:p>
        </w:tc>
      </w:tr>
      <w:tr w14:paraId="0B53B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660" w:type="dxa"/>
            <w:vAlign w:val="center"/>
          </w:tcPr>
          <w:p w14:paraId="63890AA1">
            <w:pPr>
              <w:pStyle w:val="27"/>
              <w:rPr>
                <w:rFonts w:hAnsi="宋体" w:cs="宋体"/>
                <w:color w:val="auto"/>
                <w:sz w:val="21"/>
                <w:szCs w:val="21"/>
                <w:highlight w:val="none"/>
              </w:rPr>
            </w:pPr>
            <w:r>
              <w:rPr>
                <w:rFonts w:hint="eastAsia" w:hAnsi="宋体" w:cs="宋体"/>
                <w:color w:val="auto"/>
                <w:sz w:val="21"/>
                <w:szCs w:val="21"/>
                <w:highlight w:val="none"/>
              </w:rPr>
              <w:t>详细设计</w:t>
            </w:r>
          </w:p>
        </w:tc>
        <w:tc>
          <w:tcPr>
            <w:tcW w:w="454" w:type="dxa"/>
            <w:vAlign w:val="center"/>
          </w:tcPr>
          <w:p w14:paraId="25DCB181">
            <w:pPr>
              <w:pStyle w:val="27"/>
              <w:rPr>
                <w:rFonts w:hAnsi="宋体" w:cs="宋体"/>
                <w:color w:val="auto"/>
                <w:szCs w:val="24"/>
                <w:highlight w:val="none"/>
              </w:rPr>
            </w:pPr>
          </w:p>
        </w:tc>
        <w:tc>
          <w:tcPr>
            <w:tcW w:w="454" w:type="dxa"/>
            <w:vAlign w:val="center"/>
          </w:tcPr>
          <w:p w14:paraId="264AAA34">
            <w:pPr>
              <w:pStyle w:val="27"/>
              <w:rPr>
                <w:rFonts w:hAnsi="宋体" w:cs="宋体"/>
                <w:color w:val="auto"/>
                <w:szCs w:val="24"/>
                <w:highlight w:val="none"/>
              </w:rPr>
            </w:pPr>
          </w:p>
        </w:tc>
        <w:tc>
          <w:tcPr>
            <w:tcW w:w="454" w:type="dxa"/>
            <w:vAlign w:val="center"/>
          </w:tcPr>
          <w:p w14:paraId="3889C51F">
            <w:pPr>
              <w:pStyle w:val="27"/>
              <w:rPr>
                <w:rFonts w:hAnsi="宋体" w:cs="宋体"/>
                <w:color w:val="auto"/>
                <w:szCs w:val="24"/>
                <w:highlight w:val="none"/>
              </w:rPr>
            </w:pPr>
          </w:p>
        </w:tc>
        <w:tc>
          <w:tcPr>
            <w:tcW w:w="454" w:type="dxa"/>
            <w:vAlign w:val="center"/>
          </w:tcPr>
          <w:p w14:paraId="000AA382">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110490</wp:posOffset>
                      </wp:positionV>
                      <wp:extent cx="266065" cy="3810"/>
                      <wp:effectExtent l="635" t="25400" r="0" b="27940"/>
                      <wp:wrapNone/>
                      <wp:docPr id="3" name="直接连接符 3"/>
                      <wp:cNvGraphicFramePr/>
                      <a:graphic xmlns:a="http://schemas.openxmlformats.org/drawingml/2006/main">
                        <a:graphicData uri="http://schemas.microsoft.com/office/word/2010/wordprocessingShape">
                          <wps:wsp>
                            <wps:cNvCnPr/>
                            <wps:spPr>
                              <a:xfrm flipV="1">
                                <a:off x="0" y="0"/>
                                <a:ext cx="266065" cy="3810"/>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15pt;margin-top:8.7pt;height:0.3pt;width:20.95pt;z-index:251662336;mso-width-relative:page;mso-height-relative:page;" filled="f" stroked="t" coordsize="21600,21600" o:gfxdata="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wRcfrUAAAABgEAAA8AAAAAAAAAAQAgAAAAIgAAAGRycy9kb3du&#10;cmV2LnhtbFBLAQIUABQAAAAIAIdO4kAoeq+xAwIAAPEDAAAOAAAAAAAAAAEAIAAAACMBAABkcnMv&#10;ZTJvRG9jLnhtbFBLBQYAAAAABgAGAFkBAACYBQAAAAA=&#10;">
                      <v:fill on="f" focussize="0,0"/>
                      <v:stroke weight="4pt" color="#5F5F5F" joinstyle="round"/>
                      <v:imagedata o:title=""/>
                      <o:lock v:ext="edit" aspectratio="f"/>
                    </v:line>
                  </w:pict>
                </mc:Fallback>
              </mc:AlternateContent>
            </w:r>
          </w:p>
        </w:tc>
        <w:tc>
          <w:tcPr>
            <w:tcW w:w="454" w:type="dxa"/>
            <w:vAlign w:val="center"/>
          </w:tcPr>
          <w:p w14:paraId="5B7103D4">
            <w:pPr>
              <w:pStyle w:val="27"/>
              <w:rPr>
                <w:rFonts w:hAnsi="宋体" w:cs="宋体"/>
                <w:color w:val="auto"/>
                <w:szCs w:val="24"/>
                <w:highlight w:val="none"/>
              </w:rPr>
            </w:pPr>
          </w:p>
        </w:tc>
        <w:tc>
          <w:tcPr>
            <w:tcW w:w="454" w:type="dxa"/>
            <w:vAlign w:val="center"/>
          </w:tcPr>
          <w:p w14:paraId="07960D2E">
            <w:pPr>
              <w:pStyle w:val="27"/>
              <w:rPr>
                <w:rFonts w:hAnsi="宋体" w:cs="宋体"/>
                <w:color w:val="auto"/>
                <w:szCs w:val="24"/>
                <w:highlight w:val="none"/>
              </w:rPr>
            </w:pPr>
          </w:p>
        </w:tc>
        <w:tc>
          <w:tcPr>
            <w:tcW w:w="454" w:type="dxa"/>
            <w:vAlign w:val="center"/>
          </w:tcPr>
          <w:p w14:paraId="5D696511">
            <w:pPr>
              <w:pStyle w:val="27"/>
              <w:rPr>
                <w:rFonts w:hAnsi="宋体" w:cs="宋体"/>
                <w:color w:val="auto"/>
                <w:szCs w:val="24"/>
                <w:highlight w:val="none"/>
              </w:rPr>
            </w:pPr>
          </w:p>
        </w:tc>
        <w:tc>
          <w:tcPr>
            <w:tcW w:w="454" w:type="dxa"/>
            <w:vAlign w:val="center"/>
          </w:tcPr>
          <w:p w14:paraId="1FE5E21E">
            <w:pPr>
              <w:pStyle w:val="27"/>
              <w:rPr>
                <w:rFonts w:hAnsi="宋体" w:cs="宋体"/>
                <w:color w:val="auto"/>
                <w:szCs w:val="24"/>
                <w:highlight w:val="none"/>
              </w:rPr>
            </w:pPr>
          </w:p>
        </w:tc>
        <w:tc>
          <w:tcPr>
            <w:tcW w:w="454" w:type="dxa"/>
            <w:vAlign w:val="center"/>
          </w:tcPr>
          <w:p w14:paraId="59DB6053">
            <w:pPr>
              <w:pStyle w:val="27"/>
              <w:rPr>
                <w:rFonts w:hAnsi="宋体" w:cs="宋体"/>
                <w:color w:val="auto"/>
                <w:szCs w:val="24"/>
                <w:highlight w:val="none"/>
              </w:rPr>
            </w:pPr>
          </w:p>
        </w:tc>
        <w:tc>
          <w:tcPr>
            <w:tcW w:w="454" w:type="dxa"/>
            <w:vAlign w:val="center"/>
          </w:tcPr>
          <w:p w14:paraId="2EE5E322">
            <w:pPr>
              <w:pStyle w:val="27"/>
              <w:rPr>
                <w:rFonts w:hAnsi="宋体" w:cs="宋体"/>
                <w:color w:val="auto"/>
                <w:szCs w:val="24"/>
                <w:highlight w:val="none"/>
              </w:rPr>
            </w:pPr>
          </w:p>
        </w:tc>
        <w:tc>
          <w:tcPr>
            <w:tcW w:w="454" w:type="dxa"/>
            <w:vAlign w:val="center"/>
          </w:tcPr>
          <w:p w14:paraId="23AC561D">
            <w:pPr>
              <w:pStyle w:val="27"/>
              <w:rPr>
                <w:rFonts w:hAnsi="宋体" w:cs="宋体"/>
                <w:color w:val="auto"/>
                <w:szCs w:val="24"/>
                <w:highlight w:val="none"/>
              </w:rPr>
            </w:pPr>
          </w:p>
        </w:tc>
        <w:tc>
          <w:tcPr>
            <w:tcW w:w="454" w:type="dxa"/>
            <w:vAlign w:val="center"/>
          </w:tcPr>
          <w:p w14:paraId="03605160">
            <w:pPr>
              <w:pStyle w:val="27"/>
              <w:rPr>
                <w:rFonts w:hAnsi="宋体" w:cs="宋体"/>
                <w:color w:val="auto"/>
                <w:szCs w:val="24"/>
                <w:highlight w:val="none"/>
              </w:rPr>
            </w:pPr>
          </w:p>
        </w:tc>
        <w:tc>
          <w:tcPr>
            <w:tcW w:w="573" w:type="dxa"/>
            <w:vAlign w:val="center"/>
          </w:tcPr>
          <w:p w14:paraId="65C873E8">
            <w:pPr>
              <w:pStyle w:val="27"/>
              <w:rPr>
                <w:rFonts w:hAnsi="宋体" w:cs="宋体"/>
                <w:color w:val="auto"/>
                <w:szCs w:val="24"/>
                <w:highlight w:val="none"/>
              </w:rPr>
            </w:pPr>
          </w:p>
        </w:tc>
      </w:tr>
      <w:tr w14:paraId="24EFD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660" w:type="dxa"/>
            <w:vAlign w:val="center"/>
          </w:tcPr>
          <w:p w14:paraId="74FC64B2">
            <w:pPr>
              <w:pStyle w:val="27"/>
              <w:rPr>
                <w:rFonts w:hAnsi="宋体" w:cs="宋体"/>
                <w:color w:val="auto"/>
                <w:sz w:val="21"/>
                <w:szCs w:val="21"/>
                <w:highlight w:val="none"/>
              </w:rPr>
            </w:pPr>
            <w:r>
              <w:rPr>
                <w:rFonts w:hint="eastAsia" w:hAnsi="宋体" w:cs="宋体"/>
                <w:color w:val="auto"/>
                <w:sz w:val="21"/>
                <w:szCs w:val="21"/>
                <w:highlight w:val="none"/>
              </w:rPr>
              <w:t>土建工程</w:t>
            </w:r>
          </w:p>
        </w:tc>
        <w:tc>
          <w:tcPr>
            <w:tcW w:w="454" w:type="dxa"/>
            <w:vAlign w:val="center"/>
          </w:tcPr>
          <w:p w14:paraId="3D95F799">
            <w:pPr>
              <w:pStyle w:val="27"/>
              <w:rPr>
                <w:rFonts w:hAnsi="宋体" w:cs="宋体"/>
                <w:color w:val="auto"/>
                <w:szCs w:val="24"/>
                <w:highlight w:val="none"/>
              </w:rPr>
            </w:pPr>
          </w:p>
        </w:tc>
        <w:tc>
          <w:tcPr>
            <w:tcW w:w="454" w:type="dxa"/>
            <w:vAlign w:val="center"/>
          </w:tcPr>
          <w:p w14:paraId="465E5119">
            <w:pPr>
              <w:pStyle w:val="27"/>
              <w:rPr>
                <w:rFonts w:hAnsi="宋体" w:cs="宋体"/>
                <w:color w:val="auto"/>
                <w:szCs w:val="24"/>
                <w:highlight w:val="none"/>
              </w:rPr>
            </w:pPr>
          </w:p>
        </w:tc>
        <w:tc>
          <w:tcPr>
            <w:tcW w:w="454" w:type="dxa"/>
            <w:vAlign w:val="center"/>
          </w:tcPr>
          <w:p w14:paraId="2CF1928F">
            <w:pPr>
              <w:pStyle w:val="27"/>
              <w:rPr>
                <w:rFonts w:hAnsi="宋体" w:cs="宋体"/>
                <w:color w:val="auto"/>
                <w:szCs w:val="24"/>
                <w:highlight w:val="none"/>
              </w:rPr>
            </w:pPr>
          </w:p>
        </w:tc>
        <w:tc>
          <w:tcPr>
            <w:tcW w:w="454" w:type="dxa"/>
            <w:vAlign w:val="center"/>
          </w:tcPr>
          <w:p w14:paraId="59C65CB8">
            <w:pPr>
              <w:pStyle w:val="27"/>
              <w:rPr>
                <w:rFonts w:hAnsi="宋体" w:cs="宋体"/>
                <w:color w:val="auto"/>
                <w:szCs w:val="24"/>
                <w:highlight w:val="none"/>
              </w:rPr>
            </w:pPr>
          </w:p>
        </w:tc>
        <w:tc>
          <w:tcPr>
            <w:tcW w:w="454" w:type="dxa"/>
            <w:vAlign w:val="center"/>
          </w:tcPr>
          <w:p w14:paraId="050C58EF">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164465</wp:posOffset>
                      </wp:positionV>
                      <wp:extent cx="548005" cy="6985"/>
                      <wp:effectExtent l="635" t="25400" r="3810" b="43815"/>
                      <wp:wrapNone/>
                      <wp:docPr id="6" name="直接连接符 6"/>
                      <wp:cNvGraphicFramePr/>
                      <a:graphic xmlns:a="http://schemas.openxmlformats.org/drawingml/2006/main">
                        <a:graphicData uri="http://schemas.microsoft.com/office/word/2010/wordprocessingShape">
                          <wps:wsp>
                            <wps:cNvCnPr/>
                            <wps:spPr>
                              <a:xfrm flipV="1">
                                <a:off x="0" y="0"/>
                                <a:ext cx="548005" cy="6985"/>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1pt;margin-top:12.95pt;height:0.55pt;width:43.15pt;z-index:251665408;mso-width-relative:page;mso-height-relative:page;" filled="f" stroked="t" coordsize="21600,21600" o:gfxdata="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qSeILUAAAABQEAAA8AAAAAAAAAAQAgAAAAIgAAAGRycy9kb3ducmV2Lnht&#10;bFBLAQIUABQAAAAIAIdO4kA59mI5/QEAAPEDAAAOAAAAAAAAAAEAIAAAACMBAABkcnMvZTJvRG9j&#10;LnhtbFBLBQYAAAAABgAGAFkBAACSBQAAAAA=&#10;">
                      <v:fill on="f" focussize="0,0"/>
                      <v:stroke weight="4pt" color="#5F5F5F" joinstyle="round"/>
                      <v:imagedata o:title=""/>
                      <o:lock v:ext="edit" aspectratio="f"/>
                    </v:line>
                  </w:pict>
                </mc:Fallback>
              </mc:AlternateContent>
            </w:r>
          </w:p>
        </w:tc>
        <w:tc>
          <w:tcPr>
            <w:tcW w:w="454" w:type="dxa"/>
            <w:vAlign w:val="center"/>
          </w:tcPr>
          <w:p w14:paraId="1F97789B">
            <w:pPr>
              <w:pStyle w:val="27"/>
              <w:rPr>
                <w:rFonts w:hAnsi="宋体" w:cs="宋体"/>
                <w:color w:val="auto"/>
                <w:szCs w:val="24"/>
                <w:highlight w:val="none"/>
              </w:rPr>
            </w:pPr>
          </w:p>
        </w:tc>
        <w:tc>
          <w:tcPr>
            <w:tcW w:w="454" w:type="dxa"/>
            <w:vAlign w:val="center"/>
          </w:tcPr>
          <w:p w14:paraId="4D7D950C">
            <w:pPr>
              <w:pStyle w:val="27"/>
              <w:rPr>
                <w:rFonts w:hAnsi="宋体" w:cs="宋体"/>
                <w:color w:val="auto"/>
                <w:szCs w:val="24"/>
                <w:highlight w:val="none"/>
              </w:rPr>
            </w:pPr>
          </w:p>
        </w:tc>
        <w:tc>
          <w:tcPr>
            <w:tcW w:w="454" w:type="dxa"/>
            <w:vAlign w:val="center"/>
          </w:tcPr>
          <w:p w14:paraId="780FB0FD">
            <w:pPr>
              <w:pStyle w:val="27"/>
              <w:rPr>
                <w:rFonts w:hAnsi="宋体" w:cs="宋体"/>
                <w:color w:val="auto"/>
                <w:szCs w:val="24"/>
                <w:highlight w:val="none"/>
              </w:rPr>
            </w:pPr>
          </w:p>
        </w:tc>
        <w:tc>
          <w:tcPr>
            <w:tcW w:w="454" w:type="dxa"/>
            <w:vAlign w:val="center"/>
          </w:tcPr>
          <w:p w14:paraId="5EECDF8E">
            <w:pPr>
              <w:pStyle w:val="27"/>
              <w:rPr>
                <w:rFonts w:hAnsi="宋体" w:cs="宋体"/>
                <w:color w:val="auto"/>
                <w:szCs w:val="24"/>
                <w:highlight w:val="none"/>
              </w:rPr>
            </w:pPr>
          </w:p>
        </w:tc>
        <w:tc>
          <w:tcPr>
            <w:tcW w:w="454" w:type="dxa"/>
            <w:vAlign w:val="center"/>
          </w:tcPr>
          <w:p w14:paraId="4EEBD3C0">
            <w:pPr>
              <w:pStyle w:val="27"/>
              <w:rPr>
                <w:rFonts w:hAnsi="宋体" w:cs="宋体"/>
                <w:color w:val="auto"/>
                <w:szCs w:val="24"/>
                <w:highlight w:val="none"/>
              </w:rPr>
            </w:pPr>
          </w:p>
        </w:tc>
        <w:tc>
          <w:tcPr>
            <w:tcW w:w="454" w:type="dxa"/>
            <w:vAlign w:val="center"/>
          </w:tcPr>
          <w:p w14:paraId="51F64848">
            <w:pPr>
              <w:pStyle w:val="27"/>
              <w:rPr>
                <w:rFonts w:hAnsi="宋体" w:cs="宋体"/>
                <w:color w:val="auto"/>
                <w:szCs w:val="24"/>
                <w:highlight w:val="none"/>
              </w:rPr>
            </w:pPr>
          </w:p>
        </w:tc>
        <w:tc>
          <w:tcPr>
            <w:tcW w:w="454" w:type="dxa"/>
            <w:vAlign w:val="center"/>
          </w:tcPr>
          <w:p w14:paraId="3844E88C">
            <w:pPr>
              <w:pStyle w:val="27"/>
              <w:rPr>
                <w:rFonts w:hAnsi="宋体" w:cs="宋体"/>
                <w:color w:val="auto"/>
                <w:szCs w:val="24"/>
                <w:highlight w:val="none"/>
              </w:rPr>
            </w:pPr>
          </w:p>
        </w:tc>
        <w:tc>
          <w:tcPr>
            <w:tcW w:w="573" w:type="dxa"/>
            <w:vAlign w:val="center"/>
          </w:tcPr>
          <w:p w14:paraId="57B57A44">
            <w:pPr>
              <w:pStyle w:val="27"/>
              <w:rPr>
                <w:rFonts w:hAnsi="宋体" w:cs="宋体"/>
                <w:color w:val="auto"/>
                <w:szCs w:val="24"/>
                <w:highlight w:val="none"/>
              </w:rPr>
            </w:pPr>
          </w:p>
        </w:tc>
      </w:tr>
      <w:tr w14:paraId="24591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660" w:type="dxa"/>
            <w:vAlign w:val="center"/>
          </w:tcPr>
          <w:p w14:paraId="41793001">
            <w:pPr>
              <w:pStyle w:val="27"/>
              <w:rPr>
                <w:rFonts w:hAnsi="宋体" w:cs="宋体"/>
                <w:color w:val="auto"/>
                <w:sz w:val="21"/>
                <w:szCs w:val="21"/>
                <w:highlight w:val="none"/>
              </w:rPr>
            </w:pPr>
            <w:r>
              <w:rPr>
                <w:rFonts w:hint="eastAsia" w:hAnsi="宋体" w:cs="宋体"/>
                <w:color w:val="auto"/>
                <w:sz w:val="21"/>
                <w:szCs w:val="21"/>
                <w:highlight w:val="none"/>
              </w:rPr>
              <w:t>设备材料采购</w:t>
            </w:r>
          </w:p>
        </w:tc>
        <w:tc>
          <w:tcPr>
            <w:tcW w:w="454" w:type="dxa"/>
            <w:vAlign w:val="center"/>
          </w:tcPr>
          <w:p w14:paraId="706F2F41">
            <w:pPr>
              <w:pStyle w:val="27"/>
              <w:rPr>
                <w:rFonts w:hAnsi="宋体" w:cs="宋体"/>
                <w:color w:val="auto"/>
                <w:szCs w:val="24"/>
                <w:highlight w:val="none"/>
              </w:rPr>
            </w:pPr>
          </w:p>
        </w:tc>
        <w:tc>
          <w:tcPr>
            <w:tcW w:w="454" w:type="dxa"/>
            <w:vAlign w:val="center"/>
          </w:tcPr>
          <w:p w14:paraId="24F3BB01">
            <w:pPr>
              <w:pStyle w:val="27"/>
              <w:rPr>
                <w:rFonts w:hAnsi="宋体" w:cs="宋体"/>
                <w:color w:val="auto"/>
                <w:szCs w:val="24"/>
                <w:highlight w:val="none"/>
              </w:rPr>
            </w:pPr>
          </w:p>
        </w:tc>
        <w:tc>
          <w:tcPr>
            <w:tcW w:w="454" w:type="dxa"/>
            <w:vAlign w:val="center"/>
          </w:tcPr>
          <w:p w14:paraId="09EE6DA4">
            <w:pPr>
              <w:pStyle w:val="27"/>
              <w:rPr>
                <w:rFonts w:hAnsi="宋体" w:cs="宋体"/>
                <w:color w:val="auto"/>
                <w:szCs w:val="24"/>
                <w:highlight w:val="none"/>
              </w:rPr>
            </w:pPr>
          </w:p>
        </w:tc>
        <w:tc>
          <w:tcPr>
            <w:tcW w:w="454" w:type="dxa"/>
            <w:vAlign w:val="center"/>
          </w:tcPr>
          <w:p w14:paraId="4B13D60F">
            <w:pPr>
              <w:pStyle w:val="27"/>
              <w:rPr>
                <w:rFonts w:hAnsi="宋体" w:cs="宋体"/>
                <w:color w:val="auto"/>
                <w:szCs w:val="24"/>
                <w:highlight w:val="none"/>
              </w:rPr>
            </w:pPr>
          </w:p>
        </w:tc>
        <w:tc>
          <w:tcPr>
            <w:tcW w:w="454" w:type="dxa"/>
            <w:vAlign w:val="center"/>
          </w:tcPr>
          <w:p w14:paraId="29BD347C">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149860</wp:posOffset>
                      </wp:positionV>
                      <wp:extent cx="1130300" cy="1270"/>
                      <wp:effectExtent l="0" t="25400" r="12700" b="30480"/>
                      <wp:wrapNone/>
                      <wp:docPr id="7" name="直接连接符 7"/>
                      <wp:cNvGraphicFramePr/>
                      <a:graphic xmlns:a="http://schemas.openxmlformats.org/drawingml/2006/main">
                        <a:graphicData uri="http://schemas.microsoft.com/office/word/2010/wordprocessingShape">
                          <wps:wsp>
                            <wps:cNvCnPr/>
                            <wps:spPr>
                              <a:xfrm>
                                <a:off x="0" y="0"/>
                                <a:ext cx="1130300" cy="1270"/>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55pt;margin-top:11.8pt;height:0.1pt;width:89pt;z-index:251660288;mso-width-relative:page;mso-height-relative:page;" filled="f" stroked="t" coordsize="21600,21600" o:gfxdata="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NH+cDXAAAACAEAAA8AAAAAAAAAAQAgAAAAIgAAAGRycy9kb3ducmV2Lnht&#10;bFBLAQIUABQAAAAIAIdO4kBkpV8S+gEAAOgDAAAOAAAAAAAAAAEAIAAAACYBAABkcnMvZTJvRG9j&#10;LnhtbFBLBQYAAAAABgAGAFkBAACSBQAAAAA=&#10;">
                      <v:fill on="f" focussize="0,0"/>
                      <v:stroke weight="4pt" color="#5F5F5F" joinstyle="round"/>
                      <v:imagedata o:title=""/>
                      <o:lock v:ext="edit" aspectratio="f"/>
                    </v:line>
                  </w:pict>
                </mc:Fallback>
              </mc:AlternateContent>
            </w:r>
          </w:p>
        </w:tc>
        <w:tc>
          <w:tcPr>
            <w:tcW w:w="454" w:type="dxa"/>
            <w:vAlign w:val="center"/>
          </w:tcPr>
          <w:p w14:paraId="5B1601E7">
            <w:pPr>
              <w:pStyle w:val="27"/>
              <w:rPr>
                <w:rFonts w:hAnsi="宋体" w:cs="宋体"/>
                <w:color w:val="auto"/>
                <w:szCs w:val="24"/>
                <w:highlight w:val="none"/>
              </w:rPr>
            </w:pPr>
          </w:p>
        </w:tc>
        <w:tc>
          <w:tcPr>
            <w:tcW w:w="454" w:type="dxa"/>
            <w:vAlign w:val="center"/>
          </w:tcPr>
          <w:p w14:paraId="417148B8">
            <w:pPr>
              <w:pStyle w:val="27"/>
              <w:rPr>
                <w:rFonts w:hAnsi="宋体" w:cs="宋体"/>
                <w:color w:val="auto"/>
                <w:szCs w:val="24"/>
                <w:highlight w:val="none"/>
              </w:rPr>
            </w:pPr>
          </w:p>
        </w:tc>
        <w:tc>
          <w:tcPr>
            <w:tcW w:w="454" w:type="dxa"/>
            <w:vAlign w:val="center"/>
          </w:tcPr>
          <w:p w14:paraId="142F2FA2">
            <w:pPr>
              <w:pStyle w:val="27"/>
              <w:rPr>
                <w:rFonts w:hAnsi="宋体" w:cs="宋体"/>
                <w:color w:val="auto"/>
                <w:szCs w:val="24"/>
                <w:highlight w:val="none"/>
              </w:rPr>
            </w:pPr>
          </w:p>
        </w:tc>
        <w:tc>
          <w:tcPr>
            <w:tcW w:w="454" w:type="dxa"/>
            <w:vAlign w:val="center"/>
          </w:tcPr>
          <w:p w14:paraId="601805C5">
            <w:pPr>
              <w:pStyle w:val="27"/>
              <w:rPr>
                <w:rFonts w:hAnsi="宋体" w:cs="宋体"/>
                <w:color w:val="auto"/>
                <w:szCs w:val="24"/>
                <w:highlight w:val="none"/>
              </w:rPr>
            </w:pPr>
          </w:p>
        </w:tc>
        <w:tc>
          <w:tcPr>
            <w:tcW w:w="454" w:type="dxa"/>
            <w:vAlign w:val="center"/>
          </w:tcPr>
          <w:p w14:paraId="494225CA">
            <w:pPr>
              <w:pStyle w:val="27"/>
              <w:rPr>
                <w:rFonts w:hAnsi="宋体" w:cs="宋体"/>
                <w:color w:val="auto"/>
                <w:szCs w:val="24"/>
                <w:highlight w:val="none"/>
              </w:rPr>
            </w:pPr>
          </w:p>
        </w:tc>
        <w:tc>
          <w:tcPr>
            <w:tcW w:w="454" w:type="dxa"/>
            <w:vAlign w:val="center"/>
          </w:tcPr>
          <w:p w14:paraId="14E09030">
            <w:pPr>
              <w:pStyle w:val="27"/>
              <w:rPr>
                <w:rFonts w:hAnsi="宋体" w:cs="宋体"/>
                <w:color w:val="auto"/>
                <w:szCs w:val="24"/>
                <w:highlight w:val="none"/>
              </w:rPr>
            </w:pPr>
          </w:p>
        </w:tc>
        <w:tc>
          <w:tcPr>
            <w:tcW w:w="454" w:type="dxa"/>
            <w:vAlign w:val="center"/>
          </w:tcPr>
          <w:p w14:paraId="1E5672EE">
            <w:pPr>
              <w:pStyle w:val="27"/>
              <w:rPr>
                <w:rFonts w:hAnsi="宋体" w:cs="宋体"/>
                <w:color w:val="auto"/>
                <w:szCs w:val="24"/>
                <w:highlight w:val="none"/>
              </w:rPr>
            </w:pPr>
          </w:p>
        </w:tc>
        <w:tc>
          <w:tcPr>
            <w:tcW w:w="573" w:type="dxa"/>
            <w:vAlign w:val="center"/>
          </w:tcPr>
          <w:p w14:paraId="304F1433">
            <w:pPr>
              <w:pStyle w:val="27"/>
              <w:rPr>
                <w:rFonts w:hAnsi="宋体" w:cs="宋体"/>
                <w:color w:val="auto"/>
                <w:szCs w:val="24"/>
                <w:highlight w:val="none"/>
              </w:rPr>
            </w:pPr>
          </w:p>
        </w:tc>
      </w:tr>
      <w:tr w14:paraId="7EFF8E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660" w:type="dxa"/>
            <w:vAlign w:val="center"/>
          </w:tcPr>
          <w:p w14:paraId="7BBE7918">
            <w:pPr>
              <w:pStyle w:val="27"/>
              <w:rPr>
                <w:rFonts w:hAnsi="宋体" w:cs="宋体"/>
                <w:color w:val="auto"/>
                <w:sz w:val="21"/>
                <w:szCs w:val="21"/>
                <w:highlight w:val="none"/>
              </w:rPr>
            </w:pPr>
            <w:r>
              <w:rPr>
                <w:rFonts w:hint="eastAsia" w:hAnsi="宋体" w:cs="宋体"/>
                <w:color w:val="auto"/>
                <w:sz w:val="21"/>
                <w:szCs w:val="21"/>
                <w:highlight w:val="none"/>
              </w:rPr>
              <w:t>安装工程</w:t>
            </w:r>
          </w:p>
        </w:tc>
        <w:tc>
          <w:tcPr>
            <w:tcW w:w="454" w:type="dxa"/>
            <w:vAlign w:val="center"/>
          </w:tcPr>
          <w:p w14:paraId="6B721766">
            <w:pPr>
              <w:pStyle w:val="27"/>
              <w:rPr>
                <w:rFonts w:hAnsi="宋体" w:cs="宋体"/>
                <w:color w:val="auto"/>
                <w:szCs w:val="24"/>
                <w:highlight w:val="none"/>
              </w:rPr>
            </w:pPr>
          </w:p>
        </w:tc>
        <w:tc>
          <w:tcPr>
            <w:tcW w:w="454" w:type="dxa"/>
            <w:vAlign w:val="center"/>
          </w:tcPr>
          <w:p w14:paraId="43B51EF9">
            <w:pPr>
              <w:pStyle w:val="27"/>
              <w:rPr>
                <w:rFonts w:hAnsi="宋体" w:cs="宋体"/>
                <w:color w:val="auto"/>
                <w:szCs w:val="24"/>
                <w:highlight w:val="none"/>
              </w:rPr>
            </w:pPr>
          </w:p>
        </w:tc>
        <w:tc>
          <w:tcPr>
            <w:tcW w:w="454" w:type="dxa"/>
            <w:vAlign w:val="center"/>
          </w:tcPr>
          <w:p w14:paraId="6FF2064C">
            <w:pPr>
              <w:pStyle w:val="27"/>
              <w:rPr>
                <w:rFonts w:hAnsi="宋体" w:cs="宋体"/>
                <w:color w:val="auto"/>
                <w:szCs w:val="24"/>
                <w:highlight w:val="none"/>
              </w:rPr>
            </w:pPr>
          </w:p>
        </w:tc>
        <w:tc>
          <w:tcPr>
            <w:tcW w:w="454" w:type="dxa"/>
            <w:vAlign w:val="center"/>
          </w:tcPr>
          <w:p w14:paraId="274BADD1">
            <w:pPr>
              <w:pStyle w:val="27"/>
              <w:rPr>
                <w:rFonts w:hAnsi="宋体" w:cs="宋体"/>
                <w:color w:val="auto"/>
                <w:szCs w:val="24"/>
                <w:highlight w:val="none"/>
              </w:rPr>
            </w:pPr>
          </w:p>
        </w:tc>
        <w:tc>
          <w:tcPr>
            <w:tcW w:w="454" w:type="dxa"/>
            <w:vAlign w:val="center"/>
          </w:tcPr>
          <w:p w14:paraId="6F979CA1">
            <w:pPr>
              <w:pStyle w:val="27"/>
              <w:rPr>
                <w:rFonts w:hAnsi="宋体" w:cs="宋体"/>
                <w:color w:val="auto"/>
                <w:szCs w:val="24"/>
                <w:highlight w:val="none"/>
              </w:rPr>
            </w:pPr>
          </w:p>
        </w:tc>
        <w:tc>
          <w:tcPr>
            <w:tcW w:w="454" w:type="dxa"/>
            <w:vAlign w:val="center"/>
          </w:tcPr>
          <w:p w14:paraId="75539E26">
            <w:pPr>
              <w:pStyle w:val="27"/>
              <w:rPr>
                <w:rFonts w:hAnsi="宋体" w:cs="宋体"/>
                <w:color w:val="auto"/>
                <w:szCs w:val="24"/>
                <w:highlight w:val="none"/>
              </w:rPr>
            </w:pPr>
          </w:p>
        </w:tc>
        <w:tc>
          <w:tcPr>
            <w:tcW w:w="454" w:type="dxa"/>
            <w:vAlign w:val="center"/>
          </w:tcPr>
          <w:p w14:paraId="770A4F20">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261620</wp:posOffset>
                      </wp:positionH>
                      <wp:positionV relativeFrom="paragraph">
                        <wp:posOffset>133985</wp:posOffset>
                      </wp:positionV>
                      <wp:extent cx="857250" cy="2540"/>
                      <wp:effectExtent l="0" t="25400" r="0" b="29210"/>
                      <wp:wrapNone/>
                      <wp:docPr id="4" name="直接连接符 4"/>
                      <wp:cNvGraphicFramePr/>
                      <a:graphic xmlns:a="http://schemas.openxmlformats.org/drawingml/2006/main">
                        <a:graphicData uri="http://schemas.microsoft.com/office/word/2010/wordprocessingShape">
                          <wps:wsp>
                            <wps:cNvCnPr/>
                            <wps:spPr>
                              <a:xfrm>
                                <a:off x="0" y="0"/>
                                <a:ext cx="857250" cy="2540"/>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6pt;margin-top:10.55pt;height:0.2pt;width:67.5pt;z-index:251663360;mso-width-relative:page;mso-height-relative:page;" filled="f" stroked="t" coordsize="21600,21600" o:gfxdata="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PJpEtYAAAAIAQAADwAAAAAAAAABACAAAAAiAAAAZHJzL2Rvd25yZXYueG1s&#10;UEsBAhQAFAAAAAgAh07iQOjbzG76AQAA5wMAAA4AAAAAAAAAAQAgAAAAJQEAAGRycy9lMm9Eb2Mu&#10;eG1sUEsFBgAAAAAGAAYAWQEAAJEFAAAAAA==&#10;">
                      <v:fill on="f" focussize="0,0"/>
                      <v:stroke weight="4pt" color="#5F5F5F" joinstyle="round"/>
                      <v:imagedata o:title=""/>
                      <o:lock v:ext="edit" aspectratio="f"/>
                    </v:line>
                  </w:pict>
                </mc:Fallback>
              </mc:AlternateContent>
            </w:r>
          </w:p>
        </w:tc>
        <w:tc>
          <w:tcPr>
            <w:tcW w:w="454" w:type="dxa"/>
            <w:vAlign w:val="center"/>
          </w:tcPr>
          <w:p w14:paraId="2B40C01B">
            <w:pPr>
              <w:pStyle w:val="27"/>
              <w:rPr>
                <w:rFonts w:hAnsi="宋体" w:cs="宋体"/>
                <w:color w:val="auto"/>
                <w:szCs w:val="24"/>
                <w:highlight w:val="none"/>
              </w:rPr>
            </w:pPr>
          </w:p>
        </w:tc>
        <w:tc>
          <w:tcPr>
            <w:tcW w:w="454" w:type="dxa"/>
            <w:vAlign w:val="center"/>
          </w:tcPr>
          <w:p w14:paraId="16A4FBF5">
            <w:pPr>
              <w:pStyle w:val="27"/>
              <w:rPr>
                <w:rFonts w:hAnsi="宋体" w:cs="宋体"/>
                <w:color w:val="auto"/>
                <w:szCs w:val="24"/>
                <w:highlight w:val="none"/>
              </w:rPr>
            </w:pPr>
          </w:p>
        </w:tc>
        <w:tc>
          <w:tcPr>
            <w:tcW w:w="454" w:type="dxa"/>
            <w:vAlign w:val="center"/>
          </w:tcPr>
          <w:p w14:paraId="603987C0">
            <w:pPr>
              <w:pStyle w:val="27"/>
              <w:rPr>
                <w:rFonts w:hAnsi="宋体" w:cs="宋体"/>
                <w:color w:val="auto"/>
                <w:szCs w:val="24"/>
                <w:highlight w:val="none"/>
              </w:rPr>
            </w:pPr>
          </w:p>
        </w:tc>
        <w:tc>
          <w:tcPr>
            <w:tcW w:w="454" w:type="dxa"/>
            <w:vAlign w:val="center"/>
          </w:tcPr>
          <w:p w14:paraId="23A21065">
            <w:pPr>
              <w:pStyle w:val="27"/>
              <w:rPr>
                <w:rFonts w:hAnsi="宋体" w:cs="宋体"/>
                <w:color w:val="auto"/>
                <w:szCs w:val="24"/>
                <w:highlight w:val="none"/>
              </w:rPr>
            </w:pPr>
          </w:p>
        </w:tc>
        <w:tc>
          <w:tcPr>
            <w:tcW w:w="454" w:type="dxa"/>
            <w:vAlign w:val="center"/>
          </w:tcPr>
          <w:p w14:paraId="3F79E7DE">
            <w:pPr>
              <w:pStyle w:val="27"/>
              <w:rPr>
                <w:rFonts w:hAnsi="宋体" w:cs="宋体"/>
                <w:color w:val="auto"/>
                <w:szCs w:val="24"/>
                <w:highlight w:val="none"/>
              </w:rPr>
            </w:pPr>
          </w:p>
        </w:tc>
        <w:tc>
          <w:tcPr>
            <w:tcW w:w="573" w:type="dxa"/>
            <w:vAlign w:val="center"/>
          </w:tcPr>
          <w:p w14:paraId="7AFA18A4">
            <w:pPr>
              <w:pStyle w:val="27"/>
              <w:rPr>
                <w:rFonts w:hAnsi="宋体" w:cs="宋体"/>
                <w:color w:val="auto"/>
                <w:szCs w:val="24"/>
                <w:highlight w:val="none"/>
              </w:rPr>
            </w:pPr>
          </w:p>
        </w:tc>
      </w:tr>
      <w:tr w14:paraId="1FC83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660" w:type="dxa"/>
            <w:vAlign w:val="center"/>
          </w:tcPr>
          <w:p w14:paraId="467C77A2">
            <w:pPr>
              <w:pStyle w:val="27"/>
              <w:rPr>
                <w:rFonts w:hAnsi="宋体" w:cs="宋体"/>
                <w:color w:val="auto"/>
                <w:sz w:val="21"/>
                <w:szCs w:val="21"/>
                <w:highlight w:val="none"/>
              </w:rPr>
            </w:pPr>
            <w:r>
              <w:rPr>
                <w:rFonts w:hint="eastAsia" w:hAnsi="宋体" w:cs="宋体"/>
                <w:color w:val="auto"/>
                <w:sz w:val="21"/>
                <w:szCs w:val="21"/>
                <w:highlight w:val="none"/>
              </w:rPr>
              <w:t>调试与联机试车</w:t>
            </w:r>
          </w:p>
        </w:tc>
        <w:tc>
          <w:tcPr>
            <w:tcW w:w="454" w:type="dxa"/>
            <w:vAlign w:val="center"/>
          </w:tcPr>
          <w:p w14:paraId="185E7669">
            <w:pPr>
              <w:pStyle w:val="27"/>
              <w:rPr>
                <w:rFonts w:hAnsi="宋体" w:cs="宋体"/>
                <w:color w:val="auto"/>
                <w:szCs w:val="24"/>
                <w:highlight w:val="none"/>
              </w:rPr>
            </w:pPr>
          </w:p>
        </w:tc>
        <w:tc>
          <w:tcPr>
            <w:tcW w:w="454" w:type="dxa"/>
            <w:vAlign w:val="center"/>
          </w:tcPr>
          <w:p w14:paraId="4787AF32">
            <w:pPr>
              <w:pStyle w:val="27"/>
              <w:rPr>
                <w:rFonts w:hAnsi="宋体" w:cs="宋体"/>
                <w:color w:val="auto"/>
                <w:szCs w:val="24"/>
                <w:highlight w:val="none"/>
              </w:rPr>
            </w:pPr>
          </w:p>
        </w:tc>
        <w:tc>
          <w:tcPr>
            <w:tcW w:w="454" w:type="dxa"/>
            <w:vAlign w:val="center"/>
          </w:tcPr>
          <w:p w14:paraId="0340FDF0">
            <w:pPr>
              <w:pStyle w:val="27"/>
              <w:rPr>
                <w:rFonts w:hAnsi="宋体" w:cs="宋体"/>
                <w:color w:val="auto"/>
                <w:szCs w:val="24"/>
                <w:highlight w:val="none"/>
              </w:rPr>
            </w:pPr>
          </w:p>
        </w:tc>
        <w:tc>
          <w:tcPr>
            <w:tcW w:w="454" w:type="dxa"/>
            <w:vAlign w:val="center"/>
          </w:tcPr>
          <w:p w14:paraId="0D32F71F">
            <w:pPr>
              <w:pStyle w:val="27"/>
              <w:rPr>
                <w:rFonts w:hAnsi="宋体" w:cs="宋体"/>
                <w:color w:val="auto"/>
                <w:szCs w:val="24"/>
                <w:highlight w:val="none"/>
              </w:rPr>
            </w:pPr>
          </w:p>
        </w:tc>
        <w:tc>
          <w:tcPr>
            <w:tcW w:w="454" w:type="dxa"/>
            <w:vAlign w:val="center"/>
          </w:tcPr>
          <w:p w14:paraId="6483E733">
            <w:pPr>
              <w:pStyle w:val="27"/>
              <w:rPr>
                <w:rFonts w:hAnsi="宋体" w:cs="宋体"/>
                <w:color w:val="auto"/>
                <w:szCs w:val="24"/>
                <w:highlight w:val="none"/>
              </w:rPr>
            </w:pPr>
          </w:p>
        </w:tc>
        <w:tc>
          <w:tcPr>
            <w:tcW w:w="454" w:type="dxa"/>
            <w:vAlign w:val="center"/>
          </w:tcPr>
          <w:p w14:paraId="58C37D31">
            <w:pPr>
              <w:pStyle w:val="27"/>
              <w:rPr>
                <w:rFonts w:hAnsi="宋体" w:cs="宋体"/>
                <w:color w:val="auto"/>
                <w:szCs w:val="24"/>
                <w:highlight w:val="none"/>
              </w:rPr>
            </w:pPr>
          </w:p>
        </w:tc>
        <w:tc>
          <w:tcPr>
            <w:tcW w:w="454" w:type="dxa"/>
            <w:vAlign w:val="center"/>
          </w:tcPr>
          <w:p w14:paraId="0BA57528">
            <w:pPr>
              <w:pStyle w:val="27"/>
              <w:rPr>
                <w:rFonts w:hAnsi="宋体" w:cs="宋体"/>
                <w:color w:val="auto"/>
                <w:szCs w:val="24"/>
                <w:highlight w:val="none"/>
              </w:rPr>
            </w:pPr>
          </w:p>
        </w:tc>
        <w:tc>
          <w:tcPr>
            <w:tcW w:w="454" w:type="dxa"/>
            <w:vAlign w:val="center"/>
          </w:tcPr>
          <w:p w14:paraId="493E29A7">
            <w:pPr>
              <w:pStyle w:val="27"/>
              <w:rPr>
                <w:rFonts w:hAnsi="宋体" w:cs="宋体"/>
                <w:color w:val="auto"/>
                <w:szCs w:val="24"/>
                <w:highlight w:val="none"/>
              </w:rPr>
            </w:pPr>
          </w:p>
        </w:tc>
        <w:tc>
          <w:tcPr>
            <w:tcW w:w="454" w:type="dxa"/>
            <w:vAlign w:val="center"/>
          </w:tcPr>
          <w:p w14:paraId="4182DF3C">
            <w:pPr>
              <w:pStyle w:val="27"/>
              <w:rPr>
                <w:rFonts w:hAnsi="宋体" w:cs="宋体"/>
                <w:color w:val="auto"/>
                <w:szCs w:val="24"/>
                <w:highlight w:val="none"/>
              </w:rPr>
            </w:pPr>
          </w:p>
        </w:tc>
        <w:tc>
          <w:tcPr>
            <w:tcW w:w="454" w:type="dxa"/>
            <w:vAlign w:val="center"/>
          </w:tcPr>
          <w:p w14:paraId="17DDD64F">
            <w:pPr>
              <w:pStyle w:val="27"/>
              <w:rPr>
                <w:rFonts w:hAnsi="宋体" w:cs="宋体"/>
                <w:color w:val="auto"/>
                <w:szCs w:val="24"/>
                <w:highlight w:val="none"/>
              </w:rPr>
            </w:pPr>
          </w:p>
        </w:tc>
        <w:tc>
          <w:tcPr>
            <w:tcW w:w="454" w:type="dxa"/>
            <w:vAlign w:val="center"/>
          </w:tcPr>
          <w:p w14:paraId="64525CA9">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180340</wp:posOffset>
                      </wp:positionV>
                      <wp:extent cx="265430" cy="3175"/>
                      <wp:effectExtent l="0" t="25400" r="1270" b="28575"/>
                      <wp:wrapNone/>
                      <wp:docPr id="5" name="直接连接符 5"/>
                      <wp:cNvGraphicFramePr/>
                      <a:graphic xmlns:a="http://schemas.openxmlformats.org/drawingml/2006/main">
                        <a:graphicData uri="http://schemas.microsoft.com/office/word/2010/wordprocessingShape">
                          <wps:wsp>
                            <wps:cNvCnPr/>
                            <wps:spPr>
                              <a:xfrm flipV="1">
                                <a:off x="0" y="0"/>
                                <a:ext cx="265430" cy="3175"/>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0.35pt;margin-top:14.2pt;height:0.25pt;width:20.9pt;z-index:251666432;mso-width-relative:page;mso-height-relative:page;" filled="f" stroked="t" coordsize="21600,21600" o:gfxdata="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03y0P1AAAAAUBAAAPAAAAAAAAAAEAIAAAACIAAABkcnMvZG93bnJl&#10;di54bWxQSwECFAAUAAAACACHTuJA/IZMfQECAADxAwAADgAAAAAAAAABACAAAAAjAQAAZHJzL2Uy&#10;b0RvYy54bWxQSwUGAAAAAAYABgBZAQAAlgUAAAAA&#10;">
                      <v:fill on="f" focussize="0,0"/>
                      <v:stroke weight="4pt" color="#5F5F5F" joinstyle="round"/>
                      <v:imagedata o:title=""/>
                      <o:lock v:ext="edit" aspectratio="f"/>
                    </v:line>
                  </w:pict>
                </mc:Fallback>
              </mc:AlternateContent>
            </w:r>
          </w:p>
        </w:tc>
        <w:tc>
          <w:tcPr>
            <w:tcW w:w="454" w:type="dxa"/>
            <w:vAlign w:val="center"/>
          </w:tcPr>
          <w:p w14:paraId="230E7A3A">
            <w:pPr>
              <w:pStyle w:val="27"/>
              <w:rPr>
                <w:rFonts w:hAnsi="宋体" w:cs="宋体"/>
                <w:color w:val="auto"/>
                <w:szCs w:val="24"/>
                <w:highlight w:val="none"/>
              </w:rPr>
            </w:pPr>
          </w:p>
        </w:tc>
        <w:tc>
          <w:tcPr>
            <w:tcW w:w="573" w:type="dxa"/>
            <w:vAlign w:val="center"/>
          </w:tcPr>
          <w:p w14:paraId="423AD8A5">
            <w:pPr>
              <w:pStyle w:val="27"/>
              <w:rPr>
                <w:rFonts w:hAnsi="宋体" w:cs="宋体"/>
                <w:color w:val="auto"/>
                <w:szCs w:val="24"/>
                <w:highlight w:val="none"/>
              </w:rPr>
            </w:pPr>
          </w:p>
        </w:tc>
      </w:tr>
      <w:tr w14:paraId="30D39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exact"/>
          <w:jc w:val="center"/>
        </w:trPr>
        <w:tc>
          <w:tcPr>
            <w:tcW w:w="1660" w:type="dxa"/>
            <w:vAlign w:val="center"/>
          </w:tcPr>
          <w:p w14:paraId="205310C4">
            <w:pPr>
              <w:pStyle w:val="27"/>
              <w:rPr>
                <w:rFonts w:hAnsi="宋体" w:cs="宋体"/>
                <w:color w:val="auto"/>
                <w:sz w:val="21"/>
                <w:szCs w:val="21"/>
                <w:highlight w:val="none"/>
              </w:rPr>
            </w:pPr>
            <w:r>
              <w:rPr>
                <w:rFonts w:hint="eastAsia" w:hAnsi="宋体" w:cs="宋体"/>
                <w:color w:val="auto"/>
                <w:sz w:val="21"/>
                <w:szCs w:val="21"/>
                <w:highlight w:val="none"/>
              </w:rPr>
              <w:t>投料试车与考核</w:t>
            </w:r>
          </w:p>
        </w:tc>
        <w:tc>
          <w:tcPr>
            <w:tcW w:w="454" w:type="dxa"/>
            <w:vAlign w:val="center"/>
          </w:tcPr>
          <w:p w14:paraId="5C0F067D">
            <w:pPr>
              <w:pStyle w:val="27"/>
              <w:rPr>
                <w:rFonts w:hAnsi="宋体" w:cs="宋体"/>
                <w:color w:val="auto"/>
                <w:szCs w:val="24"/>
                <w:highlight w:val="none"/>
              </w:rPr>
            </w:pPr>
          </w:p>
        </w:tc>
        <w:tc>
          <w:tcPr>
            <w:tcW w:w="454" w:type="dxa"/>
            <w:vAlign w:val="center"/>
          </w:tcPr>
          <w:p w14:paraId="452CF528">
            <w:pPr>
              <w:pStyle w:val="27"/>
              <w:rPr>
                <w:rFonts w:hAnsi="宋体" w:cs="宋体"/>
                <w:color w:val="auto"/>
                <w:szCs w:val="24"/>
                <w:highlight w:val="none"/>
              </w:rPr>
            </w:pPr>
          </w:p>
        </w:tc>
        <w:tc>
          <w:tcPr>
            <w:tcW w:w="454" w:type="dxa"/>
            <w:vAlign w:val="center"/>
          </w:tcPr>
          <w:p w14:paraId="0F2E130A">
            <w:pPr>
              <w:pStyle w:val="27"/>
              <w:rPr>
                <w:rFonts w:hAnsi="宋体" w:cs="宋体"/>
                <w:color w:val="auto"/>
                <w:szCs w:val="24"/>
                <w:highlight w:val="none"/>
              </w:rPr>
            </w:pPr>
          </w:p>
        </w:tc>
        <w:tc>
          <w:tcPr>
            <w:tcW w:w="454" w:type="dxa"/>
            <w:vAlign w:val="center"/>
          </w:tcPr>
          <w:p w14:paraId="19884C7E">
            <w:pPr>
              <w:pStyle w:val="27"/>
              <w:rPr>
                <w:rFonts w:hAnsi="宋体" w:cs="宋体"/>
                <w:color w:val="auto"/>
                <w:szCs w:val="24"/>
                <w:highlight w:val="none"/>
              </w:rPr>
            </w:pPr>
          </w:p>
        </w:tc>
        <w:tc>
          <w:tcPr>
            <w:tcW w:w="454" w:type="dxa"/>
            <w:vAlign w:val="center"/>
          </w:tcPr>
          <w:p w14:paraId="1DEE47E8">
            <w:pPr>
              <w:pStyle w:val="27"/>
              <w:rPr>
                <w:rFonts w:hAnsi="宋体" w:cs="宋体"/>
                <w:color w:val="auto"/>
                <w:szCs w:val="24"/>
                <w:highlight w:val="none"/>
              </w:rPr>
            </w:pPr>
          </w:p>
        </w:tc>
        <w:tc>
          <w:tcPr>
            <w:tcW w:w="454" w:type="dxa"/>
            <w:vAlign w:val="center"/>
          </w:tcPr>
          <w:p w14:paraId="25A0363D">
            <w:pPr>
              <w:pStyle w:val="27"/>
              <w:rPr>
                <w:rFonts w:hAnsi="宋体" w:cs="宋体"/>
                <w:color w:val="auto"/>
                <w:szCs w:val="24"/>
                <w:highlight w:val="none"/>
              </w:rPr>
            </w:pPr>
          </w:p>
        </w:tc>
        <w:tc>
          <w:tcPr>
            <w:tcW w:w="454" w:type="dxa"/>
            <w:vAlign w:val="center"/>
          </w:tcPr>
          <w:p w14:paraId="5F91C804">
            <w:pPr>
              <w:pStyle w:val="27"/>
              <w:rPr>
                <w:rFonts w:hAnsi="宋体" w:cs="宋体"/>
                <w:color w:val="auto"/>
                <w:szCs w:val="24"/>
                <w:highlight w:val="none"/>
              </w:rPr>
            </w:pPr>
          </w:p>
        </w:tc>
        <w:tc>
          <w:tcPr>
            <w:tcW w:w="454" w:type="dxa"/>
            <w:vAlign w:val="center"/>
          </w:tcPr>
          <w:p w14:paraId="5294F6EE">
            <w:pPr>
              <w:pStyle w:val="27"/>
              <w:rPr>
                <w:rFonts w:hAnsi="宋体" w:cs="宋体"/>
                <w:color w:val="auto"/>
                <w:szCs w:val="24"/>
                <w:highlight w:val="none"/>
              </w:rPr>
            </w:pPr>
          </w:p>
        </w:tc>
        <w:tc>
          <w:tcPr>
            <w:tcW w:w="454" w:type="dxa"/>
            <w:vAlign w:val="center"/>
          </w:tcPr>
          <w:p w14:paraId="16BC4890">
            <w:pPr>
              <w:pStyle w:val="27"/>
              <w:rPr>
                <w:rFonts w:hAnsi="宋体" w:cs="宋体"/>
                <w:color w:val="auto"/>
                <w:szCs w:val="24"/>
                <w:highlight w:val="none"/>
              </w:rPr>
            </w:pPr>
          </w:p>
        </w:tc>
        <w:tc>
          <w:tcPr>
            <w:tcW w:w="454" w:type="dxa"/>
            <w:vAlign w:val="center"/>
          </w:tcPr>
          <w:p w14:paraId="23144744">
            <w:pPr>
              <w:pStyle w:val="27"/>
              <w:rPr>
                <w:rFonts w:hAnsi="宋体" w:cs="宋体"/>
                <w:color w:val="auto"/>
                <w:szCs w:val="24"/>
                <w:highlight w:val="none"/>
              </w:rPr>
            </w:pPr>
          </w:p>
        </w:tc>
        <w:tc>
          <w:tcPr>
            <w:tcW w:w="454" w:type="dxa"/>
            <w:vAlign w:val="center"/>
          </w:tcPr>
          <w:p w14:paraId="3BE70B20">
            <w:pPr>
              <w:pStyle w:val="27"/>
              <w:rPr>
                <w:rFonts w:hAnsi="宋体" w:cs="宋体"/>
                <w:color w:val="auto"/>
                <w:szCs w:val="24"/>
                <w:highlight w:val="none"/>
              </w:rPr>
            </w:pPr>
          </w:p>
        </w:tc>
        <w:tc>
          <w:tcPr>
            <w:tcW w:w="454" w:type="dxa"/>
            <w:vAlign w:val="center"/>
          </w:tcPr>
          <w:p w14:paraId="3C48F258">
            <w:pPr>
              <w:pStyle w:val="27"/>
              <w:rPr>
                <w:rFonts w:hAnsi="宋体" w:cs="宋体"/>
                <w:color w:val="auto"/>
                <w:szCs w:val="24"/>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31750</wp:posOffset>
                      </wp:positionH>
                      <wp:positionV relativeFrom="paragraph">
                        <wp:posOffset>172085</wp:posOffset>
                      </wp:positionV>
                      <wp:extent cx="252095" cy="5080"/>
                      <wp:effectExtent l="635" t="25400" r="13970" b="26670"/>
                      <wp:wrapNone/>
                      <wp:docPr id="8" name="直接连接符 8"/>
                      <wp:cNvGraphicFramePr/>
                      <a:graphic xmlns:a="http://schemas.openxmlformats.org/drawingml/2006/main">
                        <a:graphicData uri="http://schemas.microsoft.com/office/word/2010/wordprocessingShape">
                          <wps:wsp>
                            <wps:cNvCnPr/>
                            <wps:spPr>
                              <a:xfrm flipV="1">
                                <a:off x="0" y="0"/>
                                <a:ext cx="252095" cy="5080"/>
                              </a:xfrm>
                              <a:prstGeom prst="line">
                                <a:avLst/>
                              </a:prstGeom>
                              <a:ln w="50800" cap="flat" cmpd="sng">
                                <a:solidFill>
                                  <a:srgbClr val="5F5F5F"/>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pt;margin-top:13.55pt;height:0.4pt;width:19.85pt;z-index:251661312;mso-width-relative:page;mso-height-relative:page;" filled="f" stroked="t" coordsize="21600,21600" o:gfxdata="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5FLNvWAAAABgEAAA8AAAAAAAAAAQAgAAAAIgAAAGRycy9kb3ducmV2&#10;LnhtbFBLAQIUABQAAAAIAIdO4kCBXhtf/gEAAPEDAAAOAAAAAAAAAAEAIAAAACUBAABkcnMvZTJv&#10;RG9jLnhtbFBLBQYAAAAABgAGAFkBAACVBQAAAAA=&#10;">
                      <v:fill on="f" focussize="0,0"/>
                      <v:stroke weight="4pt" color="#5F5F5F" joinstyle="round"/>
                      <v:imagedata o:title=""/>
                      <o:lock v:ext="edit" aspectratio="f"/>
                    </v:line>
                  </w:pict>
                </mc:Fallback>
              </mc:AlternateContent>
            </w:r>
          </w:p>
        </w:tc>
        <w:tc>
          <w:tcPr>
            <w:tcW w:w="573" w:type="dxa"/>
            <w:vAlign w:val="center"/>
          </w:tcPr>
          <w:p w14:paraId="3E84F2E5">
            <w:pPr>
              <w:pStyle w:val="27"/>
              <w:rPr>
                <w:rFonts w:hAnsi="宋体" w:cs="宋体"/>
                <w:color w:val="auto"/>
                <w:szCs w:val="24"/>
                <w:highlight w:val="none"/>
              </w:rPr>
            </w:pPr>
          </w:p>
        </w:tc>
      </w:tr>
    </w:tbl>
    <w:p w14:paraId="067A328F">
      <w:pPr>
        <w:rPr>
          <w:color w:val="auto"/>
          <w:highlight w:val="none"/>
        </w:rPr>
      </w:pPr>
    </w:p>
    <w:p w14:paraId="7785B826">
      <w:pPr>
        <w:rPr>
          <w:color w:val="auto"/>
          <w:highlight w:val="none"/>
        </w:rPr>
      </w:pPr>
    </w:p>
    <w:p w14:paraId="71CC95E8">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29B82730">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1267" w:name="_Toc11363_WPSOffice_Level1"/>
      <w:bookmarkStart w:id="1268" w:name="_Toc1875"/>
      <w:bookmarkStart w:id="1269" w:name="_Toc32261"/>
      <w:bookmarkStart w:id="1270" w:name="_Toc15218_WPSOffice_Level1"/>
      <w:bookmarkStart w:id="1271" w:name="_Toc20612_WPSOffice_Level1"/>
      <w:bookmarkStart w:id="1272" w:name="_Toc14063"/>
      <w:bookmarkStart w:id="1273" w:name="_Toc9340_WPSOffice_Level1"/>
      <w:r>
        <w:rPr>
          <w:rFonts w:hint="eastAsia" w:ascii="宋体" w:hAnsi="宋体" w:eastAsia="宋体" w:cs="宋体"/>
          <w:b/>
          <w:bCs w:val="0"/>
          <w:color w:val="auto"/>
          <w:sz w:val="32"/>
          <w:szCs w:val="32"/>
          <w:highlight w:val="none"/>
          <w:lang w:val="zh-CN"/>
        </w:rPr>
        <w:t>第十四章 投资估算与资金筹措</w:t>
      </w:r>
      <w:bookmarkEnd w:id="1267"/>
      <w:bookmarkEnd w:id="1268"/>
      <w:bookmarkEnd w:id="1269"/>
      <w:bookmarkEnd w:id="1270"/>
      <w:bookmarkEnd w:id="1271"/>
      <w:bookmarkEnd w:id="1272"/>
      <w:bookmarkEnd w:id="1273"/>
    </w:p>
    <w:p w14:paraId="57194B79">
      <w:pPr>
        <w:pStyle w:val="21"/>
        <w:numPr>
          <w:ilvl w:val="0"/>
          <w:numId w:val="2"/>
        </w:numPr>
        <w:spacing w:line="560" w:lineRule="exact"/>
        <w:ind w:firstLine="560"/>
        <w:jc w:val="left"/>
        <w:outlineLvl w:val="1"/>
        <w:rPr>
          <w:rStyle w:val="26"/>
          <w:rFonts w:asciiTheme="minorEastAsia" w:hAnsiTheme="minorEastAsia" w:eastAsiaTheme="minorEastAsia" w:cstheme="minorEastAsia"/>
          <w:vanish/>
          <w:color w:val="auto"/>
          <w:sz w:val="28"/>
          <w:szCs w:val="28"/>
          <w:highlight w:val="none"/>
        </w:rPr>
      </w:pPr>
      <w:bookmarkStart w:id="1274" w:name="_Toc474941326"/>
      <w:bookmarkEnd w:id="1274"/>
      <w:bookmarkStart w:id="1275" w:name="_Toc475520108"/>
      <w:bookmarkEnd w:id="1275"/>
      <w:bookmarkStart w:id="1276" w:name="_Toc467419462"/>
      <w:bookmarkEnd w:id="1276"/>
      <w:bookmarkStart w:id="1277" w:name="_Toc470509398"/>
      <w:bookmarkEnd w:id="1277"/>
      <w:bookmarkStart w:id="1278" w:name="_Toc485071839"/>
      <w:bookmarkEnd w:id="1278"/>
      <w:bookmarkStart w:id="1279" w:name="_Toc485072525"/>
      <w:bookmarkEnd w:id="1279"/>
      <w:bookmarkStart w:id="1280" w:name="_Toc496512804"/>
      <w:bookmarkEnd w:id="1280"/>
      <w:bookmarkStart w:id="1281" w:name="_Toc467418935"/>
      <w:bookmarkEnd w:id="1281"/>
      <w:bookmarkStart w:id="1282" w:name="_Toc485073131"/>
      <w:bookmarkEnd w:id="1282"/>
      <w:bookmarkStart w:id="1283" w:name="_Toc468190080"/>
      <w:bookmarkEnd w:id="1283"/>
      <w:bookmarkStart w:id="1284" w:name="_Toc485131031"/>
      <w:bookmarkEnd w:id="1284"/>
      <w:bookmarkStart w:id="1285" w:name="_Toc485072727"/>
      <w:bookmarkEnd w:id="1285"/>
      <w:bookmarkStart w:id="1286" w:name="_Toc485079204"/>
      <w:bookmarkEnd w:id="1286"/>
      <w:bookmarkStart w:id="1287" w:name="_Toc485072929"/>
      <w:bookmarkEnd w:id="1287"/>
      <w:bookmarkStart w:id="1288" w:name="_Toc485131234"/>
      <w:bookmarkEnd w:id="1288"/>
      <w:bookmarkStart w:id="1289" w:name="_Toc485148835"/>
      <w:bookmarkEnd w:id="1289"/>
      <w:bookmarkStart w:id="1290" w:name="_Toc485071637"/>
      <w:bookmarkEnd w:id="1290"/>
      <w:bookmarkStart w:id="1291" w:name="_Toc22050"/>
      <w:bookmarkEnd w:id="1291"/>
      <w:bookmarkStart w:id="1292" w:name="_Toc486495651"/>
      <w:bookmarkEnd w:id="1292"/>
      <w:bookmarkStart w:id="1293" w:name="_Toc485139380"/>
      <w:bookmarkEnd w:id="1293"/>
      <w:bookmarkStart w:id="1294" w:name="_Toc472090548"/>
      <w:bookmarkEnd w:id="1294"/>
      <w:bookmarkStart w:id="1295" w:name="_Toc472090973"/>
      <w:bookmarkEnd w:id="1295"/>
      <w:bookmarkStart w:id="1296" w:name="_Toc497731222"/>
      <w:bookmarkEnd w:id="1296"/>
      <w:bookmarkStart w:id="1297" w:name="_Toc467420307"/>
      <w:bookmarkEnd w:id="1297"/>
      <w:bookmarkStart w:id="1298" w:name="_Toc486495381"/>
      <w:bookmarkEnd w:id="1298"/>
      <w:bookmarkStart w:id="1299" w:name="_Toc492900320"/>
      <w:bookmarkEnd w:id="1299"/>
      <w:bookmarkStart w:id="1300" w:name="_Toc485139582"/>
      <w:bookmarkEnd w:id="1300"/>
      <w:bookmarkStart w:id="1301" w:name="_Toc493755221"/>
      <w:bookmarkEnd w:id="1301"/>
    </w:p>
    <w:p w14:paraId="7520BC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宋体" w:hAnsi="宋体" w:eastAsia="宋体" w:cs="宋体"/>
          <w:bCs/>
          <w:color w:val="auto"/>
          <w:kern w:val="0"/>
          <w:sz w:val="28"/>
          <w:szCs w:val="28"/>
          <w:highlight w:val="none"/>
          <w:lang w:val="en-US" w:eastAsia="zh-CN"/>
        </w:rPr>
      </w:pPr>
      <w:bookmarkStart w:id="1302" w:name="_Toc548_WPSOffice_Level2"/>
      <w:bookmarkStart w:id="1303" w:name="_Toc31697_WPSOffice_Level2"/>
      <w:bookmarkStart w:id="1304" w:name="_Toc7845_WPSOffice_Level2"/>
      <w:bookmarkStart w:id="1305" w:name="_Toc27157"/>
      <w:bookmarkStart w:id="1306" w:name="_Toc20499_WPSOffice_Level2"/>
      <w:bookmarkStart w:id="1307" w:name="_Toc20158"/>
      <w:r>
        <w:rPr>
          <w:rFonts w:hint="eastAsia" w:ascii="宋体" w:hAnsi="宋体" w:eastAsia="宋体" w:cs="宋体"/>
          <w:bCs/>
          <w:color w:val="auto"/>
          <w:kern w:val="0"/>
          <w:sz w:val="28"/>
          <w:szCs w:val="28"/>
          <w:highlight w:val="none"/>
          <w:lang w:val="en-US" w:eastAsia="zh-CN"/>
        </w:rPr>
        <w:t>14.1投资估算的范围</w:t>
      </w:r>
      <w:bookmarkEnd w:id="1302"/>
      <w:bookmarkEnd w:id="1303"/>
      <w:bookmarkEnd w:id="1304"/>
      <w:bookmarkEnd w:id="1305"/>
      <w:bookmarkEnd w:id="1306"/>
      <w:bookmarkEnd w:id="1307"/>
    </w:p>
    <w:p w14:paraId="2DC709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r>
        <w:rPr>
          <w:rFonts w:hint="eastAsia" w:ascii="宋体" w:hAnsi="宋体" w:eastAsia="宋体" w:cs="宋体"/>
          <w:bCs/>
          <w:color w:val="auto"/>
          <w:kern w:val="0"/>
          <w:sz w:val="28"/>
          <w:szCs w:val="28"/>
          <w:highlight w:val="none"/>
          <w:lang w:val="en-US" w:eastAsia="zh-CN"/>
        </w:rPr>
        <w:t>本投资估算是：江苏索普新材料科技有限公司新增储罐项目装置的全部费用。本项目经济评价按上述规模进行测算。</w:t>
      </w:r>
    </w:p>
    <w:p w14:paraId="2FF698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宋体" w:hAnsi="宋体" w:eastAsia="宋体" w:cs="宋体"/>
          <w:bCs/>
          <w:color w:val="auto"/>
          <w:kern w:val="0"/>
          <w:sz w:val="28"/>
          <w:szCs w:val="28"/>
          <w:highlight w:val="none"/>
          <w:lang w:val="en-US" w:eastAsia="zh-CN"/>
        </w:rPr>
      </w:pPr>
      <w:bookmarkStart w:id="1308" w:name="_Toc188"/>
      <w:bookmarkStart w:id="1309" w:name="_Toc22212_WPSOffice_Level2"/>
      <w:bookmarkStart w:id="1310" w:name="_Toc3843_WPSOffice_Level2"/>
      <w:bookmarkStart w:id="1311" w:name="_Toc2030"/>
      <w:bookmarkStart w:id="1312" w:name="_Toc26079"/>
      <w:bookmarkStart w:id="1313" w:name="_Toc1481_WPSOffice_Level2"/>
      <w:bookmarkStart w:id="1314" w:name="_Toc31674_WPSOffice_Level2"/>
      <w:r>
        <w:rPr>
          <w:rFonts w:hint="eastAsia" w:ascii="宋体" w:hAnsi="宋体" w:eastAsia="宋体" w:cs="宋体"/>
          <w:bCs/>
          <w:color w:val="auto"/>
          <w:kern w:val="0"/>
          <w:sz w:val="28"/>
          <w:szCs w:val="28"/>
          <w:highlight w:val="none"/>
          <w:lang w:val="en-US" w:eastAsia="zh-CN"/>
        </w:rPr>
        <w:t>14.2编制依据</w:t>
      </w:r>
      <w:bookmarkEnd w:id="1308"/>
      <w:bookmarkEnd w:id="1309"/>
      <w:bookmarkEnd w:id="1310"/>
      <w:bookmarkEnd w:id="1311"/>
      <w:bookmarkEnd w:id="1312"/>
      <w:bookmarkEnd w:id="1313"/>
      <w:bookmarkEnd w:id="1314"/>
    </w:p>
    <w:p w14:paraId="5FFC9E01">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bookmarkStart w:id="1315" w:name="_Toc12962"/>
      <w:bookmarkStart w:id="1316" w:name="_Toc19552_WPSOffice_Level2"/>
      <w:bookmarkStart w:id="1317" w:name="_Toc21548_WPSOffice_Level2"/>
      <w:bookmarkStart w:id="1318" w:name="_Toc29900_WPSOffice_Level2"/>
      <w:bookmarkStart w:id="1319" w:name="_Toc31744"/>
      <w:bookmarkStart w:id="1320" w:name="_Toc23130_WPSOffice_Level2"/>
      <w:r>
        <w:rPr>
          <w:rStyle w:val="26"/>
          <w:rFonts w:ascii="宋体" w:hAnsi="宋体" w:eastAsia="宋体" w:cs="宋体"/>
          <w:color w:val="auto"/>
          <w:sz w:val="28"/>
          <w:szCs w:val="28"/>
          <w:highlight w:val="none"/>
        </w:rPr>
        <w:t>1</w:t>
      </w:r>
      <w:r>
        <w:rPr>
          <w:rStyle w:val="26"/>
          <w:rFonts w:hint="eastAsia" w:ascii="宋体" w:hAnsi="宋体" w:eastAsia="宋体" w:cs="宋体"/>
          <w:color w:val="auto"/>
          <w:sz w:val="28"/>
          <w:szCs w:val="28"/>
          <w:highlight w:val="none"/>
        </w:rPr>
        <w:t>）本项目按照国家计委和建设部共同编制《建设项目经济评价方法与参数》第三版及国家对企业的有关法规及文件编制。</w:t>
      </w:r>
    </w:p>
    <w:p w14:paraId="3DE3B2A1">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r>
        <w:rPr>
          <w:rStyle w:val="26"/>
          <w:rFonts w:ascii="宋体" w:hAnsi="宋体" w:eastAsia="宋体" w:cs="宋体"/>
          <w:color w:val="auto"/>
          <w:sz w:val="28"/>
          <w:szCs w:val="28"/>
          <w:highlight w:val="none"/>
        </w:rPr>
        <w:t>2</w:t>
      </w:r>
      <w:r>
        <w:rPr>
          <w:rStyle w:val="26"/>
          <w:rFonts w:hint="eastAsia" w:ascii="宋体" w:hAnsi="宋体" w:eastAsia="宋体" w:cs="宋体"/>
          <w:color w:val="auto"/>
          <w:sz w:val="28"/>
          <w:szCs w:val="28"/>
          <w:highlight w:val="none"/>
        </w:rPr>
        <w:t>）化学工业部《工程建设其它费用编制规定》</w:t>
      </w:r>
      <w:r>
        <w:rPr>
          <w:rStyle w:val="26"/>
          <w:rFonts w:ascii="宋体" w:hAnsi="宋体" w:eastAsia="宋体" w:cs="宋体"/>
          <w:color w:val="auto"/>
          <w:sz w:val="28"/>
          <w:szCs w:val="28"/>
          <w:highlight w:val="none"/>
        </w:rPr>
        <w:t>1995</w:t>
      </w:r>
      <w:r>
        <w:rPr>
          <w:rStyle w:val="26"/>
          <w:rFonts w:hint="eastAsia" w:ascii="宋体" w:hAnsi="宋体" w:eastAsia="宋体" w:cs="宋体"/>
          <w:color w:val="auto"/>
          <w:sz w:val="28"/>
          <w:szCs w:val="28"/>
          <w:highlight w:val="none"/>
        </w:rPr>
        <w:t>。</w:t>
      </w:r>
    </w:p>
    <w:p w14:paraId="0AF2E3AE">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r>
        <w:rPr>
          <w:rStyle w:val="26"/>
          <w:rFonts w:ascii="宋体" w:hAnsi="宋体" w:eastAsia="宋体" w:cs="宋体"/>
          <w:color w:val="auto"/>
          <w:sz w:val="28"/>
          <w:szCs w:val="28"/>
          <w:highlight w:val="none"/>
        </w:rPr>
        <w:t>3</w:t>
      </w:r>
      <w:r>
        <w:rPr>
          <w:rStyle w:val="26"/>
          <w:rFonts w:hint="eastAsia" w:ascii="宋体" w:hAnsi="宋体" w:eastAsia="宋体" w:cs="宋体"/>
          <w:color w:val="auto"/>
          <w:sz w:val="28"/>
          <w:szCs w:val="28"/>
          <w:highlight w:val="none"/>
        </w:rPr>
        <w:t>）《化工建设建筑安装工程费用定额》</w:t>
      </w:r>
    </w:p>
    <w:p w14:paraId="5430FCBA">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r>
        <w:rPr>
          <w:rStyle w:val="26"/>
          <w:rFonts w:ascii="宋体" w:hAnsi="宋体" w:eastAsia="宋体" w:cs="宋体"/>
          <w:color w:val="auto"/>
          <w:sz w:val="28"/>
          <w:szCs w:val="28"/>
          <w:highlight w:val="none"/>
        </w:rPr>
        <w:t>4</w:t>
      </w:r>
      <w:r>
        <w:rPr>
          <w:rStyle w:val="26"/>
          <w:rFonts w:hint="eastAsia" w:ascii="宋体" w:hAnsi="宋体" w:eastAsia="宋体" w:cs="宋体"/>
          <w:color w:val="auto"/>
          <w:sz w:val="28"/>
          <w:szCs w:val="28"/>
          <w:highlight w:val="none"/>
        </w:rPr>
        <w:t>）《江苏省建设工程费用定额》苏建价（</w:t>
      </w:r>
      <w:r>
        <w:rPr>
          <w:rStyle w:val="26"/>
          <w:rFonts w:ascii="宋体" w:hAnsi="宋体" w:eastAsia="宋体" w:cs="宋体"/>
          <w:color w:val="auto"/>
          <w:sz w:val="28"/>
          <w:szCs w:val="28"/>
          <w:highlight w:val="none"/>
        </w:rPr>
        <w:t>2014</w:t>
      </w:r>
      <w:r>
        <w:rPr>
          <w:rStyle w:val="26"/>
          <w:rFonts w:hint="eastAsia" w:ascii="宋体" w:hAnsi="宋体" w:eastAsia="宋体" w:cs="宋体"/>
          <w:color w:val="auto"/>
          <w:sz w:val="28"/>
          <w:szCs w:val="28"/>
          <w:highlight w:val="none"/>
        </w:rPr>
        <w:t>）</w:t>
      </w:r>
      <w:r>
        <w:rPr>
          <w:rStyle w:val="26"/>
          <w:rFonts w:ascii="宋体" w:hAnsi="宋体" w:eastAsia="宋体" w:cs="宋体"/>
          <w:color w:val="auto"/>
          <w:sz w:val="28"/>
          <w:szCs w:val="28"/>
          <w:highlight w:val="none"/>
        </w:rPr>
        <w:t>299</w:t>
      </w:r>
      <w:r>
        <w:rPr>
          <w:rStyle w:val="26"/>
          <w:rFonts w:hint="eastAsia" w:ascii="宋体" w:hAnsi="宋体" w:eastAsia="宋体" w:cs="宋体"/>
          <w:color w:val="auto"/>
          <w:sz w:val="28"/>
          <w:szCs w:val="28"/>
          <w:highlight w:val="none"/>
        </w:rPr>
        <w:t>号以及镇江市有关文件。</w:t>
      </w:r>
    </w:p>
    <w:p w14:paraId="66440716">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r>
        <w:rPr>
          <w:rStyle w:val="26"/>
          <w:rFonts w:ascii="宋体" w:hAnsi="宋体" w:eastAsia="宋体" w:cs="宋体"/>
          <w:color w:val="auto"/>
          <w:sz w:val="28"/>
          <w:szCs w:val="28"/>
          <w:highlight w:val="none"/>
        </w:rPr>
        <w:t>5</w:t>
      </w:r>
      <w:r>
        <w:rPr>
          <w:rStyle w:val="26"/>
          <w:rFonts w:hint="eastAsia" w:ascii="宋体" w:hAnsi="宋体" w:eastAsia="宋体" w:cs="宋体"/>
          <w:color w:val="auto"/>
          <w:sz w:val="28"/>
          <w:szCs w:val="28"/>
          <w:highlight w:val="none"/>
        </w:rPr>
        <w:t>）引进设备、材料的价格</w:t>
      </w:r>
      <w:r>
        <w:rPr>
          <w:rStyle w:val="26"/>
          <w:rFonts w:ascii="宋体" w:hAnsi="Calibri" w:eastAsia="宋体" w:cs="宋体"/>
          <w:color w:val="auto"/>
          <w:sz w:val="28"/>
          <w:szCs w:val="28"/>
          <w:highlight w:val="none"/>
        </w:rPr>
        <w:t>,</w:t>
      </w:r>
      <w:r>
        <w:rPr>
          <w:rStyle w:val="26"/>
          <w:rFonts w:hint="eastAsia" w:ascii="宋体" w:hAnsi="宋体" w:eastAsia="宋体" w:cs="宋体"/>
          <w:color w:val="auto"/>
          <w:sz w:val="28"/>
          <w:szCs w:val="28"/>
          <w:highlight w:val="none"/>
        </w:rPr>
        <w:t>据初步询价后的报价资料。</w:t>
      </w:r>
    </w:p>
    <w:p w14:paraId="14709154">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r>
        <w:rPr>
          <w:rStyle w:val="26"/>
          <w:rFonts w:ascii="宋体" w:hAnsi="宋体" w:eastAsia="宋体" w:cs="宋体"/>
          <w:color w:val="auto"/>
          <w:sz w:val="28"/>
          <w:szCs w:val="28"/>
          <w:highlight w:val="none"/>
        </w:rPr>
        <w:t>6</w:t>
      </w:r>
      <w:r>
        <w:rPr>
          <w:rStyle w:val="26"/>
          <w:rFonts w:hint="eastAsia" w:ascii="宋体" w:hAnsi="宋体" w:eastAsia="宋体" w:cs="宋体"/>
          <w:color w:val="auto"/>
          <w:sz w:val="28"/>
          <w:szCs w:val="28"/>
          <w:highlight w:val="none"/>
        </w:rPr>
        <w:t>）引进设备、材料的贸易从属费依据《化工引进项目建设投资估算编制》规定计算。</w:t>
      </w:r>
    </w:p>
    <w:p w14:paraId="7AAF14DF">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ascii="宋体" w:hAnsi="Calibri" w:eastAsia="宋体" w:cs="宋体"/>
          <w:color w:val="auto"/>
          <w:sz w:val="28"/>
          <w:szCs w:val="28"/>
          <w:highlight w:val="none"/>
        </w:rPr>
      </w:pPr>
      <w:r>
        <w:rPr>
          <w:rStyle w:val="26"/>
          <w:rFonts w:ascii="宋体" w:hAnsi="宋体" w:eastAsia="宋体" w:cs="宋体"/>
          <w:color w:val="auto"/>
          <w:sz w:val="28"/>
          <w:szCs w:val="28"/>
          <w:highlight w:val="none"/>
        </w:rPr>
        <w:t>7</w:t>
      </w:r>
      <w:r>
        <w:rPr>
          <w:rStyle w:val="26"/>
          <w:rFonts w:hint="eastAsia" w:ascii="宋体" w:hAnsi="宋体" w:eastAsia="宋体" w:cs="宋体"/>
          <w:color w:val="auto"/>
          <w:sz w:val="28"/>
          <w:szCs w:val="28"/>
          <w:highlight w:val="none"/>
        </w:rPr>
        <w:t>）其他专项费用都依据《化工建设项目可行性研究投资估算编制办法》规定计算。</w:t>
      </w:r>
    </w:p>
    <w:p w14:paraId="499689C4">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8）江苏索普新材料科技有限公司提供的估算资料。</w:t>
      </w:r>
    </w:p>
    <w:p w14:paraId="41701ACE">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Style w:val="26"/>
          <w:rFonts w:hint="eastAsia" w:ascii="宋体" w:hAnsi="宋体" w:eastAsia="宋体" w:cs="宋体"/>
          <w:color w:val="auto"/>
          <w:sz w:val="28"/>
          <w:szCs w:val="28"/>
          <w:highlight w:val="none"/>
        </w:rPr>
      </w:pPr>
      <w:bookmarkStart w:id="1321" w:name="_Toc22206"/>
      <w:r>
        <w:rPr>
          <w:rStyle w:val="26"/>
          <w:rFonts w:hint="eastAsia" w:ascii="宋体" w:hAnsi="宋体" w:eastAsia="宋体" w:cs="宋体"/>
          <w:color w:val="auto"/>
          <w:sz w:val="28"/>
          <w:szCs w:val="28"/>
          <w:highlight w:val="none"/>
        </w:rPr>
        <w:t>14.3投资估算分析</w:t>
      </w:r>
      <w:bookmarkEnd w:id="1315"/>
      <w:bookmarkEnd w:id="1316"/>
      <w:bookmarkEnd w:id="1317"/>
      <w:bookmarkEnd w:id="1318"/>
      <w:bookmarkEnd w:id="1319"/>
      <w:bookmarkEnd w:id="1320"/>
      <w:bookmarkEnd w:id="1321"/>
    </w:p>
    <w:p w14:paraId="76FBB7D4">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本项目总投资为</w:t>
      </w:r>
      <w:r>
        <w:rPr>
          <w:rStyle w:val="26"/>
          <w:rFonts w:hint="eastAsia" w:ascii="宋体" w:hAnsi="宋体" w:eastAsia="宋体" w:cs="宋体"/>
          <w:color w:val="auto"/>
          <w:sz w:val="28"/>
          <w:szCs w:val="28"/>
          <w:highlight w:val="none"/>
          <w:lang w:val="en-US" w:eastAsia="zh-CN"/>
        </w:rPr>
        <w:t>6</w:t>
      </w:r>
      <w:r>
        <w:rPr>
          <w:rStyle w:val="26"/>
          <w:rFonts w:hint="eastAsia" w:ascii="宋体" w:hAnsi="宋体" w:cs="宋体"/>
          <w:color w:val="auto"/>
          <w:sz w:val="28"/>
          <w:szCs w:val="28"/>
          <w:highlight w:val="none"/>
          <w:lang w:val="en-US" w:eastAsia="zh-CN"/>
        </w:rPr>
        <w:t>00</w:t>
      </w:r>
      <w:r>
        <w:rPr>
          <w:rStyle w:val="26"/>
          <w:rFonts w:hint="eastAsia" w:ascii="宋体" w:hAnsi="宋体" w:eastAsia="宋体" w:cs="宋体"/>
          <w:color w:val="auto"/>
          <w:sz w:val="28"/>
          <w:szCs w:val="28"/>
          <w:highlight w:val="none"/>
        </w:rPr>
        <w:t>万元</w:t>
      </w:r>
      <w:r>
        <w:rPr>
          <w:rStyle w:val="26"/>
          <w:rFonts w:hint="eastAsia" w:ascii="宋体" w:hAnsi="宋体" w:eastAsia="宋体" w:cs="宋体"/>
          <w:color w:val="auto"/>
          <w:sz w:val="28"/>
          <w:szCs w:val="28"/>
          <w:highlight w:val="none"/>
          <w:lang w:eastAsia="zh-CN"/>
        </w:rPr>
        <w:t>，</w:t>
      </w:r>
      <w:r>
        <w:rPr>
          <w:rStyle w:val="26"/>
          <w:rFonts w:hint="eastAsia" w:ascii="宋体" w:hAnsi="宋体" w:eastAsia="宋体" w:cs="宋体"/>
          <w:color w:val="auto"/>
          <w:sz w:val="28"/>
          <w:szCs w:val="28"/>
          <w:highlight w:val="none"/>
        </w:rPr>
        <w:t>建设投资</w:t>
      </w:r>
      <w:r>
        <w:rPr>
          <w:rStyle w:val="26"/>
          <w:rFonts w:hint="eastAsia" w:ascii="宋体" w:hAnsi="宋体" w:eastAsia="宋体" w:cs="宋体"/>
          <w:color w:val="auto"/>
          <w:sz w:val="28"/>
          <w:szCs w:val="28"/>
          <w:highlight w:val="none"/>
          <w:lang w:val="en-US" w:eastAsia="zh-CN"/>
        </w:rPr>
        <w:t>6</w:t>
      </w:r>
      <w:r>
        <w:rPr>
          <w:rStyle w:val="26"/>
          <w:rFonts w:hint="eastAsia" w:ascii="宋体" w:hAnsi="宋体" w:cs="宋体"/>
          <w:color w:val="auto"/>
          <w:sz w:val="28"/>
          <w:szCs w:val="28"/>
          <w:highlight w:val="none"/>
          <w:lang w:val="en-US" w:eastAsia="zh-CN"/>
        </w:rPr>
        <w:t>00</w:t>
      </w:r>
      <w:r>
        <w:rPr>
          <w:rStyle w:val="26"/>
          <w:rFonts w:hint="eastAsia" w:ascii="宋体" w:hAnsi="宋体" w:eastAsia="宋体" w:cs="宋体"/>
          <w:color w:val="auto"/>
          <w:sz w:val="28"/>
          <w:szCs w:val="28"/>
          <w:highlight w:val="none"/>
        </w:rPr>
        <w:t>万元，其中：</w:t>
      </w:r>
    </w:p>
    <w:p w14:paraId="5F7896AE">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 xml:space="preserve">1）固定资产费用     </w:t>
      </w:r>
      <w:r>
        <w:rPr>
          <w:rStyle w:val="26"/>
          <w:rFonts w:hint="eastAsia" w:ascii="宋体" w:hAnsi="宋体" w:cs="宋体"/>
          <w:color w:val="auto"/>
          <w:sz w:val="28"/>
          <w:szCs w:val="28"/>
          <w:highlight w:val="none"/>
          <w:lang w:val="en-US" w:eastAsia="zh-CN"/>
        </w:rPr>
        <w:t>580</w:t>
      </w:r>
      <w:r>
        <w:rPr>
          <w:rStyle w:val="26"/>
          <w:rFonts w:hint="eastAsia" w:ascii="宋体" w:hAnsi="宋体" w:eastAsia="宋体" w:cs="宋体"/>
          <w:color w:val="auto"/>
          <w:sz w:val="28"/>
          <w:szCs w:val="28"/>
          <w:highlight w:val="none"/>
        </w:rPr>
        <w:t>万元    占建设投资的9</w:t>
      </w:r>
      <w:r>
        <w:rPr>
          <w:rStyle w:val="26"/>
          <w:rFonts w:hint="eastAsia" w:ascii="宋体" w:hAnsi="宋体" w:cs="宋体"/>
          <w:color w:val="auto"/>
          <w:sz w:val="28"/>
          <w:szCs w:val="28"/>
          <w:highlight w:val="none"/>
          <w:lang w:val="en-US" w:eastAsia="zh-CN"/>
        </w:rPr>
        <w:t>6.67</w:t>
      </w:r>
      <w:r>
        <w:rPr>
          <w:rStyle w:val="26"/>
          <w:rFonts w:hint="eastAsia" w:ascii="宋体" w:hAnsi="宋体" w:eastAsia="宋体" w:cs="宋体"/>
          <w:color w:val="auto"/>
          <w:sz w:val="28"/>
          <w:szCs w:val="28"/>
          <w:highlight w:val="none"/>
        </w:rPr>
        <w:t xml:space="preserve"> %</w:t>
      </w:r>
    </w:p>
    <w:p w14:paraId="03D6F8D9">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 xml:space="preserve">     工程费用：     </w:t>
      </w:r>
      <w:r>
        <w:rPr>
          <w:rStyle w:val="26"/>
          <w:rFonts w:hint="eastAsia" w:ascii="宋体" w:hAnsi="宋体" w:eastAsia="宋体" w:cs="宋体"/>
          <w:color w:val="auto"/>
          <w:sz w:val="28"/>
          <w:szCs w:val="28"/>
          <w:highlight w:val="none"/>
          <w:lang w:val="en-US" w:eastAsia="zh-CN"/>
        </w:rPr>
        <w:t>4</w:t>
      </w:r>
      <w:r>
        <w:rPr>
          <w:rStyle w:val="26"/>
          <w:rFonts w:hint="eastAsia" w:ascii="宋体" w:hAnsi="宋体" w:cs="宋体"/>
          <w:color w:val="auto"/>
          <w:sz w:val="28"/>
          <w:szCs w:val="28"/>
          <w:highlight w:val="none"/>
          <w:lang w:val="en-US" w:eastAsia="zh-CN"/>
        </w:rPr>
        <w:t>61</w:t>
      </w:r>
      <w:r>
        <w:rPr>
          <w:rStyle w:val="26"/>
          <w:rFonts w:hint="eastAsia" w:ascii="宋体" w:hAnsi="宋体" w:eastAsia="宋体" w:cs="宋体"/>
          <w:color w:val="auto"/>
          <w:sz w:val="28"/>
          <w:szCs w:val="28"/>
          <w:highlight w:val="none"/>
        </w:rPr>
        <w:t>万元    占建设投资的</w:t>
      </w:r>
      <w:r>
        <w:rPr>
          <w:rStyle w:val="26"/>
          <w:rFonts w:hint="eastAsia" w:ascii="宋体" w:hAnsi="宋体" w:eastAsia="宋体" w:cs="宋体"/>
          <w:color w:val="auto"/>
          <w:sz w:val="28"/>
          <w:szCs w:val="28"/>
          <w:highlight w:val="none"/>
          <w:lang w:val="en-US" w:eastAsia="zh-CN"/>
        </w:rPr>
        <w:t>7</w:t>
      </w:r>
      <w:r>
        <w:rPr>
          <w:rStyle w:val="26"/>
          <w:rFonts w:hint="eastAsia" w:ascii="宋体" w:hAnsi="宋体" w:cs="宋体"/>
          <w:color w:val="auto"/>
          <w:sz w:val="28"/>
          <w:szCs w:val="28"/>
          <w:highlight w:val="none"/>
          <w:lang w:val="en-US" w:eastAsia="zh-CN"/>
        </w:rPr>
        <w:t>6.83</w:t>
      </w:r>
      <w:r>
        <w:rPr>
          <w:rStyle w:val="26"/>
          <w:rFonts w:hint="eastAsia" w:ascii="宋体" w:hAnsi="宋体" w:eastAsia="宋体" w:cs="宋体"/>
          <w:color w:val="auto"/>
          <w:sz w:val="28"/>
          <w:szCs w:val="28"/>
          <w:highlight w:val="none"/>
        </w:rPr>
        <w:t>%</w:t>
      </w:r>
    </w:p>
    <w:p w14:paraId="254098C7">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 xml:space="preserve">固定资产其它费用：  </w:t>
      </w:r>
      <w:r>
        <w:rPr>
          <w:rStyle w:val="26"/>
          <w:rFonts w:hint="eastAsia" w:ascii="宋体" w:hAnsi="宋体" w:eastAsia="宋体" w:cs="宋体"/>
          <w:color w:val="auto"/>
          <w:sz w:val="28"/>
          <w:szCs w:val="28"/>
          <w:highlight w:val="none"/>
          <w:lang w:val="en-US" w:eastAsia="zh-CN"/>
        </w:rPr>
        <w:t>1</w:t>
      </w:r>
      <w:r>
        <w:rPr>
          <w:rStyle w:val="26"/>
          <w:rFonts w:hint="eastAsia" w:ascii="宋体" w:hAnsi="宋体" w:cs="宋体"/>
          <w:color w:val="auto"/>
          <w:sz w:val="28"/>
          <w:szCs w:val="28"/>
          <w:highlight w:val="none"/>
          <w:lang w:val="en-US" w:eastAsia="zh-CN"/>
        </w:rPr>
        <w:t>19</w:t>
      </w:r>
      <w:r>
        <w:rPr>
          <w:rStyle w:val="26"/>
          <w:rFonts w:hint="eastAsia" w:ascii="宋体" w:hAnsi="宋体" w:eastAsia="宋体" w:cs="宋体"/>
          <w:color w:val="auto"/>
          <w:sz w:val="28"/>
          <w:szCs w:val="28"/>
          <w:highlight w:val="none"/>
        </w:rPr>
        <w:t xml:space="preserve">万元  </w:t>
      </w:r>
      <w:r>
        <w:rPr>
          <w:rStyle w:val="26"/>
          <w:rFonts w:hint="eastAsia" w:ascii="宋体" w:hAnsi="宋体" w:eastAsia="宋体" w:cs="宋体"/>
          <w:color w:val="auto"/>
          <w:sz w:val="28"/>
          <w:szCs w:val="28"/>
          <w:highlight w:val="none"/>
          <w:lang w:val="en-US" w:eastAsia="zh-CN"/>
        </w:rPr>
        <w:t xml:space="preserve"> </w:t>
      </w:r>
      <w:r>
        <w:rPr>
          <w:rStyle w:val="26"/>
          <w:rFonts w:hint="eastAsia" w:ascii="宋体" w:hAnsi="宋体" w:eastAsia="宋体" w:cs="宋体"/>
          <w:color w:val="auto"/>
          <w:sz w:val="28"/>
          <w:szCs w:val="28"/>
          <w:highlight w:val="none"/>
        </w:rPr>
        <w:t xml:space="preserve"> 占建设投资的</w:t>
      </w:r>
      <w:r>
        <w:rPr>
          <w:rStyle w:val="26"/>
          <w:rFonts w:hint="eastAsia" w:ascii="宋体" w:hAnsi="宋体" w:eastAsia="宋体" w:cs="宋体"/>
          <w:color w:val="auto"/>
          <w:sz w:val="28"/>
          <w:szCs w:val="28"/>
          <w:highlight w:val="none"/>
          <w:lang w:val="en-US" w:eastAsia="zh-CN"/>
        </w:rPr>
        <w:t>19.</w:t>
      </w:r>
      <w:r>
        <w:rPr>
          <w:rStyle w:val="26"/>
          <w:rFonts w:hint="eastAsia" w:ascii="宋体" w:hAnsi="宋体" w:cs="宋体"/>
          <w:color w:val="auto"/>
          <w:sz w:val="28"/>
          <w:szCs w:val="28"/>
          <w:highlight w:val="none"/>
          <w:lang w:val="en-US" w:eastAsia="zh-CN"/>
        </w:rPr>
        <w:t>83</w:t>
      </w:r>
      <w:r>
        <w:rPr>
          <w:rStyle w:val="26"/>
          <w:rFonts w:hint="eastAsia" w:ascii="宋体" w:hAnsi="宋体" w:eastAsia="宋体" w:cs="宋体"/>
          <w:color w:val="auto"/>
          <w:sz w:val="28"/>
          <w:szCs w:val="28"/>
          <w:highlight w:val="none"/>
        </w:rPr>
        <w:t>%</w:t>
      </w:r>
    </w:p>
    <w:p w14:paraId="589178E7">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 xml:space="preserve">2）预备费           </w:t>
      </w:r>
      <w:r>
        <w:rPr>
          <w:rStyle w:val="26"/>
          <w:rFonts w:hint="eastAsia" w:ascii="宋体" w:hAnsi="宋体" w:cs="宋体"/>
          <w:color w:val="auto"/>
          <w:sz w:val="28"/>
          <w:szCs w:val="28"/>
          <w:highlight w:val="none"/>
          <w:lang w:val="en-US" w:eastAsia="zh-CN"/>
        </w:rPr>
        <w:t>2</w:t>
      </w:r>
      <w:r>
        <w:rPr>
          <w:rStyle w:val="26"/>
          <w:rFonts w:hint="eastAsia" w:ascii="宋体" w:hAnsi="宋体" w:eastAsia="宋体" w:cs="宋体"/>
          <w:color w:val="auto"/>
          <w:sz w:val="28"/>
          <w:szCs w:val="28"/>
          <w:highlight w:val="none"/>
        </w:rPr>
        <w:t xml:space="preserve">0万元    </w:t>
      </w:r>
      <w:r>
        <w:rPr>
          <w:rStyle w:val="26"/>
          <w:rFonts w:hint="eastAsia" w:ascii="宋体" w:hAnsi="宋体" w:eastAsia="宋体" w:cs="宋体"/>
          <w:color w:val="auto"/>
          <w:sz w:val="28"/>
          <w:szCs w:val="28"/>
          <w:highlight w:val="none"/>
          <w:lang w:val="en-US" w:eastAsia="zh-CN"/>
        </w:rPr>
        <w:t xml:space="preserve"> </w:t>
      </w:r>
      <w:r>
        <w:rPr>
          <w:rStyle w:val="26"/>
          <w:rFonts w:hint="eastAsia" w:ascii="宋体" w:hAnsi="宋体" w:eastAsia="宋体" w:cs="宋体"/>
          <w:color w:val="auto"/>
          <w:sz w:val="28"/>
          <w:szCs w:val="28"/>
          <w:highlight w:val="none"/>
        </w:rPr>
        <w:t>占建设投资的</w:t>
      </w:r>
      <w:r>
        <w:rPr>
          <w:rStyle w:val="26"/>
          <w:rFonts w:hint="eastAsia" w:ascii="宋体" w:hAnsi="宋体" w:cs="宋体"/>
          <w:color w:val="auto"/>
          <w:sz w:val="28"/>
          <w:szCs w:val="28"/>
          <w:highlight w:val="none"/>
          <w:lang w:val="en-US" w:eastAsia="zh-CN"/>
        </w:rPr>
        <w:t>3.33</w:t>
      </w:r>
      <w:r>
        <w:rPr>
          <w:rStyle w:val="26"/>
          <w:rFonts w:hint="eastAsia" w:ascii="宋体" w:hAnsi="宋体" w:eastAsia="宋体" w:cs="宋体"/>
          <w:color w:val="auto"/>
          <w:sz w:val="28"/>
          <w:szCs w:val="28"/>
          <w:highlight w:val="none"/>
        </w:rPr>
        <w:t>%</w:t>
      </w:r>
    </w:p>
    <w:p w14:paraId="7C092D47">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本项目建设投资100%自筹。</w:t>
      </w:r>
      <w:bookmarkStart w:id="1445" w:name="_GoBack"/>
      <w:bookmarkEnd w:id="1445"/>
    </w:p>
    <w:p w14:paraId="7237EB38">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详见</w:t>
      </w:r>
      <w:r>
        <w:rPr>
          <w:rStyle w:val="26"/>
          <w:rFonts w:hint="eastAsia" w:ascii="宋体" w:hAnsi="宋体" w:eastAsia="宋体" w:cs="宋体"/>
          <w:color w:val="auto"/>
          <w:sz w:val="28"/>
          <w:szCs w:val="28"/>
          <w:highlight w:val="none"/>
          <w:lang w:val="en-US" w:eastAsia="zh-CN"/>
        </w:rPr>
        <w:t>附表1“项目</w:t>
      </w:r>
      <w:r>
        <w:rPr>
          <w:rStyle w:val="26"/>
          <w:rFonts w:hint="eastAsia" w:ascii="宋体" w:hAnsi="宋体" w:eastAsia="宋体" w:cs="宋体"/>
          <w:color w:val="auto"/>
          <w:sz w:val="28"/>
          <w:szCs w:val="28"/>
          <w:highlight w:val="none"/>
        </w:rPr>
        <w:t>投资估算表</w:t>
      </w:r>
      <w:r>
        <w:rPr>
          <w:rStyle w:val="26"/>
          <w:rFonts w:hint="eastAsia" w:ascii="宋体" w:hAnsi="宋体" w:eastAsia="宋体" w:cs="宋体"/>
          <w:color w:val="auto"/>
          <w:sz w:val="28"/>
          <w:szCs w:val="28"/>
          <w:highlight w:val="none"/>
          <w:lang w:val="en-US" w:eastAsia="zh-CN"/>
        </w:rPr>
        <w:t>”</w:t>
      </w:r>
      <w:r>
        <w:rPr>
          <w:rStyle w:val="26"/>
          <w:rFonts w:hint="eastAsia" w:ascii="宋体" w:hAnsi="宋体" w:eastAsia="宋体" w:cs="宋体"/>
          <w:color w:val="auto"/>
          <w:sz w:val="28"/>
          <w:szCs w:val="28"/>
          <w:highlight w:val="none"/>
        </w:rPr>
        <w:t>。</w:t>
      </w:r>
    </w:p>
    <w:p w14:paraId="15B9DF2D">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outlineLvl w:val="1"/>
        <w:rPr>
          <w:rStyle w:val="26"/>
          <w:rFonts w:hint="eastAsia" w:ascii="宋体" w:hAnsi="宋体" w:eastAsia="宋体" w:cs="宋体"/>
          <w:color w:val="auto"/>
          <w:sz w:val="28"/>
          <w:szCs w:val="28"/>
          <w:highlight w:val="none"/>
        </w:rPr>
      </w:pPr>
      <w:bookmarkStart w:id="1322" w:name="_Toc26737"/>
      <w:bookmarkStart w:id="1323" w:name="_Toc6312_WPSOffice_Level2"/>
      <w:bookmarkStart w:id="1324" w:name="_Toc24561_WPSOffice_Level2"/>
      <w:bookmarkStart w:id="1325" w:name="_Toc26992_WPSOffice_Level2"/>
      <w:bookmarkStart w:id="1326" w:name="_Toc28399_WPSOffice_Level2"/>
      <w:bookmarkStart w:id="1327" w:name="_Toc10967"/>
      <w:bookmarkStart w:id="1328" w:name="_Toc25083"/>
      <w:r>
        <w:rPr>
          <w:rStyle w:val="26"/>
          <w:rFonts w:hint="eastAsia" w:ascii="宋体" w:hAnsi="宋体" w:eastAsia="宋体" w:cs="宋体"/>
          <w:color w:val="auto"/>
          <w:sz w:val="28"/>
          <w:szCs w:val="28"/>
          <w:highlight w:val="none"/>
        </w:rPr>
        <w:t>14.4资金筹措</w:t>
      </w:r>
      <w:bookmarkEnd w:id="1322"/>
      <w:bookmarkEnd w:id="1323"/>
      <w:bookmarkEnd w:id="1324"/>
      <w:bookmarkEnd w:id="1325"/>
      <w:bookmarkEnd w:id="1326"/>
      <w:bookmarkEnd w:id="1327"/>
      <w:bookmarkEnd w:id="1328"/>
    </w:p>
    <w:p w14:paraId="24C3CCA4">
      <w:pPr>
        <w:pStyle w:val="21"/>
        <w:keepNext w:val="0"/>
        <w:keepLines w:val="0"/>
        <w:pageBreakBefore w:val="0"/>
        <w:widowControl w:val="0"/>
        <w:kinsoku/>
        <w:wordWrap/>
        <w:overflowPunct/>
        <w:topLinePunct w:val="0"/>
        <w:autoSpaceDE/>
        <w:autoSpaceDN/>
        <w:bidi w:val="0"/>
        <w:adjustRightInd/>
        <w:snapToGrid/>
        <w:spacing w:line="560" w:lineRule="exact"/>
        <w:ind w:firstLine="31680"/>
        <w:jc w:val="left"/>
        <w:textAlignment w:val="auto"/>
        <w:rPr>
          <w:rStyle w:val="26"/>
          <w:rFonts w:hint="eastAsia" w:ascii="宋体" w:hAnsi="宋体" w:eastAsia="宋体" w:cs="宋体"/>
          <w:color w:val="auto"/>
          <w:sz w:val="28"/>
          <w:szCs w:val="28"/>
          <w:highlight w:val="none"/>
        </w:rPr>
      </w:pPr>
      <w:r>
        <w:rPr>
          <w:rStyle w:val="26"/>
          <w:rFonts w:hint="eastAsia" w:ascii="宋体" w:hAnsi="宋体" w:eastAsia="宋体" w:cs="宋体"/>
          <w:color w:val="auto"/>
          <w:sz w:val="28"/>
          <w:szCs w:val="28"/>
          <w:highlight w:val="none"/>
        </w:rPr>
        <w:t>项目资金筹措共计</w:t>
      </w:r>
      <w:r>
        <w:rPr>
          <w:rStyle w:val="26"/>
          <w:rFonts w:hint="eastAsia" w:ascii="宋体" w:hAnsi="宋体" w:eastAsia="宋体" w:cs="宋体"/>
          <w:color w:val="auto"/>
          <w:sz w:val="28"/>
          <w:szCs w:val="28"/>
          <w:highlight w:val="none"/>
          <w:lang w:val="en-US" w:eastAsia="zh-CN"/>
        </w:rPr>
        <w:t>6</w:t>
      </w:r>
      <w:r>
        <w:rPr>
          <w:rStyle w:val="26"/>
          <w:rFonts w:hint="eastAsia" w:ascii="宋体" w:hAnsi="宋体" w:cs="宋体"/>
          <w:color w:val="auto"/>
          <w:sz w:val="28"/>
          <w:szCs w:val="28"/>
          <w:highlight w:val="none"/>
          <w:lang w:val="en-US" w:eastAsia="zh-CN"/>
        </w:rPr>
        <w:t>00</w:t>
      </w:r>
      <w:r>
        <w:rPr>
          <w:rStyle w:val="26"/>
          <w:rFonts w:hint="eastAsia" w:ascii="宋体" w:hAnsi="宋体" w:eastAsia="宋体" w:cs="宋体"/>
          <w:color w:val="auto"/>
          <w:sz w:val="28"/>
          <w:szCs w:val="28"/>
          <w:highlight w:val="none"/>
        </w:rPr>
        <w:t>万元，项目资本金</w:t>
      </w:r>
      <w:r>
        <w:rPr>
          <w:rStyle w:val="26"/>
          <w:rFonts w:hint="eastAsia" w:ascii="宋体" w:hAnsi="宋体" w:eastAsia="宋体" w:cs="宋体"/>
          <w:color w:val="auto"/>
          <w:sz w:val="28"/>
          <w:szCs w:val="28"/>
          <w:highlight w:val="none"/>
          <w:lang w:val="en-US" w:eastAsia="zh-CN"/>
        </w:rPr>
        <w:t>6</w:t>
      </w:r>
      <w:r>
        <w:rPr>
          <w:rStyle w:val="26"/>
          <w:rFonts w:hint="eastAsia" w:ascii="宋体" w:hAnsi="宋体" w:cs="宋体"/>
          <w:color w:val="auto"/>
          <w:sz w:val="28"/>
          <w:szCs w:val="28"/>
          <w:highlight w:val="none"/>
          <w:lang w:val="en-US" w:eastAsia="zh-CN"/>
        </w:rPr>
        <w:t>00</w:t>
      </w:r>
      <w:r>
        <w:rPr>
          <w:rStyle w:val="26"/>
          <w:rFonts w:hint="eastAsia" w:ascii="宋体" w:hAnsi="宋体" w:eastAsia="宋体" w:cs="宋体"/>
          <w:color w:val="auto"/>
          <w:sz w:val="28"/>
          <w:szCs w:val="28"/>
          <w:highlight w:val="none"/>
        </w:rPr>
        <w:t>万元。</w:t>
      </w:r>
    </w:p>
    <w:p w14:paraId="01BF085E">
      <w:pPr>
        <w:rPr>
          <w:color w:val="auto"/>
          <w:highlight w:val="none"/>
        </w:rPr>
      </w:pPr>
    </w:p>
    <w:p w14:paraId="4DDF4378">
      <w:pPr>
        <w:pStyle w:val="2"/>
        <w:rPr>
          <w:color w:val="auto"/>
          <w:highlight w:val="none"/>
        </w:rPr>
        <w:sectPr>
          <w:pgSz w:w="11906" w:h="16838"/>
          <w:pgMar w:top="1440" w:right="1800" w:bottom="1440" w:left="1800" w:header="851" w:footer="992" w:gutter="0"/>
          <w:pgNumType w:fmt="decimal"/>
          <w:cols w:space="425" w:num="1"/>
          <w:docGrid w:type="lines" w:linePitch="312" w:charSpace="0"/>
        </w:sectPr>
      </w:pPr>
    </w:p>
    <w:p w14:paraId="264D4DDF">
      <w:pPr>
        <w:pStyle w:val="4"/>
        <w:keepLines/>
        <w:adjustRightInd/>
        <w:snapToGrid/>
        <w:spacing w:before="0" w:beforeLines="-2147483648" w:after="0" w:afterLines="-2147483648" w:line="560" w:lineRule="exact"/>
        <w:jc w:val="center"/>
        <w:rPr>
          <w:rFonts w:hint="eastAsia" w:ascii="宋体" w:hAnsi="宋体" w:eastAsia="宋体" w:cs="宋体"/>
          <w:b/>
          <w:bCs w:val="0"/>
          <w:color w:val="auto"/>
          <w:sz w:val="32"/>
          <w:szCs w:val="32"/>
          <w:highlight w:val="none"/>
          <w:lang w:val="zh-CN"/>
        </w:rPr>
      </w:pPr>
      <w:bookmarkStart w:id="1329" w:name="_Toc14279_WPSOffice_Level1"/>
      <w:bookmarkStart w:id="1330" w:name="_Toc23483"/>
      <w:bookmarkStart w:id="1331" w:name="_Toc28"/>
      <w:bookmarkStart w:id="1332" w:name="_Toc20807"/>
      <w:bookmarkStart w:id="1333" w:name="_Toc9728"/>
      <w:bookmarkStart w:id="1334" w:name="_Toc1918_WPSOffice_Level1"/>
      <w:r>
        <w:rPr>
          <w:rFonts w:hint="eastAsia" w:ascii="宋体" w:hAnsi="宋体" w:eastAsia="宋体" w:cs="宋体"/>
          <w:b/>
          <w:bCs w:val="0"/>
          <w:color w:val="auto"/>
          <w:sz w:val="32"/>
          <w:szCs w:val="32"/>
          <w:highlight w:val="none"/>
          <w:lang w:val="zh-CN"/>
        </w:rPr>
        <w:t>第十五章 社会稳定性分析</w:t>
      </w:r>
      <w:bookmarkEnd w:id="1329"/>
      <w:bookmarkEnd w:id="1330"/>
      <w:bookmarkEnd w:id="1331"/>
      <w:bookmarkEnd w:id="1332"/>
      <w:bookmarkEnd w:id="1333"/>
      <w:bookmarkEnd w:id="1334"/>
    </w:p>
    <w:p w14:paraId="031CCA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35" w:name="_Toc5188"/>
      <w:r>
        <w:rPr>
          <w:rFonts w:hint="eastAsia" w:ascii="宋体" w:hAnsi="宋体" w:eastAsia="宋体" w:cs="宋体"/>
          <w:bCs/>
          <w:color w:val="auto"/>
          <w:kern w:val="0"/>
          <w:sz w:val="28"/>
          <w:szCs w:val="28"/>
          <w:highlight w:val="none"/>
          <w:lang w:eastAsia="zh-CN"/>
        </w:rPr>
        <w:t>投资项目风险分析是在市场预测、工程建设、技术措施、资金筹措、财务分析、环境评价、社会评价等方面进行论证和初步的风险分析的基础上，进一步综合而系统地分析项目在建设和运营中潜在的主要风险因素，并通过判断和揭示风险来源和程度，提出风险规避对策，从而减少和降低损失，确保项目健康发展。</w:t>
      </w:r>
      <w:bookmarkEnd w:id="1335"/>
    </w:p>
    <w:p w14:paraId="791EB4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宋体" w:hAnsi="宋体" w:eastAsia="宋体" w:cs="宋体"/>
          <w:bCs/>
          <w:color w:val="auto"/>
          <w:kern w:val="0"/>
          <w:sz w:val="28"/>
          <w:szCs w:val="28"/>
          <w:highlight w:val="none"/>
          <w:lang w:eastAsia="zh-CN"/>
        </w:rPr>
      </w:pPr>
      <w:bookmarkStart w:id="1336" w:name="_Toc27391"/>
      <w:bookmarkStart w:id="1337" w:name="_Toc29375"/>
      <w:bookmarkStart w:id="1338" w:name="_Toc15544"/>
      <w:bookmarkStart w:id="1339" w:name="_Toc25352"/>
      <w:bookmarkStart w:id="1340" w:name="_Toc5916"/>
      <w:bookmarkStart w:id="1341" w:name="_Toc11889"/>
      <w:bookmarkStart w:id="1342" w:name="_Toc19379"/>
      <w:bookmarkStart w:id="1343" w:name="_Toc27261"/>
      <w:bookmarkStart w:id="1344" w:name="_Toc31377"/>
      <w:r>
        <w:rPr>
          <w:rFonts w:hint="eastAsia" w:ascii="宋体" w:hAnsi="宋体" w:eastAsia="宋体" w:cs="宋体"/>
          <w:bCs/>
          <w:color w:val="auto"/>
          <w:kern w:val="0"/>
          <w:sz w:val="28"/>
          <w:szCs w:val="28"/>
          <w:highlight w:val="none"/>
          <w:lang w:eastAsia="zh-CN"/>
        </w:rPr>
        <w:t>15.1 项目主要风险识别</w:t>
      </w:r>
      <w:bookmarkEnd w:id="1336"/>
      <w:bookmarkEnd w:id="1337"/>
      <w:bookmarkEnd w:id="1338"/>
      <w:bookmarkEnd w:id="1339"/>
      <w:bookmarkEnd w:id="1340"/>
      <w:bookmarkEnd w:id="1341"/>
      <w:bookmarkEnd w:id="1342"/>
      <w:bookmarkEnd w:id="1343"/>
      <w:bookmarkEnd w:id="1344"/>
    </w:p>
    <w:p w14:paraId="4648E5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45" w:name="_Toc21335"/>
      <w:bookmarkStart w:id="1346" w:name="_Toc20045"/>
      <w:bookmarkStart w:id="1347" w:name="_Toc21737"/>
      <w:bookmarkStart w:id="1348" w:name="_Toc25864"/>
      <w:bookmarkStart w:id="1349" w:name="_Toc15329"/>
      <w:bookmarkStart w:id="1350" w:name="_Toc11690"/>
      <w:bookmarkStart w:id="1351" w:name="_Toc25871"/>
      <w:r>
        <w:rPr>
          <w:rFonts w:hint="eastAsia" w:ascii="宋体" w:hAnsi="宋体" w:eastAsia="宋体" w:cs="宋体"/>
          <w:bCs/>
          <w:color w:val="auto"/>
          <w:kern w:val="0"/>
          <w:sz w:val="28"/>
          <w:szCs w:val="28"/>
          <w:highlight w:val="none"/>
          <w:lang w:eastAsia="zh-CN"/>
        </w:rPr>
        <w:t>15.1.1 资金风险</w:t>
      </w:r>
      <w:bookmarkEnd w:id="1345"/>
      <w:bookmarkEnd w:id="1346"/>
      <w:bookmarkEnd w:id="1347"/>
      <w:bookmarkEnd w:id="1348"/>
      <w:bookmarkEnd w:id="1349"/>
      <w:bookmarkEnd w:id="1350"/>
      <w:bookmarkEnd w:id="1351"/>
    </w:p>
    <w:p w14:paraId="2503438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52" w:name="_Toc24384"/>
      <w:r>
        <w:rPr>
          <w:rFonts w:hint="eastAsia" w:ascii="宋体" w:hAnsi="宋体" w:eastAsia="宋体" w:cs="宋体"/>
          <w:bCs/>
          <w:color w:val="auto"/>
          <w:kern w:val="0"/>
          <w:sz w:val="28"/>
          <w:szCs w:val="28"/>
          <w:highlight w:val="none"/>
          <w:lang w:eastAsia="zh-CN"/>
        </w:rPr>
        <w:t>由于项目建设工程特殊，建设资金投入大，所需建设资金因不可预见的原因造成资金供应不足或者来源中断，导致项目建设工期拖延甚至被迫终止，使项目预测的建设方案无法实现。</w:t>
      </w:r>
      <w:bookmarkEnd w:id="1352"/>
    </w:p>
    <w:p w14:paraId="6C9355A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53" w:name="_Toc13098"/>
      <w:bookmarkStart w:id="1354" w:name="_Toc18354"/>
      <w:bookmarkStart w:id="1355" w:name="_Toc12022"/>
      <w:bookmarkStart w:id="1356" w:name="_Toc23584"/>
      <w:bookmarkStart w:id="1357" w:name="_Toc14450"/>
      <w:bookmarkStart w:id="1358" w:name="_Toc1983"/>
      <w:bookmarkStart w:id="1359" w:name="_Toc11388"/>
      <w:r>
        <w:rPr>
          <w:rFonts w:hint="eastAsia" w:ascii="宋体" w:hAnsi="宋体" w:eastAsia="宋体" w:cs="宋体"/>
          <w:bCs/>
          <w:color w:val="auto"/>
          <w:kern w:val="0"/>
          <w:sz w:val="28"/>
          <w:szCs w:val="28"/>
          <w:highlight w:val="none"/>
          <w:lang w:eastAsia="zh-CN"/>
        </w:rPr>
        <w:t>15.1.2 技术风险</w:t>
      </w:r>
      <w:bookmarkEnd w:id="1353"/>
      <w:bookmarkEnd w:id="1354"/>
      <w:bookmarkEnd w:id="1355"/>
      <w:bookmarkEnd w:id="1356"/>
      <w:bookmarkEnd w:id="1357"/>
      <w:bookmarkEnd w:id="1358"/>
      <w:bookmarkEnd w:id="1359"/>
    </w:p>
    <w:p w14:paraId="2325C7B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60" w:name="_Toc15639"/>
      <w:r>
        <w:rPr>
          <w:rFonts w:hint="eastAsia" w:ascii="宋体" w:hAnsi="宋体" w:eastAsia="宋体" w:cs="宋体"/>
          <w:bCs/>
          <w:color w:val="auto"/>
          <w:kern w:val="0"/>
          <w:sz w:val="28"/>
          <w:szCs w:val="28"/>
          <w:highlight w:val="none"/>
          <w:lang w:eastAsia="zh-CN"/>
        </w:rPr>
        <w:t>主要指项目技术的先进性、适用性、可靠性、可得性。项目技术直接影响项目地建设和正常运营，属关键因素。</w:t>
      </w:r>
      <w:bookmarkEnd w:id="1360"/>
    </w:p>
    <w:p w14:paraId="234ECFF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61" w:name="_Toc3902"/>
      <w:bookmarkStart w:id="1362" w:name="_Toc26805"/>
      <w:bookmarkStart w:id="1363" w:name="_Toc23328"/>
      <w:bookmarkStart w:id="1364" w:name="_Toc14958"/>
      <w:bookmarkStart w:id="1365" w:name="_Toc10102"/>
      <w:bookmarkStart w:id="1366" w:name="_Toc13200"/>
      <w:bookmarkStart w:id="1367" w:name="_Toc11832"/>
      <w:r>
        <w:rPr>
          <w:rFonts w:hint="eastAsia" w:ascii="宋体" w:hAnsi="宋体" w:eastAsia="宋体" w:cs="宋体"/>
          <w:bCs/>
          <w:color w:val="auto"/>
          <w:kern w:val="0"/>
          <w:sz w:val="28"/>
          <w:szCs w:val="28"/>
          <w:highlight w:val="none"/>
          <w:lang w:eastAsia="zh-CN"/>
        </w:rPr>
        <w:t>15.1.3 管理风险</w:t>
      </w:r>
      <w:bookmarkEnd w:id="1361"/>
      <w:bookmarkEnd w:id="1362"/>
      <w:bookmarkEnd w:id="1363"/>
      <w:bookmarkEnd w:id="1364"/>
      <w:bookmarkEnd w:id="1365"/>
      <w:bookmarkEnd w:id="1366"/>
      <w:bookmarkEnd w:id="1367"/>
    </w:p>
    <w:p w14:paraId="615C72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68" w:name="_Toc1587"/>
      <w:r>
        <w:rPr>
          <w:rFonts w:hint="eastAsia" w:ascii="宋体" w:hAnsi="宋体" w:eastAsia="宋体" w:cs="宋体"/>
          <w:bCs/>
          <w:color w:val="auto"/>
          <w:kern w:val="0"/>
          <w:sz w:val="28"/>
          <w:szCs w:val="28"/>
          <w:highlight w:val="none"/>
          <w:lang w:eastAsia="zh-CN"/>
        </w:rPr>
        <w:t>项目建设内容涉及面广，为了实现项目的各项目标，必须要有一个稳定高效的运行机制和一支高素质的项目管理人员队伍，熟悉项目管理的高素质人才毕竟较少，这样就不能很好完成投资管理、项目执行的检查评价、组织协调等方面细微而复杂的工作。</w:t>
      </w:r>
      <w:bookmarkEnd w:id="1368"/>
    </w:p>
    <w:p w14:paraId="455BC3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69" w:name="_Toc10806"/>
      <w:bookmarkStart w:id="1370" w:name="_Toc18447"/>
      <w:bookmarkStart w:id="1371" w:name="_Toc14446"/>
      <w:bookmarkStart w:id="1372" w:name="_Toc13695"/>
      <w:bookmarkStart w:id="1373" w:name="_Toc13392"/>
      <w:bookmarkStart w:id="1374" w:name="_Toc9736"/>
      <w:r>
        <w:rPr>
          <w:rFonts w:hint="eastAsia" w:ascii="宋体" w:hAnsi="宋体" w:eastAsia="宋体" w:cs="宋体"/>
          <w:bCs/>
          <w:color w:val="auto"/>
          <w:kern w:val="0"/>
          <w:sz w:val="28"/>
          <w:szCs w:val="28"/>
          <w:highlight w:val="none"/>
          <w:lang w:eastAsia="zh-CN"/>
        </w:rPr>
        <w:t>15.1.4 工程风险</w:t>
      </w:r>
      <w:bookmarkEnd w:id="1369"/>
      <w:bookmarkEnd w:id="1370"/>
      <w:bookmarkEnd w:id="1371"/>
      <w:bookmarkEnd w:id="1372"/>
      <w:bookmarkEnd w:id="1373"/>
      <w:bookmarkEnd w:id="1374"/>
    </w:p>
    <w:p w14:paraId="13A04F7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75" w:name="_Toc21395"/>
      <w:r>
        <w:rPr>
          <w:rFonts w:hint="eastAsia" w:ascii="宋体" w:hAnsi="宋体" w:eastAsia="宋体" w:cs="宋体"/>
          <w:bCs/>
          <w:color w:val="auto"/>
          <w:kern w:val="0"/>
          <w:sz w:val="28"/>
          <w:szCs w:val="28"/>
          <w:highlight w:val="none"/>
          <w:lang w:eastAsia="zh-CN"/>
        </w:rPr>
        <w:t>主要指影响工程建设相关方面的风险因素，包括工程地质、水文地质、气候状况、建设工程量等。</w:t>
      </w:r>
      <w:bookmarkEnd w:id="1375"/>
    </w:p>
    <w:p w14:paraId="0FFE21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76" w:name="_Toc32586"/>
      <w:bookmarkStart w:id="1377" w:name="_Toc2498"/>
      <w:bookmarkStart w:id="1378" w:name="_Toc20008"/>
      <w:bookmarkStart w:id="1379" w:name="_Toc1997"/>
      <w:bookmarkStart w:id="1380" w:name="_Toc20445"/>
      <w:bookmarkStart w:id="1381" w:name="_Toc29993"/>
      <w:bookmarkStart w:id="1382" w:name="_Toc2402"/>
      <w:r>
        <w:rPr>
          <w:rFonts w:hint="eastAsia" w:ascii="宋体" w:hAnsi="宋体" w:eastAsia="宋体" w:cs="宋体"/>
          <w:bCs/>
          <w:color w:val="auto"/>
          <w:kern w:val="0"/>
          <w:sz w:val="28"/>
          <w:szCs w:val="28"/>
          <w:highlight w:val="none"/>
          <w:lang w:eastAsia="zh-CN"/>
        </w:rPr>
        <w:t>15.1.5 外部协作条件风险</w:t>
      </w:r>
      <w:bookmarkEnd w:id="1376"/>
      <w:bookmarkEnd w:id="1377"/>
      <w:bookmarkEnd w:id="1378"/>
      <w:bookmarkEnd w:id="1379"/>
      <w:bookmarkEnd w:id="1380"/>
      <w:bookmarkEnd w:id="1381"/>
      <w:bookmarkEnd w:id="1382"/>
    </w:p>
    <w:p w14:paraId="64482B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83" w:name="_Toc27443"/>
      <w:r>
        <w:rPr>
          <w:rFonts w:hint="eastAsia" w:ascii="宋体" w:hAnsi="宋体" w:eastAsia="宋体" w:cs="宋体"/>
          <w:bCs/>
          <w:color w:val="auto"/>
          <w:kern w:val="0"/>
          <w:sz w:val="28"/>
          <w:szCs w:val="28"/>
          <w:highlight w:val="none"/>
          <w:lang w:eastAsia="zh-CN"/>
        </w:rPr>
        <w:t>在项目建设和投入使用后的经营活动中，场地使用、供水、供电、供气、交通运输及合作单位等外部协作条件发生重大变化，给项目建设和经营带来困难。</w:t>
      </w:r>
      <w:bookmarkEnd w:id="1383"/>
    </w:p>
    <w:p w14:paraId="7E5F10E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宋体" w:hAnsi="宋体" w:eastAsia="宋体" w:cs="宋体"/>
          <w:bCs/>
          <w:color w:val="auto"/>
          <w:kern w:val="0"/>
          <w:sz w:val="28"/>
          <w:szCs w:val="28"/>
          <w:highlight w:val="none"/>
          <w:lang w:eastAsia="zh-CN"/>
        </w:rPr>
      </w:pPr>
      <w:bookmarkStart w:id="1384" w:name="_Toc29255"/>
      <w:bookmarkStart w:id="1385" w:name="_Toc30534"/>
      <w:bookmarkStart w:id="1386" w:name="_Toc21748"/>
      <w:bookmarkStart w:id="1387" w:name="_Toc3993"/>
      <w:bookmarkStart w:id="1388" w:name="_Toc32372"/>
      <w:bookmarkStart w:id="1389" w:name="_Toc12852"/>
      <w:bookmarkStart w:id="1390" w:name="_Toc3129"/>
      <w:bookmarkStart w:id="1391" w:name="_Toc7824"/>
      <w:bookmarkStart w:id="1392" w:name="_Toc31331"/>
      <w:bookmarkStart w:id="1393" w:name="_Toc31206"/>
      <w:bookmarkStart w:id="1394" w:name="_Toc13470"/>
      <w:r>
        <w:rPr>
          <w:rFonts w:hint="eastAsia" w:ascii="宋体" w:hAnsi="宋体" w:eastAsia="宋体" w:cs="宋体"/>
          <w:bCs/>
          <w:color w:val="auto"/>
          <w:kern w:val="0"/>
          <w:sz w:val="28"/>
          <w:szCs w:val="28"/>
          <w:highlight w:val="none"/>
          <w:lang w:eastAsia="zh-CN"/>
        </w:rPr>
        <w:t>15.2 风险程度分析</w:t>
      </w:r>
      <w:bookmarkEnd w:id="1384"/>
      <w:bookmarkEnd w:id="1385"/>
      <w:bookmarkEnd w:id="1386"/>
      <w:bookmarkEnd w:id="1387"/>
      <w:bookmarkEnd w:id="1388"/>
      <w:bookmarkEnd w:id="1389"/>
      <w:bookmarkEnd w:id="1390"/>
      <w:bookmarkEnd w:id="1391"/>
      <w:bookmarkEnd w:id="1392"/>
      <w:bookmarkEnd w:id="1393"/>
      <w:bookmarkEnd w:id="1394"/>
    </w:p>
    <w:p w14:paraId="2D2A547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eastAsia="zh-CN"/>
        </w:rPr>
      </w:pPr>
      <w:bookmarkStart w:id="1395" w:name="_Toc4929"/>
      <w:r>
        <w:rPr>
          <w:rFonts w:hint="eastAsia" w:ascii="宋体" w:hAnsi="宋体" w:eastAsia="宋体" w:cs="宋体"/>
          <w:bCs/>
          <w:color w:val="auto"/>
          <w:kern w:val="0"/>
          <w:sz w:val="28"/>
          <w:szCs w:val="28"/>
          <w:highlight w:val="none"/>
          <w:lang w:eastAsia="zh-CN"/>
        </w:rPr>
        <w:t>项目采用专家评估法对项目风险因素和风险程度进行了分析，评估结果为：影响项目的主要风险因素是资金与管理。详见下表15.2-1。</w:t>
      </w:r>
      <w:bookmarkEnd w:id="1395"/>
    </w:p>
    <w:p w14:paraId="12A0F650">
      <w:pPr>
        <w:pStyle w:val="20"/>
        <w:pageBreakBefore w:val="0"/>
        <w:widowControl w:val="0"/>
        <w:kinsoku/>
        <w:wordWrap/>
        <w:overflowPunct/>
        <w:topLinePunct w:val="0"/>
        <w:autoSpaceDE/>
        <w:autoSpaceDN/>
        <w:bidi w:val="0"/>
        <w:ind w:firstLine="0" w:firstLineChars="0"/>
        <w:jc w:val="center"/>
        <w:textAlignment w:val="auto"/>
        <w:rPr>
          <w:color w:val="auto"/>
          <w:sz w:val="24"/>
          <w:highlight w:val="none"/>
        </w:rPr>
      </w:pPr>
      <w:r>
        <w:rPr>
          <w:rFonts w:hint="eastAsia"/>
          <w:color w:val="auto"/>
          <w:sz w:val="24"/>
          <w:highlight w:val="none"/>
        </w:rPr>
        <w:t>表15.2-1  主要风险因素和风险程度分析表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3140"/>
        <w:gridCol w:w="977"/>
        <w:gridCol w:w="912"/>
        <w:gridCol w:w="912"/>
        <w:gridCol w:w="915"/>
        <w:gridCol w:w="832"/>
      </w:tblGrid>
      <w:tr w14:paraId="63BF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Merge w:val="restart"/>
            <w:vAlign w:val="center"/>
          </w:tcPr>
          <w:p w14:paraId="0F03530B">
            <w:pPr>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1842" w:type="pct"/>
            <w:vMerge w:val="restart"/>
            <w:vAlign w:val="center"/>
          </w:tcPr>
          <w:p w14:paraId="61F5AF93">
            <w:pPr>
              <w:spacing w:line="400" w:lineRule="exact"/>
              <w:jc w:val="center"/>
              <w:rPr>
                <w:rFonts w:ascii="宋体" w:hAnsi="宋体"/>
                <w:color w:val="auto"/>
                <w:szCs w:val="21"/>
                <w:highlight w:val="none"/>
              </w:rPr>
            </w:pPr>
            <w:r>
              <w:rPr>
                <w:rFonts w:hint="eastAsia" w:ascii="宋体" w:hAnsi="宋体"/>
                <w:color w:val="auto"/>
                <w:szCs w:val="21"/>
                <w:highlight w:val="none"/>
              </w:rPr>
              <w:t>风险因素名称</w:t>
            </w:r>
          </w:p>
        </w:tc>
        <w:tc>
          <w:tcPr>
            <w:tcW w:w="2180" w:type="pct"/>
            <w:gridSpan w:val="4"/>
            <w:vAlign w:val="center"/>
          </w:tcPr>
          <w:p w14:paraId="47D4E0EC">
            <w:pPr>
              <w:spacing w:line="400" w:lineRule="exact"/>
              <w:jc w:val="center"/>
              <w:rPr>
                <w:rFonts w:ascii="宋体" w:hAnsi="宋体"/>
                <w:color w:val="auto"/>
                <w:szCs w:val="21"/>
                <w:highlight w:val="none"/>
              </w:rPr>
            </w:pPr>
            <w:r>
              <w:rPr>
                <w:rFonts w:hint="eastAsia" w:ascii="宋体" w:hAnsi="宋体"/>
                <w:color w:val="auto"/>
                <w:szCs w:val="21"/>
                <w:highlight w:val="none"/>
              </w:rPr>
              <w:t>风险程度</w:t>
            </w:r>
          </w:p>
        </w:tc>
        <w:tc>
          <w:tcPr>
            <w:tcW w:w="488" w:type="pct"/>
            <w:vMerge w:val="restart"/>
            <w:vAlign w:val="center"/>
          </w:tcPr>
          <w:p w14:paraId="529CFA57">
            <w:pPr>
              <w:spacing w:line="400" w:lineRule="exact"/>
              <w:jc w:val="center"/>
              <w:rPr>
                <w:rFonts w:ascii="宋体" w:hAnsi="宋体"/>
                <w:color w:val="auto"/>
                <w:szCs w:val="21"/>
                <w:highlight w:val="none"/>
              </w:rPr>
            </w:pPr>
            <w:r>
              <w:rPr>
                <w:rFonts w:hint="eastAsia" w:ascii="宋体" w:hAnsi="宋体"/>
                <w:color w:val="auto"/>
                <w:szCs w:val="21"/>
                <w:highlight w:val="none"/>
              </w:rPr>
              <w:t>说明</w:t>
            </w:r>
          </w:p>
        </w:tc>
      </w:tr>
      <w:tr w14:paraId="1AE8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Merge w:val="continue"/>
            <w:vAlign w:val="center"/>
          </w:tcPr>
          <w:p w14:paraId="75B87311">
            <w:pPr>
              <w:spacing w:line="400" w:lineRule="exact"/>
              <w:jc w:val="center"/>
              <w:rPr>
                <w:rFonts w:ascii="宋体" w:hAnsi="宋体"/>
                <w:color w:val="auto"/>
                <w:szCs w:val="21"/>
                <w:highlight w:val="none"/>
              </w:rPr>
            </w:pPr>
          </w:p>
        </w:tc>
        <w:tc>
          <w:tcPr>
            <w:tcW w:w="1842" w:type="pct"/>
            <w:vMerge w:val="continue"/>
            <w:vAlign w:val="center"/>
          </w:tcPr>
          <w:p w14:paraId="5D2AF035">
            <w:pPr>
              <w:spacing w:line="400" w:lineRule="exact"/>
              <w:jc w:val="center"/>
              <w:rPr>
                <w:rFonts w:ascii="宋体" w:hAnsi="宋体"/>
                <w:color w:val="auto"/>
                <w:szCs w:val="21"/>
                <w:highlight w:val="none"/>
              </w:rPr>
            </w:pPr>
          </w:p>
        </w:tc>
        <w:tc>
          <w:tcPr>
            <w:tcW w:w="573" w:type="pct"/>
            <w:vAlign w:val="center"/>
          </w:tcPr>
          <w:p w14:paraId="79AE2985">
            <w:pPr>
              <w:spacing w:line="400" w:lineRule="exact"/>
              <w:jc w:val="center"/>
              <w:rPr>
                <w:rFonts w:ascii="宋体" w:hAnsi="宋体"/>
                <w:color w:val="auto"/>
                <w:szCs w:val="21"/>
                <w:highlight w:val="none"/>
              </w:rPr>
            </w:pPr>
            <w:r>
              <w:rPr>
                <w:rFonts w:hint="eastAsia" w:ascii="宋体" w:hAnsi="宋体"/>
                <w:color w:val="auto"/>
                <w:szCs w:val="21"/>
                <w:highlight w:val="none"/>
              </w:rPr>
              <w:t>灾难性</w:t>
            </w:r>
          </w:p>
        </w:tc>
        <w:tc>
          <w:tcPr>
            <w:tcW w:w="535" w:type="pct"/>
            <w:vAlign w:val="center"/>
          </w:tcPr>
          <w:p w14:paraId="79D17E4C">
            <w:pPr>
              <w:spacing w:line="400" w:lineRule="exact"/>
              <w:jc w:val="center"/>
              <w:rPr>
                <w:rFonts w:ascii="宋体" w:hAnsi="宋体"/>
                <w:color w:val="auto"/>
                <w:szCs w:val="21"/>
                <w:highlight w:val="none"/>
              </w:rPr>
            </w:pPr>
            <w:r>
              <w:rPr>
                <w:rFonts w:hint="eastAsia" w:ascii="宋体" w:hAnsi="宋体"/>
                <w:color w:val="auto"/>
                <w:szCs w:val="21"/>
                <w:highlight w:val="none"/>
              </w:rPr>
              <w:t>严重</w:t>
            </w:r>
          </w:p>
        </w:tc>
        <w:tc>
          <w:tcPr>
            <w:tcW w:w="535" w:type="pct"/>
            <w:vAlign w:val="center"/>
          </w:tcPr>
          <w:p w14:paraId="5A5FDD01">
            <w:pPr>
              <w:spacing w:line="400" w:lineRule="exact"/>
              <w:jc w:val="center"/>
              <w:rPr>
                <w:rFonts w:ascii="宋体" w:hAnsi="宋体"/>
                <w:color w:val="auto"/>
                <w:szCs w:val="21"/>
                <w:highlight w:val="none"/>
              </w:rPr>
            </w:pPr>
            <w:r>
              <w:rPr>
                <w:rFonts w:hint="eastAsia" w:ascii="宋体" w:hAnsi="宋体"/>
                <w:color w:val="auto"/>
                <w:szCs w:val="21"/>
                <w:highlight w:val="none"/>
              </w:rPr>
              <w:t>较大</w:t>
            </w:r>
          </w:p>
        </w:tc>
        <w:tc>
          <w:tcPr>
            <w:tcW w:w="536" w:type="pct"/>
            <w:vAlign w:val="center"/>
          </w:tcPr>
          <w:p w14:paraId="546A424F">
            <w:pPr>
              <w:spacing w:line="400" w:lineRule="exact"/>
              <w:jc w:val="center"/>
              <w:rPr>
                <w:rFonts w:ascii="宋体" w:hAnsi="宋体"/>
                <w:color w:val="auto"/>
                <w:szCs w:val="21"/>
                <w:highlight w:val="none"/>
              </w:rPr>
            </w:pPr>
            <w:r>
              <w:rPr>
                <w:rFonts w:hint="eastAsia" w:ascii="宋体" w:hAnsi="宋体"/>
                <w:color w:val="auto"/>
                <w:szCs w:val="21"/>
                <w:highlight w:val="none"/>
              </w:rPr>
              <w:t>一般</w:t>
            </w:r>
          </w:p>
        </w:tc>
        <w:tc>
          <w:tcPr>
            <w:tcW w:w="488" w:type="pct"/>
            <w:vMerge w:val="continue"/>
            <w:vAlign w:val="center"/>
          </w:tcPr>
          <w:p w14:paraId="05CCC4F5">
            <w:pPr>
              <w:spacing w:line="400" w:lineRule="exact"/>
              <w:jc w:val="center"/>
              <w:rPr>
                <w:rFonts w:ascii="宋体" w:hAnsi="宋体"/>
                <w:color w:val="auto"/>
                <w:szCs w:val="21"/>
                <w:highlight w:val="none"/>
              </w:rPr>
            </w:pPr>
          </w:p>
        </w:tc>
      </w:tr>
      <w:tr w14:paraId="4BF5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3BEFB672">
            <w:pP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1842" w:type="pct"/>
            <w:vAlign w:val="center"/>
          </w:tcPr>
          <w:p w14:paraId="1D2CF45D">
            <w:pPr>
              <w:spacing w:line="400" w:lineRule="exact"/>
              <w:jc w:val="center"/>
              <w:rPr>
                <w:rFonts w:ascii="宋体" w:hAnsi="宋体"/>
                <w:color w:val="auto"/>
                <w:szCs w:val="21"/>
                <w:highlight w:val="none"/>
              </w:rPr>
            </w:pPr>
            <w:r>
              <w:rPr>
                <w:rFonts w:hint="eastAsia" w:ascii="宋体" w:hAnsi="宋体"/>
                <w:color w:val="auto"/>
                <w:szCs w:val="21"/>
                <w:highlight w:val="none"/>
              </w:rPr>
              <w:t>资金风险</w:t>
            </w:r>
          </w:p>
        </w:tc>
        <w:tc>
          <w:tcPr>
            <w:tcW w:w="573" w:type="pct"/>
            <w:vAlign w:val="center"/>
          </w:tcPr>
          <w:p w14:paraId="7ABA2EC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401EE64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73A143D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0D55CA5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5AB6CBE4">
            <w:pPr>
              <w:spacing w:line="400" w:lineRule="exact"/>
              <w:jc w:val="center"/>
              <w:rPr>
                <w:rFonts w:ascii="宋体" w:hAnsi="宋体"/>
                <w:color w:val="auto"/>
                <w:szCs w:val="21"/>
                <w:highlight w:val="none"/>
              </w:rPr>
            </w:pPr>
          </w:p>
        </w:tc>
      </w:tr>
      <w:tr w14:paraId="3181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246B70B8">
            <w:pPr>
              <w:spacing w:line="400" w:lineRule="exact"/>
              <w:jc w:val="center"/>
              <w:rPr>
                <w:rFonts w:ascii="宋体" w:hAnsi="宋体"/>
                <w:color w:val="auto"/>
                <w:szCs w:val="21"/>
                <w:highlight w:val="none"/>
              </w:rPr>
            </w:pPr>
            <w:r>
              <w:rPr>
                <w:rFonts w:hint="eastAsia" w:ascii="宋体" w:hAnsi="宋体"/>
                <w:color w:val="auto"/>
                <w:szCs w:val="21"/>
                <w:highlight w:val="none"/>
              </w:rPr>
              <w:t>1.1</w:t>
            </w:r>
          </w:p>
        </w:tc>
        <w:tc>
          <w:tcPr>
            <w:tcW w:w="1842" w:type="pct"/>
            <w:vAlign w:val="center"/>
          </w:tcPr>
          <w:p w14:paraId="2BAAA5D7">
            <w:pPr>
              <w:spacing w:line="400" w:lineRule="exact"/>
              <w:jc w:val="center"/>
              <w:rPr>
                <w:rFonts w:ascii="宋体" w:hAnsi="宋体"/>
                <w:color w:val="auto"/>
                <w:szCs w:val="21"/>
                <w:highlight w:val="none"/>
              </w:rPr>
            </w:pPr>
            <w:r>
              <w:rPr>
                <w:rFonts w:hint="eastAsia" w:ascii="宋体" w:hAnsi="宋体"/>
                <w:color w:val="auto"/>
                <w:szCs w:val="21"/>
                <w:highlight w:val="none"/>
              </w:rPr>
              <w:t>资金来源中断</w:t>
            </w:r>
          </w:p>
        </w:tc>
        <w:tc>
          <w:tcPr>
            <w:tcW w:w="573" w:type="pct"/>
            <w:vAlign w:val="center"/>
          </w:tcPr>
          <w:p w14:paraId="25A3797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574F802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13CA225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3A02B483">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210D0FA4">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5F9A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64FDB6FD">
            <w:pPr>
              <w:spacing w:line="400" w:lineRule="exact"/>
              <w:jc w:val="center"/>
              <w:rPr>
                <w:rFonts w:ascii="宋体" w:hAnsi="宋体"/>
                <w:color w:val="auto"/>
                <w:szCs w:val="21"/>
                <w:highlight w:val="none"/>
              </w:rPr>
            </w:pPr>
            <w:r>
              <w:rPr>
                <w:rFonts w:hint="eastAsia" w:ascii="宋体" w:hAnsi="宋体"/>
                <w:color w:val="auto"/>
                <w:szCs w:val="21"/>
                <w:highlight w:val="none"/>
              </w:rPr>
              <w:t>1.2</w:t>
            </w:r>
          </w:p>
        </w:tc>
        <w:tc>
          <w:tcPr>
            <w:tcW w:w="1842" w:type="pct"/>
            <w:vAlign w:val="center"/>
          </w:tcPr>
          <w:p w14:paraId="62A26356">
            <w:pPr>
              <w:spacing w:line="400" w:lineRule="exact"/>
              <w:jc w:val="center"/>
              <w:rPr>
                <w:rFonts w:ascii="宋体" w:hAnsi="宋体"/>
                <w:color w:val="auto"/>
                <w:szCs w:val="21"/>
                <w:highlight w:val="none"/>
              </w:rPr>
            </w:pPr>
            <w:r>
              <w:rPr>
                <w:rFonts w:hint="eastAsia" w:ascii="宋体" w:hAnsi="宋体"/>
                <w:color w:val="auto"/>
                <w:szCs w:val="21"/>
                <w:highlight w:val="none"/>
              </w:rPr>
              <w:t>资金供应不足</w:t>
            </w:r>
          </w:p>
        </w:tc>
        <w:tc>
          <w:tcPr>
            <w:tcW w:w="573" w:type="pct"/>
            <w:vAlign w:val="center"/>
          </w:tcPr>
          <w:p w14:paraId="7EA9205A">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24FA842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8798B2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1E68152D">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6649341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7884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76D8E67E">
            <w:pP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1842" w:type="pct"/>
            <w:vAlign w:val="center"/>
          </w:tcPr>
          <w:p w14:paraId="33620BE1">
            <w:pPr>
              <w:spacing w:line="400" w:lineRule="exact"/>
              <w:jc w:val="center"/>
              <w:rPr>
                <w:rFonts w:ascii="宋体" w:hAnsi="宋体"/>
                <w:color w:val="auto"/>
                <w:szCs w:val="21"/>
                <w:highlight w:val="none"/>
              </w:rPr>
            </w:pPr>
            <w:r>
              <w:rPr>
                <w:rFonts w:hint="eastAsia" w:ascii="宋体" w:hAnsi="宋体"/>
                <w:color w:val="auto"/>
                <w:szCs w:val="21"/>
                <w:highlight w:val="none"/>
              </w:rPr>
              <w:t>技术风险</w:t>
            </w:r>
          </w:p>
        </w:tc>
        <w:tc>
          <w:tcPr>
            <w:tcW w:w="573" w:type="pct"/>
            <w:vAlign w:val="center"/>
          </w:tcPr>
          <w:p w14:paraId="6D4A3723">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3507DF6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3ED8A53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18F7E42D">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7054C41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69D2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472AC15C">
            <w:pPr>
              <w:spacing w:line="400" w:lineRule="exact"/>
              <w:jc w:val="center"/>
              <w:rPr>
                <w:rFonts w:ascii="宋体" w:hAnsi="宋体"/>
                <w:color w:val="auto"/>
                <w:szCs w:val="21"/>
                <w:highlight w:val="none"/>
              </w:rPr>
            </w:pPr>
            <w:r>
              <w:rPr>
                <w:rFonts w:hint="eastAsia" w:ascii="宋体" w:hAnsi="宋体"/>
                <w:color w:val="auto"/>
                <w:szCs w:val="21"/>
                <w:highlight w:val="none"/>
              </w:rPr>
              <w:t>2.1</w:t>
            </w:r>
          </w:p>
        </w:tc>
        <w:tc>
          <w:tcPr>
            <w:tcW w:w="1842" w:type="pct"/>
            <w:vAlign w:val="center"/>
          </w:tcPr>
          <w:p w14:paraId="5599B879">
            <w:pPr>
              <w:spacing w:line="400" w:lineRule="exact"/>
              <w:jc w:val="center"/>
              <w:rPr>
                <w:rFonts w:ascii="宋体" w:hAnsi="宋体"/>
                <w:color w:val="auto"/>
                <w:szCs w:val="21"/>
                <w:highlight w:val="none"/>
              </w:rPr>
            </w:pPr>
            <w:r>
              <w:rPr>
                <w:rFonts w:hint="eastAsia" w:ascii="宋体" w:hAnsi="宋体"/>
                <w:color w:val="auto"/>
                <w:szCs w:val="21"/>
                <w:highlight w:val="none"/>
              </w:rPr>
              <w:t>先进性</w:t>
            </w:r>
          </w:p>
        </w:tc>
        <w:tc>
          <w:tcPr>
            <w:tcW w:w="573" w:type="pct"/>
            <w:vAlign w:val="center"/>
          </w:tcPr>
          <w:p w14:paraId="47E2360B">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25378403">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E00353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38175CF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7C375E3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2E2F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2D5283CD">
            <w:pPr>
              <w:spacing w:line="400" w:lineRule="exact"/>
              <w:jc w:val="center"/>
              <w:rPr>
                <w:rFonts w:ascii="宋体" w:hAnsi="宋体"/>
                <w:color w:val="auto"/>
                <w:szCs w:val="21"/>
                <w:highlight w:val="none"/>
              </w:rPr>
            </w:pPr>
            <w:r>
              <w:rPr>
                <w:rFonts w:hint="eastAsia" w:ascii="宋体" w:hAnsi="宋体"/>
                <w:color w:val="auto"/>
                <w:szCs w:val="21"/>
                <w:highlight w:val="none"/>
              </w:rPr>
              <w:t>2.2</w:t>
            </w:r>
          </w:p>
        </w:tc>
        <w:tc>
          <w:tcPr>
            <w:tcW w:w="1842" w:type="pct"/>
            <w:vAlign w:val="center"/>
          </w:tcPr>
          <w:p w14:paraId="1DD1B1C3">
            <w:pPr>
              <w:spacing w:line="400" w:lineRule="exact"/>
              <w:jc w:val="center"/>
              <w:rPr>
                <w:rFonts w:ascii="宋体" w:hAnsi="宋体"/>
                <w:color w:val="auto"/>
                <w:szCs w:val="21"/>
                <w:highlight w:val="none"/>
              </w:rPr>
            </w:pPr>
            <w:r>
              <w:rPr>
                <w:rFonts w:hint="eastAsia" w:ascii="宋体" w:hAnsi="宋体"/>
                <w:color w:val="auto"/>
                <w:szCs w:val="21"/>
                <w:highlight w:val="none"/>
              </w:rPr>
              <w:t>适用性</w:t>
            </w:r>
          </w:p>
        </w:tc>
        <w:tc>
          <w:tcPr>
            <w:tcW w:w="573" w:type="pct"/>
            <w:vAlign w:val="center"/>
          </w:tcPr>
          <w:p w14:paraId="5F787774">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3C0CF2B1">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57B6009F">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4CF25F9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1441DB6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05B1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67A3B24C">
            <w:pPr>
              <w:spacing w:line="400" w:lineRule="exact"/>
              <w:jc w:val="center"/>
              <w:rPr>
                <w:rFonts w:ascii="宋体" w:hAnsi="宋体"/>
                <w:color w:val="auto"/>
                <w:szCs w:val="21"/>
                <w:highlight w:val="none"/>
              </w:rPr>
            </w:pPr>
            <w:r>
              <w:rPr>
                <w:rFonts w:hint="eastAsia" w:ascii="宋体" w:hAnsi="宋体"/>
                <w:color w:val="auto"/>
                <w:szCs w:val="21"/>
                <w:highlight w:val="none"/>
              </w:rPr>
              <w:t>2.3</w:t>
            </w:r>
          </w:p>
        </w:tc>
        <w:tc>
          <w:tcPr>
            <w:tcW w:w="1842" w:type="pct"/>
            <w:vAlign w:val="center"/>
          </w:tcPr>
          <w:p w14:paraId="40631AB6">
            <w:pPr>
              <w:spacing w:line="400" w:lineRule="exact"/>
              <w:jc w:val="center"/>
              <w:rPr>
                <w:rFonts w:ascii="宋体" w:hAnsi="宋体"/>
                <w:color w:val="auto"/>
                <w:szCs w:val="21"/>
                <w:highlight w:val="none"/>
              </w:rPr>
            </w:pPr>
            <w:r>
              <w:rPr>
                <w:rFonts w:hint="eastAsia" w:ascii="宋体" w:hAnsi="宋体"/>
                <w:color w:val="auto"/>
                <w:szCs w:val="21"/>
                <w:highlight w:val="none"/>
              </w:rPr>
              <w:t>可靠性</w:t>
            </w:r>
          </w:p>
        </w:tc>
        <w:tc>
          <w:tcPr>
            <w:tcW w:w="573" w:type="pct"/>
            <w:vAlign w:val="center"/>
          </w:tcPr>
          <w:p w14:paraId="3D3CA973">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5919A2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6C5748B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341C61B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0D3073EB">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56BE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6C02CCF8">
            <w:pPr>
              <w:spacing w:line="400" w:lineRule="exact"/>
              <w:jc w:val="center"/>
              <w:rPr>
                <w:rFonts w:ascii="宋体" w:hAnsi="宋体"/>
                <w:color w:val="auto"/>
                <w:szCs w:val="21"/>
                <w:highlight w:val="none"/>
              </w:rPr>
            </w:pPr>
            <w:r>
              <w:rPr>
                <w:rFonts w:hint="eastAsia" w:ascii="宋体" w:hAnsi="宋体"/>
                <w:color w:val="auto"/>
                <w:szCs w:val="21"/>
                <w:highlight w:val="none"/>
              </w:rPr>
              <w:t>2.4</w:t>
            </w:r>
          </w:p>
        </w:tc>
        <w:tc>
          <w:tcPr>
            <w:tcW w:w="1842" w:type="pct"/>
            <w:vAlign w:val="center"/>
          </w:tcPr>
          <w:p w14:paraId="024988A1">
            <w:pPr>
              <w:spacing w:line="400" w:lineRule="exact"/>
              <w:jc w:val="center"/>
              <w:rPr>
                <w:rFonts w:ascii="宋体" w:hAnsi="宋体"/>
                <w:color w:val="auto"/>
                <w:szCs w:val="21"/>
                <w:highlight w:val="none"/>
              </w:rPr>
            </w:pPr>
            <w:r>
              <w:rPr>
                <w:rFonts w:hint="eastAsia" w:ascii="宋体" w:hAnsi="宋体"/>
                <w:color w:val="auto"/>
                <w:szCs w:val="21"/>
                <w:highlight w:val="none"/>
              </w:rPr>
              <w:t>可得性</w:t>
            </w:r>
          </w:p>
        </w:tc>
        <w:tc>
          <w:tcPr>
            <w:tcW w:w="573" w:type="pct"/>
            <w:vAlign w:val="center"/>
          </w:tcPr>
          <w:p w14:paraId="1B2F8BB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4E6CBF7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71E73C92">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2D3CAEE2">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5599306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7FB8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4B83983C">
            <w:pP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1842" w:type="pct"/>
            <w:vAlign w:val="center"/>
          </w:tcPr>
          <w:p w14:paraId="1A101B9F">
            <w:pPr>
              <w:spacing w:line="400" w:lineRule="exact"/>
              <w:jc w:val="center"/>
              <w:rPr>
                <w:rFonts w:ascii="宋体" w:hAnsi="宋体"/>
                <w:color w:val="auto"/>
                <w:szCs w:val="21"/>
                <w:highlight w:val="none"/>
              </w:rPr>
            </w:pPr>
            <w:r>
              <w:rPr>
                <w:rFonts w:hint="eastAsia" w:ascii="宋体" w:hAnsi="宋体"/>
                <w:color w:val="auto"/>
                <w:szCs w:val="21"/>
                <w:highlight w:val="none"/>
              </w:rPr>
              <w:t>管理风险</w:t>
            </w:r>
          </w:p>
        </w:tc>
        <w:tc>
          <w:tcPr>
            <w:tcW w:w="573" w:type="pct"/>
            <w:vAlign w:val="center"/>
          </w:tcPr>
          <w:p w14:paraId="4F9B47F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2EA6E6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662F1773">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04D08882">
            <w:pPr>
              <w:spacing w:line="400" w:lineRule="exact"/>
              <w:jc w:val="center"/>
              <w:rPr>
                <w:rFonts w:ascii="宋体" w:hAnsi="宋体"/>
                <w:color w:val="auto"/>
                <w:szCs w:val="21"/>
                <w:highlight w:val="none"/>
              </w:rPr>
            </w:pPr>
          </w:p>
        </w:tc>
        <w:tc>
          <w:tcPr>
            <w:tcW w:w="488" w:type="pct"/>
            <w:vAlign w:val="center"/>
          </w:tcPr>
          <w:p w14:paraId="528DA45E">
            <w:pPr>
              <w:spacing w:line="400" w:lineRule="exact"/>
              <w:jc w:val="center"/>
              <w:rPr>
                <w:rFonts w:ascii="宋体" w:hAnsi="宋体"/>
                <w:color w:val="auto"/>
                <w:szCs w:val="21"/>
                <w:highlight w:val="none"/>
              </w:rPr>
            </w:pPr>
          </w:p>
        </w:tc>
      </w:tr>
      <w:tr w14:paraId="5EF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0B03B18D">
            <w:pPr>
              <w:spacing w:line="400" w:lineRule="exact"/>
              <w:jc w:val="center"/>
              <w:rPr>
                <w:rFonts w:ascii="宋体" w:hAnsi="宋体"/>
                <w:color w:val="auto"/>
                <w:szCs w:val="21"/>
                <w:highlight w:val="none"/>
              </w:rPr>
            </w:pPr>
            <w:r>
              <w:rPr>
                <w:rFonts w:hint="eastAsia" w:ascii="宋体" w:hAnsi="宋体"/>
                <w:color w:val="auto"/>
                <w:szCs w:val="21"/>
                <w:highlight w:val="none"/>
              </w:rPr>
              <w:t>3.1</w:t>
            </w:r>
          </w:p>
        </w:tc>
        <w:tc>
          <w:tcPr>
            <w:tcW w:w="1842" w:type="pct"/>
            <w:vAlign w:val="center"/>
          </w:tcPr>
          <w:p w14:paraId="4F451462">
            <w:pPr>
              <w:spacing w:line="400" w:lineRule="exact"/>
              <w:jc w:val="center"/>
              <w:rPr>
                <w:rFonts w:ascii="宋体" w:hAnsi="宋体"/>
                <w:color w:val="auto"/>
                <w:szCs w:val="21"/>
                <w:highlight w:val="none"/>
              </w:rPr>
            </w:pPr>
            <w:r>
              <w:rPr>
                <w:rFonts w:hint="eastAsia" w:ascii="宋体" w:hAnsi="宋体"/>
                <w:color w:val="auto"/>
                <w:szCs w:val="21"/>
                <w:highlight w:val="none"/>
              </w:rPr>
              <w:t>经营方式</w:t>
            </w:r>
          </w:p>
        </w:tc>
        <w:tc>
          <w:tcPr>
            <w:tcW w:w="573" w:type="pct"/>
            <w:vAlign w:val="center"/>
          </w:tcPr>
          <w:p w14:paraId="511BBBE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75A968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10F8E382">
            <w:pPr>
              <w:spacing w:line="400" w:lineRule="exact"/>
              <w:jc w:val="center"/>
              <w:rPr>
                <w:rFonts w:ascii="宋体" w:hAnsi="宋体"/>
                <w:color w:val="auto"/>
                <w:szCs w:val="21"/>
                <w:highlight w:val="none"/>
              </w:rPr>
            </w:pPr>
          </w:p>
        </w:tc>
        <w:tc>
          <w:tcPr>
            <w:tcW w:w="536" w:type="pct"/>
            <w:vAlign w:val="center"/>
          </w:tcPr>
          <w:p w14:paraId="63E647FF">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01E6E6C4">
            <w:pPr>
              <w:spacing w:line="400" w:lineRule="exact"/>
              <w:jc w:val="center"/>
              <w:rPr>
                <w:rFonts w:ascii="宋体" w:hAnsi="宋体"/>
                <w:color w:val="auto"/>
                <w:szCs w:val="21"/>
                <w:highlight w:val="none"/>
              </w:rPr>
            </w:pPr>
          </w:p>
        </w:tc>
      </w:tr>
      <w:tr w14:paraId="318E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0420DE27">
            <w:pPr>
              <w:spacing w:line="400" w:lineRule="exact"/>
              <w:jc w:val="center"/>
              <w:rPr>
                <w:rFonts w:ascii="宋体" w:hAnsi="宋体"/>
                <w:color w:val="auto"/>
                <w:szCs w:val="21"/>
                <w:highlight w:val="none"/>
              </w:rPr>
            </w:pPr>
            <w:r>
              <w:rPr>
                <w:rFonts w:hint="eastAsia" w:ascii="宋体" w:hAnsi="宋体"/>
                <w:color w:val="auto"/>
                <w:szCs w:val="21"/>
                <w:highlight w:val="none"/>
              </w:rPr>
              <w:t>3.2</w:t>
            </w:r>
          </w:p>
        </w:tc>
        <w:tc>
          <w:tcPr>
            <w:tcW w:w="1842" w:type="pct"/>
            <w:vAlign w:val="center"/>
          </w:tcPr>
          <w:p w14:paraId="6894E33F">
            <w:pPr>
              <w:spacing w:line="400" w:lineRule="exact"/>
              <w:jc w:val="center"/>
              <w:rPr>
                <w:rFonts w:ascii="宋体" w:hAnsi="宋体"/>
                <w:color w:val="auto"/>
                <w:szCs w:val="21"/>
                <w:highlight w:val="none"/>
              </w:rPr>
            </w:pPr>
            <w:r>
              <w:rPr>
                <w:rFonts w:hint="eastAsia" w:ascii="宋体" w:hAnsi="宋体"/>
                <w:color w:val="auto"/>
                <w:szCs w:val="21"/>
                <w:highlight w:val="none"/>
              </w:rPr>
              <w:t>管理能力</w:t>
            </w:r>
          </w:p>
        </w:tc>
        <w:tc>
          <w:tcPr>
            <w:tcW w:w="573" w:type="pct"/>
            <w:vAlign w:val="center"/>
          </w:tcPr>
          <w:p w14:paraId="63F1F1F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1F69B62">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E940225">
            <w:pPr>
              <w:spacing w:line="400" w:lineRule="exact"/>
              <w:jc w:val="center"/>
              <w:rPr>
                <w:rFonts w:ascii="宋体" w:hAnsi="宋体"/>
                <w:color w:val="auto"/>
                <w:szCs w:val="21"/>
                <w:highlight w:val="none"/>
              </w:rPr>
            </w:pPr>
          </w:p>
        </w:tc>
        <w:tc>
          <w:tcPr>
            <w:tcW w:w="536" w:type="pct"/>
            <w:vAlign w:val="center"/>
          </w:tcPr>
          <w:p w14:paraId="42551ADD">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0DC02DF2">
            <w:pPr>
              <w:spacing w:line="400" w:lineRule="exact"/>
              <w:jc w:val="center"/>
              <w:rPr>
                <w:rFonts w:ascii="宋体" w:hAnsi="宋体"/>
                <w:color w:val="auto"/>
                <w:szCs w:val="21"/>
                <w:highlight w:val="none"/>
              </w:rPr>
            </w:pPr>
          </w:p>
        </w:tc>
      </w:tr>
      <w:tr w14:paraId="3625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1D6FC2D0">
            <w:pPr>
              <w:spacing w:line="400" w:lineRule="exact"/>
              <w:jc w:val="center"/>
              <w:rPr>
                <w:rFonts w:ascii="宋体" w:hAnsi="宋体"/>
                <w:color w:val="auto"/>
                <w:szCs w:val="21"/>
                <w:highlight w:val="none"/>
              </w:rPr>
            </w:pPr>
            <w:r>
              <w:rPr>
                <w:rFonts w:hint="eastAsia" w:ascii="宋体" w:hAnsi="宋体"/>
                <w:color w:val="auto"/>
                <w:szCs w:val="21"/>
                <w:highlight w:val="none"/>
              </w:rPr>
              <w:t>3.3</w:t>
            </w:r>
          </w:p>
        </w:tc>
        <w:tc>
          <w:tcPr>
            <w:tcW w:w="1842" w:type="pct"/>
            <w:vAlign w:val="center"/>
          </w:tcPr>
          <w:p w14:paraId="6ABC5F1E">
            <w:pPr>
              <w:spacing w:line="400" w:lineRule="exact"/>
              <w:jc w:val="center"/>
              <w:rPr>
                <w:rFonts w:ascii="宋体" w:hAnsi="宋体"/>
                <w:color w:val="auto"/>
                <w:szCs w:val="21"/>
                <w:highlight w:val="none"/>
              </w:rPr>
            </w:pPr>
            <w:r>
              <w:rPr>
                <w:rFonts w:hint="eastAsia" w:ascii="宋体" w:hAnsi="宋体"/>
                <w:color w:val="auto"/>
                <w:szCs w:val="21"/>
                <w:highlight w:val="none"/>
              </w:rPr>
              <w:t>组织机构</w:t>
            </w:r>
          </w:p>
        </w:tc>
        <w:tc>
          <w:tcPr>
            <w:tcW w:w="573" w:type="pct"/>
            <w:vAlign w:val="center"/>
          </w:tcPr>
          <w:p w14:paraId="78B9059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3E418CA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76F81769">
            <w:pPr>
              <w:spacing w:line="400" w:lineRule="exact"/>
              <w:jc w:val="center"/>
              <w:rPr>
                <w:rFonts w:ascii="宋体" w:hAnsi="宋体"/>
                <w:color w:val="auto"/>
                <w:szCs w:val="21"/>
                <w:highlight w:val="none"/>
              </w:rPr>
            </w:pPr>
          </w:p>
        </w:tc>
        <w:tc>
          <w:tcPr>
            <w:tcW w:w="536" w:type="pct"/>
            <w:vAlign w:val="center"/>
          </w:tcPr>
          <w:p w14:paraId="20FA72A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6349BE0C">
            <w:pPr>
              <w:spacing w:line="400" w:lineRule="exact"/>
              <w:jc w:val="center"/>
              <w:rPr>
                <w:rFonts w:ascii="宋体" w:hAnsi="宋体"/>
                <w:color w:val="auto"/>
                <w:szCs w:val="21"/>
                <w:highlight w:val="none"/>
              </w:rPr>
            </w:pPr>
          </w:p>
        </w:tc>
      </w:tr>
      <w:tr w14:paraId="0773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53517810">
            <w:pP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1842" w:type="pct"/>
            <w:vAlign w:val="center"/>
          </w:tcPr>
          <w:p w14:paraId="22E4C81D">
            <w:pPr>
              <w:spacing w:line="400" w:lineRule="exact"/>
              <w:jc w:val="center"/>
              <w:rPr>
                <w:rFonts w:ascii="宋体" w:hAnsi="宋体"/>
                <w:color w:val="auto"/>
                <w:szCs w:val="21"/>
                <w:highlight w:val="none"/>
              </w:rPr>
            </w:pPr>
            <w:r>
              <w:rPr>
                <w:rFonts w:hint="eastAsia" w:ascii="宋体" w:hAnsi="宋体"/>
                <w:color w:val="auto"/>
                <w:szCs w:val="21"/>
                <w:highlight w:val="none"/>
              </w:rPr>
              <w:t>工程风险</w:t>
            </w:r>
          </w:p>
        </w:tc>
        <w:tc>
          <w:tcPr>
            <w:tcW w:w="573" w:type="pct"/>
            <w:vAlign w:val="center"/>
          </w:tcPr>
          <w:p w14:paraId="5D428DD5">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23F45C5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79D7C77">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53EC2ED2">
            <w:pPr>
              <w:spacing w:line="400" w:lineRule="exact"/>
              <w:jc w:val="center"/>
              <w:rPr>
                <w:rFonts w:ascii="宋体" w:hAnsi="宋体"/>
                <w:color w:val="auto"/>
                <w:szCs w:val="21"/>
                <w:highlight w:val="none"/>
              </w:rPr>
            </w:pPr>
          </w:p>
        </w:tc>
        <w:tc>
          <w:tcPr>
            <w:tcW w:w="488" w:type="pct"/>
            <w:vAlign w:val="center"/>
          </w:tcPr>
          <w:p w14:paraId="07A43ADA">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66D0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5EC4DB50">
            <w:pPr>
              <w:spacing w:line="400" w:lineRule="exact"/>
              <w:jc w:val="center"/>
              <w:rPr>
                <w:rFonts w:ascii="宋体" w:hAnsi="宋体"/>
                <w:color w:val="auto"/>
                <w:szCs w:val="21"/>
                <w:highlight w:val="none"/>
              </w:rPr>
            </w:pPr>
            <w:r>
              <w:rPr>
                <w:rFonts w:hint="eastAsia" w:ascii="宋体" w:hAnsi="宋体"/>
                <w:color w:val="auto"/>
                <w:szCs w:val="21"/>
                <w:highlight w:val="none"/>
              </w:rPr>
              <w:t>4.1</w:t>
            </w:r>
          </w:p>
        </w:tc>
        <w:tc>
          <w:tcPr>
            <w:tcW w:w="1842" w:type="pct"/>
            <w:vAlign w:val="center"/>
          </w:tcPr>
          <w:p w14:paraId="049D0CB1">
            <w:pPr>
              <w:spacing w:line="400" w:lineRule="exact"/>
              <w:jc w:val="center"/>
              <w:rPr>
                <w:rFonts w:ascii="宋体" w:hAnsi="宋体"/>
                <w:color w:val="auto"/>
                <w:szCs w:val="21"/>
                <w:highlight w:val="none"/>
              </w:rPr>
            </w:pPr>
            <w:r>
              <w:rPr>
                <w:rFonts w:hint="eastAsia" w:ascii="宋体" w:hAnsi="宋体"/>
                <w:color w:val="auto"/>
                <w:szCs w:val="21"/>
                <w:highlight w:val="none"/>
              </w:rPr>
              <w:t>工程地质</w:t>
            </w:r>
          </w:p>
        </w:tc>
        <w:tc>
          <w:tcPr>
            <w:tcW w:w="573" w:type="pct"/>
            <w:vAlign w:val="center"/>
          </w:tcPr>
          <w:p w14:paraId="1E13D44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61025BC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3E411F77">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1CFFDEA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493EA1F1">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2FE3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44D31024">
            <w:pPr>
              <w:spacing w:line="400" w:lineRule="exact"/>
              <w:jc w:val="center"/>
              <w:rPr>
                <w:rFonts w:ascii="宋体" w:hAnsi="宋体"/>
                <w:color w:val="auto"/>
                <w:szCs w:val="21"/>
                <w:highlight w:val="none"/>
              </w:rPr>
            </w:pPr>
            <w:r>
              <w:rPr>
                <w:rFonts w:hint="eastAsia" w:ascii="宋体" w:hAnsi="宋体"/>
                <w:color w:val="auto"/>
                <w:szCs w:val="21"/>
                <w:highlight w:val="none"/>
              </w:rPr>
              <w:t>4.2</w:t>
            </w:r>
          </w:p>
        </w:tc>
        <w:tc>
          <w:tcPr>
            <w:tcW w:w="1842" w:type="pct"/>
            <w:vAlign w:val="center"/>
          </w:tcPr>
          <w:p w14:paraId="62ECA04D">
            <w:pPr>
              <w:spacing w:line="400" w:lineRule="exact"/>
              <w:jc w:val="center"/>
              <w:rPr>
                <w:rFonts w:ascii="宋体" w:hAnsi="宋体"/>
                <w:color w:val="auto"/>
                <w:szCs w:val="21"/>
                <w:highlight w:val="none"/>
              </w:rPr>
            </w:pPr>
            <w:r>
              <w:rPr>
                <w:rFonts w:hint="eastAsia" w:ascii="宋体" w:hAnsi="宋体"/>
                <w:color w:val="auto"/>
                <w:szCs w:val="21"/>
                <w:highlight w:val="none"/>
              </w:rPr>
              <w:t>水文地质</w:t>
            </w:r>
          </w:p>
        </w:tc>
        <w:tc>
          <w:tcPr>
            <w:tcW w:w="573" w:type="pct"/>
            <w:vAlign w:val="center"/>
          </w:tcPr>
          <w:p w14:paraId="282FB07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24DDD646">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9A18497">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45BFA6A1">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5591513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37D3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59D5AD2B">
            <w:pPr>
              <w:spacing w:line="400" w:lineRule="exact"/>
              <w:jc w:val="center"/>
              <w:rPr>
                <w:rFonts w:ascii="宋体" w:hAnsi="宋体"/>
                <w:color w:val="auto"/>
                <w:szCs w:val="21"/>
                <w:highlight w:val="none"/>
              </w:rPr>
            </w:pPr>
            <w:r>
              <w:rPr>
                <w:rFonts w:hint="eastAsia" w:ascii="宋体" w:hAnsi="宋体"/>
                <w:color w:val="auto"/>
                <w:szCs w:val="21"/>
                <w:highlight w:val="none"/>
              </w:rPr>
              <w:t>4.3</w:t>
            </w:r>
          </w:p>
        </w:tc>
        <w:tc>
          <w:tcPr>
            <w:tcW w:w="1842" w:type="pct"/>
            <w:vAlign w:val="center"/>
          </w:tcPr>
          <w:p w14:paraId="0CB7BDBA">
            <w:pPr>
              <w:spacing w:line="400" w:lineRule="exact"/>
              <w:jc w:val="center"/>
              <w:rPr>
                <w:rFonts w:ascii="宋体" w:hAnsi="宋体"/>
                <w:color w:val="auto"/>
                <w:szCs w:val="21"/>
                <w:highlight w:val="none"/>
              </w:rPr>
            </w:pPr>
            <w:r>
              <w:rPr>
                <w:rFonts w:hint="eastAsia" w:ascii="宋体" w:hAnsi="宋体"/>
                <w:color w:val="auto"/>
                <w:szCs w:val="21"/>
                <w:highlight w:val="none"/>
              </w:rPr>
              <w:t>气候状况</w:t>
            </w:r>
          </w:p>
        </w:tc>
        <w:tc>
          <w:tcPr>
            <w:tcW w:w="573" w:type="pct"/>
            <w:vAlign w:val="center"/>
          </w:tcPr>
          <w:p w14:paraId="728CCC9D">
            <w:pPr>
              <w:spacing w:line="400" w:lineRule="exact"/>
              <w:jc w:val="center"/>
              <w:rPr>
                <w:rFonts w:ascii="宋体" w:hAnsi="宋体"/>
                <w:color w:val="auto"/>
                <w:szCs w:val="21"/>
                <w:highlight w:val="none"/>
              </w:rPr>
            </w:pPr>
          </w:p>
        </w:tc>
        <w:tc>
          <w:tcPr>
            <w:tcW w:w="535" w:type="pct"/>
            <w:vAlign w:val="center"/>
          </w:tcPr>
          <w:p w14:paraId="47D6483F">
            <w:pPr>
              <w:spacing w:line="400" w:lineRule="exact"/>
              <w:jc w:val="center"/>
              <w:rPr>
                <w:rFonts w:ascii="宋体" w:hAnsi="宋体"/>
                <w:color w:val="auto"/>
                <w:szCs w:val="21"/>
                <w:highlight w:val="none"/>
              </w:rPr>
            </w:pPr>
          </w:p>
        </w:tc>
        <w:tc>
          <w:tcPr>
            <w:tcW w:w="535" w:type="pct"/>
            <w:vAlign w:val="center"/>
          </w:tcPr>
          <w:p w14:paraId="61455F63">
            <w:pPr>
              <w:spacing w:line="400" w:lineRule="exact"/>
              <w:jc w:val="center"/>
              <w:rPr>
                <w:rFonts w:ascii="宋体" w:hAnsi="宋体"/>
                <w:color w:val="auto"/>
                <w:szCs w:val="21"/>
                <w:highlight w:val="none"/>
              </w:rPr>
            </w:pPr>
          </w:p>
        </w:tc>
        <w:tc>
          <w:tcPr>
            <w:tcW w:w="536" w:type="pct"/>
            <w:vAlign w:val="center"/>
          </w:tcPr>
          <w:p w14:paraId="10F69FB3">
            <w:pPr>
              <w:spacing w:line="400" w:lineRule="exact"/>
              <w:jc w:val="center"/>
              <w:rPr>
                <w:rFonts w:ascii="宋体" w:hAnsi="宋体"/>
                <w:color w:val="auto"/>
                <w:szCs w:val="21"/>
                <w:highlight w:val="none"/>
              </w:rPr>
            </w:pPr>
            <w:r>
              <w:rPr>
                <w:rFonts w:hint="eastAsia" w:ascii="宋体" w:hAnsi="宋体"/>
                <w:color w:val="auto"/>
                <w:szCs w:val="21"/>
                <w:highlight w:val="none"/>
              </w:rPr>
              <w:t>√</w:t>
            </w:r>
          </w:p>
        </w:tc>
        <w:tc>
          <w:tcPr>
            <w:tcW w:w="488" w:type="pct"/>
            <w:vAlign w:val="center"/>
          </w:tcPr>
          <w:p w14:paraId="1A533A99">
            <w:pPr>
              <w:spacing w:line="400" w:lineRule="exact"/>
              <w:jc w:val="center"/>
              <w:rPr>
                <w:rFonts w:ascii="宋体" w:hAnsi="宋体"/>
                <w:color w:val="auto"/>
                <w:szCs w:val="21"/>
                <w:highlight w:val="none"/>
              </w:rPr>
            </w:pPr>
          </w:p>
        </w:tc>
      </w:tr>
      <w:tr w14:paraId="4A57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1ADFF3E6">
            <w:pPr>
              <w:spacing w:line="400" w:lineRule="exact"/>
              <w:jc w:val="center"/>
              <w:rPr>
                <w:rFonts w:ascii="宋体" w:hAnsi="宋体"/>
                <w:color w:val="auto"/>
                <w:szCs w:val="21"/>
                <w:highlight w:val="none"/>
              </w:rPr>
            </w:pPr>
            <w:r>
              <w:rPr>
                <w:rFonts w:hint="eastAsia" w:ascii="宋体" w:hAnsi="宋体"/>
                <w:color w:val="auto"/>
                <w:szCs w:val="21"/>
                <w:highlight w:val="none"/>
              </w:rPr>
              <w:t>4.4</w:t>
            </w:r>
          </w:p>
        </w:tc>
        <w:tc>
          <w:tcPr>
            <w:tcW w:w="1842" w:type="pct"/>
            <w:vAlign w:val="center"/>
          </w:tcPr>
          <w:p w14:paraId="4DF6EFE2">
            <w:pPr>
              <w:spacing w:line="400" w:lineRule="exact"/>
              <w:jc w:val="center"/>
              <w:rPr>
                <w:rFonts w:ascii="宋体" w:hAnsi="宋体"/>
                <w:color w:val="auto"/>
                <w:szCs w:val="21"/>
                <w:highlight w:val="none"/>
              </w:rPr>
            </w:pPr>
            <w:r>
              <w:rPr>
                <w:rFonts w:hint="eastAsia" w:ascii="宋体" w:hAnsi="宋体"/>
                <w:color w:val="auto"/>
                <w:szCs w:val="21"/>
                <w:highlight w:val="none"/>
              </w:rPr>
              <w:t>工程量</w:t>
            </w:r>
          </w:p>
        </w:tc>
        <w:tc>
          <w:tcPr>
            <w:tcW w:w="573" w:type="pct"/>
            <w:vAlign w:val="center"/>
          </w:tcPr>
          <w:p w14:paraId="1689253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32C7EF54">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4614688A">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13B6F8D5">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4A2534E2">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1ED6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3FD401B9">
            <w:pPr>
              <w:spacing w:line="400" w:lineRule="exact"/>
              <w:jc w:val="center"/>
              <w:rPr>
                <w:rFonts w:ascii="宋体" w:hAnsi="宋体"/>
                <w:color w:val="auto"/>
                <w:szCs w:val="21"/>
                <w:highlight w:val="none"/>
              </w:rPr>
            </w:pPr>
            <w:r>
              <w:rPr>
                <w:rFonts w:hint="eastAsia" w:ascii="宋体" w:hAnsi="宋体"/>
                <w:color w:val="auto"/>
                <w:szCs w:val="21"/>
                <w:highlight w:val="none"/>
              </w:rPr>
              <w:t>5</w:t>
            </w:r>
          </w:p>
        </w:tc>
        <w:tc>
          <w:tcPr>
            <w:tcW w:w="1842" w:type="pct"/>
            <w:vAlign w:val="center"/>
          </w:tcPr>
          <w:p w14:paraId="27A0454E">
            <w:pPr>
              <w:spacing w:line="400" w:lineRule="exact"/>
              <w:jc w:val="center"/>
              <w:rPr>
                <w:rFonts w:ascii="宋体" w:hAnsi="宋体"/>
                <w:color w:val="auto"/>
                <w:szCs w:val="21"/>
                <w:highlight w:val="none"/>
              </w:rPr>
            </w:pPr>
            <w:r>
              <w:rPr>
                <w:rFonts w:hint="eastAsia" w:ascii="宋体" w:hAnsi="宋体"/>
                <w:color w:val="auto"/>
                <w:szCs w:val="21"/>
                <w:highlight w:val="none"/>
              </w:rPr>
              <w:t>外部协作条件风险</w:t>
            </w:r>
          </w:p>
        </w:tc>
        <w:tc>
          <w:tcPr>
            <w:tcW w:w="573" w:type="pct"/>
            <w:vAlign w:val="center"/>
          </w:tcPr>
          <w:p w14:paraId="344009E2">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1DABBB7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487AE57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7D54A9C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58AD3FAF">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1C8E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7CBAE8F5">
            <w:pPr>
              <w:spacing w:line="400" w:lineRule="exact"/>
              <w:jc w:val="center"/>
              <w:rPr>
                <w:rFonts w:ascii="宋体" w:hAnsi="宋体"/>
                <w:color w:val="auto"/>
                <w:szCs w:val="21"/>
                <w:highlight w:val="none"/>
              </w:rPr>
            </w:pPr>
            <w:r>
              <w:rPr>
                <w:rFonts w:hint="eastAsia" w:ascii="宋体" w:hAnsi="宋体"/>
                <w:color w:val="auto"/>
                <w:szCs w:val="21"/>
                <w:highlight w:val="none"/>
              </w:rPr>
              <w:t>5.1</w:t>
            </w:r>
          </w:p>
        </w:tc>
        <w:tc>
          <w:tcPr>
            <w:tcW w:w="1842" w:type="pct"/>
            <w:vAlign w:val="center"/>
          </w:tcPr>
          <w:p w14:paraId="12945F03">
            <w:pPr>
              <w:spacing w:line="400" w:lineRule="exact"/>
              <w:jc w:val="center"/>
              <w:rPr>
                <w:rFonts w:ascii="宋体" w:hAnsi="宋体"/>
                <w:color w:val="auto"/>
                <w:szCs w:val="21"/>
                <w:highlight w:val="none"/>
              </w:rPr>
            </w:pPr>
            <w:r>
              <w:rPr>
                <w:rFonts w:hint="eastAsia" w:ascii="宋体" w:hAnsi="宋体"/>
                <w:color w:val="auto"/>
                <w:szCs w:val="21"/>
                <w:highlight w:val="none"/>
              </w:rPr>
              <w:t>交通运输</w:t>
            </w:r>
          </w:p>
        </w:tc>
        <w:tc>
          <w:tcPr>
            <w:tcW w:w="573" w:type="pct"/>
            <w:vAlign w:val="center"/>
          </w:tcPr>
          <w:p w14:paraId="4D72836A">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4876831">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00AAA28C">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19FBD091">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7121DDF7">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0762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5CEA243D">
            <w:pPr>
              <w:spacing w:line="400" w:lineRule="exact"/>
              <w:jc w:val="center"/>
              <w:rPr>
                <w:rFonts w:ascii="宋体" w:hAnsi="宋体"/>
                <w:color w:val="auto"/>
                <w:szCs w:val="21"/>
                <w:highlight w:val="none"/>
              </w:rPr>
            </w:pPr>
            <w:r>
              <w:rPr>
                <w:rFonts w:hint="eastAsia" w:ascii="宋体" w:hAnsi="宋体"/>
                <w:color w:val="auto"/>
                <w:szCs w:val="21"/>
                <w:highlight w:val="none"/>
              </w:rPr>
              <w:t>5.2</w:t>
            </w:r>
          </w:p>
        </w:tc>
        <w:tc>
          <w:tcPr>
            <w:tcW w:w="1842" w:type="pct"/>
            <w:vAlign w:val="center"/>
          </w:tcPr>
          <w:p w14:paraId="5B58F40B">
            <w:pPr>
              <w:spacing w:line="400" w:lineRule="exact"/>
              <w:jc w:val="center"/>
              <w:rPr>
                <w:rFonts w:ascii="宋体" w:hAnsi="宋体"/>
                <w:color w:val="auto"/>
                <w:szCs w:val="21"/>
                <w:highlight w:val="none"/>
              </w:rPr>
            </w:pPr>
            <w:r>
              <w:rPr>
                <w:rFonts w:hint="eastAsia" w:ascii="宋体" w:hAnsi="宋体"/>
                <w:color w:val="auto"/>
                <w:szCs w:val="21"/>
                <w:highlight w:val="none"/>
              </w:rPr>
              <w:t>供水</w:t>
            </w:r>
          </w:p>
        </w:tc>
        <w:tc>
          <w:tcPr>
            <w:tcW w:w="573" w:type="pct"/>
            <w:vAlign w:val="center"/>
          </w:tcPr>
          <w:p w14:paraId="0D4873E2">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6E3080B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7723804E">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6565287A">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20E7B48F">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r w14:paraId="4E28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14:paraId="2285CBD4">
            <w:pPr>
              <w:spacing w:line="400" w:lineRule="exact"/>
              <w:jc w:val="center"/>
              <w:rPr>
                <w:rFonts w:ascii="宋体" w:hAnsi="宋体"/>
                <w:color w:val="auto"/>
                <w:szCs w:val="21"/>
                <w:highlight w:val="none"/>
              </w:rPr>
            </w:pPr>
            <w:r>
              <w:rPr>
                <w:rFonts w:hint="eastAsia" w:ascii="宋体" w:hAnsi="宋体"/>
                <w:color w:val="auto"/>
                <w:szCs w:val="21"/>
                <w:highlight w:val="none"/>
              </w:rPr>
              <w:t>5.3</w:t>
            </w:r>
          </w:p>
        </w:tc>
        <w:tc>
          <w:tcPr>
            <w:tcW w:w="1842" w:type="pct"/>
            <w:vAlign w:val="center"/>
          </w:tcPr>
          <w:p w14:paraId="454E2282">
            <w:pPr>
              <w:spacing w:line="400" w:lineRule="exact"/>
              <w:jc w:val="center"/>
              <w:rPr>
                <w:rFonts w:ascii="宋体" w:hAnsi="宋体"/>
                <w:color w:val="auto"/>
                <w:szCs w:val="21"/>
                <w:highlight w:val="none"/>
              </w:rPr>
            </w:pPr>
            <w:r>
              <w:rPr>
                <w:rFonts w:hint="eastAsia" w:ascii="宋体" w:hAnsi="宋体"/>
                <w:color w:val="auto"/>
                <w:szCs w:val="21"/>
                <w:highlight w:val="none"/>
              </w:rPr>
              <w:t>供电</w:t>
            </w:r>
          </w:p>
        </w:tc>
        <w:tc>
          <w:tcPr>
            <w:tcW w:w="573" w:type="pct"/>
            <w:vAlign w:val="center"/>
          </w:tcPr>
          <w:p w14:paraId="425AC738">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41AE3119">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5" w:type="pct"/>
            <w:vAlign w:val="center"/>
          </w:tcPr>
          <w:p w14:paraId="52E7E4A4">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536" w:type="pct"/>
            <w:vAlign w:val="center"/>
          </w:tcPr>
          <w:p w14:paraId="38E4A951">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c>
          <w:tcPr>
            <w:tcW w:w="488" w:type="pct"/>
            <w:vAlign w:val="center"/>
          </w:tcPr>
          <w:p w14:paraId="6EEAD6C0">
            <w:pPr>
              <w:spacing w:line="400" w:lineRule="exact"/>
              <w:jc w:val="center"/>
              <w:rPr>
                <w:rFonts w:ascii="宋体" w:hAnsi="宋体"/>
                <w:color w:val="auto"/>
                <w:szCs w:val="21"/>
                <w:highlight w:val="none"/>
              </w:rPr>
            </w:pPr>
            <w:r>
              <w:rPr>
                <w:rFonts w:hint="eastAsia" w:ascii="宋体" w:hAnsi="宋体"/>
                <w:color w:val="auto"/>
                <w:szCs w:val="21"/>
                <w:highlight w:val="none"/>
              </w:rPr>
              <w:t>　</w:t>
            </w:r>
          </w:p>
        </w:tc>
      </w:tr>
    </w:tbl>
    <w:p w14:paraId="1F541E0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1"/>
        <w:rPr>
          <w:rFonts w:hint="eastAsia" w:ascii="宋体" w:hAnsi="宋体" w:eastAsia="宋体" w:cs="宋体"/>
          <w:bCs/>
          <w:color w:val="auto"/>
          <w:kern w:val="0"/>
          <w:sz w:val="28"/>
          <w:szCs w:val="28"/>
          <w:highlight w:val="none"/>
          <w:lang w:val="en-US" w:eastAsia="zh-CN"/>
        </w:rPr>
      </w:pPr>
      <w:bookmarkStart w:id="1396" w:name="_Toc5994"/>
      <w:bookmarkStart w:id="1397" w:name="_Toc7124"/>
      <w:bookmarkStart w:id="1398" w:name="_Toc1895"/>
      <w:bookmarkStart w:id="1399" w:name="_Toc30933"/>
      <w:bookmarkStart w:id="1400" w:name="_Toc7977"/>
      <w:bookmarkStart w:id="1401" w:name="_Toc13711"/>
      <w:bookmarkStart w:id="1402" w:name="_Toc18602"/>
      <w:bookmarkStart w:id="1403" w:name="_Toc5208"/>
      <w:bookmarkStart w:id="1404" w:name="_Toc10683"/>
      <w:bookmarkStart w:id="1405" w:name="_Toc13284"/>
      <w:bookmarkStart w:id="1406" w:name="_Toc16132"/>
      <w:r>
        <w:rPr>
          <w:rFonts w:hint="eastAsia" w:ascii="宋体" w:hAnsi="宋体" w:eastAsia="宋体" w:cs="宋体"/>
          <w:bCs/>
          <w:color w:val="auto"/>
          <w:kern w:val="0"/>
          <w:sz w:val="28"/>
          <w:szCs w:val="28"/>
          <w:highlight w:val="none"/>
          <w:lang w:val="en-US" w:eastAsia="zh-CN"/>
        </w:rPr>
        <w:t>15.3 防范风险对策</w:t>
      </w:r>
      <w:bookmarkEnd w:id="1396"/>
      <w:bookmarkEnd w:id="1397"/>
      <w:bookmarkEnd w:id="1398"/>
      <w:bookmarkEnd w:id="1399"/>
      <w:bookmarkEnd w:id="1400"/>
      <w:bookmarkEnd w:id="1401"/>
      <w:bookmarkEnd w:id="1402"/>
      <w:bookmarkEnd w:id="1403"/>
      <w:bookmarkEnd w:id="1404"/>
      <w:bookmarkEnd w:id="1405"/>
      <w:bookmarkEnd w:id="1406"/>
    </w:p>
    <w:p w14:paraId="415633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bookmarkStart w:id="1407" w:name="_Toc4365"/>
      <w:r>
        <w:rPr>
          <w:rFonts w:hint="eastAsia" w:ascii="宋体" w:hAnsi="宋体" w:eastAsia="宋体" w:cs="宋体"/>
          <w:bCs/>
          <w:color w:val="auto"/>
          <w:kern w:val="0"/>
          <w:sz w:val="28"/>
          <w:szCs w:val="28"/>
          <w:highlight w:val="none"/>
          <w:lang w:val="en-US" w:eastAsia="zh-CN"/>
        </w:rPr>
        <w:t>(1)认真落实项目资金，并按照上级要求及项目要求使用资金。</w:t>
      </w:r>
      <w:bookmarkEnd w:id="1407"/>
    </w:p>
    <w:p w14:paraId="614791A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r>
        <w:rPr>
          <w:rFonts w:hint="eastAsia" w:ascii="宋体" w:hAnsi="宋体" w:eastAsia="宋体" w:cs="宋体"/>
          <w:bCs/>
          <w:color w:val="auto"/>
          <w:kern w:val="0"/>
          <w:sz w:val="28"/>
          <w:szCs w:val="28"/>
          <w:highlight w:val="none"/>
          <w:lang w:val="en-US" w:eastAsia="zh-CN"/>
        </w:rPr>
        <w:t>(2)积极筹措项目配套资金，使投资在建设当中全额到位。</w:t>
      </w:r>
    </w:p>
    <w:p w14:paraId="747654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bookmarkStart w:id="1408" w:name="_Toc5989"/>
      <w:r>
        <w:rPr>
          <w:rFonts w:hint="eastAsia" w:ascii="宋体" w:hAnsi="宋体" w:eastAsia="宋体" w:cs="宋体"/>
          <w:bCs/>
          <w:color w:val="auto"/>
          <w:kern w:val="0"/>
          <w:sz w:val="28"/>
          <w:szCs w:val="28"/>
          <w:highlight w:val="none"/>
          <w:lang w:val="en-US" w:eastAsia="zh-CN"/>
        </w:rPr>
        <w:t>(3)高质量地完成项目资金使用计划，尽可能高速度地完成采购和支付工作。</w:t>
      </w:r>
      <w:bookmarkEnd w:id="1408"/>
    </w:p>
    <w:p w14:paraId="76C9295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pPr>
      <w:bookmarkStart w:id="1409" w:name="_Toc28560"/>
      <w:r>
        <w:rPr>
          <w:rFonts w:hint="eastAsia" w:ascii="宋体" w:hAnsi="宋体" w:eastAsia="宋体" w:cs="宋体"/>
          <w:bCs/>
          <w:color w:val="auto"/>
          <w:kern w:val="0"/>
          <w:sz w:val="28"/>
          <w:szCs w:val="28"/>
          <w:highlight w:val="none"/>
          <w:lang w:val="en-US" w:eastAsia="zh-CN"/>
        </w:rPr>
        <w:t>(4)加强财务管理，增收节支，节能降耗，管理增效。</w:t>
      </w:r>
      <w:bookmarkEnd w:id="1409"/>
    </w:p>
    <w:p w14:paraId="46460DA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Cs/>
          <w:color w:val="auto"/>
          <w:kern w:val="0"/>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23A33BF">
      <w:pPr>
        <w:adjustRightInd w:val="0"/>
        <w:snapToGrid w:val="0"/>
        <w:spacing w:line="560" w:lineRule="exact"/>
        <w:jc w:val="center"/>
        <w:outlineLvl w:val="0"/>
        <w:rPr>
          <w:rFonts w:hint="eastAsia" w:ascii="宋体" w:hAnsi="宋体" w:eastAsia="宋体" w:cs="宋体"/>
          <w:b/>
          <w:bCs w:val="0"/>
          <w:color w:val="auto"/>
          <w:kern w:val="44"/>
          <w:sz w:val="32"/>
          <w:szCs w:val="32"/>
          <w:highlight w:val="none"/>
          <w:lang w:val="zh-CN" w:eastAsia="zh-CN" w:bidi="ar-SA"/>
        </w:rPr>
      </w:pPr>
      <w:bookmarkStart w:id="1410" w:name="_Toc18197_WPSOffice_Level1"/>
      <w:bookmarkStart w:id="1411" w:name="_Toc23634"/>
      <w:bookmarkStart w:id="1412" w:name="_Toc27323"/>
      <w:bookmarkStart w:id="1413" w:name="_Toc12105_WPSOffice_Level1"/>
      <w:bookmarkStart w:id="1414" w:name="_Toc27764_WPSOffice_Level1"/>
      <w:bookmarkStart w:id="1415" w:name="_Toc18427_WPSOffice_Level1"/>
      <w:bookmarkStart w:id="1416" w:name="_Toc9193"/>
      <w:r>
        <w:rPr>
          <w:rFonts w:hint="eastAsia" w:ascii="宋体" w:hAnsi="宋体" w:eastAsia="宋体" w:cs="宋体"/>
          <w:b/>
          <w:bCs w:val="0"/>
          <w:color w:val="auto"/>
          <w:kern w:val="44"/>
          <w:sz w:val="32"/>
          <w:szCs w:val="32"/>
          <w:highlight w:val="none"/>
          <w:lang w:val="zh-CN" w:eastAsia="zh-CN" w:bidi="ar-SA"/>
        </w:rPr>
        <w:t>第十六章 结论</w:t>
      </w:r>
      <w:bookmarkEnd w:id="1410"/>
      <w:bookmarkEnd w:id="1411"/>
      <w:bookmarkEnd w:id="1412"/>
      <w:bookmarkEnd w:id="1413"/>
      <w:bookmarkEnd w:id="1414"/>
      <w:bookmarkEnd w:id="1415"/>
      <w:bookmarkEnd w:id="1416"/>
    </w:p>
    <w:p w14:paraId="31C4AFFE">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rPr>
      </w:pPr>
      <w:bookmarkStart w:id="1417" w:name="_Toc23428"/>
      <w:bookmarkStart w:id="1418" w:name="_Toc27112"/>
      <w:bookmarkStart w:id="1419" w:name="_Toc19284"/>
      <w:bookmarkStart w:id="1420" w:name="_Toc21104_WPSOffice_Level2"/>
      <w:bookmarkStart w:id="1421" w:name="_Toc21474_WPSOffice_Level2"/>
      <w:bookmarkStart w:id="1422" w:name="_Toc7876_WPSOffice_Level2"/>
      <w:bookmarkStart w:id="1423" w:name="_Toc6504"/>
      <w:bookmarkStart w:id="1424" w:name="_Toc16832_WPSOffice_Level2"/>
      <w:r>
        <w:rPr>
          <w:rFonts w:hint="eastAsia" w:ascii="Times New Roman" w:hAnsi="Times New Roman" w:eastAsia="宋体" w:cs="Times New Roman"/>
          <w:b w:val="0"/>
          <w:bCs/>
          <w:color w:val="auto"/>
          <w:sz w:val="28"/>
          <w:szCs w:val="28"/>
          <w:highlight w:val="none"/>
          <w:lang w:val="zh-CN" w:eastAsia="zh-CN"/>
        </w:rPr>
        <w:t>（1）本项目江苏索普新材料科技有限公司内部，位于镇江新区，</w:t>
      </w:r>
      <w:r>
        <w:rPr>
          <w:rFonts w:hint="eastAsia" w:ascii="Times New Roman" w:hAnsi="Times New Roman" w:eastAsia="宋体" w:cs="Times New Roman"/>
          <w:b w:val="0"/>
          <w:bCs/>
          <w:color w:val="auto"/>
          <w:sz w:val="28"/>
          <w:szCs w:val="28"/>
          <w:highlight w:val="none"/>
        </w:rPr>
        <w:t>地处化工园区新材料产业园内，区内有完备的汽、电、水供应及污水处理系统；符合国家产业政策、土地利用政策和地方规划要求。</w:t>
      </w:r>
      <w:bookmarkEnd w:id="1417"/>
    </w:p>
    <w:p w14:paraId="4714258E">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rPr>
      </w:pPr>
      <w:bookmarkStart w:id="1425" w:name="_Toc2873"/>
      <w:r>
        <w:rPr>
          <w:rFonts w:hint="eastAsia" w:ascii="Times New Roman" w:hAnsi="Times New Roman" w:eastAsia="宋体" w:cs="Times New Roman"/>
          <w:b w:val="0"/>
          <w:bCs/>
          <w:color w:val="auto"/>
          <w:sz w:val="28"/>
          <w:szCs w:val="28"/>
          <w:highlight w:val="none"/>
        </w:rPr>
        <w:t>（2）本项目对区域经济、国民经济和国家经济安全产生的影响的较小。不属于投资规模巨大、对国民经济有重大影响的项目。同时，本项目不涉及国家经济安全。</w:t>
      </w:r>
      <w:bookmarkEnd w:id="1418"/>
      <w:bookmarkEnd w:id="1425"/>
    </w:p>
    <w:bookmarkEnd w:id="1419"/>
    <w:bookmarkEnd w:id="1420"/>
    <w:bookmarkEnd w:id="1421"/>
    <w:bookmarkEnd w:id="1422"/>
    <w:bookmarkEnd w:id="1423"/>
    <w:bookmarkEnd w:id="1424"/>
    <w:p w14:paraId="3FC37DE9">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rPr>
      </w:pPr>
      <w:bookmarkStart w:id="1426" w:name="_Toc23976"/>
      <w:bookmarkStart w:id="1427" w:name="_Toc26436"/>
      <w:r>
        <w:rPr>
          <w:rFonts w:hint="eastAsia" w:ascii="Times New Roman" w:hAnsi="Times New Roman" w:eastAsia="宋体" w:cs="Times New Roman"/>
          <w:b w:val="0"/>
          <w:bCs/>
          <w:color w:val="auto"/>
          <w:sz w:val="28"/>
          <w:szCs w:val="28"/>
          <w:highlight w:val="none"/>
          <w:lang w:val="zh-CN"/>
        </w:rPr>
        <w:t>（</w:t>
      </w:r>
      <w:r>
        <w:rPr>
          <w:rFonts w:hint="eastAsia" w:ascii="Times New Roman" w:hAnsi="Times New Roman" w:eastAsia="宋体" w:cs="Times New Roman"/>
          <w:b w:val="0"/>
          <w:bCs/>
          <w:color w:val="auto"/>
          <w:sz w:val="28"/>
          <w:szCs w:val="28"/>
          <w:highlight w:val="none"/>
        </w:rPr>
        <w:t>3</w:t>
      </w:r>
      <w:r>
        <w:rPr>
          <w:rFonts w:hint="eastAsia" w:ascii="Times New Roman" w:hAnsi="Times New Roman" w:eastAsia="宋体" w:cs="Times New Roman"/>
          <w:b w:val="0"/>
          <w:bCs/>
          <w:color w:val="auto"/>
          <w:sz w:val="28"/>
          <w:szCs w:val="28"/>
          <w:highlight w:val="none"/>
          <w:lang w:val="zh-CN"/>
        </w:rPr>
        <w:t>）</w:t>
      </w:r>
      <w:r>
        <w:rPr>
          <w:rFonts w:hint="eastAsia" w:ascii="Times New Roman" w:hAnsi="Times New Roman" w:eastAsia="宋体" w:cs="Times New Roman"/>
          <w:b w:val="0"/>
          <w:bCs/>
          <w:color w:val="auto"/>
          <w:sz w:val="28"/>
          <w:szCs w:val="28"/>
          <w:highlight w:val="none"/>
        </w:rPr>
        <w:t>根据国家发改委、建设部2006年7月发布的《建设项目经济评价方法与参数》（第三版），其中规定，对重特大建设项目应进行区域经济或宏观经济影响评价。对比重特大建设投资项目的八大特征，本项目不属于重特大项目。同时本项目使用的材料</w:t>
      </w:r>
      <w:r>
        <w:rPr>
          <w:rFonts w:hint="eastAsia" w:ascii="Times New Roman" w:hAnsi="Times New Roman" w:eastAsia="宋体" w:cs="Times New Roman"/>
          <w:b w:val="0"/>
          <w:bCs/>
          <w:color w:val="auto"/>
          <w:sz w:val="28"/>
          <w:szCs w:val="28"/>
          <w:highlight w:val="none"/>
          <w:lang w:val="en-US" w:eastAsia="zh-CN"/>
        </w:rPr>
        <w:t>均来源于公司内部</w:t>
      </w:r>
      <w:r>
        <w:rPr>
          <w:rFonts w:hint="eastAsia" w:ascii="Times New Roman" w:hAnsi="Times New Roman" w:eastAsia="宋体" w:cs="Times New Roman"/>
          <w:b w:val="0"/>
          <w:bCs/>
          <w:color w:val="auto"/>
          <w:sz w:val="28"/>
          <w:szCs w:val="28"/>
          <w:highlight w:val="none"/>
        </w:rPr>
        <w:t>，渠道稳定，本项目的需求对市场的影响较小。</w:t>
      </w:r>
      <w:bookmarkEnd w:id="1426"/>
      <w:bookmarkEnd w:id="1427"/>
    </w:p>
    <w:p w14:paraId="5BE6B41B">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lang w:val="zh-CN"/>
        </w:rPr>
      </w:pPr>
      <w:bookmarkStart w:id="1428" w:name="_Toc17764"/>
      <w:bookmarkStart w:id="1429" w:name="_Toc337"/>
      <w:r>
        <w:rPr>
          <w:rFonts w:hint="eastAsia" w:ascii="Times New Roman" w:hAnsi="Times New Roman" w:eastAsia="宋体" w:cs="Times New Roman"/>
          <w:b w:val="0"/>
          <w:bCs/>
          <w:color w:val="auto"/>
          <w:sz w:val="28"/>
          <w:szCs w:val="28"/>
          <w:highlight w:val="none"/>
        </w:rPr>
        <w:t>（4）</w:t>
      </w:r>
      <w:r>
        <w:rPr>
          <w:rFonts w:hint="eastAsia" w:ascii="Times New Roman" w:hAnsi="Times New Roman" w:eastAsia="宋体" w:cs="Times New Roman"/>
          <w:b w:val="0"/>
          <w:bCs/>
          <w:color w:val="auto"/>
          <w:sz w:val="28"/>
          <w:szCs w:val="28"/>
          <w:highlight w:val="none"/>
          <w:lang w:val="zh-CN"/>
        </w:rPr>
        <w:t>从技术分析上来看，</w:t>
      </w:r>
      <w:r>
        <w:rPr>
          <w:rFonts w:hint="eastAsia" w:ascii="Times New Roman" w:hAnsi="Times New Roman" w:eastAsia="宋体" w:cs="Times New Roman"/>
          <w:b w:val="0"/>
          <w:bCs/>
          <w:color w:val="auto"/>
          <w:sz w:val="28"/>
          <w:szCs w:val="28"/>
          <w:highlight w:val="none"/>
        </w:rPr>
        <w:t>本项目工艺技术先进，成熟可靠、能</w:t>
      </w:r>
      <w:r>
        <w:rPr>
          <w:rFonts w:hint="eastAsia" w:ascii="Times New Roman" w:hAnsi="Times New Roman" w:eastAsia="宋体" w:cs="Times New Roman"/>
          <w:b w:val="0"/>
          <w:bCs/>
          <w:color w:val="auto"/>
          <w:sz w:val="28"/>
          <w:szCs w:val="28"/>
          <w:highlight w:val="none"/>
          <w:lang w:val="zh-CN"/>
        </w:rPr>
        <w:t>耗低，安全卫生和环保等各项措施完善，符合国家标准。本项目的产品工艺</w:t>
      </w:r>
      <w:r>
        <w:rPr>
          <w:rFonts w:hint="eastAsia" w:ascii="Times New Roman" w:hAnsi="Times New Roman" w:eastAsia="宋体" w:cs="Times New Roman"/>
          <w:b w:val="0"/>
          <w:bCs/>
          <w:color w:val="auto"/>
          <w:sz w:val="28"/>
          <w:szCs w:val="28"/>
          <w:highlight w:val="none"/>
        </w:rPr>
        <w:t>不涉及</w:t>
      </w:r>
      <w:r>
        <w:rPr>
          <w:rFonts w:hint="eastAsia" w:ascii="Times New Roman" w:hAnsi="Times New Roman" w:eastAsia="宋体" w:cs="Times New Roman"/>
          <w:b w:val="0"/>
          <w:bCs/>
          <w:color w:val="auto"/>
          <w:sz w:val="28"/>
          <w:szCs w:val="28"/>
          <w:highlight w:val="none"/>
          <w:lang w:val="zh-CN"/>
        </w:rPr>
        <w:t>《产业结构调整指导目录（20</w:t>
      </w:r>
      <w:r>
        <w:rPr>
          <w:rFonts w:hint="eastAsia" w:ascii="Times New Roman" w:hAnsi="Times New Roman" w:eastAsia="宋体" w:cs="Times New Roman"/>
          <w:b w:val="0"/>
          <w:bCs/>
          <w:color w:val="auto"/>
          <w:sz w:val="28"/>
          <w:szCs w:val="28"/>
          <w:highlight w:val="none"/>
          <w:lang w:val="en-US" w:eastAsia="zh-CN"/>
        </w:rPr>
        <w:t>24</w:t>
      </w:r>
      <w:r>
        <w:rPr>
          <w:rFonts w:hint="eastAsia" w:ascii="Times New Roman" w:hAnsi="Times New Roman" w:eastAsia="宋体" w:cs="Times New Roman"/>
          <w:b w:val="0"/>
          <w:bCs/>
          <w:color w:val="auto"/>
          <w:sz w:val="28"/>
          <w:szCs w:val="28"/>
          <w:highlight w:val="none"/>
          <w:lang w:val="zh-CN"/>
        </w:rPr>
        <w:t>年本）》</w:t>
      </w:r>
      <w:r>
        <w:rPr>
          <w:rFonts w:hint="eastAsia" w:ascii="Times New Roman" w:hAnsi="Times New Roman" w:eastAsia="宋体" w:cs="Times New Roman"/>
          <w:b w:val="0"/>
          <w:bCs/>
          <w:color w:val="auto"/>
          <w:sz w:val="28"/>
          <w:szCs w:val="28"/>
          <w:highlight w:val="none"/>
          <w:lang w:val="en-US" w:eastAsia="zh-CN"/>
        </w:rPr>
        <w:t>及《江苏省化工产业结构调整限制、淘汰和禁止目录（2020年本）》</w:t>
      </w:r>
      <w:r>
        <w:rPr>
          <w:rFonts w:hint="eastAsia" w:ascii="Times New Roman" w:hAnsi="Times New Roman" w:eastAsia="宋体" w:cs="Times New Roman"/>
          <w:b w:val="0"/>
          <w:bCs/>
          <w:color w:val="auto"/>
          <w:sz w:val="28"/>
          <w:szCs w:val="28"/>
          <w:highlight w:val="none"/>
          <w:lang w:val="zh-CN"/>
        </w:rPr>
        <w:t>中规定的</w:t>
      </w:r>
      <w:r>
        <w:rPr>
          <w:rFonts w:hint="eastAsia" w:ascii="Times New Roman" w:hAnsi="Times New Roman" w:eastAsia="宋体" w:cs="Times New Roman"/>
          <w:b w:val="0"/>
          <w:bCs/>
          <w:color w:val="auto"/>
          <w:sz w:val="28"/>
          <w:szCs w:val="28"/>
          <w:highlight w:val="none"/>
          <w:lang w:val="en-US" w:eastAsia="zh-CN"/>
        </w:rPr>
        <w:t>鼓励类、</w:t>
      </w:r>
      <w:r>
        <w:rPr>
          <w:rFonts w:hint="eastAsia" w:ascii="Times New Roman" w:hAnsi="Times New Roman" w:eastAsia="宋体" w:cs="Times New Roman"/>
          <w:b w:val="0"/>
          <w:bCs/>
          <w:color w:val="auto"/>
          <w:sz w:val="28"/>
          <w:szCs w:val="28"/>
          <w:highlight w:val="none"/>
          <w:lang w:val="zh-CN"/>
        </w:rPr>
        <w:t>限制类和淘汰类；</w:t>
      </w:r>
      <w:r>
        <w:rPr>
          <w:rFonts w:hint="eastAsia" w:ascii="Times New Roman" w:hAnsi="Times New Roman" w:eastAsia="宋体" w:cs="Times New Roman"/>
          <w:b w:val="0"/>
          <w:bCs/>
          <w:color w:val="auto"/>
          <w:sz w:val="28"/>
          <w:szCs w:val="28"/>
          <w:highlight w:val="none"/>
        </w:rPr>
        <w:t>为允许类项目</w:t>
      </w:r>
      <w:r>
        <w:rPr>
          <w:rFonts w:hint="eastAsia" w:ascii="Times New Roman" w:hAnsi="Times New Roman" w:eastAsia="宋体" w:cs="Times New Roman"/>
          <w:b w:val="0"/>
          <w:bCs/>
          <w:color w:val="auto"/>
          <w:sz w:val="28"/>
          <w:szCs w:val="28"/>
          <w:highlight w:val="none"/>
          <w:lang w:val="zh-CN"/>
        </w:rPr>
        <w:t>。</w:t>
      </w:r>
      <w:bookmarkEnd w:id="1428"/>
    </w:p>
    <w:p w14:paraId="607F7041">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lang w:val="en-GB" w:eastAsia="zh-CN"/>
        </w:rPr>
      </w:pPr>
      <w:bookmarkStart w:id="1430" w:name="_Toc9734"/>
      <w:r>
        <w:rPr>
          <w:rFonts w:hint="eastAsia" w:ascii="Times New Roman" w:hAnsi="Times New Roman" w:eastAsia="宋体" w:cs="Times New Roman"/>
          <w:b w:val="0"/>
          <w:bCs/>
          <w:color w:val="auto"/>
          <w:sz w:val="28"/>
          <w:szCs w:val="28"/>
          <w:highlight w:val="none"/>
        </w:rPr>
        <w:t>（</w:t>
      </w:r>
      <w:r>
        <w:rPr>
          <w:rFonts w:hint="eastAsia" w:ascii="Times New Roman" w:hAnsi="Times New Roman" w:eastAsia="宋体" w:cs="Times New Roman"/>
          <w:b w:val="0"/>
          <w:bCs/>
          <w:color w:val="auto"/>
          <w:sz w:val="28"/>
          <w:szCs w:val="28"/>
          <w:highlight w:val="none"/>
          <w:lang w:val="en-US" w:eastAsia="zh-CN"/>
        </w:rPr>
        <w:t>5</w:t>
      </w:r>
      <w:r>
        <w:rPr>
          <w:rFonts w:hint="eastAsia" w:ascii="Times New Roman" w:hAnsi="Times New Roman" w:eastAsia="宋体" w:cs="Times New Roman"/>
          <w:b w:val="0"/>
          <w:bCs/>
          <w:color w:val="auto"/>
          <w:sz w:val="28"/>
          <w:szCs w:val="28"/>
          <w:highlight w:val="none"/>
        </w:rPr>
        <w:t>）</w:t>
      </w:r>
      <w:r>
        <w:rPr>
          <w:rFonts w:hint="eastAsia" w:ascii="Times New Roman" w:hAnsi="Times New Roman" w:eastAsia="宋体" w:cs="Times New Roman"/>
          <w:b w:val="0"/>
          <w:bCs/>
          <w:color w:val="auto"/>
          <w:sz w:val="28"/>
          <w:szCs w:val="28"/>
          <w:highlight w:val="none"/>
          <w:lang w:val="en-GB"/>
        </w:rPr>
        <w:t>从环保要求上来看，装置工艺技术先进，工艺三废；非工</w:t>
      </w:r>
      <w:r>
        <w:rPr>
          <w:rFonts w:hint="eastAsia" w:ascii="Times New Roman" w:hAnsi="Times New Roman" w:eastAsia="宋体" w:cs="Times New Roman"/>
          <w:b w:val="0"/>
          <w:bCs/>
          <w:color w:val="auto"/>
          <w:sz w:val="28"/>
          <w:szCs w:val="28"/>
          <w:highlight w:val="none"/>
          <w:lang w:val="en-GB" w:eastAsia="zh-CN"/>
        </w:rPr>
        <w:t>艺性污染物均经过处理，达到排放标准。项目在环境保护、劳动安全和工业卫生方面采取了行之有效的措施，可以达到国家规定的要求。项目建设地，卫生防护距离满足规范要求。</w:t>
      </w:r>
      <w:bookmarkEnd w:id="1429"/>
      <w:bookmarkEnd w:id="1430"/>
    </w:p>
    <w:p w14:paraId="31AB2B69">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lang w:val="zh-CN" w:eastAsia="zh-CN"/>
        </w:rPr>
      </w:pPr>
      <w:bookmarkStart w:id="1431" w:name="_Toc13929"/>
      <w:bookmarkStart w:id="1432" w:name="_Toc24012"/>
      <w:r>
        <w:rPr>
          <w:rFonts w:hint="eastAsia" w:ascii="Times New Roman" w:hAnsi="Times New Roman" w:eastAsia="宋体" w:cs="Times New Roman"/>
          <w:b w:val="0"/>
          <w:bCs/>
          <w:color w:val="auto"/>
          <w:sz w:val="28"/>
          <w:szCs w:val="28"/>
          <w:highlight w:val="none"/>
          <w:lang w:val="zh-CN" w:eastAsia="zh-CN"/>
        </w:rPr>
        <w:t>（</w:t>
      </w:r>
      <w:r>
        <w:rPr>
          <w:rFonts w:hint="eastAsia" w:ascii="Times New Roman" w:hAnsi="Times New Roman" w:eastAsia="宋体" w:cs="Times New Roman"/>
          <w:b w:val="0"/>
          <w:bCs/>
          <w:color w:val="auto"/>
          <w:sz w:val="28"/>
          <w:szCs w:val="28"/>
          <w:highlight w:val="none"/>
          <w:lang w:val="en-US" w:eastAsia="zh-CN"/>
        </w:rPr>
        <w:t>6</w:t>
      </w:r>
      <w:r>
        <w:rPr>
          <w:rFonts w:hint="eastAsia" w:ascii="Times New Roman" w:hAnsi="Times New Roman" w:eastAsia="宋体" w:cs="Times New Roman"/>
          <w:b w:val="0"/>
          <w:bCs/>
          <w:color w:val="auto"/>
          <w:sz w:val="28"/>
          <w:szCs w:val="28"/>
          <w:highlight w:val="none"/>
          <w:lang w:val="zh-CN" w:eastAsia="zh-CN"/>
        </w:rPr>
        <w:t>）本项目生产工艺技术上是安全、可靠的，并采用了自动控制技术，从而提高了生产过程中的本质安全度。</w:t>
      </w:r>
      <w:bookmarkEnd w:id="1431"/>
      <w:bookmarkEnd w:id="1432"/>
    </w:p>
    <w:p w14:paraId="30DE1E7A">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lang w:val="en-GB" w:eastAsia="zh-CN"/>
        </w:rPr>
      </w:pPr>
      <w:bookmarkStart w:id="1433" w:name="_Toc1511"/>
      <w:bookmarkStart w:id="1434" w:name="_Toc22834"/>
      <w:r>
        <w:rPr>
          <w:rFonts w:hint="eastAsia" w:ascii="Times New Roman" w:hAnsi="Times New Roman" w:eastAsia="宋体" w:cs="Times New Roman"/>
          <w:b w:val="0"/>
          <w:bCs/>
          <w:color w:val="auto"/>
          <w:sz w:val="28"/>
          <w:szCs w:val="28"/>
          <w:highlight w:val="none"/>
          <w:lang w:val="en-GB" w:eastAsia="zh-CN"/>
        </w:rPr>
        <w:t>（</w:t>
      </w:r>
      <w:r>
        <w:rPr>
          <w:rFonts w:hint="eastAsia" w:ascii="Times New Roman" w:hAnsi="Times New Roman" w:eastAsia="宋体" w:cs="Times New Roman"/>
          <w:b w:val="0"/>
          <w:bCs/>
          <w:color w:val="auto"/>
          <w:sz w:val="28"/>
          <w:szCs w:val="28"/>
          <w:highlight w:val="none"/>
          <w:lang w:val="en-US" w:eastAsia="zh-CN"/>
        </w:rPr>
        <w:t>7</w:t>
      </w:r>
      <w:r>
        <w:rPr>
          <w:rFonts w:hint="eastAsia" w:ascii="Times New Roman" w:hAnsi="Times New Roman" w:eastAsia="宋体" w:cs="Times New Roman"/>
          <w:b w:val="0"/>
          <w:bCs/>
          <w:color w:val="auto"/>
          <w:sz w:val="28"/>
          <w:szCs w:val="28"/>
          <w:highlight w:val="none"/>
          <w:lang w:val="en-GB" w:eastAsia="zh-CN"/>
        </w:rPr>
        <w:t>）</w:t>
      </w:r>
      <w:r>
        <w:rPr>
          <w:rFonts w:hint="eastAsia" w:ascii="Times New Roman" w:hAnsi="Times New Roman" w:eastAsia="宋体" w:cs="Times New Roman"/>
          <w:b w:val="0"/>
          <w:bCs/>
          <w:color w:val="auto"/>
          <w:sz w:val="28"/>
          <w:szCs w:val="28"/>
          <w:highlight w:val="none"/>
          <w:lang w:val="en-US" w:eastAsia="zh-CN"/>
        </w:rPr>
        <w:t>对比《环境保护综合名录 （2021 年版）》，本项目未列入“高污染、高环境风险”产品名录。本项目三废均得到有效治理，不增加</w:t>
      </w:r>
      <w:r>
        <w:rPr>
          <w:rFonts w:hint="eastAsia" w:ascii="Times New Roman" w:hAnsi="Times New Roman" w:eastAsia="宋体" w:cs="Times New Roman"/>
          <w:b w:val="0"/>
          <w:bCs/>
          <w:color w:val="auto"/>
          <w:sz w:val="28"/>
          <w:szCs w:val="28"/>
          <w:highlight w:val="none"/>
          <w:lang w:val="zh-CN" w:eastAsia="zh-CN"/>
        </w:rPr>
        <w:t>江苏索普新材料科技有限公司</w:t>
      </w:r>
      <w:r>
        <w:rPr>
          <w:rFonts w:hint="eastAsia" w:ascii="Times New Roman" w:hAnsi="Times New Roman" w:eastAsia="宋体" w:cs="Times New Roman"/>
          <w:b w:val="0"/>
          <w:bCs/>
          <w:color w:val="auto"/>
          <w:sz w:val="28"/>
          <w:szCs w:val="28"/>
          <w:highlight w:val="none"/>
          <w:lang w:val="en-US" w:eastAsia="zh-CN"/>
        </w:rPr>
        <w:t>整体污染物排放总量</w:t>
      </w:r>
      <w:r>
        <w:rPr>
          <w:rFonts w:hint="eastAsia" w:ascii="Times New Roman" w:hAnsi="Times New Roman" w:eastAsia="宋体" w:cs="Times New Roman"/>
          <w:b w:val="0"/>
          <w:bCs/>
          <w:color w:val="auto"/>
          <w:sz w:val="28"/>
          <w:szCs w:val="28"/>
          <w:highlight w:val="none"/>
          <w:lang w:val="en-GB" w:eastAsia="zh-CN"/>
        </w:rPr>
        <w:t>。</w:t>
      </w:r>
      <w:bookmarkEnd w:id="1433"/>
      <w:bookmarkEnd w:id="1434"/>
    </w:p>
    <w:p w14:paraId="33876D5E">
      <w:pPr>
        <w:pStyle w:val="5"/>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b w:val="0"/>
          <w:bCs/>
          <w:color w:val="auto"/>
          <w:sz w:val="28"/>
          <w:szCs w:val="28"/>
          <w:highlight w:val="none"/>
          <w:lang w:val="en-GB" w:eastAsia="zh-CN"/>
        </w:rPr>
      </w:pPr>
      <w:bookmarkStart w:id="1435" w:name="_Toc18948"/>
      <w:bookmarkStart w:id="1436" w:name="_Toc25303"/>
      <w:r>
        <w:rPr>
          <w:rFonts w:hint="eastAsia" w:ascii="Times New Roman" w:hAnsi="Times New Roman" w:eastAsia="宋体" w:cs="Times New Roman"/>
          <w:b w:val="0"/>
          <w:bCs/>
          <w:color w:val="auto"/>
          <w:sz w:val="28"/>
          <w:szCs w:val="28"/>
          <w:highlight w:val="none"/>
          <w:lang w:val="en-GB" w:eastAsia="zh-CN"/>
        </w:rPr>
        <w:t>综上所述，本项目可行性研究认为：</w:t>
      </w:r>
      <w:r>
        <w:rPr>
          <w:rFonts w:hint="eastAsia" w:ascii="Times New Roman" w:hAnsi="Times New Roman" w:eastAsia="宋体" w:cs="Times New Roman"/>
          <w:b w:val="0"/>
          <w:bCs/>
          <w:color w:val="auto"/>
          <w:sz w:val="28"/>
          <w:szCs w:val="28"/>
          <w:highlight w:val="none"/>
          <w:lang w:val="zh-CN" w:eastAsia="zh-CN"/>
        </w:rPr>
        <w:t>江苏索普新材料科技有限公司</w:t>
      </w:r>
      <w:r>
        <w:rPr>
          <w:rFonts w:hint="eastAsia" w:ascii="Times New Roman" w:hAnsi="Times New Roman" w:eastAsia="宋体" w:cs="Times New Roman"/>
          <w:b w:val="0"/>
          <w:bCs/>
          <w:color w:val="auto"/>
          <w:sz w:val="28"/>
          <w:szCs w:val="28"/>
          <w:highlight w:val="none"/>
          <w:lang w:val="en-GB" w:eastAsia="zh-CN"/>
        </w:rPr>
        <w:t>新增储罐项目，在技术上是可行的；</w:t>
      </w:r>
      <w:r>
        <w:rPr>
          <w:rFonts w:hint="eastAsia" w:ascii="Times New Roman" w:hAnsi="Times New Roman" w:eastAsia="宋体" w:cs="Times New Roman"/>
          <w:b w:val="0"/>
          <w:bCs/>
          <w:color w:val="auto"/>
          <w:sz w:val="28"/>
          <w:szCs w:val="28"/>
          <w:highlight w:val="none"/>
          <w:lang w:val="en-US" w:eastAsia="zh-CN"/>
        </w:rPr>
        <w:t>项目实施后，可有效增加盐酸、醋酐库容，确保主生产装置负荷和安全稳定运行，</w:t>
      </w:r>
      <w:r>
        <w:rPr>
          <w:rFonts w:hint="eastAsia" w:ascii="Times New Roman" w:hAnsi="Times New Roman" w:eastAsia="宋体" w:cs="Times New Roman"/>
          <w:b w:val="0"/>
          <w:bCs/>
          <w:color w:val="auto"/>
          <w:sz w:val="28"/>
          <w:szCs w:val="28"/>
          <w:highlight w:val="none"/>
          <w:lang w:val="en-GB" w:eastAsia="zh-CN"/>
        </w:rPr>
        <w:t>提高企业竞争力；因此本项目可行。</w:t>
      </w:r>
      <w:bookmarkEnd w:id="1435"/>
      <w:bookmarkEnd w:id="1436"/>
    </w:p>
    <w:p w14:paraId="786CC4F7">
      <w:pPr>
        <w:keepNext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宋体" w:cs="Times New Roman"/>
          <w:b w:val="0"/>
          <w:bCs/>
          <w:color w:val="auto"/>
          <w:sz w:val="28"/>
          <w:szCs w:val="28"/>
          <w:highlight w:val="none"/>
          <w:lang w:val="en-GB"/>
        </w:rPr>
      </w:pPr>
    </w:p>
    <w:p w14:paraId="11C59A22">
      <w:pPr>
        <w:pStyle w:val="8"/>
        <w:rPr>
          <w:rFonts w:hint="eastAsia" w:ascii="Times New Roman" w:hAnsi="Times New Roman" w:eastAsia="宋体" w:cs="Times New Roman"/>
          <w:b w:val="0"/>
          <w:bCs/>
          <w:color w:val="auto"/>
          <w:sz w:val="28"/>
          <w:szCs w:val="28"/>
          <w:highlight w:val="none"/>
          <w:lang w:val="en-GB"/>
        </w:rPr>
      </w:pPr>
    </w:p>
    <w:p w14:paraId="7F5A7D27">
      <w:pPr>
        <w:rPr>
          <w:rFonts w:hint="eastAsia" w:ascii="Times New Roman" w:hAnsi="Times New Roman" w:eastAsia="宋体" w:cs="Times New Roman"/>
          <w:b w:val="0"/>
          <w:bCs/>
          <w:color w:val="auto"/>
          <w:sz w:val="28"/>
          <w:szCs w:val="28"/>
          <w:highlight w:val="none"/>
          <w:lang w:val="en-GB"/>
        </w:rPr>
      </w:pPr>
    </w:p>
    <w:p w14:paraId="3FBD6824">
      <w:pPr>
        <w:pStyle w:val="8"/>
        <w:rPr>
          <w:rFonts w:hint="eastAsia" w:ascii="Times New Roman" w:hAnsi="Times New Roman" w:eastAsia="宋体" w:cs="Times New Roman"/>
          <w:b w:val="0"/>
          <w:bCs/>
          <w:color w:val="auto"/>
          <w:sz w:val="28"/>
          <w:szCs w:val="28"/>
          <w:highlight w:val="none"/>
          <w:lang w:val="en-GB"/>
        </w:rPr>
      </w:pPr>
    </w:p>
    <w:p w14:paraId="71C63A6E">
      <w:pPr>
        <w:rPr>
          <w:rFonts w:hint="eastAsia" w:ascii="Times New Roman" w:hAnsi="Times New Roman" w:eastAsia="宋体" w:cs="Times New Roman"/>
          <w:b w:val="0"/>
          <w:bCs/>
          <w:color w:val="auto"/>
          <w:sz w:val="28"/>
          <w:szCs w:val="28"/>
          <w:highlight w:val="none"/>
          <w:lang w:val="en-GB"/>
        </w:rPr>
      </w:pPr>
    </w:p>
    <w:p w14:paraId="7833DE8D">
      <w:pPr>
        <w:pStyle w:val="8"/>
        <w:rPr>
          <w:rFonts w:hint="eastAsia" w:ascii="Times New Roman" w:hAnsi="Times New Roman" w:eastAsia="宋体" w:cs="Times New Roman"/>
          <w:b w:val="0"/>
          <w:bCs/>
          <w:color w:val="auto"/>
          <w:sz w:val="28"/>
          <w:szCs w:val="28"/>
          <w:highlight w:val="none"/>
          <w:lang w:val="en-GB"/>
        </w:rPr>
      </w:pPr>
    </w:p>
    <w:p w14:paraId="765A5950">
      <w:pPr>
        <w:rPr>
          <w:rFonts w:hint="eastAsia" w:ascii="Times New Roman" w:hAnsi="Times New Roman" w:eastAsia="宋体" w:cs="Times New Roman"/>
          <w:b w:val="0"/>
          <w:bCs/>
          <w:color w:val="auto"/>
          <w:sz w:val="28"/>
          <w:szCs w:val="28"/>
          <w:highlight w:val="none"/>
          <w:lang w:val="en-GB"/>
        </w:rPr>
      </w:pPr>
    </w:p>
    <w:p w14:paraId="2D5C3471">
      <w:pPr>
        <w:pStyle w:val="8"/>
        <w:rPr>
          <w:rFonts w:hint="eastAsia" w:ascii="Times New Roman" w:hAnsi="Times New Roman" w:eastAsia="宋体" w:cs="Times New Roman"/>
          <w:b w:val="0"/>
          <w:bCs/>
          <w:color w:val="auto"/>
          <w:sz w:val="28"/>
          <w:szCs w:val="28"/>
          <w:highlight w:val="none"/>
          <w:lang w:val="en-GB"/>
        </w:rPr>
      </w:pPr>
    </w:p>
    <w:p w14:paraId="1AD61CCC">
      <w:pPr>
        <w:rPr>
          <w:rFonts w:hint="eastAsia" w:ascii="Times New Roman" w:hAnsi="Times New Roman" w:eastAsia="宋体" w:cs="Times New Roman"/>
          <w:b w:val="0"/>
          <w:bCs/>
          <w:color w:val="auto"/>
          <w:sz w:val="28"/>
          <w:szCs w:val="28"/>
          <w:highlight w:val="none"/>
          <w:lang w:val="en-GB"/>
        </w:rPr>
      </w:pPr>
    </w:p>
    <w:p w14:paraId="4FECB2FA">
      <w:pPr>
        <w:pStyle w:val="8"/>
        <w:rPr>
          <w:rFonts w:hint="eastAsia" w:ascii="Times New Roman" w:hAnsi="Times New Roman" w:eastAsia="宋体" w:cs="Times New Roman"/>
          <w:b w:val="0"/>
          <w:bCs/>
          <w:color w:val="auto"/>
          <w:sz w:val="28"/>
          <w:szCs w:val="28"/>
          <w:highlight w:val="none"/>
          <w:lang w:val="en-GB"/>
        </w:rPr>
      </w:pPr>
    </w:p>
    <w:p w14:paraId="7AF545A9">
      <w:pPr>
        <w:rPr>
          <w:rFonts w:hint="eastAsia" w:ascii="Times New Roman" w:hAnsi="Times New Roman" w:eastAsia="宋体" w:cs="Times New Roman"/>
          <w:b w:val="0"/>
          <w:bCs/>
          <w:color w:val="auto"/>
          <w:sz w:val="28"/>
          <w:szCs w:val="28"/>
          <w:highlight w:val="none"/>
          <w:lang w:val="en-GB"/>
        </w:rPr>
      </w:pPr>
    </w:p>
    <w:p w14:paraId="565CC4D5">
      <w:pPr>
        <w:pStyle w:val="8"/>
        <w:rPr>
          <w:rFonts w:hint="eastAsia" w:ascii="Times New Roman" w:hAnsi="Times New Roman" w:eastAsia="宋体" w:cs="Times New Roman"/>
          <w:b w:val="0"/>
          <w:bCs/>
          <w:color w:val="auto"/>
          <w:sz w:val="28"/>
          <w:szCs w:val="28"/>
          <w:highlight w:val="none"/>
          <w:lang w:val="en-GB"/>
        </w:rPr>
      </w:pPr>
    </w:p>
    <w:p w14:paraId="55D3380B">
      <w:pPr>
        <w:rPr>
          <w:rFonts w:hint="eastAsia" w:ascii="Times New Roman" w:hAnsi="Times New Roman" w:eastAsia="宋体" w:cs="Times New Roman"/>
          <w:b w:val="0"/>
          <w:bCs/>
          <w:color w:val="auto"/>
          <w:sz w:val="28"/>
          <w:szCs w:val="28"/>
          <w:highlight w:val="none"/>
          <w:lang w:val="en-GB"/>
        </w:rPr>
      </w:pPr>
    </w:p>
    <w:p w14:paraId="4593277E">
      <w:pPr>
        <w:pStyle w:val="8"/>
        <w:rPr>
          <w:rFonts w:hint="eastAsia" w:ascii="Times New Roman" w:hAnsi="Times New Roman" w:eastAsia="宋体" w:cs="Times New Roman"/>
          <w:b w:val="0"/>
          <w:bCs/>
          <w:color w:val="auto"/>
          <w:sz w:val="28"/>
          <w:szCs w:val="28"/>
          <w:highlight w:val="none"/>
          <w:lang w:val="en-GB"/>
        </w:rPr>
      </w:pPr>
    </w:p>
    <w:p w14:paraId="780A09F8">
      <w:pPr>
        <w:rPr>
          <w:rFonts w:hint="eastAsia" w:ascii="Times New Roman" w:hAnsi="Times New Roman" w:eastAsia="宋体" w:cs="Times New Roman"/>
          <w:b w:val="0"/>
          <w:bCs/>
          <w:color w:val="auto"/>
          <w:sz w:val="28"/>
          <w:szCs w:val="28"/>
          <w:highlight w:val="none"/>
          <w:lang w:val="en-GB"/>
        </w:rPr>
      </w:pPr>
    </w:p>
    <w:p w14:paraId="70E5A9AD">
      <w:pPr>
        <w:pStyle w:val="8"/>
        <w:rPr>
          <w:rFonts w:hint="eastAsia" w:ascii="Times New Roman" w:hAnsi="Times New Roman" w:eastAsia="宋体" w:cs="Times New Roman"/>
          <w:b w:val="0"/>
          <w:bCs/>
          <w:color w:val="auto"/>
          <w:sz w:val="28"/>
          <w:szCs w:val="28"/>
          <w:highlight w:val="none"/>
          <w:lang w:val="en-GB"/>
        </w:rPr>
      </w:pPr>
    </w:p>
    <w:p w14:paraId="1AA9DEE5">
      <w:pPr>
        <w:rPr>
          <w:rFonts w:hint="eastAsia" w:ascii="Times New Roman" w:hAnsi="Times New Roman" w:eastAsia="宋体" w:cs="Times New Roman"/>
          <w:b w:val="0"/>
          <w:bCs/>
          <w:color w:val="auto"/>
          <w:sz w:val="28"/>
          <w:szCs w:val="28"/>
          <w:highlight w:val="none"/>
          <w:lang w:val="en-GB"/>
        </w:rPr>
      </w:pPr>
    </w:p>
    <w:p w14:paraId="05E79BB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宋体" w:hAnsi="宋体" w:eastAsia="宋体" w:cs="宋体"/>
          <w:b/>
          <w:bCs w:val="0"/>
          <w:color w:val="auto"/>
          <w:kern w:val="44"/>
          <w:sz w:val="32"/>
          <w:szCs w:val="32"/>
          <w:highlight w:val="none"/>
          <w:lang w:val="zh-CN" w:eastAsia="zh-CN" w:bidi="ar-SA"/>
        </w:rPr>
      </w:pPr>
      <w:bookmarkStart w:id="1437" w:name="_Toc1884"/>
      <w:bookmarkStart w:id="1438" w:name="_Toc11701"/>
      <w:r>
        <w:rPr>
          <w:rFonts w:hint="eastAsia" w:ascii="宋体" w:hAnsi="宋体" w:eastAsia="宋体" w:cs="宋体"/>
          <w:b/>
          <w:bCs w:val="0"/>
          <w:color w:val="auto"/>
          <w:kern w:val="44"/>
          <w:sz w:val="32"/>
          <w:szCs w:val="32"/>
          <w:highlight w:val="none"/>
          <w:lang w:val="zh-CN" w:eastAsia="zh-CN" w:bidi="ar-SA"/>
        </w:rPr>
        <w:t>附件</w:t>
      </w:r>
      <w:bookmarkEnd w:id="1437"/>
      <w:bookmarkEnd w:id="1438"/>
    </w:p>
    <w:p w14:paraId="2BA73C76">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0"/>
        <w:rPr>
          <w:rFonts w:hint="eastAsia" w:ascii="Times New Roman" w:hAnsi="Times New Roman" w:eastAsia="宋体" w:cs="Times New Roman"/>
          <w:b w:val="0"/>
          <w:bCs/>
          <w:color w:val="auto"/>
          <w:kern w:val="2"/>
          <w:sz w:val="28"/>
          <w:szCs w:val="28"/>
          <w:highlight w:val="none"/>
          <w:lang w:val="en-GB" w:eastAsia="zh-CN" w:bidi="ar-SA"/>
        </w:rPr>
      </w:pPr>
      <w:bookmarkStart w:id="1439" w:name="_Toc23578"/>
      <w:bookmarkStart w:id="1440" w:name="_Toc20260"/>
      <w:r>
        <w:rPr>
          <w:rFonts w:hint="eastAsia" w:ascii="Times New Roman" w:hAnsi="Times New Roman" w:eastAsia="宋体" w:cs="Times New Roman"/>
          <w:b w:val="0"/>
          <w:bCs/>
          <w:color w:val="auto"/>
          <w:kern w:val="2"/>
          <w:sz w:val="28"/>
          <w:szCs w:val="28"/>
          <w:highlight w:val="none"/>
          <w:lang w:val="en-GB" w:eastAsia="zh-CN" w:bidi="ar-SA"/>
        </w:rPr>
        <w:t>附表1：</w:t>
      </w:r>
      <w:r>
        <w:rPr>
          <w:rFonts w:hint="eastAsia" w:ascii="Times New Roman" w:hAnsi="Times New Roman" w:eastAsia="宋体" w:cs="Times New Roman"/>
          <w:b w:val="0"/>
          <w:bCs/>
          <w:color w:val="auto"/>
          <w:kern w:val="2"/>
          <w:sz w:val="28"/>
          <w:szCs w:val="28"/>
          <w:highlight w:val="none"/>
          <w:lang w:val="en-US" w:eastAsia="zh-CN" w:bidi="ar-SA"/>
        </w:rPr>
        <w:t>项目</w:t>
      </w:r>
      <w:r>
        <w:rPr>
          <w:rFonts w:hint="eastAsia" w:cs="Times New Roman"/>
          <w:b w:val="0"/>
          <w:bCs/>
          <w:color w:val="auto"/>
          <w:kern w:val="2"/>
          <w:sz w:val="28"/>
          <w:szCs w:val="28"/>
          <w:highlight w:val="none"/>
          <w:lang w:val="en-US" w:eastAsia="zh-CN" w:bidi="ar-SA"/>
        </w:rPr>
        <w:t>建设</w:t>
      </w:r>
      <w:r>
        <w:rPr>
          <w:rFonts w:hint="eastAsia" w:ascii="Times New Roman" w:hAnsi="Times New Roman" w:eastAsia="宋体" w:cs="Times New Roman"/>
          <w:b w:val="0"/>
          <w:bCs/>
          <w:color w:val="auto"/>
          <w:kern w:val="2"/>
          <w:sz w:val="28"/>
          <w:szCs w:val="28"/>
          <w:highlight w:val="none"/>
          <w:lang w:val="en-GB" w:eastAsia="zh-CN" w:bidi="ar-SA"/>
        </w:rPr>
        <w:t>投资估算表</w:t>
      </w:r>
      <w:bookmarkEnd w:id="1439"/>
    </w:p>
    <w:p w14:paraId="63851EF9">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0"/>
        <w:rPr>
          <w:rFonts w:hint="eastAsia" w:ascii="Times New Roman" w:hAnsi="Times New Roman" w:eastAsia="宋体" w:cs="Times New Roman"/>
          <w:b w:val="0"/>
          <w:bCs/>
          <w:color w:val="auto"/>
          <w:kern w:val="2"/>
          <w:sz w:val="28"/>
          <w:szCs w:val="28"/>
          <w:highlight w:val="none"/>
          <w:lang w:val="en-GB" w:eastAsia="zh-CN" w:bidi="ar-SA"/>
        </w:rPr>
      </w:pPr>
      <w:bookmarkStart w:id="1441" w:name="_Toc30430"/>
      <w:r>
        <w:rPr>
          <w:rFonts w:hint="eastAsia" w:ascii="Times New Roman" w:hAnsi="Times New Roman" w:eastAsia="宋体" w:cs="Times New Roman"/>
          <w:b w:val="0"/>
          <w:bCs/>
          <w:color w:val="auto"/>
          <w:kern w:val="2"/>
          <w:sz w:val="28"/>
          <w:szCs w:val="28"/>
          <w:highlight w:val="none"/>
          <w:lang w:val="en-GB" w:eastAsia="zh-CN" w:bidi="ar-SA"/>
        </w:rPr>
        <w:t>附图1：区域位置图</w:t>
      </w:r>
      <w:bookmarkEnd w:id="1440"/>
      <w:bookmarkEnd w:id="1441"/>
    </w:p>
    <w:p w14:paraId="46118979">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0"/>
        <w:rPr>
          <w:rFonts w:hint="default" w:ascii="Times New Roman" w:hAnsi="Times New Roman" w:eastAsia="宋体" w:cs="Times New Roman"/>
          <w:b w:val="0"/>
          <w:bCs/>
          <w:color w:val="auto"/>
          <w:kern w:val="2"/>
          <w:sz w:val="28"/>
          <w:szCs w:val="28"/>
          <w:highlight w:val="none"/>
          <w:lang w:val="en-US" w:eastAsia="zh-CN" w:bidi="ar-SA"/>
        </w:rPr>
      </w:pPr>
      <w:bookmarkStart w:id="1442" w:name="_Toc28587"/>
      <w:bookmarkStart w:id="1443" w:name="_Toc10931"/>
      <w:r>
        <w:rPr>
          <w:rFonts w:hint="eastAsia" w:ascii="Times New Roman" w:hAnsi="Times New Roman" w:eastAsia="宋体" w:cs="Times New Roman"/>
          <w:b w:val="0"/>
          <w:bCs/>
          <w:color w:val="auto"/>
          <w:kern w:val="2"/>
          <w:sz w:val="28"/>
          <w:szCs w:val="28"/>
          <w:highlight w:val="none"/>
          <w:lang w:val="en-GB" w:eastAsia="zh-CN" w:bidi="ar-SA"/>
        </w:rPr>
        <w:t>附图2：</w:t>
      </w:r>
      <w:r>
        <w:rPr>
          <w:rFonts w:hint="eastAsia" w:ascii="Times New Roman" w:hAnsi="Times New Roman" w:eastAsia="宋体" w:cs="Times New Roman"/>
          <w:b w:val="0"/>
          <w:bCs/>
          <w:color w:val="auto"/>
          <w:kern w:val="2"/>
          <w:sz w:val="28"/>
          <w:szCs w:val="28"/>
          <w:highlight w:val="none"/>
          <w:lang w:val="en-US" w:eastAsia="zh-CN" w:bidi="ar-SA"/>
        </w:rPr>
        <w:t>工艺流程图（另附）</w:t>
      </w:r>
      <w:bookmarkEnd w:id="1442"/>
    </w:p>
    <w:p w14:paraId="5568ADE1">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0"/>
        <w:rPr>
          <w:rFonts w:hint="eastAsia" w:ascii="Times New Roman" w:hAnsi="Times New Roman" w:eastAsia="宋体" w:cs="Times New Roman"/>
          <w:b w:val="0"/>
          <w:bCs/>
          <w:color w:val="auto"/>
          <w:kern w:val="2"/>
          <w:sz w:val="28"/>
          <w:szCs w:val="28"/>
          <w:highlight w:val="none"/>
          <w:lang w:val="zh-CN" w:eastAsia="zh-CN" w:bidi="ar-SA"/>
        </w:rPr>
        <w:sectPr>
          <w:pgSz w:w="11906" w:h="16838"/>
          <w:pgMar w:top="1440" w:right="1800" w:bottom="1440" w:left="1800" w:header="851" w:footer="992" w:gutter="0"/>
          <w:pgNumType w:fmt="decimal"/>
          <w:cols w:space="425" w:num="1"/>
          <w:docGrid w:type="lines" w:linePitch="312" w:charSpace="0"/>
        </w:sectPr>
      </w:pPr>
      <w:bookmarkStart w:id="1444" w:name="_Toc14631"/>
      <w:r>
        <w:rPr>
          <w:rFonts w:hint="eastAsia" w:ascii="Times New Roman" w:hAnsi="Times New Roman" w:eastAsia="宋体" w:cs="Times New Roman"/>
          <w:b w:val="0"/>
          <w:bCs/>
          <w:color w:val="auto"/>
          <w:kern w:val="2"/>
          <w:sz w:val="28"/>
          <w:szCs w:val="28"/>
          <w:highlight w:val="none"/>
          <w:lang w:val="en-US" w:eastAsia="zh-CN" w:bidi="ar-SA"/>
        </w:rPr>
        <w:t>附图3：总</w:t>
      </w:r>
      <w:r>
        <w:rPr>
          <w:rFonts w:hint="eastAsia" w:ascii="Times New Roman" w:hAnsi="Times New Roman" w:eastAsia="宋体" w:cs="Times New Roman"/>
          <w:b w:val="0"/>
          <w:bCs/>
          <w:color w:val="auto"/>
          <w:kern w:val="2"/>
          <w:sz w:val="28"/>
          <w:szCs w:val="28"/>
          <w:highlight w:val="none"/>
          <w:lang w:val="en-GB" w:eastAsia="zh-CN" w:bidi="ar-SA"/>
        </w:rPr>
        <w:t>平面布置图</w:t>
      </w:r>
      <w:bookmarkEnd w:id="1443"/>
      <w:r>
        <w:rPr>
          <w:rFonts w:hint="eastAsia" w:ascii="Times New Roman" w:hAnsi="Times New Roman" w:eastAsia="宋体" w:cs="Times New Roman"/>
          <w:b w:val="0"/>
          <w:bCs/>
          <w:color w:val="auto"/>
          <w:kern w:val="2"/>
          <w:sz w:val="28"/>
          <w:szCs w:val="28"/>
          <w:highlight w:val="none"/>
          <w:lang w:val="zh-CN" w:eastAsia="zh-CN" w:bidi="ar-SA"/>
        </w:rPr>
        <w:t>（</w:t>
      </w:r>
      <w:r>
        <w:rPr>
          <w:rFonts w:hint="eastAsia" w:ascii="Times New Roman" w:hAnsi="Times New Roman" w:eastAsia="宋体" w:cs="Times New Roman"/>
          <w:b w:val="0"/>
          <w:bCs/>
          <w:color w:val="auto"/>
          <w:kern w:val="2"/>
          <w:sz w:val="28"/>
          <w:szCs w:val="28"/>
          <w:highlight w:val="none"/>
          <w:lang w:val="en-US" w:eastAsia="zh-CN" w:bidi="ar-SA"/>
        </w:rPr>
        <w:t>另附</w:t>
      </w:r>
      <w:r>
        <w:rPr>
          <w:rFonts w:hint="eastAsia" w:ascii="Times New Roman" w:hAnsi="Times New Roman" w:eastAsia="宋体" w:cs="Times New Roman"/>
          <w:b w:val="0"/>
          <w:bCs/>
          <w:color w:val="auto"/>
          <w:kern w:val="2"/>
          <w:sz w:val="28"/>
          <w:szCs w:val="28"/>
          <w:highlight w:val="none"/>
          <w:lang w:val="zh-CN" w:eastAsia="zh-CN" w:bidi="ar-SA"/>
        </w:rPr>
        <w:t>）</w:t>
      </w:r>
      <w:bookmarkEnd w:id="1444"/>
    </w:p>
    <w:p w14:paraId="1086779E">
      <w:pPr>
        <w:pStyle w:val="21"/>
        <w:spacing w:line="560" w:lineRule="exact"/>
        <w:ind w:firstLine="31680"/>
        <w:jc w:val="left"/>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附表1：</w:t>
      </w:r>
      <w:r>
        <w:rPr>
          <w:rFonts w:hint="eastAsia" w:ascii="Times New Roman" w:hAnsi="Times New Roman" w:eastAsia="宋体" w:cs="Times New Roman"/>
          <w:color w:val="auto"/>
          <w:sz w:val="28"/>
          <w:szCs w:val="28"/>
          <w:highlight w:val="none"/>
          <w:lang w:val="en-US" w:eastAsia="zh-CN"/>
        </w:rPr>
        <w:t>项目</w:t>
      </w:r>
      <w:r>
        <w:rPr>
          <w:rFonts w:hint="eastAsia" w:cs="Times New Roman"/>
          <w:color w:val="auto"/>
          <w:sz w:val="28"/>
          <w:szCs w:val="28"/>
          <w:highlight w:val="none"/>
          <w:lang w:val="en-US" w:eastAsia="zh-CN"/>
        </w:rPr>
        <w:t>建设</w:t>
      </w:r>
      <w:r>
        <w:rPr>
          <w:rFonts w:hint="eastAsia" w:ascii="Times New Roman" w:hAnsi="Times New Roman" w:eastAsia="宋体" w:cs="Times New Roman"/>
          <w:color w:val="auto"/>
          <w:sz w:val="28"/>
          <w:szCs w:val="28"/>
          <w:highlight w:val="none"/>
        </w:rPr>
        <w:t>投资估算表</w:t>
      </w:r>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0"/>
        <w:gridCol w:w="2305"/>
        <w:gridCol w:w="1066"/>
        <w:gridCol w:w="1066"/>
        <w:gridCol w:w="1066"/>
        <w:gridCol w:w="1066"/>
        <w:gridCol w:w="1905"/>
        <w:gridCol w:w="1276"/>
        <w:gridCol w:w="1485"/>
        <w:gridCol w:w="1066"/>
        <w:gridCol w:w="1083"/>
      </w:tblGrid>
      <w:tr w14:paraId="25E8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2EA4">
            <w:pPr>
              <w:keepNext w:val="0"/>
              <w:keepLines w:val="0"/>
              <w:widowControl/>
              <w:suppressLineNumbers w:val="0"/>
              <w:jc w:val="both"/>
              <w:textAlignment w:val="center"/>
              <w:rPr>
                <w:rFonts w:ascii="Microsoft Sans Serif" w:hAnsi="Microsoft Sans Serif" w:eastAsia="Microsoft Sans Serif" w:cs="Microsoft Sans Serif"/>
                <w:i w:val="0"/>
                <w:iCs w:val="0"/>
                <w:color w:val="auto"/>
                <w:sz w:val="22"/>
                <w:szCs w:val="22"/>
                <w:highlight w:val="none"/>
                <w:u w:val="none"/>
              </w:rPr>
            </w:pPr>
            <w:r>
              <w:rPr>
                <w:rFonts w:hint="eastAsia" w:ascii="Microsoft Sans Serif" w:hAnsi="Microsoft Sans Serif" w:eastAsia="Microsoft Sans Serif" w:cs="Microsoft Sans Serif"/>
                <w:i w:val="0"/>
                <w:iCs w:val="0"/>
                <w:color w:val="auto"/>
                <w:kern w:val="0"/>
                <w:sz w:val="22"/>
                <w:szCs w:val="22"/>
                <w:highlight w:val="none"/>
                <w:u w:val="none"/>
                <w:lang w:val="en-US" w:eastAsia="zh-CN" w:bidi="ar"/>
              </w:rPr>
              <w:t xml:space="preserve">                                                                                                                   </w:t>
            </w:r>
            <w:r>
              <w:rPr>
                <w:rFonts w:hint="default" w:ascii="Microsoft Sans Serif" w:hAnsi="Microsoft Sans Serif" w:eastAsia="Microsoft Sans Serif" w:cs="Microsoft Sans Serif"/>
                <w:i w:val="0"/>
                <w:iCs w:val="0"/>
                <w:color w:val="auto"/>
                <w:kern w:val="0"/>
                <w:sz w:val="22"/>
                <w:szCs w:val="22"/>
                <w:highlight w:val="none"/>
                <w:u w:val="none"/>
                <w:lang w:val="en-US" w:eastAsia="zh-CN" w:bidi="ar"/>
              </w:rPr>
              <w:t>单位 万元</w:t>
            </w:r>
          </w:p>
        </w:tc>
      </w:tr>
      <w:tr w14:paraId="3F70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587AE">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54F3">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DDB5">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建筑工程</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F6BF">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设备购置</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D236B">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安装工程</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0C4BB">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3490">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可抵扣税金(万元)</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B08F">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合计(万元)</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CDDB">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单位投资(元)</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B4A0">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其中外币</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428D">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费用占比</w:t>
            </w:r>
          </w:p>
        </w:tc>
      </w:tr>
      <w:tr w14:paraId="3FCC7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BF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E2D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固定资产费用</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B6B4">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111.00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FC1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300.00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7AF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74FF">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119.00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3D94">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47.81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F0C9">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580.00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01AE">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32B1B">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644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96.67 </w:t>
            </w:r>
          </w:p>
        </w:tc>
      </w:tr>
      <w:tr w14:paraId="3CD58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260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13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工程费用</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D13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111.00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ED4A">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300.00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DDE5">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49C8">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39C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47.81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D709">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461.00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2544">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A4AC">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63B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76.83 </w:t>
            </w:r>
          </w:p>
        </w:tc>
      </w:tr>
      <w:tr w14:paraId="0E554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8B20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70D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主要生产项目</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E673C">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111.00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55D3">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300.00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AA86">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2D3B">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8246">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47.81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13E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461.00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75D4">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8EC9">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FF67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76.83 </w:t>
            </w:r>
          </w:p>
        </w:tc>
      </w:tr>
      <w:tr w14:paraId="13B3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66E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6F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固定资产其他费用</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7AF2">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F6C7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1C00">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02F0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119.00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8586">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BEC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119.00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917D">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A5C4">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DE83">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19.83 </w:t>
            </w:r>
          </w:p>
        </w:tc>
      </w:tr>
      <w:tr w14:paraId="6B5A0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073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B7E1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建设单位管理费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5979">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C01E">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2778">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7C1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9BA95">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D71C">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A409">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F2DC">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1CAA">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2.50 </w:t>
            </w:r>
          </w:p>
        </w:tc>
      </w:tr>
      <w:tr w14:paraId="58D4C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C47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1.2.2</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33F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前期工作费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097D">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EAC69">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7A572">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AFC8">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53237">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9CCCB">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23E24">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B2EF">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5B52">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0.83 </w:t>
            </w:r>
          </w:p>
        </w:tc>
      </w:tr>
      <w:tr w14:paraId="38C8B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5C5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1.2.3</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5A9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工程设计费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3D0C">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F38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C3509">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BB90">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A1D42">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2F6A">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21EF">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0BBB">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6710">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3.33 </w:t>
            </w:r>
          </w:p>
        </w:tc>
      </w:tr>
      <w:tr w14:paraId="23045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EA8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1.2.4</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AA0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可研报告编制费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92B7">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91B4C">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4D807">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56C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D1EF">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54BB">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169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46D32">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B1BAE">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0.83 </w:t>
            </w:r>
          </w:p>
        </w:tc>
      </w:tr>
      <w:tr w14:paraId="295DF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77E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1.2.5</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B516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劳动安全卫生评价费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BB4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3D6A">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6A2D">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0EB79">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3BB8">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1A01">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24.00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1B7F">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1D688">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DF4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4.00 </w:t>
            </w:r>
          </w:p>
        </w:tc>
      </w:tr>
      <w:tr w14:paraId="6E76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EF70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1.2.6</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8D1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环境评价费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5E7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5AB73">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C9DA">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7DD5">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36207">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3A86">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15.00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B987E">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639C">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5226">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2.50 </w:t>
            </w:r>
          </w:p>
        </w:tc>
      </w:tr>
      <w:tr w14:paraId="4D949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18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1.2.7</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440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工程监理费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BBD8">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5B963">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7DF0">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ABC95">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B8DC">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192C">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1CA2">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39AF">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94EE">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1.67 </w:t>
            </w:r>
          </w:p>
        </w:tc>
      </w:tr>
      <w:tr w14:paraId="2762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E3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1.2.8</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918D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临时设施费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C9AC">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B0B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6F54">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4E10">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B489">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AE0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F6D9">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11CB">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33525">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1.67 </w:t>
            </w:r>
          </w:p>
        </w:tc>
      </w:tr>
      <w:tr w14:paraId="57361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5BF5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1.2.9</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6A5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联合试运转费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FC93">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E800A">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1AF3">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3FB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FE3D">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50466">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8869">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F5A9">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A52FE">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0.83 </w:t>
            </w:r>
          </w:p>
        </w:tc>
      </w:tr>
      <w:tr w14:paraId="055B5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9FBC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1.2.10</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7C4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安全生产费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E7DC">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D0C">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B07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B58E">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7F72">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CEB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447F">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4675F">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DDE6">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1.67 </w:t>
            </w:r>
          </w:p>
        </w:tc>
      </w:tr>
      <w:tr w14:paraId="598BF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5A1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281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无形资产费用</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9C2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82B8">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E30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9A079">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EC43D">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929A9">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3797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904E7">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C929">
            <w:pPr>
              <w:jc w:val="right"/>
              <w:rPr>
                <w:rFonts w:hint="eastAsia" w:ascii="宋体" w:hAnsi="宋体" w:eastAsia="宋体" w:cs="宋体"/>
                <w:i w:val="0"/>
                <w:iCs w:val="0"/>
                <w:color w:val="auto"/>
                <w:sz w:val="18"/>
                <w:szCs w:val="18"/>
                <w:highlight w:val="none"/>
                <w:u w:val="none"/>
              </w:rPr>
            </w:pPr>
          </w:p>
        </w:tc>
      </w:tr>
      <w:tr w14:paraId="09997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DA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EFF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专利及专有技术使用费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322A">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2633">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4C9BF">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DFE5B">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3884">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21E29">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8E7A">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489D">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2F78">
            <w:pPr>
              <w:jc w:val="right"/>
              <w:rPr>
                <w:rFonts w:hint="eastAsia" w:ascii="宋体" w:hAnsi="宋体" w:eastAsia="宋体" w:cs="宋体"/>
                <w:i w:val="0"/>
                <w:iCs w:val="0"/>
                <w:color w:val="auto"/>
                <w:sz w:val="18"/>
                <w:szCs w:val="18"/>
                <w:highlight w:val="none"/>
                <w:u w:val="none"/>
              </w:rPr>
            </w:pPr>
          </w:p>
        </w:tc>
      </w:tr>
      <w:tr w14:paraId="78F9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640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3A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土地使用权出让金及契税</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8A12">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856F8">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4884">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7BDF">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20A9">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B03EE">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C35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F55A">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19E4">
            <w:pPr>
              <w:jc w:val="right"/>
              <w:rPr>
                <w:rFonts w:hint="eastAsia" w:ascii="宋体" w:hAnsi="宋体" w:eastAsia="宋体" w:cs="宋体"/>
                <w:i w:val="0"/>
                <w:iCs w:val="0"/>
                <w:color w:val="auto"/>
                <w:sz w:val="18"/>
                <w:szCs w:val="18"/>
                <w:highlight w:val="none"/>
                <w:u w:val="none"/>
              </w:rPr>
            </w:pPr>
          </w:p>
        </w:tc>
      </w:tr>
      <w:tr w14:paraId="521EE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507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539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其他资产费用</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DB886">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60A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37BBA">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A873">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539B">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588E">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EF9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173A">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516B">
            <w:pPr>
              <w:jc w:val="right"/>
              <w:rPr>
                <w:rFonts w:hint="eastAsia" w:ascii="宋体" w:hAnsi="宋体" w:eastAsia="宋体" w:cs="宋体"/>
                <w:i w:val="0"/>
                <w:iCs w:val="0"/>
                <w:color w:val="auto"/>
                <w:sz w:val="18"/>
                <w:szCs w:val="18"/>
                <w:highlight w:val="none"/>
                <w:u w:val="none"/>
              </w:rPr>
            </w:pPr>
          </w:p>
        </w:tc>
      </w:tr>
      <w:tr w14:paraId="4FBEF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8C4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12E6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生成准备及开办费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C15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A99DE">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0232">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D454">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4B36">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B01E7">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0507">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69C0">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0078">
            <w:pPr>
              <w:jc w:val="right"/>
              <w:rPr>
                <w:rFonts w:hint="eastAsia" w:ascii="宋体" w:hAnsi="宋体" w:eastAsia="宋体" w:cs="宋体"/>
                <w:i w:val="0"/>
                <w:iCs w:val="0"/>
                <w:color w:val="auto"/>
                <w:sz w:val="18"/>
                <w:szCs w:val="18"/>
                <w:highlight w:val="none"/>
                <w:u w:val="none"/>
              </w:rPr>
            </w:pPr>
          </w:p>
        </w:tc>
      </w:tr>
      <w:tr w14:paraId="3DE59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C66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618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预备费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3F70">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03286">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D1C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812E">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D4F0">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9C57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0A2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CD3DB">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8B5EF">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3.33 </w:t>
            </w:r>
          </w:p>
        </w:tc>
      </w:tr>
      <w:tr w14:paraId="5D91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60E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7F69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基本预备费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BAFC2">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E4E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17F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2599">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0ECFE">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E5DC">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03B81">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4849E">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92C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3.33 </w:t>
            </w:r>
          </w:p>
        </w:tc>
      </w:tr>
      <w:tr w14:paraId="78DF3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F26B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4B6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价差预备费</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FE387">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864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CD4D">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19C6">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5937">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85C2B">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EA66D">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D892">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4E23">
            <w:pPr>
              <w:jc w:val="right"/>
              <w:rPr>
                <w:rFonts w:hint="eastAsia" w:ascii="宋体" w:hAnsi="宋体" w:eastAsia="宋体" w:cs="宋体"/>
                <w:i w:val="0"/>
                <w:iCs w:val="0"/>
                <w:color w:val="auto"/>
                <w:sz w:val="18"/>
                <w:szCs w:val="18"/>
                <w:highlight w:val="none"/>
                <w:u w:val="none"/>
              </w:rPr>
            </w:pPr>
          </w:p>
        </w:tc>
      </w:tr>
      <w:tr w14:paraId="2520B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8A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065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建设投资合计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564B">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111.00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E768">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300.00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0560">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E8A3">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139.00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F600">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47.81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6AED">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600.00 </w:t>
            </w: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5EC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5319">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D7F7">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100.00 </w:t>
            </w:r>
          </w:p>
        </w:tc>
      </w:tr>
      <w:tr w14:paraId="0D7A6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9FA1">
            <w:pPr>
              <w:jc w:val="left"/>
              <w:rPr>
                <w:rFonts w:hint="eastAsia" w:ascii="宋体" w:hAnsi="宋体" w:eastAsia="宋体" w:cs="宋体"/>
                <w:i w:val="0"/>
                <w:iCs w:val="0"/>
                <w:color w:val="auto"/>
                <w:sz w:val="18"/>
                <w:szCs w:val="18"/>
                <w:highlight w:val="none"/>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46C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单位投资（元）</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C218">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08F5">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E8E4">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350D">
            <w:pPr>
              <w:jc w:val="right"/>
              <w:rPr>
                <w:rFonts w:hint="eastAsia" w:ascii="宋体" w:hAnsi="宋体" w:eastAsia="宋体" w:cs="宋体"/>
                <w:i w:val="0"/>
                <w:iCs w:val="0"/>
                <w:color w:val="auto"/>
                <w:sz w:val="18"/>
                <w:szCs w:val="18"/>
                <w:highlight w:val="none"/>
                <w:u w:val="none"/>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D366D">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72C5">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AAE3">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33E5">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5403">
            <w:pPr>
              <w:jc w:val="right"/>
              <w:rPr>
                <w:rFonts w:hint="eastAsia" w:ascii="宋体" w:hAnsi="宋体" w:eastAsia="宋体" w:cs="宋体"/>
                <w:i w:val="0"/>
                <w:iCs w:val="0"/>
                <w:color w:val="auto"/>
                <w:sz w:val="18"/>
                <w:szCs w:val="18"/>
                <w:highlight w:val="none"/>
                <w:u w:val="none"/>
              </w:rPr>
            </w:pPr>
          </w:p>
        </w:tc>
      </w:tr>
      <w:tr w14:paraId="5248B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00F16">
            <w:pPr>
              <w:jc w:val="left"/>
              <w:rPr>
                <w:rFonts w:hint="eastAsia" w:ascii="宋体" w:hAnsi="宋体" w:eastAsia="宋体" w:cs="宋体"/>
                <w:i w:val="0"/>
                <w:iCs w:val="0"/>
                <w:color w:val="auto"/>
                <w:sz w:val="18"/>
                <w:szCs w:val="18"/>
                <w:highlight w:val="none"/>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902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占总投资比重（%）</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FF79">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18.50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6723">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50.00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668A">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8.33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1FCB4">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 xml:space="preserve">23.17 </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523E">
            <w:pPr>
              <w:jc w:val="right"/>
              <w:rPr>
                <w:rFonts w:hint="eastAsia" w:ascii="宋体" w:hAnsi="宋体" w:eastAsia="宋体" w:cs="宋体"/>
                <w:i w:val="0"/>
                <w:iCs w:val="0"/>
                <w:color w:val="auto"/>
                <w:sz w:val="18"/>
                <w:szCs w:val="18"/>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869B">
            <w:pPr>
              <w:jc w:val="right"/>
              <w:rPr>
                <w:rFonts w:hint="eastAsia" w:ascii="宋体" w:hAnsi="宋体" w:eastAsia="宋体" w:cs="宋体"/>
                <w:i w:val="0"/>
                <w:iCs w:val="0"/>
                <w:color w:val="auto"/>
                <w:sz w:val="18"/>
                <w:szCs w:val="18"/>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ADB1B">
            <w:pPr>
              <w:jc w:val="right"/>
              <w:rPr>
                <w:rFonts w:hint="eastAsia" w:ascii="宋体" w:hAnsi="宋体" w:eastAsia="宋体" w:cs="宋体"/>
                <w:i w:val="0"/>
                <w:iCs w:val="0"/>
                <w:color w:val="auto"/>
                <w:sz w:val="18"/>
                <w:szCs w:val="18"/>
                <w:highlight w:val="none"/>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3593">
            <w:pPr>
              <w:jc w:val="right"/>
              <w:rPr>
                <w:rFonts w:hint="eastAsia" w:ascii="宋体" w:hAnsi="宋体" w:eastAsia="宋体" w:cs="宋体"/>
                <w:i w:val="0"/>
                <w:iCs w:val="0"/>
                <w:color w:val="auto"/>
                <w:sz w:val="18"/>
                <w:szCs w:val="18"/>
                <w:highlight w:val="none"/>
                <w:u w:val="none"/>
              </w:rPr>
            </w:pP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C14A">
            <w:pPr>
              <w:jc w:val="right"/>
              <w:rPr>
                <w:rFonts w:hint="eastAsia" w:ascii="宋体" w:hAnsi="宋体" w:eastAsia="宋体" w:cs="宋体"/>
                <w:i w:val="0"/>
                <w:iCs w:val="0"/>
                <w:color w:val="auto"/>
                <w:sz w:val="18"/>
                <w:szCs w:val="18"/>
                <w:highlight w:val="none"/>
                <w:u w:val="none"/>
              </w:rPr>
            </w:pPr>
          </w:p>
        </w:tc>
      </w:tr>
    </w:tbl>
    <w:p w14:paraId="0BF955B1">
      <w:pPr>
        <w:pStyle w:val="21"/>
        <w:spacing w:line="560" w:lineRule="exact"/>
        <w:ind w:firstLine="31680"/>
        <w:jc w:val="left"/>
        <w:rPr>
          <w:rFonts w:hint="eastAsia" w:ascii="Times New Roman" w:hAnsi="Times New Roman" w:eastAsia="宋体" w:cs="Times New Roman"/>
          <w:color w:val="auto"/>
          <w:sz w:val="28"/>
          <w:szCs w:val="28"/>
          <w:highlight w:val="none"/>
          <w:lang w:val="zh-CN"/>
        </w:rPr>
        <w:sectPr>
          <w:pgSz w:w="16838" w:h="11906" w:orient="landscape"/>
          <w:pgMar w:top="1800" w:right="1440" w:bottom="1800" w:left="1440" w:header="851" w:footer="992" w:gutter="0"/>
          <w:pgNumType w:fmt="decimal"/>
          <w:cols w:space="425" w:num="1"/>
          <w:docGrid w:type="lines" w:linePitch="312" w:charSpace="0"/>
        </w:sectPr>
      </w:pPr>
    </w:p>
    <w:p w14:paraId="6CA39719">
      <w:pPr>
        <w:pStyle w:val="21"/>
        <w:spacing w:line="560" w:lineRule="exact"/>
        <w:ind w:firstLine="31680"/>
        <w:jc w:val="left"/>
        <w:rPr>
          <w:rFonts w:hint="eastAsia" w:ascii="Times New Roman" w:hAnsi="Times New Roman" w:cs="Times New Roman"/>
          <w:bCs/>
          <w:color w:val="auto"/>
          <w:sz w:val="28"/>
          <w:szCs w:val="28"/>
          <w:highlight w:val="none"/>
          <w:lang w:val="zh-CN"/>
        </w:rPr>
      </w:pPr>
      <w:r>
        <w:rPr>
          <w:color w:val="auto"/>
          <w:highlight w:val="none"/>
        </w:rPr>
        <w:drawing>
          <wp:anchor distT="0" distB="0" distL="114300" distR="114300" simplePos="0" relativeHeight="251668480" behindDoc="0" locked="0" layoutInCell="1" allowOverlap="1">
            <wp:simplePos x="0" y="0"/>
            <wp:positionH relativeFrom="column">
              <wp:posOffset>205740</wp:posOffset>
            </wp:positionH>
            <wp:positionV relativeFrom="paragraph">
              <wp:posOffset>584200</wp:posOffset>
            </wp:positionV>
            <wp:extent cx="8760460" cy="4457065"/>
            <wp:effectExtent l="0" t="0" r="2540" b="635"/>
            <wp:wrapTopAndBottom/>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8760460" cy="4457065"/>
                    </a:xfrm>
                    <a:prstGeom prst="rect">
                      <a:avLst/>
                    </a:prstGeom>
                    <a:noFill/>
                    <a:ln>
                      <a:noFill/>
                    </a:ln>
                  </pic:spPr>
                </pic:pic>
              </a:graphicData>
            </a:graphic>
          </wp:anchor>
        </w:drawing>
      </w:r>
      <w:r>
        <w:rPr>
          <w:rFonts w:hint="eastAsia" w:ascii="Times New Roman" w:hAnsi="Times New Roman"/>
          <w:color w:val="auto"/>
          <w:sz w:val="28"/>
          <w:szCs w:val="28"/>
          <w:highlight w:val="none"/>
        </w:rPr>
        <w:t>附图</w:t>
      </w:r>
      <w:r>
        <w:rPr>
          <w:rFonts w:ascii="Times New Roman" w:hAnsi="Times New Roman"/>
          <w:color w:val="auto"/>
          <w:sz w:val="28"/>
          <w:szCs w:val="28"/>
          <w:highlight w:val="none"/>
        </w:rPr>
        <w:t>1</w:t>
      </w:r>
      <w:r>
        <w:rPr>
          <w:rFonts w:hint="eastAsia" w:ascii="Times New Roman" w:hAnsi="Times New Roman"/>
          <w:color w:val="auto"/>
          <w:sz w:val="28"/>
          <w:szCs w:val="28"/>
          <w:highlight w:val="none"/>
        </w:rPr>
        <w:t>：区域位置图</w:t>
      </w:r>
    </w:p>
    <w:p w14:paraId="6301D446">
      <w:pPr>
        <w:pStyle w:val="2"/>
        <w:rPr>
          <w:color w:val="auto"/>
          <w:highlight w:val="none"/>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C8539">
    <w:pPr>
      <w:pStyle w:val="10"/>
      <w:jc w:val="center"/>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D529A">
                          <w:pPr>
                            <w:pStyle w:val="1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6D529A">
                    <w:pPr>
                      <w:pStyle w:val="10"/>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lang w:val="en-US" w:eastAsia="zh-CN"/>
      </w:rPr>
      <w:t>江苏索普工程科技有限公司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83B4">
    <w:pPr>
      <w:pStyle w:val="10"/>
      <w:jc w:val="center"/>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9EEC7">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A99EEC7">
                    <w:pPr>
                      <w:pStyle w:val="10"/>
                    </w:pPr>
                    <w:r>
                      <w:fldChar w:fldCharType="begin"/>
                    </w:r>
                    <w:r>
                      <w:instrText xml:space="preserve"> PAGE  \* MERGEFORMAT </w:instrText>
                    </w:r>
                    <w:r>
                      <w:fldChar w:fldCharType="separate"/>
                    </w:r>
                    <w:r>
                      <w:t>47</w:t>
                    </w:r>
                    <w:r>
                      <w:fldChar w:fldCharType="end"/>
                    </w:r>
                  </w:p>
                </w:txbxContent>
              </v:textbox>
            </v:shape>
          </w:pict>
        </mc:Fallback>
      </mc:AlternateContent>
    </w:r>
    <w:r>
      <w:rPr>
        <w:rFonts w:hint="eastAsia"/>
        <w:lang w:val="en-US" w:eastAsia="zh-CN"/>
      </w:rPr>
      <w:t>江苏索普工程科技有限公司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6FF8">
    <w:pPr>
      <w:pStyle w:val="11"/>
      <w:jc w:val="center"/>
      <w:rPr>
        <w:rFonts w:hint="default"/>
        <w:highlight w:val="none"/>
        <w:lang w:val="en-US" w:eastAsia="zh-CN"/>
      </w:rPr>
    </w:pPr>
    <w:r>
      <w:rPr>
        <w:rFonts w:hint="eastAsia"/>
        <w:highlight w:val="none"/>
        <w:lang w:val="en-US" w:eastAsia="zh-CN"/>
      </w:rPr>
      <w:t>江苏索普新材料科技有限公司新增储罐项目可行性研究报告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80646">
    <w:pPr>
      <w:pStyle w:val="11"/>
      <w:jc w:val="center"/>
      <w:rPr>
        <w:rFonts w:ascii="宋体" w:cs="宋体"/>
        <w:spacing w:val="-6"/>
        <w:szCs w:val="18"/>
        <w:highlight w:val="none"/>
      </w:rPr>
    </w:pPr>
    <w:r>
      <w:rPr>
        <w:rFonts w:hint="eastAsia"/>
        <w:highlight w:val="none"/>
        <w:lang w:val="en-US" w:eastAsia="zh-CN"/>
      </w:rPr>
      <w:t>江苏索普新材料科技有限公司新增储罐项目可行性研究报告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40C7C3"/>
    <w:multiLevelType w:val="multilevel"/>
    <w:tmpl w:val="E040C7C3"/>
    <w:lvl w:ilvl="0" w:tentative="0">
      <w:start w:val="1"/>
      <w:numFmt w:val="lowerLetter"/>
      <w:lvlText w:val="%1."/>
      <w:lvlJc w:val="left"/>
      <w:pPr>
        <w:ind w:left="425" w:hanging="425"/>
      </w:pPr>
      <w:rPr>
        <w:rFonts w:hint="default" w:cs="Times New Roman"/>
      </w:rPr>
    </w:lvl>
    <w:lvl w:ilvl="1" w:tentative="0">
      <w:start w:val="1"/>
      <w:numFmt w:val="lowerLetter"/>
      <w:lvlText w:val="%2)"/>
      <w:lvlJc w:val="left"/>
      <w:pPr>
        <w:tabs>
          <w:tab w:val="left" w:pos="840"/>
        </w:tabs>
        <w:ind w:left="840" w:hanging="420"/>
      </w:pPr>
      <w:rPr>
        <w:rFonts w:hint="default" w:cs="Times New Roman"/>
      </w:rPr>
    </w:lvl>
    <w:lvl w:ilvl="2" w:tentative="0">
      <w:start w:val="1"/>
      <w:numFmt w:val="lowerRoman"/>
      <w:lvlText w:val="%3."/>
      <w:lvlJc w:val="left"/>
      <w:pPr>
        <w:tabs>
          <w:tab w:val="left" w:pos="1260"/>
        </w:tabs>
        <w:ind w:left="1260" w:hanging="420"/>
      </w:pPr>
      <w:rPr>
        <w:rFonts w:hint="default" w:cs="Times New Roman"/>
      </w:rPr>
    </w:lvl>
    <w:lvl w:ilvl="3" w:tentative="0">
      <w:start w:val="1"/>
      <w:numFmt w:val="decimal"/>
      <w:lvlText w:val="%4."/>
      <w:lvlJc w:val="left"/>
      <w:pPr>
        <w:tabs>
          <w:tab w:val="left" w:pos="1680"/>
        </w:tabs>
        <w:ind w:left="1680" w:hanging="420"/>
      </w:pPr>
      <w:rPr>
        <w:rFonts w:hint="default" w:cs="Times New Roman"/>
      </w:rPr>
    </w:lvl>
    <w:lvl w:ilvl="4" w:tentative="0">
      <w:start w:val="1"/>
      <w:numFmt w:val="lowerLetter"/>
      <w:lvlText w:val="%5)"/>
      <w:lvlJc w:val="left"/>
      <w:pPr>
        <w:tabs>
          <w:tab w:val="left" w:pos="2100"/>
        </w:tabs>
        <w:ind w:left="2100" w:hanging="420"/>
      </w:pPr>
      <w:rPr>
        <w:rFonts w:hint="default" w:cs="Times New Roman"/>
      </w:rPr>
    </w:lvl>
    <w:lvl w:ilvl="5" w:tentative="0">
      <w:start w:val="1"/>
      <w:numFmt w:val="lowerRoman"/>
      <w:lvlText w:val="%6."/>
      <w:lvlJc w:val="left"/>
      <w:pPr>
        <w:tabs>
          <w:tab w:val="left" w:pos="2520"/>
        </w:tabs>
        <w:ind w:left="2520" w:hanging="420"/>
      </w:pPr>
      <w:rPr>
        <w:rFonts w:hint="default" w:cs="Times New Roman"/>
      </w:rPr>
    </w:lvl>
    <w:lvl w:ilvl="6" w:tentative="0">
      <w:start w:val="1"/>
      <w:numFmt w:val="decimal"/>
      <w:lvlText w:val="%7."/>
      <w:lvlJc w:val="left"/>
      <w:pPr>
        <w:tabs>
          <w:tab w:val="left" w:pos="2940"/>
        </w:tabs>
        <w:ind w:left="2940" w:hanging="420"/>
      </w:pPr>
      <w:rPr>
        <w:rFonts w:hint="default" w:cs="Times New Roman"/>
      </w:rPr>
    </w:lvl>
    <w:lvl w:ilvl="7" w:tentative="0">
      <w:start w:val="1"/>
      <w:numFmt w:val="lowerLetter"/>
      <w:lvlText w:val="%8)"/>
      <w:lvlJc w:val="left"/>
      <w:pPr>
        <w:tabs>
          <w:tab w:val="left" w:pos="3360"/>
        </w:tabs>
        <w:ind w:left="3360" w:hanging="420"/>
      </w:pPr>
      <w:rPr>
        <w:rFonts w:hint="default" w:cs="Times New Roman"/>
      </w:rPr>
    </w:lvl>
    <w:lvl w:ilvl="8" w:tentative="0">
      <w:start w:val="1"/>
      <w:numFmt w:val="lowerRoman"/>
      <w:lvlText w:val="%9."/>
      <w:lvlJc w:val="left"/>
      <w:pPr>
        <w:tabs>
          <w:tab w:val="left" w:pos="3780"/>
        </w:tabs>
        <w:ind w:left="3780" w:hanging="420"/>
      </w:pPr>
      <w:rPr>
        <w:rFonts w:hint="default" w:cs="Times New Roman"/>
      </w:rPr>
    </w:lvl>
  </w:abstractNum>
  <w:abstractNum w:abstractNumId="1">
    <w:nsid w:val="EF2043E8"/>
    <w:multiLevelType w:val="singleLevel"/>
    <w:tmpl w:val="EF2043E8"/>
    <w:lvl w:ilvl="0" w:tentative="0">
      <w:start w:val="1"/>
      <w:numFmt w:val="lowerLetter"/>
      <w:suff w:val="nothing"/>
      <w:lvlText w:val="%1　"/>
      <w:lvlJc w:val="left"/>
      <w:pPr>
        <w:ind w:firstLine="403"/>
      </w:pPr>
      <w:rPr>
        <w:rFonts w:hint="default" w:cs="Times New Roman"/>
      </w:rPr>
    </w:lvl>
  </w:abstractNum>
  <w:abstractNum w:abstractNumId="2">
    <w:nsid w:val="00000004"/>
    <w:multiLevelType w:val="multilevel"/>
    <w:tmpl w:val="00000004"/>
    <w:lvl w:ilvl="0" w:tentative="0">
      <w:start w:val="1"/>
      <w:numFmt w:val="decimal"/>
      <w:lvlText w:val="%1"/>
      <w:lvlJc w:val="left"/>
      <w:pPr>
        <w:tabs>
          <w:tab w:val="left" w:pos="0"/>
        </w:tabs>
      </w:pPr>
      <w:rPr>
        <w:rFonts w:hint="eastAsia" w:ascii="黑体" w:hAnsi="黑体" w:eastAsia="黑体" w:cs="Times New Roman"/>
        <w:sz w:val="32"/>
        <w:szCs w:val="32"/>
      </w:rPr>
    </w:lvl>
    <w:lvl w:ilvl="1" w:tentative="0">
      <w:start w:val="1"/>
      <w:numFmt w:val="decimal"/>
      <w:lvlText w:val="%1.%2"/>
      <w:lvlJc w:val="left"/>
      <w:pPr>
        <w:tabs>
          <w:tab w:val="left" w:pos="0"/>
        </w:tabs>
        <w:ind w:firstLine="425"/>
      </w:pPr>
      <w:rPr>
        <w:rFonts w:hint="eastAsia" w:ascii="微软雅黑" w:hAnsi="微软雅黑" w:eastAsia="微软雅黑" w:cs="Times New Roman"/>
      </w:rPr>
    </w:lvl>
    <w:lvl w:ilvl="2" w:tentative="0">
      <w:start w:val="1"/>
      <w:numFmt w:val="decimal"/>
      <w:lvlText w:val="%1.%2.%3"/>
      <w:lvlJc w:val="left"/>
      <w:pPr>
        <w:tabs>
          <w:tab w:val="left" w:pos="0"/>
        </w:tabs>
        <w:ind w:firstLine="425"/>
      </w:pPr>
      <w:rPr>
        <w:rFonts w:hint="eastAsia" w:ascii="微软雅黑" w:hAnsi="微软雅黑" w:eastAsia="微软雅黑" w:cs="Times New Roman"/>
      </w:rPr>
    </w:lvl>
    <w:lvl w:ilvl="3" w:tentative="0">
      <w:start w:val="1"/>
      <w:numFmt w:val="decimal"/>
      <w:lvlText w:val="%1.%2.%3.%4"/>
      <w:lvlJc w:val="left"/>
      <w:pPr>
        <w:tabs>
          <w:tab w:val="left" w:pos="0"/>
        </w:tabs>
        <w:ind w:firstLine="425"/>
      </w:pPr>
      <w:rPr>
        <w:rFonts w:hint="eastAsia" w:ascii="微软雅黑" w:hAnsi="微软雅黑" w:eastAsia="微软雅黑" w:cs="Times New Roman"/>
        <w:sz w:val="24"/>
      </w:rPr>
    </w:lvl>
    <w:lvl w:ilvl="4" w:tentative="0">
      <w:start w:val="1"/>
      <w:numFmt w:val="decimal"/>
      <w:lvlText w:val="%1.%2.%3.%4.%5"/>
      <w:lvlJc w:val="left"/>
      <w:pPr>
        <w:tabs>
          <w:tab w:val="left" w:pos="0"/>
        </w:tabs>
        <w:ind w:left="2551" w:hanging="850"/>
      </w:pPr>
      <w:rPr>
        <w:rFonts w:hint="eastAsia" w:cs="Times New Roman"/>
      </w:rPr>
    </w:lvl>
    <w:lvl w:ilvl="5" w:tentative="0">
      <w:start w:val="1"/>
      <w:numFmt w:val="decimal"/>
      <w:lvlText w:val="%1.%2.%3.%4.%5.%6"/>
      <w:lvlJc w:val="left"/>
      <w:pPr>
        <w:tabs>
          <w:tab w:val="left" w:pos="0"/>
        </w:tabs>
        <w:ind w:left="3260" w:hanging="1134"/>
      </w:pPr>
      <w:rPr>
        <w:rFonts w:hint="eastAsia" w:cs="Times New Roman"/>
      </w:rPr>
    </w:lvl>
    <w:lvl w:ilvl="6" w:tentative="0">
      <w:start w:val="1"/>
      <w:numFmt w:val="decimal"/>
      <w:lvlText w:val="%1.%2.%3.%4.%5.%6.%7"/>
      <w:lvlJc w:val="left"/>
      <w:pPr>
        <w:tabs>
          <w:tab w:val="left" w:pos="0"/>
        </w:tabs>
        <w:ind w:left="3827" w:hanging="1276"/>
      </w:pPr>
      <w:rPr>
        <w:rFonts w:hint="eastAsia" w:cs="Times New Roman"/>
      </w:rPr>
    </w:lvl>
    <w:lvl w:ilvl="7" w:tentative="0">
      <w:start w:val="1"/>
      <w:numFmt w:val="decimal"/>
      <w:lvlText w:val="%1.%2.%3.%4.%5.%6.%7.%8"/>
      <w:lvlJc w:val="left"/>
      <w:pPr>
        <w:tabs>
          <w:tab w:val="left" w:pos="0"/>
        </w:tabs>
        <w:ind w:left="4394" w:hanging="1418"/>
      </w:pPr>
      <w:rPr>
        <w:rFonts w:hint="eastAsia" w:cs="Times New Roman"/>
      </w:rPr>
    </w:lvl>
    <w:lvl w:ilvl="8" w:tentative="0">
      <w:start w:val="1"/>
      <w:numFmt w:val="decimal"/>
      <w:lvlText w:val="%1.%2.%3.%4.%5.%6.%7.%8.%9"/>
      <w:lvlJc w:val="left"/>
      <w:pPr>
        <w:tabs>
          <w:tab w:val="left" w:pos="0"/>
        </w:tabs>
        <w:ind w:left="5102" w:hanging="1700"/>
      </w:pPr>
      <w:rPr>
        <w:rFonts w:hint="eastAsia" w:cs="Times New Roman"/>
      </w:rPr>
    </w:lvl>
  </w:abstractNum>
  <w:abstractNum w:abstractNumId="3">
    <w:nsid w:val="112B54F9"/>
    <w:multiLevelType w:val="multilevel"/>
    <w:tmpl w:val="112B54F9"/>
    <w:lvl w:ilvl="0" w:tentative="0">
      <w:start w:val="1"/>
      <w:numFmt w:val="decimal"/>
      <w:lvlText w:val="%1"/>
      <w:lvlJc w:val="left"/>
      <w:pPr>
        <w:tabs>
          <w:tab w:val="left" w:pos="0"/>
        </w:tabs>
      </w:pPr>
      <w:rPr>
        <w:rFonts w:hint="eastAsia" w:ascii="黑体" w:hAnsi="黑体" w:eastAsia="黑体" w:cs="Times New Roman"/>
        <w:sz w:val="32"/>
        <w:szCs w:val="32"/>
      </w:rPr>
    </w:lvl>
    <w:lvl w:ilvl="1" w:tentative="0">
      <w:start w:val="1"/>
      <w:numFmt w:val="decimal"/>
      <w:lvlText w:val="%1.%2"/>
      <w:lvlJc w:val="left"/>
      <w:pPr>
        <w:tabs>
          <w:tab w:val="left" w:pos="0"/>
        </w:tabs>
        <w:ind w:firstLine="425"/>
      </w:pPr>
      <w:rPr>
        <w:rFonts w:hint="eastAsia" w:ascii="微软雅黑" w:hAnsi="微软雅黑" w:eastAsia="微软雅黑" w:cs="Times New Roman"/>
      </w:rPr>
    </w:lvl>
    <w:lvl w:ilvl="2" w:tentative="0">
      <w:start w:val="1"/>
      <w:numFmt w:val="decimal"/>
      <w:lvlText w:val="%1.%2.%3"/>
      <w:lvlJc w:val="left"/>
      <w:pPr>
        <w:tabs>
          <w:tab w:val="left" w:pos="0"/>
        </w:tabs>
        <w:ind w:firstLine="425"/>
      </w:pPr>
      <w:rPr>
        <w:rFonts w:hint="eastAsia" w:ascii="微软雅黑" w:hAnsi="微软雅黑" w:eastAsia="微软雅黑" w:cs="Times New Roman"/>
      </w:rPr>
    </w:lvl>
    <w:lvl w:ilvl="3" w:tentative="0">
      <w:start w:val="1"/>
      <w:numFmt w:val="decimal"/>
      <w:lvlText w:val="%1.%2.%3.%4"/>
      <w:lvlJc w:val="left"/>
      <w:pPr>
        <w:tabs>
          <w:tab w:val="left" w:pos="0"/>
        </w:tabs>
        <w:ind w:firstLine="425"/>
      </w:pPr>
      <w:rPr>
        <w:rFonts w:hint="eastAsia" w:ascii="微软雅黑" w:hAnsi="微软雅黑" w:eastAsia="微软雅黑" w:cs="Times New Roman"/>
        <w:sz w:val="24"/>
      </w:rPr>
    </w:lvl>
    <w:lvl w:ilvl="4" w:tentative="0">
      <w:start w:val="1"/>
      <w:numFmt w:val="decimal"/>
      <w:lvlText w:val="%1.%2.%3.%4.%5"/>
      <w:lvlJc w:val="left"/>
      <w:pPr>
        <w:tabs>
          <w:tab w:val="left" w:pos="0"/>
        </w:tabs>
        <w:ind w:left="2551" w:hanging="850"/>
      </w:pPr>
      <w:rPr>
        <w:rFonts w:hint="eastAsia" w:cs="Times New Roman"/>
      </w:rPr>
    </w:lvl>
    <w:lvl w:ilvl="5" w:tentative="0">
      <w:start w:val="1"/>
      <w:numFmt w:val="decimal"/>
      <w:lvlText w:val="%1.%2.%3.%4.%5.%6"/>
      <w:lvlJc w:val="left"/>
      <w:pPr>
        <w:tabs>
          <w:tab w:val="left" w:pos="0"/>
        </w:tabs>
        <w:ind w:left="3260" w:hanging="1134"/>
      </w:pPr>
      <w:rPr>
        <w:rFonts w:hint="eastAsia" w:cs="Times New Roman"/>
      </w:rPr>
    </w:lvl>
    <w:lvl w:ilvl="6" w:tentative="0">
      <w:start w:val="1"/>
      <w:numFmt w:val="decimal"/>
      <w:lvlText w:val="%1.%2.%3.%4.%5.%6.%7"/>
      <w:lvlJc w:val="left"/>
      <w:pPr>
        <w:tabs>
          <w:tab w:val="left" w:pos="0"/>
        </w:tabs>
        <w:ind w:left="3827" w:hanging="1276"/>
      </w:pPr>
      <w:rPr>
        <w:rFonts w:hint="eastAsia" w:cs="Times New Roman"/>
      </w:rPr>
    </w:lvl>
    <w:lvl w:ilvl="7" w:tentative="0">
      <w:start w:val="1"/>
      <w:numFmt w:val="decimal"/>
      <w:lvlText w:val="%1.%2.%3.%4.%5.%6.%7.%8"/>
      <w:lvlJc w:val="left"/>
      <w:pPr>
        <w:tabs>
          <w:tab w:val="left" w:pos="0"/>
        </w:tabs>
        <w:ind w:left="4394" w:hanging="1418"/>
      </w:pPr>
      <w:rPr>
        <w:rFonts w:hint="eastAsia" w:cs="Times New Roman"/>
      </w:rPr>
    </w:lvl>
    <w:lvl w:ilvl="8" w:tentative="0">
      <w:start w:val="1"/>
      <w:numFmt w:val="decimal"/>
      <w:lvlText w:val="%1.%2.%3.%4.%5.%6.%7.%8.%9"/>
      <w:lvlJc w:val="left"/>
      <w:pPr>
        <w:tabs>
          <w:tab w:val="left" w:pos="0"/>
        </w:tabs>
        <w:ind w:left="5102" w:hanging="1700"/>
      </w:pPr>
      <w:rPr>
        <w:rFonts w:hint="eastAsia" w:cs="Times New Roman"/>
      </w:rPr>
    </w:lvl>
  </w:abstractNum>
  <w:abstractNum w:abstractNumId="4">
    <w:nsid w:val="49AFAB52"/>
    <w:multiLevelType w:val="singleLevel"/>
    <w:tmpl w:val="49AFAB52"/>
    <w:lvl w:ilvl="0" w:tentative="0">
      <w:start w:val="1"/>
      <w:numFmt w:val="decimal"/>
      <w:suff w:val="nothing"/>
      <w:lvlText w:val="（%1）"/>
      <w:lvlJc w:val="left"/>
    </w:lvl>
  </w:abstractNum>
  <w:abstractNum w:abstractNumId="5">
    <w:nsid w:val="57337D73"/>
    <w:multiLevelType w:val="singleLevel"/>
    <w:tmpl w:val="57337D73"/>
    <w:lvl w:ilvl="0" w:tentative="0">
      <w:start w:val="1"/>
      <w:numFmt w:val="decimal"/>
      <w:lvlText w:val="(%1)"/>
      <w:lvlJc w:val="left"/>
      <w:pPr>
        <w:ind w:left="425" w:hanging="425"/>
      </w:pPr>
      <w:rPr>
        <w:rFonts w:hint="default" w:cs="Times New Roman"/>
      </w:r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OTAwOWI4ZDEyYTBmZjRlOWM3MDIzZWQ0ODY3YmUifQ=="/>
  </w:docVars>
  <w:rsids>
    <w:rsidRoot w:val="36AD508C"/>
    <w:rsid w:val="009E59CF"/>
    <w:rsid w:val="01B91D0C"/>
    <w:rsid w:val="023725BC"/>
    <w:rsid w:val="02B76CAD"/>
    <w:rsid w:val="02D52B76"/>
    <w:rsid w:val="02DB6CD0"/>
    <w:rsid w:val="02F54FC6"/>
    <w:rsid w:val="03655A3E"/>
    <w:rsid w:val="03E47515"/>
    <w:rsid w:val="058A7C48"/>
    <w:rsid w:val="06287461"/>
    <w:rsid w:val="06D7510F"/>
    <w:rsid w:val="0710194F"/>
    <w:rsid w:val="076D5A73"/>
    <w:rsid w:val="07B436A2"/>
    <w:rsid w:val="08BD20E2"/>
    <w:rsid w:val="08DB6A0C"/>
    <w:rsid w:val="09012C87"/>
    <w:rsid w:val="096D2D05"/>
    <w:rsid w:val="097924AD"/>
    <w:rsid w:val="098D41AA"/>
    <w:rsid w:val="09B2776D"/>
    <w:rsid w:val="0A0F4BBF"/>
    <w:rsid w:val="0B584344"/>
    <w:rsid w:val="0B901D30"/>
    <w:rsid w:val="0C252478"/>
    <w:rsid w:val="0D591029"/>
    <w:rsid w:val="0D763340"/>
    <w:rsid w:val="0DB55A7E"/>
    <w:rsid w:val="0DDA54E4"/>
    <w:rsid w:val="0EAA3109"/>
    <w:rsid w:val="0F73799F"/>
    <w:rsid w:val="0FA4224E"/>
    <w:rsid w:val="105A290D"/>
    <w:rsid w:val="115D4462"/>
    <w:rsid w:val="11BF511D"/>
    <w:rsid w:val="12B409FA"/>
    <w:rsid w:val="12F11306"/>
    <w:rsid w:val="15696793"/>
    <w:rsid w:val="15C50828"/>
    <w:rsid w:val="15F27379"/>
    <w:rsid w:val="17012110"/>
    <w:rsid w:val="17571954"/>
    <w:rsid w:val="17AB69E5"/>
    <w:rsid w:val="19393A07"/>
    <w:rsid w:val="193E2DCB"/>
    <w:rsid w:val="194F6D87"/>
    <w:rsid w:val="19940C3D"/>
    <w:rsid w:val="1A580458"/>
    <w:rsid w:val="1B171BDB"/>
    <w:rsid w:val="1B93683E"/>
    <w:rsid w:val="1C353D8C"/>
    <w:rsid w:val="1C4306F9"/>
    <w:rsid w:val="1C9630A4"/>
    <w:rsid w:val="1CEE6A7A"/>
    <w:rsid w:val="1D306ECF"/>
    <w:rsid w:val="1EAC0D7B"/>
    <w:rsid w:val="1F443106"/>
    <w:rsid w:val="1F5B7F6C"/>
    <w:rsid w:val="1FF40688"/>
    <w:rsid w:val="203A4DCA"/>
    <w:rsid w:val="20E24FCC"/>
    <w:rsid w:val="22363322"/>
    <w:rsid w:val="2369138D"/>
    <w:rsid w:val="23BC14BC"/>
    <w:rsid w:val="23BC770E"/>
    <w:rsid w:val="24194B61"/>
    <w:rsid w:val="24B05A97"/>
    <w:rsid w:val="24FF6CC4"/>
    <w:rsid w:val="255D363B"/>
    <w:rsid w:val="25C62F2A"/>
    <w:rsid w:val="26E56F7C"/>
    <w:rsid w:val="27854629"/>
    <w:rsid w:val="28125B4F"/>
    <w:rsid w:val="28304227"/>
    <w:rsid w:val="28905912"/>
    <w:rsid w:val="2903193C"/>
    <w:rsid w:val="293E0BC6"/>
    <w:rsid w:val="299810D6"/>
    <w:rsid w:val="29B62EF4"/>
    <w:rsid w:val="29E53858"/>
    <w:rsid w:val="2A2B429D"/>
    <w:rsid w:val="2B4104F9"/>
    <w:rsid w:val="2C194F20"/>
    <w:rsid w:val="2C275941"/>
    <w:rsid w:val="2C2E3173"/>
    <w:rsid w:val="2C5129BE"/>
    <w:rsid w:val="2C5A3F68"/>
    <w:rsid w:val="2CC413E2"/>
    <w:rsid w:val="2CFB648A"/>
    <w:rsid w:val="2D594220"/>
    <w:rsid w:val="2DE97352"/>
    <w:rsid w:val="2E4834CF"/>
    <w:rsid w:val="2EE31FF3"/>
    <w:rsid w:val="30352AEF"/>
    <w:rsid w:val="30711F3A"/>
    <w:rsid w:val="308C2216"/>
    <w:rsid w:val="3095556F"/>
    <w:rsid w:val="30C220DC"/>
    <w:rsid w:val="31E71DFA"/>
    <w:rsid w:val="32081D71"/>
    <w:rsid w:val="32E005D2"/>
    <w:rsid w:val="33900270"/>
    <w:rsid w:val="33BA52ED"/>
    <w:rsid w:val="33C34D91"/>
    <w:rsid w:val="344C23E9"/>
    <w:rsid w:val="34B32468"/>
    <w:rsid w:val="35EF127D"/>
    <w:rsid w:val="36910587"/>
    <w:rsid w:val="36AD508C"/>
    <w:rsid w:val="36D668E1"/>
    <w:rsid w:val="376B702A"/>
    <w:rsid w:val="37A367C3"/>
    <w:rsid w:val="37C8622A"/>
    <w:rsid w:val="38547ABE"/>
    <w:rsid w:val="38DF5E2F"/>
    <w:rsid w:val="39E76710"/>
    <w:rsid w:val="3B133C60"/>
    <w:rsid w:val="3B2F70DA"/>
    <w:rsid w:val="3C410359"/>
    <w:rsid w:val="3C8666B4"/>
    <w:rsid w:val="3D2C2DB7"/>
    <w:rsid w:val="3D714C6E"/>
    <w:rsid w:val="3EE75BFC"/>
    <w:rsid w:val="405368AD"/>
    <w:rsid w:val="407927B7"/>
    <w:rsid w:val="409B0603"/>
    <w:rsid w:val="417D0085"/>
    <w:rsid w:val="427B0293"/>
    <w:rsid w:val="43301127"/>
    <w:rsid w:val="433C7ACC"/>
    <w:rsid w:val="44A91191"/>
    <w:rsid w:val="47486A40"/>
    <w:rsid w:val="47905A6E"/>
    <w:rsid w:val="47DB78B4"/>
    <w:rsid w:val="480706A9"/>
    <w:rsid w:val="48C20A74"/>
    <w:rsid w:val="49417BA0"/>
    <w:rsid w:val="49C64593"/>
    <w:rsid w:val="49F16AFB"/>
    <w:rsid w:val="4A203CA4"/>
    <w:rsid w:val="4A275032"/>
    <w:rsid w:val="4A5120AF"/>
    <w:rsid w:val="4A621E0D"/>
    <w:rsid w:val="4B3D6AD7"/>
    <w:rsid w:val="4B4F76A7"/>
    <w:rsid w:val="4B83273C"/>
    <w:rsid w:val="4B8A012B"/>
    <w:rsid w:val="4BCD7E5B"/>
    <w:rsid w:val="4BEF1B80"/>
    <w:rsid w:val="4CD945DE"/>
    <w:rsid w:val="4E151983"/>
    <w:rsid w:val="4E395BB4"/>
    <w:rsid w:val="4ECD1F20"/>
    <w:rsid w:val="52BE22AC"/>
    <w:rsid w:val="5531145B"/>
    <w:rsid w:val="55546EF7"/>
    <w:rsid w:val="55B6370E"/>
    <w:rsid w:val="55F06C20"/>
    <w:rsid w:val="56854CB5"/>
    <w:rsid w:val="56B37C4E"/>
    <w:rsid w:val="57A44166"/>
    <w:rsid w:val="5847689F"/>
    <w:rsid w:val="590649AC"/>
    <w:rsid w:val="591438A3"/>
    <w:rsid w:val="5A584D94"/>
    <w:rsid w:val="5AB75F5E"/>
    <w:rsid w:val="5B37237F"/>
    <w:rsid w:val="5C5617A7"/>
    <w:rsid w:val="5C5679F9"/>
    <w:rsid w:val="5CA51B5D"/>
    <w:rsid w:val="5D3E2967"/>
    <w:rsid w:val="5E3D6F4B"/>
    <w:rsid w:val="5EB10F16"/>
    <w:rsid w:val="5ECC3FA2"/>
    <w:rsid w:val="5F132B6E"/>
    <w:rsid w:val="5F351B48"/>
    <w:rsid w:val="5FF87482"/>
    <w:rsid w:val="600215CD"/>
    <w:rsid w:val="60116111"/>
    <w:rsid w:val="605F3F2D"/>
    <w:rsid w:val="60E21846"/>
    <w:rsid w:val="619F68A3"/>
    <w:rsid w:val="61DE0274"/>
    <w:rsid w:val="6292105F"/>
    <w:rsid w:val="62CB74E3"/>
    <w:rsid w:val="62E93375"/>
    <w:rsid w:val="62F92E8C"/>
    <w:rsid w:val="635E5215"/>
    <w:rsid w:val="6363169C"/>
    <w:rsid w:val="64AD2180"/>
    <w:rsid w:val="65A74E21"/>
    <w:rsid w:val="670E2D2E"/>
    <w:rsid w:val="6B256F14"/>
    <w:rsid w:val="6B301415"/>
    <w:rsid w:val="6BB36D47"/>
    <w:rsid w:val="6BB43DF4"/>
    <w:rsid w:val="6C4B29AA"/>
    <w:rsid w:val="6D3F614A"/>
    <w:rsid w:val="6DB4457F"/>
    <w:rsid w:val="6E5A0C83"/>
    <w:rsid w:val="6EA463A2"/>
    <w:rsid w:val="6EBC053F"/>
    <w:rsid w:val="6FFC318A"/>
    <w:rsid w:val="7023779A"/>
    <w:rsid w:val="70DD3DED"/>
    <w:rsid w:val="72141A90"/>
    <w:rsid w:val="7275252F"/>
    <w:rsid w:val="734D7008"/>
    <w:rsid w:val="7352461E"/>
    <w:rsid w:val="736D1458"/>
    <w:rsid w:val="7386708A"/>
    <w:rsid w:val="73DB0AB8"/>
    <w:rsid w:val="758F4CC3"/>
    <w:rsid w:val="75A1188D"/>
    <w:rsid w:val="763149BF"/>
    <w:rsid w:val="76A604D9"/>
    <w:rsid w:val="770B16B4"/>
    <w:rsid w:val="77752FD1"/>
    <w:rsid w:val="78120820"/>
    <w:rsid w:val="79786DA9"/>
    <w:rsid w:val="7AE53FCA"/>
    <w:rsid w:val="7B0678EE"/>
    <w:rsid w:val="7D292894"/>
    <w:rsid w:val="7D511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8"/>
    <w:qFormat/>
    <w:uiPriority w:val="0"/>
    <w:pPr>
      <w:keepNext/>
      <w:adjustRightInd w:val="0"/>
      <w:snapToGrid w:val="0"/>
      <w:spacing w:before="156" w:beforeLines="50" w:after="156" w:afterLines="50"/>
      <w:jc w:val="left"/>
      <w:outlineLvl w:val="0"/>
    </w:pPr>
    <w:rPr>
      <w:rFonts w:ascii="黑体" w:hAnsi="Arial" w:eastAsia="黑体"/>
      <w:bCs/>
      <w:kern w:val="44"/>
      <w:sz w:val="28"/>
      <w:szCs w:val="28"/>
    </w:rPr>
  </w:style>
  <w:style w:type="paragraph" w:styleId="5">
    <w:name w:val="heading 2"/>
    <w:basedOn w:val="1"/>
    <w:next w:val="1"/>
    <w:qFormat/>
    <w:uiPriority w:val="0"/>
    <w:pPr>
      <w:keepNext/>
      <w:keepLines/>
      <w:spacing w:line="413" w:lineRule="auto"/>
      <w:outlineLvl w:val="1"/>
    </w:pPr>
    <w:rPr>
      <w:rFonts w:ascii="Arial" w:hAnsi="Arial" w:eastAsia="黑体"/>
      <w:b/>
      <w:sz w:val="32"/>
    </w:rPr>
  </w:style>
  <w:style w:type="paragraph" w:styleId="6">
    <w:name w:val="heading 3"/>
    <w:basedOn w:val="1"/>
    <w:next w:val="1"/>
    <w:qFormat/>
    <w:uiPriority w:val="0"/>
    <w:pPr>
      <w:keepNext/>
      <w:keepLines/>
      <w:spacing w:line="413" w:lineRule="auto"/>
      <w:outlineLvl w:val="2"/>
    </w:pPr>
    <w:rPr>
      <w:b/>
      <w:sz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样式 正文缩进正文（首行缩进两字） + 宋体 行距: 1.5 倍行距"/>
    <w:basedOn w:val="3"/>
    <w:autoRedefine/>
    <w:qFormat/>
    <w:uiPriority w:val="0"/>
    <w:pPr>
      <w:tabs>
        <w:tab w:val="left" w:pos="2730"/>
      </w:tabs>
      <w:adjustRightInd w:val="0"/>
      <w:snapToGrid w:val="0"/>
      <w:spacing w:line="300" w:lineRule="auto"/>
      <w:ind w:firstLine="482"/>
      <w:jc w:val="left"/>
      <w:textAlignment w:val="baseline"/>
    </w:pPr>
    <w:rPr>
      <w:rFonts w:eastAsia="幼圆"/>
    </w:rPr>
  </w:style>
  <w:style w:type="paragraph" w:styleId="3">
    <w:name w:val="Normal Indent"/>
    <w:basedOn w:val="1"/>
    <w:qFormat/>
    <w:uiPriority w:val="0"/>
    <w:pPr>
      <w:spacing w:line="400" w:lineRule="atLeast"/>
      <w:ind w:firstLine="420"/>
    </w:pPr>
    <w:rPr>
      <w:rFonts w:ascii="宋体"/>
      <w:sz w:val="24"/>
    </w:rPr>
  </w:style>
  <w:style w:type="paragraph" w:styleId="7">
    <w:name w:val="annotation text"/>
    <w:basedOn w:val="1"/>
    <w:qFormat/>
    <w:uiPriority w:val="0"/>
    <w:pPr>
      <w:jc w:val="left"/>
    </w:pPr>
  </w:style>
  <w:style w:type="paragraph" w:styleId="8">
    <w:name w:val="Body Text"/>
    <w:basedOn w:val="1"/>
    <w:qFormat/>
    <w:uiPriority w:val="0"/>
    <w:pPr>
      <w:jc w:val="center"/>
    </w:pPr>
    <w:rPr>
      <w:b/>
      <w:bCs/>
      <w:sz w:val="18"/>
      <w:szCs w:val="18"/>
    </w:rPr>
  </w:style>
  <w:style w:type="paragraph" w:styleId="9">
    <w:name w:val="Body Text Indent 2"/>
    <w:basedOn w:val="1"/>
    <w:qFormat/>
    <w:uiPriority w:val="99"/>
    <w:pPr>
      <w:spacing w:line="520" w:lineRule="atLeast"/>
      <w:ind w:firstLine="480" w:firstLineChars="200"/>
    </w:pPr>
    <w:rPr>
      <w:color w:val="FF6600"/>
      <w:sz w:val="24"/>
      <w:szCs w:val="24"/>
    </w:r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Title"/>
    <w:basedOn w:val="1"/>
    <w:qFormat/>
    <w:uiPriority w:val="99"/>
    <w:pPr>
      <w:spacing w:before="240" w:after="60"/>
      <w:jc w:val="center"/>
      <w:outlineLvl w:val="0"/>
    </w:pPr>
    <w:rPr>
      <w:rFonts w:ascii="Arial" w:hAnsi="Arial"/>
      <w:b/>
      <w:sz w:val="32"/>
    </w:rPr>
  </w:style>
  <w:style w:type="paragraph" w:customStyle="1" w:styleId="17">
    <w:name w:val="WPSOffice手动目录 1"/>
    <w:autoRedefine/>
    <w:qFormat/>
    <w:uiPriority w:val="0"/>
    <w:rPr>
      <w:rFonts w:asciiTheme="minorHAnsi" w:hAnsiTheme="minorHAnsi" w:eastAsiaTheme="minorEastAsia" w:cstheme="minorBidi"/>
      <w:lang w:val="en-US" w:eastAsia="zh-CN" w:bidi="ar-SA"/>
    </w:rPr>
  </w:style>
  <w:style w:type="paragraph" w:customStyle="1" w:styleId="18">
    <w:name w:val="章"/>
    <w:basedOn w:val="1"/>
    <w:autoRedefine/>
    <w:qFormat/>
    <w:uiPriority w:val="0"/>
    <w:pPr>
      <w:spacing w:before="156" w:beforeLines="50" w:after="156" w:afterLines="50" w:line="600" w:lineRule="exact"/>
      <w:ind w:firstLine="200" w:firstLineChars="200"/>
      <w:jc w:val="center"/>
      <w:outlineLvl w:val="0"/>
    </w:pPr>
    <w:rPr>
      <w:rFonts w:ascii="宋体" w:hAnsi="宋体"/>
      <w:b/>
      <w:bCs/>
      <w:kern w:val="0"/>
      <w:sz w:val="32"/>
      <w:szCs w:val="28"/>
    </w:rPr>
  </w:style>
  <w:style w:type="paragraph" w:customStyle="1" w:styleId="19">
    <w:name w:val="1.1"/>
    <w:basedOn w:val="4"/>
    <w:autoRedefine/>
    <w:qFormat/>
    <w:uiPriority w:val="0"/>
    <w:pPr>
      <w:outlineLvl w:val="1"/>
    </w:pPr>
    <w:rPr>
      <w:rFonts w:ascii="宋体" w:hAnsi="宋体" w:eastAsia="宋体"/>
      <w:b/>
      <w:bCs w:val="0"/>
      <w:kern w:val="0"/>
      <w:sz w:val="24"/>
      <w:szCs w:val="20"/>
    </w:rPr>
  </w:style>
  <w:style w:type="paragraph" w:customStyle="1" w:styleId="20">
    <w:name w:val="缩进正文"/>
    <w:basedOn w:val="1"/>
    <w:autoRedefine/>
    <w:qFormat/>
    <w:uiPriority w:val="0"/>
    <w:pPr>
      <w:adjustRightInd w:val="0"/>
      <w:snapToGrid w:val="0"/>
      <w:spacing w:line="360" w:lineRule="auto"/>
      <w:ind w:firstLine="640" w:firstLineChars="200"/>
    </w:pPr>
  </w:style>
  <w:style w:type="paragraph" w:customStyle="1" w:styleId="21">
    <w:name w:val="列出段落1"/>
    <w:basedOn w:val="1"/>
    <w:autoRedefine/>
    <w:qFormat/>
    <w:uiPriority w:val="99"/>
    <w:pPr>
      <w:ind w:firstLine="200" w:firstLineChars="200"/>
    </w:pPr>
  </w:style>
  <w:style w:type="paragraph" w:customStyle="1" w:styleId="22">
    <w:name w:val="正文小"/>
    <w:basedOn w:val="9"/>
    <w:autoRedefine/>
    <w:qFormat/>
    <w:uiPriority w:val="99"/>
    <w:pPr>
      <w:adjustRightInd w:val="0"/>
      <w:snapToGrid w:val="0"/>
      <w:ind w:firstLine="567"/>
    </w:pPr>
    <w:rPr>
      <w:lang w:eastAsia="ja-JP"/>
    </w:rPr>
  </w:style>
  <w:style w:type="paragraph" w:customStyle="1" w:styleId="23">
    <w:name w:val="表格"/>
    <w:basedOn w:val="1"/>
    <w:autoRedefine/>
    <w:qFormat/>
    <w:uiPriority w:val="99"/>
    <w:pPr>
      <w:suppressAutoHyphens/>
      <w:snapToGrid w:val="0"/>
      <w:jc w:val="center"/>
    </w:pPr>
    <w:rPr>
      <w:kern w:val="0"/>
      <w:szCs w:val="28"/>
    </w:rPr>
  </w:style>
  <w:style w:type="paragraph" w:customStyle="1" w:styleId="24">
    <w:name w:val="可研正文1"/>
    <w:basedOn w:val="1"/>
    <w:next w:val="1"/>
    <w:autoRedefine/>
    <w:qFormat/>
    <w:uiPriority w:val="99"/>
    <w:pPr>
      <w:spacing w:line="360" w:lineRule="auto"/>
      <w:ind w:firstLine="856" w:firstLineChars="200"/>
      <w:jc w:val="left"/>
    </w:pPr>
    <w:rPr>
      <w:kern w:val="0"/>
      <w:szCs w:val="20"/>
    </w:rPr>
  </w:style>
  <w:style w:type="paragraph" w:customStyle="1" w:styleId="25">
    <w:name w:val="款1.1.1"/>
    <w:basedOn w:val="14"/>
    <w:next w:val="1"/>
    <w:autoRedefine/>
    <w:qFormat/>
    <w:uiPriority w:val="99"/>
    <w:pPr>
      <w:spacing w:before="120" w:after="120"/>
      <w:jc w:val="left"/>
      <w:outlineLvl w:val="2"/>
    </w:pPr>
    <w:rPr>
      <w:rFonts w:ascii="Times New Roman" w:hAnsi="Times New Roman"/>
      <w:b w:val="0"/>
      <w:sz w:val="24"/>
    </w:rPr>
  </w:style>
  <w:style w:type="character" w:customStyle="1" w:styleId="26">
    <w:name w:val="节"/>
    <w:qFormat/>
    <w:uiPriority w:val="99"/>
    <w:rPr>
      <w:rFonts w:ascii="Arial" w:hAnsi="Arial" w:eastAsia="黑体"/>
      <w:sz w:val="24"/>
    </w:rPr>
  </w:style>
  <w:style w:type="paragraph" w:customStyle="1" w:styleId="27">
    <w:name w:val="表格1"/>
    <w:basedOn w:val="1"/>
    <w:next w:val="1"/>
    <w:autoRedefine/>
    <w:qFormat/>
    <w:uiPriority w:val="99"/>
    <w:pPr>
      <w:autoSpaceDE w:val="0"/>
      <w:autoSpaceDN w:val="0"/>
      <w:adjustRightInd w:val="0"/>
      <w:jc w:val="left"/>
    </w:pPr>
    <w:rPr>
      <w:rFonts w:ascii="宋体"/>
      <w:kern w:val="0"/>
      <w:sz w:val="24"/>
      <w:szCs w:val="20"/>
    </w:rPr>
  </w:style>
  <w:style w:type="character" w:customStyle="1" w:styleId="28">
    <w:name w:val="标题 1 Char"/>
    <w:link w:val="4"/>
    <w:qFormat/>
    <w:uiPriority w:val="0"/>
    <w:rPr>
      <w:rFonts w:ascii="黑体" w:hAnsi="Arial" w:eastAsia="黑体"/>
      <w:bCs/>
      <w:kern w:val="44"/>
      <w:sz w:val="28"/>
      <w:szCs w:val="28"/>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25535</Words>
  <Characters>28912</Characters>
  <Lines>0</Lines>
  <Paragraphs>0</Paragraphs>
  <TotalTime>8</TotalTime>
  <ScaleCrop>false</ScaleCrop>
  <LinksUpToDate>false</LinksUpToDate>
  <CharactersWithSpaces>30555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2024-07-29T01:15:00Z</dcterms:created>
  <dc:creator>O K</dc:creator>
  <cp:lastModifiedBy>O K</cp:lastModifiedBy>
  <dcterms:modified xsi:type="dcterms:W3CDTF">2024-09-14T01:54:00Z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FD958E9D3E274AE6B6A6FC43B0C79638_13</vt:lpwstr>
  </property>
</Properties>
</file>