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CF6D6">
      <w:pPr>
        <w:adjustRightInd w:val="0"/>
        <w:snapToGrid w:val="0"/>
        <w:jc w:val="center"/>
        <w:rPr>
          <w:rFonts w:hint="eastAsia" w:ascii="方正小标宋简体" w:hAnsi="方正小标宋简体" w:eastAsia="方正小标宋简体" w:cs="方正小标宋简体"/>
          <w:bCs/>
          <w:kern w:val="1"/>
          <w:sz w:val="44"/>
          <w:szCs w:val="44"/>
        </w:rPr>
      </w:pPr>
      <w:r>
        <w:rPr>
          <w:rFonts w:hint="eastAsia" w:ascii="方正小标宋简体" w:hAnsi="方正小标宋简体" w:eastAsia="方正小标宋简体" w:cs="方正小标宋简体"/>
          <w:bCs/>
          <w:kern w:val="1"/>
          <w:sz w:val="44"/>
          <w:szCs w:val="44"/>
        </w:rPr>
        <w:t>江苏索普赛瑞装备制造有限公司</w:t>
      </w:r>
    </w:p>
    <w:p w14:paraId="629B8EA2">
      <w:pPr>
        <w:adjustRightInd w:val="0"/>
        <w:snapToGrid w:val="0"/>
        <w:jc w:val="center"/>
        <w:rPr>
          <w:rFonts w:hint="eastAsia" w:ascii="方正小标宋简体" w:hAnsi="方正小标宋简体" w:eastAsia="方正小标宋简体" w:cs="方正小标宋简体"/>
          <w:bCs/>
          <w:kern w:val="1"/>
          <w:sz w:val="44"/>
          <w:szCs w:val="44"/>
        </w:rPr>
      </w:pPr>
      <w:r>
        <w:rPr>
          <w:rFonts w:hint="eastAsia" w:ascii="方正小标宋简体" w:hAnsi="方正小标宋简体" w:eastAsia="方正小标宋简体" w:cs="方正小标宋简体"/>
          <w:bCs/>
          <w:kern w:val="1"/>
          <w:sz w:val="44"/>
          <w:szCs w:val="44"/>
          <w:lang w:val="en-US" w:eastAsia="zh-CN"/>
        </w:rPr>
        <w:t>年度</w:t>
      </w:r>
      <w:r>
        <w:rPr>
          <w:rFonts w:hint="eastAsia" w:ascii="方正小标宋简体" w:hAnsi="方正小标宋简体" w:eastAsia="方正小标宋简体" w:cs="方正小标宋简体"/>
          <w:bCs/>
          <w:kern w:val="1"/>
          <w:sz w:val="44"/>
          <w:szCs w:val="44"/>
        </w:rPr>
        <w:t>职业危害因素检测</w:t>
      </w:r>
      <w:r>
        <w:rPr>
          <w:rFonts w:hint="eastAsia" w:ascii="方正小标宋简体" w:hAnsi="方正小标宋简体" w:eastAsia="方正小标宋简体" w:cs="方正小标宋简体"/>
          <w:bCs/>
          <w:kern w:val="1"/>
          <w:sz w:val="44"/>
          <w:szCs w:val="44"/>
          <w:lang w:val="en-US" w:eastAsia="zh-CN"/>
        </w:rPr>
        <w:t>采购</w:t>
      </w:r>
      <w:r>
        <w:rPr>
          <w:rFonts w:hint="eastAsia" w:ascii="方正小标宋简体" w:hAnsi="方正小标宋简体" w:eastAsia="方正小标宋简体" w:cs="方正小标宋简体"/>
          <w:bCs/>
          <w:kern w:val="1"/>
          <w:sz w:val="44"/>
          <w:szCs w:val="44"/>
        </w:rPr>
        <w:t>文件</w:t>
      </w:r>
    </w:p>
    <w:p w14:paraId="5638DEC5">
      <w:pPr>
        <w:adjustRightInd w:val="0"/>
        <w:snapToGrid w:val="0"/>
        <w:spacing w:line="360" w:lineRule="auto"/>
        <w:ind w:firstLine="600" w:firstLineChars="200"/>
        <w:jc w:val="left"/>
        <w:rPr>
          <w:rFonts w:hint="eastAsia" w:ascii="仿宋" w:hAnsi="仿宋" w:eastAsia="仿宋" w:cs="仿宋"/>
          <w:bCs/>
          <w:sz w:val="30"/>
          <w:szCs w:val="30"/>
        </w:rPr>
      </w:pPr>
    </w:p>
    <w:p w14:paraId="019E8959">
      <w:pPr>
        <w:adjustRightInd w:val="0"/>
        <w:snapToGrid w:val="0"/>
        <w:spacing w:line="360" w:lineRule="auto"/>
        <w:ind w:firstLine="600" w:firstLineChars="200"/>
        <w:jc w:val="left"/>
        <w:rPr>
          <w:rFonts w:hint="eastAsia" w:ascii="仿宋" w:hAnsi="仿宋" w:eastAsia="仿宋" w:cs="仿宋"/>
          <w:bCs/>
          <w:sz w:val="30"/>
          <w:szCs w:val="30"/>
        </w:rPr>
      </w:pPr>
      <w:r>
        <w:rPr>
          <w:rFonts w:hint="eastAsia" w:ascii="仿宋" w:hAnsi="仿宋" w:eastAsia="仿宋" w:cs="仿宋"/>
          <w:bCs/>
          <w:sz w:val="30"/>
          <w:szCs w:val="30"/>
        </w:rPr>
        <w:t>我公司现需</w:t>
      </w:r>
      <w:r>
        <w:rPr>
          <w:rFonts w:hint="eastAsia" w:ascii="仿宋" w:hAnsi="仿宋" w:eastAsia="仿宋" w:cs="仿宋"/>
          <w:bCs/>
          <w:sz w:val="30"/>
          <w:szCs w:val="30"/>
          <w:lang w:val="en-US" w:eastAsia="zh-CN"/>
        </w:rPr>
        <w:t>采购年度</w:t>
      </w:r>
      <w:r>
        <w:rPr>
          <w:rFonts w:hint="eastAsia" w:ascii="仿宋" w:hAnsi="仿宋" w:eastAsia="仿宋" w:cs="仿宋"/>
          <w:bCs/>
          <w:sz w:val="30"/>
          <w:szCs w:val="30"/>
        </w:rPr>
        <w:t>职业危害因素检测（长约1年），采用自主公开</w:t>
      </w:r>
      <w:r>
        <w:rPr>
          <w:rFonts w:hint="eastAsia" w:ascii="仿宋" w:hAnsi="仿宋" w:eastAsia="仿宋" w:cs="仿宋"/>
          <w:bCs/>
          <w:sz w:val="30"/>
          <w:szCs w:val="30"/>
          <w:lang w:val="en-US" w:eastAsia="zh-CN"/>
        </w:rPr>
        <w:t>采购</w:t>
      </w:r>
      <w:r>
        <w:rPr>
          <w:rFonts w:hint="eastAsia" w:ascii="仿宋" w:hAnsi="仿宋" w:eastAsia="仿宋" w:cs="仿宋"/>
          <w:bCs/>
          <w:sz w:val="30"/>
          <w:szCs w:val="30"/>
        </w:rPr>
        <w:t>的方式选定供应商，特邀请贵单位参与报价。</w:t>
      </w:r>
    </w:p>
    <w:p w14:paraId="07284C3E">
      <w:pPr>
        <w:adjustRightInd w:val="0"/>
        <w:snapToGrid w:val="0"/>
        <w:spacing w:line="600" w:lineRule="exact"/>
        <w:jc w:val="left"/>
        <w:rPr>
          <w:rFonts w:hint="eastAsia" w:ascii="仿宋" w:hAnsi="仿宋" w:eastAsia="仿宋" w:cs="仿宋"/>
          <w:bCs/>
          <w:sz w:val="30"/>
          <w:szCs w:val="30"/>
        </w:rPr>
      </w:pPr>
      <w:r>
        <w:rPr>
          <w:rFonts w:hint="eastAsia" w:ascii="仿宋" w:hAnsi="仿宋" w:eastAsia="仿宋" w:cs="仿宋"/>
          <w:b/>
          <w:sz w:val="30"/>
          <w:szCs w:val="30"/>
        </w:rPr>
        <w:t>一、</w:t>
      </w:r>
      <w:r>
        <w:rPr>
          <w:rFonts w:hint="eastAsia" w:ascii="仿宋" w:hAnsi="仿宋" w:eastAsia="仿宋" w:cs="仿宋"/>
          <w:b/>
          <w:sz w:val="30"/>
          <w:szCs w:val="30"/>
          <w:lang w:val="en-US" w:eastAsia="zh-CN"/>
        </w:rPr>
        <w:t>采购</w:t>
      </w:r>
      <w:r>
        <w:rPr>
          <w:rFonts w:hint="eastAsia" w:ascii="仿宋" w:hAnsi="仿宋" w:eastAsia="仿宋" w:cs="仿宋"/>
          <w:b/>
          <w:sz w:val="30"/>
          <w:szCs w:val="30"/>
        </w:rPr>
        <w:t>概况：</w:t>
      </w:r>
    </w:p>
    <w:p w14:paraId="7A42FAC9">
      <w:pPr>
        <w:adjustRightInd w:val="0"/>
        <w:snapToGrid w:val="0"/>
        <w:spacing w:line="600" w:lineRule="exact"/>
        <w:ind w:firstLine="600" w:firstLineChars="200"/>
        <w:rPr>
          <w:rFonts w:hint="eastAsia" w:ascii="仿宋" w:hAnsi="仿宋" w:eastAsia="仿宋" w:cs="仿宋"/>
          <w:bCs/>
          <w:sz w:val="30"/>
          <w:szCs w:val="30"/>
        </w:rPr>
      </w:pPr>
      <w:r>
        <w:rPr>
          <w:rFonts w:hint="eastAsia" w:ascii="仿宋" w:hAnsi="仿宋" w:eastAsia="仿宋" w:cs="仿宋"/>
          <w:bCs/>
          <w:kern w:val="1"/>
          <w:sz w:val="30"/>
          <w:szCs w:val="30"/>
        </w:rPr>
        <w:t>（一）</w:t>
      </w:r>
      <w:r>
        <w:rPr>
          <w:rFonts w:hint="eastAsia" w:ascii="仿宋" w:hAnsi="仿宋" w:eastAsia="仿宋" w:cs="仿宋"/>
          <w:bCs/>
          <w:sz w:val="30"/>
          <w:szCs w:val="30"/>
        </w:rPr>
        <w:t>项目名称：</w:t>
      </w:r>
      <w:r>
        <w:rPr>
          <w:rFonts w:hint="eastAsia" w:ascii="仿宋" w:hAnsi="仿宋" w:eastAsia="仿宋" w:cs="仿宋"/>
          <w:bCs/>
          <w:color w:val="auto"/>
          <w:sz w:val="30"/>
          <w:szCs w:val="30"/>
          <w:u w:val="single"/>
        </w:rPr>
        <w:t>江苏索普赛瑞装备制造有限公司</w:t>
      </w:r>
      <w:r>
        <w:rPr>
          <w:rFonts w:hint="eastAsia" w:ascii="仿宋" w:hAnsi="仿宋" w:eastAsia="仿宋" w:cs="仿宋"/>
          <w:bCs/>
          <w:color w:val="auto"/>
          <w:sz w:val="30"/>
          <w:szCs w:val="30"/>
          <w:u w:val="single"/>
          <w:lang w:val="en-US" w:eastAsia="zh-CN"/>
        </w:rPr>
        <w:t>年度</w:t>
      </w:r>
      <w:r>
        <w:rPr>
          <w:rFonts w:hint="eastAsia" w:ascii="仿宋" w:hAnsi="仿宋" w:eastAsia="仿宋" w:cs="仿宋"/>
          <w:bCs/>
          <w:sz w:val="30"/>
          <w:szCs w:val="30"/>
          <w:u w:val="single"/>
        </w:rPr>
        <w:t>职业危害因素检测</w:t>
      </w:r>
      <w:r>
        <w:rPr>
          <w:rFonts w:hint="eastAsia" w:ascii="仿宋" w:hAnsi="仿宋" w:eastAsia="仿宋" w:cs="仿宋"/>
          <w:bCs/>
          <w:sz w:val="30"/>
          <w:szCs w:val="30"/>
        </w:rPr>
        <w:t>；</w:t>
      </w:r>
    </w:p>
    <w:p w14:paraId="45261CD2">
      <w:pPr>
        <w:adjustRightInd w:val="0"/>
        <w:snapToGrid w:val="0"/>
        <w:spacing w:line="600" w:lineRule="exact"/>
        <w:ind w:firstLine="579" w:firstLineChars="193"/>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（二）</w:t>
      </w:r>
      <w:r>
        <w:rPr>
          <w:rFonts w:hint="eastAsia" w:ascii="仿宋" w:hAnsi="仿宋" w:eastAsia="仿宋" w:cs="仿宋"/>
          <w:bCs/>
          <w:color w:val="auto"/>
          <w:sz w:val="30"/>
          <w:szCs w:val="30"/>
        </w:rPr>
        <w:t>交货时间：</w:t>
      </w:r>
      <w:r>
        <w:rPr>
          <w:rFonts w:hint="eastAsia" w:ascii="仿宋" w:hAnsi="仿宋" w:eastAsia="仿宋" w:cs="仿宋"/>
          <w:bCs/>
          <w:i w:val="0"/>
          <w:iCs w:val="0"/>
          <w:color w:val="auto"/>
          <w:sz w:val="30"/>
          <w:szCs w:val="30"/>
          <w:u w:val="single"/>
        </w:rPr>
        <w:t xml:space="preserve"> 2024年</w:t>
      </w:r>
      <w:r>
        <w:rPr>
          <w:rFonts w:hint="eastAsia" w:ascii="仿宋" w:hAnsi="仿宋" w:eastAsia="仿宋" w:cs="仿宋"/>
          <w:bCs/>
          <w:i w:val="0"/>
          <w:iCs w:val="0"/>
          <w:color w:val="auto"/>
          <w:sz w:val="30"/>
          <w:szCs w:val="30"/>
          <w:u w:val="single"/>
          <w:lang w:val="en-US" w:eastAsia="zh-CN"/>
        </w:rPr>
        <w:t>12</w:t>
      </w:r>
      <w:r>
        <w:rPr>
          <w:rFonts w:hint="eastAsia" w:ascii="仿宋" w:hAnsi="仿宋" w:eastAsia="仿宋" w:cs="仿宋"/>
          <w:bCs/>
          <w:i w:val="0"/>
          <w:iCs w:val="0"/>
          <w:color w:val="auto"/>
          <w:sz w:val="30"/>
          <w:szCs w:val="30"/>
          <w:u w:val="single"/>
        </w:rPr>
        <w:t>月</w:t>
      </w:r>
      <w:r>
        <w:rPr>
          <w:rFonts w:hint="eastAsia" w:ascii="仿宋" w:hAnsi="仿宋" w:eastAsia="仿宋" w:cs="仿宋"/>
          <w:bCs/>
          <w:i w:val="0"/>
          <w:iCs w:val="0"/>
          <w:color w:val="auto"/>
          <w:sz w:val="30"/>
          <w:szCs w:val="30"/>
          <w:u w:val="single"/>
          <w:lang w:val="en-US" w:eastAsia="zh-CN"/>
        </w:rPr>
        <w:t>31</w:t>
      </w:r>
      <w:r>
        <w:rPr>
          <w:rFonts w:hint="eastAsia" w:ascii="仿宋" w:hAnsi="仿宋" w:eastAsia="仿宋" w:cs="仿宋"/>
          <w:bCs/>
          <w:i w:val="0"/>
          <w:iCs w:val="0"/>
          <w:color w:val="auto"/>
          <w:sz w:val="30"/>
          <w:szCs w:val="30"/>
          <w:u w:val="single"/>
        </w:rPr>
        <w:t>日1</w:t>
      </w:r>
      <w:r>
        <w:rPr>
          <w:rFonts w:ascii="仿宋" w:hAnsi="仿宋" w:eastAsia="仿宋" w:cs="仿宋"/>
          <w:bCs/>
          <w:i w:val="0"/>
          <w:iCs w:val="0"/>
          <w:color w:val="auto"/>
          <w:sz w:val="30"/>
          <w:szCs w:val="30"/>
          <w:u w:val="single"/>
        </w:rPr>
        <w:t>0</w:t>
      </w:r>
      <w:r>
        <w:rPr>
          <w:rFonts w:hint="eastAsia" w:ascii="仿宋" w:hAnsi="仿宋" w:eastAsia="仿宋" w:cs="仿宋"/>
          <w:bCs/>
          <w:i w:val="0"/>
          <w:iCs w:val="0"/>
          <w:color w:val="auto"/>
          <w:sz w:val="30"/>
          <w:szCs w:val="30"/>
          <w:u w:val="single"/>
        </w:rPr>
        <w:t>时（北京时间）</w:t>
      </w:r>
      <w:r>
        <w:rPr>
          <w:rFonts w:hint="eastAsia" w:ascii="仿宋" w:hAnsi="仿宋" w:eastAsia="仿宋" w:cs="仿宋"/>
          <w:bCs/>
          <w:color w:val="auto"/>
          <w:sz w:val="30"/>
          <w:szCs w:val="30"/>
        </w:rPr>
        <w:t>；</w:t>
      </w:r>
    </w:p>
    <w:p w14:paraId="6D0383B1">
      <w:pPr>
        <w:adjustRightInd w:val="0"/>
        <w:snapToGrid w:val="0"/>
        <w:spacing w:line="600" w:lineRule="exact"/>
        <w:ind w:firstLine="579" w:firstLineChars="193"/>
        <w:rPr>
          <w:rFonts w:hint="eastAsia"/>
          <w:color w:val="auto"/>
        </w:rPr>
      </w:pP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rPr>
        <w:t>交货地点：</w:t>
      </w:r>
      <w:r>
        <w:rPr>
          <w:rFonts w:hint="eastAsia" w:ascii="仿宋" w:hAnsi="仿宋" w:eastAsia="仿宋" w:cs="仿宋"/>
          <w:bCs/>
          <w:color w:val="auto"/>
          <w:sz w:val="30"/>
          <w:szCs w:val="30"/>
          <w:u w:val="single"/>
        </w:rPr>
        <w:t xml:space="preserve">江苏索普赛瑞装备制造有限公司 </w:t>
      </w:r>
      <w:r>
        <w:rPr>
          <w:rFonts w:hint="eastAsia" w:ascii="仿宋" w:hAnsi="仿宋" w:eastAsia="仿宋" w:cs="仿宋"/>
          <w:bCs/>
          <w:color w:val="auto"/>
          <w:sz w:val="30"/>
          <w:szCs w:val="30"/>
        </w:rPr>
        <w:t>；</w:t>
      </w:r>
    </w:p>
    <w:p w14:paraId="73C399D4">
      <w:pPr>
        <w:adjustRightInd w:val="0"/>
        <w:snapToGrid w:val="0"/>
        <w:spacing w:line="600" w:lineRule="exact"/>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（四）</w:t>
      </w:r>
      <w:r>
        <w:rPr>
          <w:rFonts w:hint="eastAsia" w:ascii="仿宋" w:hAnsi="仿宋" w:eastAsia="仿宋" w:cs="仿宋"/>
          <w:bCs/>
          <w:color w:val="auto"/>
          <w:sz w:val="30"/>
          <w:szCs w:val="30"/>
        </w:rPr>
        <w:t>报价截止时间及评审时间</w:t>
      </w:r>
      <w:r>
        <w:rPr>
          <w:rFonts w:hint="eastAsia" w:ascii="仿宋" w:hAnsi="仿宋" w:eastAsia="仿宋" w:cs="仿宋"/>
          <w:bCs/>
          <w:color w:val="auto"/>
          <w:sz w:val="30"/>
          <w:szCs w:val="30"/>
          <w:u w:val="single"/>
        </w:rPr>
        <w:t>202</w:t>
      </w:r>
      <w:r>
        <w:rPr>
          <w:rFonts w:hint="eastAsia" w:ascii="仿宋" w:hAnsi="仿宋" w:eastAsia="仿宋" w:cs="仿宋"/>
          <w:bCs/>
          <w:color w:val="auto"/>
          <w:sz w:val="30"/>
          <w:szCs w:val="30"/>
          <w:u w:val="single"/>
          <w:lang w:val="en-US" w:eastAsia="zh-CN"/>
        </w:rPr>
        <w:t>4</w:t>
      </w:r>
      <w:r>
        <w:rPr>
          <w:rFonts w:hint="eastAsia" w:ascii="仿宋" w:hAnsi="仿宋" w:eastAsia="仿宋" w:cs="仿宋"/>
          <w:bCs/>
          <w:color w:val="auto"/>
          <w:sz w:val="30"/>
          <w:szCs w:val="30"/>
          <w:u w:val="single"/>
        </w:rPr>
        <w:t>年</w:t>
      </w:r>
      <w:r>
        <w:rPr>
          <w:rFonts w:hint="eastAsia" w:ascii="仿宋" w:hAnsi="仿宋" w:eastAsia="仿宋" w:cs="仿宋"/>
          <w:bCs/>
          <w:color w:val="auto"/>
          <w:sz w:val="30"/>
          <w:szCs w:val="30"/>
          <w:u w:val="single"/>
          <w:lang w:val="en-US" w:eastAsia="zh-CN"/>
        </w:rPr>
        <w:t xml:space="preserve"> 10 </w:t>
      </w:r>
      <w:r>
        <w:rPr>
          <w:rFonts w:hint="eastAsia" w:ascii="仿宋" w:hAnsi="仿宋" w:eastAsia="仿宋" w:cs="仿宋"/>
          <w:bCs/>
          <w:color w:val="auto"/>
          <w:sz w:val="30"/>
          <w:szCs w:val="30"/>
          <w:u w:val="single"/>
        </w:rPr>
        <w:t>月</w:t>
      </w:r>
      <w:r>
        <w:rPr>
          <w:rFonts w:hint="eastAsia" w:ascii="仿宋" w:hAnsi="仿宋" w:eastAsia="仿宋" w:cs="仿宋"/>
          <w:bCs/>
          <w:color w:val="auto"/>
          <w:sz w:val="30"/>
          <w:szCs w:val="30"/>
          <w:u w:val="single"/>
          <w:lang w:val="en-US" w:eastAsia="zh-CN"/>
        </w:rPr>
        <w:t xml:space="preserve"> 23 </w:t>
      </w:r>
      <w:r>
        <w:rPr>
          <w:rFonts w:hint="eastAsia" w:ascii="仿宋" w:hAnsi="仿宋" w:eastAsia="仿宋" w:cs="仿宋"/>
          <w:bCs/>
          <w:color w:val="auto"/>
          <w:sz w:val="30"/>
          <w:szCs w:val="30"/>
          <w:u w:val="single"/>
        </w:rPr>
        <w:t>日</w:t>
      </w:r>
      <w:r>
        <w:rPr>
          <w:rFonts w:hint="eastAsia" w:ascii="仿宋" w:hAnsi="仿宋" w:eastAsia="仿宋" w:cs="仿宋"/>
          <w:bCs/>
          <w:color w:val="auto"/>
          <w:sz w:val="30"/>
          <w:szCs w:val="30"/>
          <w:u w:val="single"/>
          <w:lang w:val="en-US" w:eastAsia="zh-CN"/>
        </w:rPr>
        <w:t xml:space="preserve"> 10 </w:t>
      </w:r>
      <w:r>
        <w:rPr>
          <w:rFonts w:hint="eastAsia" w:ascii="仿宋" w:hAnsi="仿宋" w:eastAsia="仿宋" w:cs="仿宋"/>
          <w:bCs/>
          <w:color w:val="auto"/>
          <w:sz w:val="30"/>
          <w:szCs w:val="30"/>
          <w:u w:val="single"/>
        </w:rPr>
        <w:t>时（北京时间）</w:t>
      </w:r>
      <w:r>
        <w:rPr>
          <w:rFonts w:hint="eastAsia" w:ascii="仿宋" w:hAnsi="仿宋" w:eastAsia="仿宋" w:cs="仿宋"/>
          <w:bCs/>
          <w:color w:val="auto"/>
          <w:sz w:val="30"/>
          <w:szCs w:val="30"/>
        </w:rPr>
        <w:t>；</w:t>
      </w:r>
    </w:p>
    <w:p w14:paraId="48B525E2">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（五）评审地点：</w:t>
      </w:r>
      <w:r>
        <w:rPr>
          <w:rFonts w:hint="eastAsia" w:ascii="仿宋" w:hAnsi="仿宋" w:eastAsia="仿宋" w:cs="仿宋"/>
          <w:bCs/>
          <w:color w:val="auto"/>
          <w:kern w:val="1"/>
          <w:sz w:val="30"/>
          <w:szCs w:val="30"/>
          <w:u w:val="single"/>
        </w:rPr>
        <w:t>江苏索普(集团)有限公司采购中心</w:t>
      </w:r>
      <w:r>
        <w:rPr>
          <w:rFonts w:hint="eastAsia" w:ascii="仿宋" w:hAnsi="仿宋" w:eastAsia="仿宋" w:cs="仿宋"/>
          <w:bCs/>
          <w:color w:val="auto"/>
          <w:kern w:val="1"/>
          <w:sz w:val="30"/>
          <w:szCs w:val="30"/>
        </w:rPr>
        <w:t>；</w:t>
      </w:r>
    </w:p>
    <w:p w14:paraId="0126B9AD">
      <w:pPr>
        <w:adjustRightInd w:val="0"/>
        <w:snapToGrid w:val="0"/>
        <w:spacing w:line="600" w:lineRule="exact"/>
        <w:ind w:firstLine="602"/>
        <w:rPr>
          <w:rFonts w:hint="eastAsia" w:ascii="仿宋" w:hAnsi="仿宋" w:eastAsia="仿宋" w:cs="仿宋"/>
          <w:b/>
          <w:color w:val="auto"/>
          <w:sz w:val="30"/>
          <w:szCs w:val="30"/>
        </w:rPr>
      </w:pPr>
      <w:r>
        <w:rPr>
          <w:rFonts w:hint="eastAsia" w:ascii="仿宋" w:hAnsi="仿宋" w:eastAsia="仿宋" w:cs="仿宋"/>
          <w:b/>
          <w:color w:val="auto"/>
          <w:sz w:val="30"/>
          <w:szCs w:val="30"/>
        </w:rPr>
        <w:t>二、</w:t>
      </w:r>
      <w:r>
        <w:rPr>
          <w:rFonts w:hint="eastAsia" w:ascii="仿宋" w:hAnsi="仿宋" w:eastAsia="仿宋" w:cs="仿宋"/>
          <w:b/>
          <w:color w:val="auto"/>
          <w:sz w:val="30"/>
          <w:szCs w:val="30"/>
          <w:lang w:val="en-US" w:eastAsia="zh-CN"/>
        </w:rPr>
        <w:t>采购</w:t>
      </w:r>
      <w:r>
        <w:rPr>
          <w:rFonts w:hint="eastAsia" w:ascii="仿宋" w:hAnsi="仿宋" w:eastAsia="仿宋" w:cs="仿宋"/>
          <w:b/>
          <w:color w:val="auto"/>
          <w:sz w:val="30"/>
          <w:szCs w:val="30"/>
        </w:rPr>
        <w:t>内容：</w:t>
      </w:r>
    </w:p>
    <w:p w14:paraId="2338E1C1">
      <w:pPr>
        <w:tabs>
          <w:tab w:val="right" w:pos="8448"/>
        </w:tabs>
        <w:adjustRightInd w:val="0"/>
        <w:snapToGrid w:val="0"/>
        <w:spacing w:line="360" w:lineRule="auto"/>
        <w:ind w:firstLine="600"/>
        <w:jc w:val="center"/>
        <w:rPr>
          <w:rFonts w:hint="eastAsia" w:ascii="仿宋" w:hAnsi="仿宋" w:eastAsia="仿宋" w:cs="仿宋"/>
          <w:bCs/>
          <w:kern w:val="1"/>
          <w:sz w:val="30"/>
          <w:szCs w:val="30"/>
        </w:rPr>
      </w:pPr>
      <w:r>
        <w:rPr>
          <w:rFonts w:hint="eastAsia" w:ascii="仿宋" w:hAnsi="仿宋" w:eastAsia="仿宋" w:cs="仿宋"/>
          <w:bCs/>
          <w:kern w:val="1"/>
          <w:sz w:val="30"/>
          <w:szCs w:val="30"/>
        </w:rPr>
        <w:t>202</w:t>
      </w:r>
      <w:r>
        <w:rPr>
          <w:rFonts w:hint="eastAsia" w:ascii="仿宋" w:hAnsi="仿宋" w:eastAsia="仿宋" w:cs="仿宋"/>
          <w:bCs/>
          <w:kern w:val="1"/>
          <w:sz w:val="30"/>
          <w:szCs w:val="30"/>
          <w:lang w:val="en-US" w:eastAsia="zh-CN"/>
        </w:rPr>
        <w:t>4</w:t>
      </w:r>
      <w:r>
        <w:rPr>
          <w:rFonts w:hint="eastAsia" w:ascii="仿宋" w:hAnsi="仿宋" w:eastAsia="仿宋" w:cs="仿宋"/>
          <w:bCs/>
          <w:kern w:val="1"/>
          <w:sz w:val="30"/>
          <w:szCs w:val="30"/>
        </w:rPr>
        <w:t>年度职业危害因素检测点统计表</w:t>
      </w:r>
    </w:p>
    <w:tbl>
      <w:tblPr>
        <w:tblStyle w:val="6"/>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701"/>
        <w:gridCol w:w="1560"/>
        <w:gridCol w:w="4073"/>
      </w:tblGrid>
      <w:tr w14:paraId="4E06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41" w:type="dxa"/>
            <w:noWrap w:val="0"/>
            <w:vAlign w:val="center"/>
          </w:tcPr>
          <w:p w14:paraId="4FC0F5F2">
            <w:pPr>
              <w:rPr>
                <w:rFonts w:hint="eastAsia" w:ascii="宋体" w:hAnsi="宋体"/>
                <w:b/>
                <w:bCs/>
                <w:szCs w:val="21"/>
              </w:rPr>
            </w:pPr>
            <w:r>
              <w:rPr>
                <w:rFonts w:hint="eastAsia" w:ascii="宋体" w:hAnsi="宋体"/>
                <w:b/>
                <w:bCs/>
                <w:szCs w:val="21"/>
              </w:rPr>
              <w:t>检测</w:t>
            </w:r>
          </w:p>
          <w:p w14:paraId="49E81502">
            <w:pPr>
              <w:rPr>
                <w:rFonts w:hint="eastAsia" w:ascii="宋体" w:hAnsi="宋体"/>
                <w:b/>
                <w:bCs/>
                <w:szCs w:val="21"/>
              </w:rPr>
            </w:pPr>
            <w:r>
              <w:rPr>
                <w:rFonts w:hint="eastAsia" w:ascii="宋体" w:hAnsi="宋体"/>
                <w:b/>
                <w:bCs/>
                <w:szCs w:val="21"/>
              </w:rPr>
              <w:t>点号</w:t>
            </w:r>
          </w:p>
        </w:tc>
        <w:tc>
          <w:tcPr>
            <w:tcW w:w="1701" w:type="dxa"/>
            <w:noWrap w:val="0"/>
            <w:vAlign w:val="center"/>
          </w:tcPr>
          <w:p w14:paraId="3AB564AD">
            <w:pPr>
              <w:jc w:val="center"/>
              <w:rPr>
                <w:rFonts w:hint="eastAsia" w:ascii="宋体" w:hAnsi="宋体"/>
                <w:b/>
                <w:bCs/>
                <w:szCs w:val="21"/>
              </w:rPr>
            </w:pPr>
            <w:r>
              <w:rPr>
                <w:rFonts w:hint="eastAsia" w:ascii="宋体" w:hAnsi="宋体"/>
                <w:b/>
                <w:bCs/>
                <w:szCs w:val="21"/>
              </w:rPr>
              <w:t>采样/检测</w:t>
            </w:r>
          </w:p>
          <w:p w14:paraId="03621E54">
            <w:pPr>
              <w:jc w:val="center"/>
              <w:rPr>
                <w:rFonts w:hint="eastAsia" w:ascii="宋体" w:hAnsi="宋体"/>
                <w:b/>
                <w:bCs/>
                <w:szCs w:val="21"/>
              </w:rPr>
            </w:pPr>
            <w:r>
              <w:rPr>
                <w:rFonts w:hint="eastAsia" w:ascii="宋体" w:hAnsi="宋体"/>
                <w:b/>
                <w:bCs/>
                <w:szCs w:val="21"/>
              </w:rPr>
              <w:t>装置/车间/岗位</w:t>
            </w:r>
          </w:p>
        </w:tc>
        <w:tc>
          <w:tcPr>
            <w:tcW w:w="1560" w:type="dxa"/>
            <w:noWrap w:val="0"/>
            <w:vAlign w:val="center"/>
          </w:tcPr>
          <w:p w14:paraId="54DBCBF6">
            <w:pPr>
              <w:jc w:val="center"/>
              <w:rPr>
                <w:rFonts w:hint="eastAsia" w:ascii="宋体" w:hAnsi="宋体"/>
                <w:b/>
                <w:bCs/>
                <w:szCs w:val="21"/>
              </w:rPr>
            </w:pPr>
            <w:r>
              <w:rPr>
                <w:rFonts w:hint="eastAsia" w:ascii="宋体" w:hAnsi="宋体"/>
                <w:b/>
                <w:bCs/>
                <w:szCs w:val="21"/>
              </w:rPr>
              <w:t>检测点</w:t>
            </w:r>
          </w:p>
        </w:tc>
        <w:tc>
          <w:tcPr>
            <w:tcW w:w="4073" w:type="dxa"/>
            <w:noWrap w:val="0"/>
            <w:vAlign w:val="center"/>
          </w:tcPr>
          <w:p w14:paraId="3391E0D9">
            <w:pPr>
              <w:jc w:val="center"/>
              <w:rPr>
                <w:rFonts w:hint="eastAsia" w:ascii="宋体" w:hAnsi="宋体"/>
                <w:b/>
                <w:bCs/>
                <w:szCs w:val="21"/>
              </w:rPr>
            </w:pPr>
            <w:r>
              <w:rPr>
                <w:rFonts w:hint="eastAsia" w:ascii="宋体" w:hAnsi="宋体"/>
                <w:b/>
                <w:bCs/>
                <w:szCs w:val="21"/>
              </w:rPr>
              <w:t>职业病危害</w:t>
            </w:r>
          </w:p>
          <w:p w14:paraId="3F362DD7">
            <w:pPr>
              <w:jc w:val="center"/>
              <w:rPr>
                <w:rFonts w:hint="eastAsia" w:ascii="宋体" w:hAnsi="宋体"/>
                <w:b/>
                <w:bCs/>
                <w:szCs w:val="21"/>
              </w:rPr>
            </w:pPr>
            <w:r>
              <w:rPr>
                <w:rFonts w:hint="eastAsia" w:ascii="宋体" w:hAnsi="宋体"/>
                <w:b/>
                <w:bCs/>
                <w:szCs w:val="21"/>
              </w:rPr>
              <w:t>因素名称</w:t>
            </w:r>
          </w:p>
        </w:tc>
      </w:tr>
      <w:tr w14:paraId="64B0D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741" w:type="dxa"/>
            <w:noWrap w:val="0"/>
            <w:vAlign w:val="center"/>
          </w:tcPr>
          <w:p w14:paraId="4C9C464F">
            <w:pPr>
              <w:jc w:val="center"/>
              <w:rPr>
                <w:rFonts w:hint="eastAsia"/>
                <w:szCs w:val="21"/>
              </w:rPr>
            </w:pPr>
            <w:r>
              <w:rPr>
                <w:rFonts w:hint="eastAsia"/>
                <w:szCs w:val="21"/>
              </w:rPr>
              <w:t>1</w:t>
            </w:r>
          </w:p>
        </w:tc>
        <w:tc>
          <w:tcPr>
            <w:tcW w:w="1701" w:type="dxa"/>
            <w:vMerge w:val="restart"/>
            <w:noWrap w:val="0"/>
            <w:vAlign w:val="center"/>
          </w:tcPr>
          <w:p w14:paraId="07A262D9">
            <w:pPr>
              <w:jc w:val="center"/>
              <w:rPr>
                <w:szCs w:val="21"/>
              </w:rPr>
            </w:pPr>
            <w:bookmarkStart w:id="0" w:name="_Hlk36576513"/>
            <w:r>
              <w:rPr>
                <w:rFonts w:hint="eastAsia"/>
                <w:szCs w:val="21"/>
              </w:rPr>
              <w:t>碳钢车间</w:t>
            </w:r>
          </w:p>
          <w:bookmarkEnd w:id="0"/>
          <w:p w14:paraId="6D5F28F5">
            <w:pPr>
              <w:jc w:val="center"/>
              <w:rPr>
                <w:rFonts w:hint="eastAsia"/>
                <w:szCs w:val="21"/>
              </w:rPr>
            </w:pPr>
          </w:p>
        </w:tc>
        <w:tc>
          <w:tcPr>
            <w:tcW w:w="1560" w:type="dxa"/>
            <w:noWrap w:val="0"/>
            <w:vAlign w:val="center"/>
          </w:tcPr>
          <w:p w14:paraId="2480B9C9">
            <w:pPr>
              <w:jc w:val="center"/>
              <w:rPr>
                <w:rFonts w:hint="eastAsia"/>
                <w:szCs w:val="21"/>
              </w:rPr>
            </w:pPr>
            <w:r>
              <w:rPr>
                <w:rFonts w:hint="eastAsia"/>
                <w:szCs w:val="21"/>
              </w:rPr>
              <w:t>焊接区1</w:t>
            </w:r>
          </w:p>
        </w:tc>
        <w:tc>
          <w:tcPr>
            <w:tcW w:w="4073" w:type="dxa"/>
            <w:noWrap w:val="0"/>
            <w:vAlign w:val="center"/>
          </w:tcPr>
          <w:p w14:paraId="16C5D6CF">
            <w:pPr>
              <w:jc w:val="center"/>
              <w:rPr>
                <w:rFonts w:hint="eastAsia"/>
                <w:szCs w:val="21"/>
              </w:rPr>
            </w:pPr>
            <w:r>
              <w:rPr>
                <w:szCs w:val="21"/>
              </w:rPr>
              <w:t>臭氧</w:t>
            </w:r>
            <w:r>
              <w:rPr>
                <w:rFonts w:hint="eastAsia"/>
                <w:szCs w:val="21"/>
              </w:rPr>
              <w:t>、氮氧化物、</w:t>
            </w:r>
            <w:r>
              <w:rPr>
                <w:szCs w:val="21"/>
              </w:rPr>
              <w:t>锰及其无机化合物</w:t>
            </w:r>
            <w:r>
              <w:rPr>
                <w:rFonts w:hint="eastAsia"/>
                <w:szCs w:val="21"/>
              </w:rPr>
              <w:t>、</w:t>
            </w:r>
            <w:r>
              <w:rPr>
                <w:szCs w:val="21"/>
              </w:rPr>
              <w:t>金属镍</w:t>
            </w:r>
            <w:r>
              <w:rPr>
                <w:rFonts w:hint="eastAsia"/>
                <w:szCs w:val="21"/>
              </w:rPr>
              <w:t>与</w:t>
            </w:r>
            <w:r>
              <w:rPr>
                <w:szCs w:val="21"/>
              </w:rPr>
              <w:t>难溶性镍化合物</w:t>
            </w:r>
            <w:r>
              <w:rPr>
                <w:rFonts w:hint="eastAsia"/>
                <w:szCs w:val="21"/>
              </w:rPr>
              <w:t>、电焊烟尘（总尘）、二氧化碳、一氧化碳、</w:t>
            </w:r>
            <w:r>
              <w:rPr>
                <w:szCs w:val="21"/>
              </w:rPr>
              <w:t>紫外辐射</w:t>
            </w:r>
            <w:r>
              <w:rPr>
                <w:rFonts w:hint="eastAsia"/>
                <w:szCs w:val="21"/>
              </w:rPr>
              <w:t>、</w:t>
            </w:r>
            <w:r>
              <w:rPr>
                <w:szCs w:val="21"/>
              </w:rPr>
              <w:t>噪声</w:t>
            </w:r>
          </w:p>
        </w:tc>
      </w:tr>
      <w:tr w14:paraId="1D4D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741" w:type="dxa"/>
            <w:noWrap w:val="0"/>
            <w:vAlign w:val="center"/>
          </w:tcPr>
          <w:p w14:paraId="48A4A707">
            <w:pPr>
              <w:jc w:val="center"/>
              <w:rPr>
                <w:rFonts w:hint="eastAsia"/>
                <w:szCs w:val="21"/>
              </w:rPr>
            </w:pPr>
            <w:r>
              <w:rPr>
                <w:rFonts w:hint="eastAsia"/>
                <w:szCs w:val="21"/>
              </w:rPr>
              <w:t>2</w:t>
            </w:r>
          </w:p>
        </w:tc>
        <w:tc>
          <w:tcPr>
            <w:tcW w:w="1701" w:type="dxa"/>
            <w:vMerge w:val="continue"/>
            <w:noWrap w:val="0"/>
            <w:vAlign w:val="center"/>
          </w:tcPr>
          <w:p w14:paraId="1231574C">
            <w:pPr>
              <w:jc w:val="center"/>
              <w:rPr>
                <w:rFonts w:hint="eastAsia"/>
                <w:szCs w:val="21"/>
              </w:rPr>
            </w:pPr>
          </w:p>
        </w:tc>
        <w:tc>
          <w:tcPr>
            <w:tcW w:w="1560" w:type="dxa"/>
            <w:noWrap w:val="0"/>
            <w:vAlign w:val="center"/>
          </w:tcPr>
          <w:p w14:paraId="22C84296">
            <w:pPr>
              <w:jc w:val="center"/>
              <w:rPr>
                <w:rFonts w:hint="eastAsia"/>
                <w:szCs w:val="21"/>
              </w:rPr>
            </w:pPr>
            <w:r>
              <w:rPr>
                <w:rFonts w:hint="eastAsia"/>
                <w:szCs w:val="21"/>
              </w:rPr>
              <w:t>焊接区</w:t>
            </w:r>
            <w:r>
              <w:rPr>
                <w:szCs w:val="21"/>
              </w:rPr>
              <w:t>2</w:t>
            </w:r>
          </w:p>
        </w:tc>
        <w:tc>
          <w:tcPr>
            <w:tcW w:w="4073" w:type="dxa"/>
            <w:noWrap w:val="0"/>
            <w:vAlign w:val="center"/>
          </w:tcPr>
          <w:p w14:paraId="2C27CE2D">
            <w:pPr>
              <w:jc w:val="center"/>
              <w:rPr>
                <w:rFonts w:hint="eastAsia"/>
                <w:szCs w:val="21"/>
              </w:rPr>
            </w:pPr>
            <w:r>
              <w:rPr>
                <w:szCs w:val="21"/>
              </w:rPr>
              <w:t>臭氧</w:t>
            </w:r>
            <w:r>
              <w:rPr>
                <w:rFonts w:hint="eastAsia"/>
                <w:szCs w:val="21"/>
              </w:rPr>
              <w:t>、氮氧化物、</w:t>
            </w:r>
            <w:r>
              <w:rPr>
                <w:szCs w:val="21"/>
              </w:rPr>
              <w:t>锰及其无机化合物</w:t>
            </w:r>
            <w:r>
              <w:rPr>
                <w:rFonts w:hint="eastAsia"/>
                <w:szCs w:val="21"/>
              </w:rPr>
              <w:t>、</w:t>
            </w:r>
            <w:r>
              <w:rPr>
                <w:szCs w:val="21"/>
              </w:rPr>
              <w:t>金属镍</w:t>
            </w:r>
            <w:r>
              <w:rPr>
                <w:rFonts w:hint="eastAsia"/>
                <w:szCs w:val="21"/>
              </w:rPr>
              <w:t>与</w:t>
            </w:r>
            <w:r>
              <w:rPr>
                <w:szCs w:val="21"/>
              </w:rPr>
              <w:t>难溶性镍化合物</w:t>
            </w:r>
            <w:r>
              <w:rPr>
                <w:rFonts w:hint="eastAsia"/>
                <w:szCs w:val="21"/>
              </w:rPr>
              <w:t>、电焊烟尘（总尘）、二氧化碳、一氧化碳、</w:t>
            </w:r>
            <w:r>
              <w:rPr>
                <w:szCs w:val="21"/>
              </w:rPr>
              <w:t>紫外辐射</w:t>
            </w:r>
            <w:r>
              <w:rPr>
                <w:rFonts w:hint="eastAsia"/>
                <w:szCs w:val="21"/>
              </w:rPr>
              <w:t>、</w:t>
            </w:r>
            <w:r>
              <w:rPr>
                <w:szCs w:val="21"/>
              </w:rPr>
              <w:t>噪声</w:t>
            </w:r>
          </w:p>
        </w:tc>
      </w:tr>
      <w:tr w14:paraId="5732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41" w:type="dxa"/>
            <w:noWrap w:val="0"/>
            <w:vAlign w:val="center"/>
          </w:tcPr>
          <w:p w14:paraId="1D550998">
            <w:pPr>
              <w:jc w:val="center"/>
              <w:rPr>
                <w:rFonts w:hint="eastAsia"/>
                <w:szCs w:val="21"/>
              </w:rPr>
            </w:pPr>
            <w:r>
              <w:rPr>
                <w:rFonts w:hint="eastAsia"/>
                <w:szCs w:val="21"/>
              </w:rPr>
              <w:t>3</w:t>
            </w:r>
          </w:p>
        </w:tc>
        <w:tc>
          <w:tcPr>
            <w:tcW w:w="1701" w:type="dxa"/>
            <w:vMerge w:val="continue"/>
            <w:noWrap w:val="0"/>
            <w:vAlign w:val="center"/>
          </w:tcPr>
          <w:p w14:paraId="3B00B7CD">
            <w:pPr>
              <w:jc w:val="center"/>
              <w:rPr>
                <w:rFonts w:hint="eastAsia"/>
                <w:szCs w:val="21"/>
              </w:rPr>
            </w:pPr>
          </w:p>
        </w:tc>
        <w:tc>
          <w:tcPr>
            <w:tcW w:w="1560" w:type="dxa"/>
            <w:noWrap w:val="0"/>
            <w:vAlign w:val="center"/>
          </w:tcPr>
          <w:p w14:paraId="798E9908">
            <w:pPr>
              <w:jc w:val="center"/>
              <w:rPr>
                <w:rFonts w:hint="eastAsia"/>
                <w:szCs w:val="21"/>
              </w:rPr>
            </w:pPr>
            <w:r>
              <w:rPr>
                <w:rFonts w:hint="eastAsia"/>
                <w:szCs w:val="21"/>
              </w:rPr>
              <w:t>下料区</w:t>
            </w:r>
          </w:p>
        </w:tc>
        <w:tc>
          <w:tcPr>
            <w:tcW w:w="4073" w:type="dxa"/>
            <w:noWrap w:val="0"/>
            <w:vAlign w:val="center"/>
          </w:tcPr>
          <w:p w14:paraId="295DC764">
            <w:pPr>
              <w:jc w:val="center"/>
              <w:rPr>
                <w:rFonts w:hint="eastAsia"/>
                <w:szCs w:val="21"/>
              </w:rPr>
            </w:pPr>
            <w:r>
              <w:rPr>
                <w:rFonts w:hint="eastAsia"/>
                <w:szCs w:val="21"/>
              </w:rPr>
              <w:t>其他粉尘（总尘）</w:t>
            </w:r>
          </w:p>
        </w:tc>
      </w:tr>
      <w:tr w14:paraId="66ED8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41" w:type="dxa"/>
            <w:noWrap w:val="0"/>
            <w:vAlign w:val="center"/>
          </w:tcPr>
          <w:p w14:paraId="593D5E28">
            <w:pPr>
              <w:jc w:val="center"/>
              <w:rPr>
                <w:rFonts w:hint="eastAsia"/>
                <w:szCs w:val="21"/>
              </w:rPr>
            </w:pPr>
            <w:r>
              <w:rPr>
                <w:rFonts w:hint="eastAsia"/>
                <w:szCs w:val="21"/>
              </w:rPr>
              <w:t>4</w:t>
            </w:r>
          </w:p>
        </w:tc>
        <w:tc>
          <w:tcPr>
            <w:tcW w:w="1701" w:type="dxa"/>
            <w:vMerge w:val="continue"/>
            <w:noWrap w:val="0"/>
            <w:vAlign w:val="center"/>
          </w:tcPr>
          <w:p w14:paraId="69EA6157">
            <w:pPr>
              <w:jc w:val="center"/>
              <w:rPr>
                <w:rFonts w:hint="eastAsia"/>
                <w:szCs w:val="21"/>
              </w:rPr>
            </w:pPr>
          </w:p>
        </w:tc>
        <w:tc>
          <w:tcPr>
            <w:tcW w:w="1560" w:type="dxa"/>
            <w:noWrap w:val="0"/>
            <w:vAlign w:val="center"/>
          </w:tcPr>
          <w:p w14:paraId="4C577349">
            <w:pPr>
              <w:jc w:val="center"/>
              <w:rPr>
                <w:rFonts w:hint="eastAsia"/>
                <w:szCs w:val="21"/>
              </w:rPr>
            </w:pPr>
            <w:r>
              <w:rPr>
                <w:rFonts w:hint="eastAsia"/>
                <w:szCs w:val="21"/>
              </w:rPr>
              <w:t>变配电室</w:t>
            </w:r>
          </w:p>
        </w:tc>
        <w:tc>
          <w:tcPr>
            <w:tcW w:w="4073" w:type="dxa"/>
            <w:noWrap w:val="0"/>
            <w:vAlign w:val="center"/>
          </w:tcPr>
          <w:p w14:paraId="595B7C05">
            <w:pPr>
              <w:jc w:val="center"/>
              <w:rPr>
                <w:rFonts w:hint="eastAsia"/>
                <w:szCs w:val="21"/>
              </w:rPr>
            </w:pPr>
            <w:r>
              <w:rPr>
                <w:rFonts w:hint="eastAsia"/>
                <w:szCs w:val="21"/>
              </w:rPr>
              <w:t>工频电场</w:t>
            </w:r>
          </w:p>
        </w:tc>
      </w:tr>
      <w:tr w14:paraId="1B4B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741" w:type="dxa"/>
            <w:noWrap w:val="0"/>
            <w:vAlign w:val="center"/>
          </w:tcPr>
          <w:p w14:paraId="347F4520">
            <w:pPr>
              <w:jc w:val="center"/>
              <w:rPr>
                <w:rFonts w:hint="eastAsia"/>
                <w:szCs w:val="21"/>
              </w:rPr>
            </w:pPr>
            <w:r>
              <w:rPr>
                <w:rFonts w:hint="eastAsia"/>
                <w:szCs w:val="21"/>
              </w:rPr>
              <w:t>5</w:t>
            </w:r>
          </w:p>
        </w:tc>
        <w:tc>
          <w:tcPr>
            <w:tcW w:w="1701" w:type="dxa"/>
            <w:vMerge w:val="restart"/>
            <w:noWrap w:val="0"/>
            <w:vAlign w:val="center"/>
          </w:tcPr>
          <w:p w14:paraId="1F68E6C0">
            <w:pPr>
              <w:jc w:val="center"/>
              <w:rPr>
                <w:szCs w:val="21"/>
              </w:rPr>
            </w:pPr>
            <w:bookmarkStart w:id="1" w:name="_Hlk36576366"/>
            <w:r>
              <w:rPr>
                <w:szCs w:val="21"/>
              </w:rPr>
              <w:t>不锈钢车间</w:t>
            </w:r>
          </w:p>
          <w:bookmarkEnd w:id="1"/>
          <w:p w14:paraId="091C75FE">
            <w:pPr>
              <w:jc w:val="center"/>
              <w:rPr>
                <w:rFonts w:hint="eastAsia"/>
                <w:szCs w:val="21"/>
              </w:rPr>
            </w:pPr>
          </w:p>
        </w:tc>
        <w:tc>
          <w:tcPr>
            <w:tcW w:w="1560" w:type="dxa"/>
            <w:noWrap w:val="0"/>
            <w:vAlign w:val="center"/>
          </w:tcPr>
          <w:p w14:paraId="1C466599">
            <w:pPr>
              <w:jc w:val="center"/>
              <w:rPr>
                <w:rFonts w:hint="eastAsia"/>
                <w:szCs w:val="21"/>
              </w:rPr>
            </w:pPr>
            <w:r>
              <w:rPr>
                <w:rFonts w:hint="eastAsia"/>
                <w:szCs w:val="21"/>
              </w:rPr>
              <w:t>焊接区</w:t>
            </w:r>
          </w:p>
        </w:tc>
        <w:tc>
          <w:tcPr>
            <w:tcW w:w="4073" w:type="dxa"/>
            <w:noWrap w:val="0"/>
            <w:vAlign w:val="center"/>
          </w:tcPr>
          <w:p w14:paraId="3310C32A">
            <w:pPr>
              <w:jc w:val="center"/>
              <w:rPr>
                <w:rFonts w:hint="eastAsia"/>
                <w:szCs w:val="21"/>
              </w:rPr>
            </w:pPr>
            <w:r>
              <w:rPr>
                <w:szCs w:val="21"/>
              </w:rPr>
              <w:t>臭氧</w:t>
            </w:r>
            <w:r>
              <w:rPr>
                <w:rFonts w:hint="eastAsia"/>
                <w:szCs w:val="21"/>
              </w:rPr>
              <w:t>、氮氧化物、</w:t>
            </w:r>
            <w:r>
              <w:rPr>
                <w:szCs w:val="21"/>
              </w:rPr>
              <w:t>锰及其无机化合物</w:t>
            </w:r>
            <w:r>
              <w:rPr>
                <w:rFonts w:hint="eastAsia"/>
                <w:szCs w:val="21"/>
              </w:rPr>
              <w:t>、</w:t>
            </w:r>
            <w:r>
              <w:rPr>
                <w:szCs w:val="21"/>
              </w:rPr>
              <w:t>金属镍</w:t>
            </w:r>
            <w:r>
              <w:rPr>
                <w:rFonts w:hint="eastAsia"/>
                <w:szCs w:val="21"/>
              </w:rPr>
              <w:t>与</w:t>
            </w:r>
            <w:r>
              <w:rPr>
                <w:szCs w:val="21"/>
              </w:rPr>
              <w:t>难溶性镍化合物</w:t>
            </w:r>
            <w:r>
              <w:rPr>
                <w:rFonts w:hint="eastAsia"/>
                <w:szCs w:val="21"/>
              </w:rPr>
              <w:t>、电焊烟尘（总尘）、二氧化碳、一氧化碳、</w:t>
            </w:r>
            <w:r>
              <w:rPr>
                <w:szCs w:val="21"/>
              </w:rPr>
              <w:t>紫外辐射</w:t>
            </w:r>
            <w:r>
              <w:rPr>
                <w:rFonts w:hint="eastAsia"/>
                <w:szCs w:val="21"/>
              </w:rPr>
              <w:t>、</w:t>
            </w:r>
            <w:r>
              <w:rPr>
                <w:szCs w:val="21"/>
              </w:rPr>
              <w:t>噪声</w:t>
            </w:r>
          </w:p>
        </w:tc>
      </w:tr>
      <w:tr w14:paraId="782B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41" w:type="dxa"/>
            <w:noWrap w:val="0"/>
            <w:vAlign w:val="center"/>
          </w:tcPr>
          <w:p w14:paraId="79D2C660">
            <w:pPr>
              <w:jc w:val="center"/>
              <w:rPr>
                <w:rFonts w:hint="eastAsia"/>
                <w:szCs w:val="21"/>
              </w:rPr>
            </w:pPr>
            <w:r>
              <w:rPr>
                <w:rFonts w:hint="eastAsia"/>
                <w:szCs w:val="21"/>
              </w:rPr>
              <w:t>6</w:t>
            </w:r>
          </w:p>
        </w:tc>
        <w:tc>
          <w:tcPr>
            <w:tcW w:w="1701" w:type="dxa"/>
            <w:vMerge w:val="continue"/>
            <w:noWrap w:val="0"/>
            <w:vAlign w:val="center"/>
          </w:tcPr>
          <w:p w14:paraId="20C7D8C5">
            <w:pPr>
              <w:jc w:val="center"/>
              <w:rPr>
                <w:rFonts w:hint="eastAsia"/>
                <w:szCs w:val="21"/>
              </w:rPr>
            </w:pPr>
          </w:p>
        </w:tc>
        <w:tc>
          <w:tcPr>
            <w:tcW w:w="1560" w:type="dxa"/>
            <w:noWrap w:val="0"/>
            <w:vAlign w:val="center"/>
          </w:tcPr>
          <w:p w14:paraId="2A523FC2">
            <w:pPr>
              <w:jc w:val="center"/>
              <w:rPr>
                <w:rFonts w:hint="eastAsia"/>
                <w:szCs w:val="21"/>
              </w:rPr>
            </w:pPr>
            <w:r>
              <w:rPr>
                <w:szCs w:val="21"/>
              </w:rPr>
              <w:t>下料</w:t>
            </w:r>
            <w:r>
              <w:rPr>
                <w:rFonts w:hint="eastAsia"/>
                <w:szCs w:val="21"/>
              </w:rPr>
              <w:t>区</w:t>
            </w:r>
          </w:p>
        </w:tc>
        <w:tc>
          <w:tcPr>
            <w:tcW w:w="4073" w:type="dxa"/>
            <w:noWrap w:val="0"/>
            <w:vAlign w:val="center"/>
          </w:tcPr>
          <w:p w14:paraId="438DC668">
            <w:pPr>
              <w:jc w:val="center"/>
              <w:rPr>
                <w:rFonts w:hint="eastAsia"/>
                <w:szCs w:val="21"/>
              </w:rPr>
            </w:pPr>
            <w:r>
              <w:rPr>
                <w:rFonts w:hint="eastAsia"/>
                <w:szCs w:val="21"/>
              </w:rPr>
              <w:t>其他粉尘（总尘）</w:t>
            </w:r>
          </w:p>
        </w:tc>
      </w:tr>
      <w:tr w14:paraId="7205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41" w:type="dxa"/>
            <w:noWrap w:val="0"/>
            <w:vAlign w:val="center"/>
          </w:tcPr>
          <w:p w14:paraId="4D50E01D">
            <w:pPr>
              <w:jc w:val="center"/>
              <w:rPr>
                <w:rFonts w:hint="eastAsia"/>
                <w:szCs w:val="21"/>
              </w:rPr>
            </w:pPr>
            <w:r>
              <w:rPr>
                <w:rFonts w:hint="eastAsia"/>
                <w:szCs w:val="21"/>
              </w:rPr>
              <w:t>7</w:t>
            </w:r>
          </w:p>
        </w:tc>
        <w:tc>
          <w:tcPr>
            <w:tcW w:w="1701" w:type="dxa"/>
            <w:noWrap w:val="0"/>
            <w:vAlign w:val="center"/>
          </w:tcPr>
          <w:p w14:paraId="2A855078">
            <w:pPr>
              <w:jc w:val="center"/>
              <w:rPr>
                <w:rFonts w:hint="eastAsia"/>
                <w:szCs w:val="21"/>
              </w:rPr>
            </w:pPr>
            <w:r>
              <w:rPr>
                <w:rFonts w:hint="eastAsia"/>
                <w:szCs w:val="21"/>
              </w:rPr>
              <w:t>气瓶间</w:t>
            </w:r>
          </w:p>
        </w:tc>
        <w:tc>
          <w:tcPr>
            <w:tcW w:w="1560" w:type="dxa"/>
            <w:noWrap w:val="0"/>
            <w:vAlign w:val="center"/>
          </w:tcPr>
          <w:p w14:paraId="05ADEC00">
            <w:pPr>
              <w:jc w:val="center"/>
              <w:rPr>
                <w:rFonts w:hint="eastAsia"/>
                <w:szCs w:val="21"/>
              </w:rPr>
            </w:pPr>
            <w:r>
              <w:rPr>
                <w:rFonts w:hint="eastAsia"/>
                <w:szCs w:val="21"/>
              </w:rPr>
              <w:t>气瓶间</w:t>
            </w:r>
          </w:p>
        </w:tc>
        <w:tc>
          <w:tcPr>
            <w:tcW w:w="4073" w:type="dxa"/>
            <w:noWrap w:val="0"/>
            <w:vAlign w:val="center"/>
          </w:tcPr>
          <w:p w14:paraId="2A5507F3">
            <w:pPr>
              <w:jc w:val="center"/>
              <w:rPr>
                <w:rFonts w:hint="eastAsia"/>
                <w:szCs w:val="21"/>
              </w:rPr>
            </w:pPr>
            <w:r>
              <w:rPr>
                <w:rFonts w:hint="eastAsia"/>
                <w:szCs w:val="21"/>
              </w:rPr>
              <w:t>二氧化碳</w:t>
            </w:r>
          </w:p>
        </w:tc>
      </w:tr>
      <w:tr w14:paraId="6FCC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41" w:type="dxa"/>
            <w:noWrap w:val="0"/>
            <w:vAlign w:val="center"/>
          </w:tcPr>
          <w:p w14:paraId="27E65CD4">
            <w:pPr>
              <w:jc w:val="center"/>
              <w:rPr>
                <w:rFonts w:hint="eastAsia"/>
                <w:szCs w:val="21"/>
              </w:rPr>
            </w:pPr>
            <w:r>
              <w:rPr>
                <w:rFonts w:hint="eastAsia"/>
                <w:szCs w:val="21"/>
              </w:rPr>
              <w:t>8</w:t>
            </w:r>
          </w:p>
        </w:tc>
        <w:tc>
          <w:tcPr>
            <w:tcW w:w="1701" w:type="dxa"/>
            <w:noWrap w:val="0"/>
            <w:vAlign w:val="center"/>
          </w:tcPr>
          <w:p w14:paraId="388E40B9">
            <w:pPr>
              <w:jc w:val="center"/>
              <w:rPr>
                <w:rFonts w:hint="eastAsia"/>
                <w:szCs w:val="21"/>
              </w:rPr>
            </w:pPr>
            <w:r>
              <w:rPr>
                <w:rFonts w:hint="eastAsia"/>
                <w:szCs w:val="21"/>
              </w:rPr>
              <w:t>空压机房</w:t>
            </w:r>
          </w:p>
        </w:tc>
        <w:tc>
          <w:tcPr>
            <w:tcW w:w="1560" w:type="dxa"/>
            <w:noWrap w:val="0"/>
            <w:vAlign w:val="center"/>
          </w:tcPr>
          <w:p w14:paraId="0BD974DA">
            <w:pPr>
              <w:jc w:val="center"/>
              <w:rPr>
                <w:rFonts w:hint="eastAsia"/>
                <w:szCs w:val="21"/>
              </w:rPr>
            </w:pPr>
            <w:r>
              <w:rPr>
                <w:rFonts w:hint="eastAsia"/>
                <w:szCs w:val="21"/>
              </w:rPr>
              <w:t>空压机房</w:t>
            </w:r>
          </w:p>
        </w:tc>
        <w:tc>
          <w:tcPr>
            <w:tcW w:w="4073" w:type="dxa"/>
            <w:noWrap w:val="0"/>
            <w:vAlign w:val="center"/>
          </w:tcPr>
          <w:p w14:paraId="5B853B4A">
            <w:pPr>
              <w:jc w:val="center"/>
              <w:rPr>
                <w:rFonts w:hint="eastAsia"/>
                <w:szCs w:val="21"/>
              </w:rPr>
            </w:pPr>
            <w:r>
              <w:rPr>
                <w:rFonts w:hint="eastAsia"/>
                <w:szCs w:val="21"/>
              </w:rPr>
              <w:t>噪声</w:t>
            </w:r>
          </w:p>
        </w:tc>
      </w:tr>
      <w:tr w14:paraId="4F71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41" w:type="dxa"/>
            <w:noWrap w:val="0"/>
            <w:vAlign w:val="center"/>
          </w:tcPr>
          <w:p w14:paraId="71DF0B2E">
            <w:pPr>
              <w:jc w:val="center"/>
              <w:rPr>
                <w:rFonts w:hint="eastAsia"/>
                <w:szCs w:val="21"/>
              </w:rPr>
            </w:pPr>
            <w:r>
              <w:rPr>
                <w:rFonts w:hint="eastAsia"/>
                <w:szCs w:val="21"/>
              </w:rPr>
              <w:t>9</w:t>
            </w:r>
          </w:p>
        </w:tc>
        <w:tc>
          <w:tcPr>
            <w:tcW w:w="1701" w:type="dxa"/>
            <w:noWrap w:val="0"/>
            <w:vAlign w:val="center"/>
          </w:tcPr>
          <w:p w14:paraId="7850D41B">
            <w:pPr>
              <w:jc w:val="center"/>
              <w:rPr>
                <w:rFonts w:hint="eastAsia"/>
                <w:szCs w:val="21"/>
              </w:rPr>
            </w:pPr>
            <w:r>
              <w:rPr>
                <w:rFonts w:hint="eastAsia"/>
                <w:szCs w:val="21"/>
              </w:rPr>
              <w:t>泵房</w:t>
            </w:r>
          </w:p>
        </w:tc>
        <w:tc>
          <w:tcPr>
            <w:tcW w:w="1560" w:type="dxa"/>
            <w:noWrap w:val="0"/>
            <w:vAlign w:val="center"/>
          </w:tcPr>
          <w:p w14:paraId="09211446">
            <w:pPr>
              <w:jc w:val="center"/>
              <w:rPr>
                <w:rFonts w:hint="eastAsia"/>
                <w:szCs w:val="21"/>
              </w:rPr>
            </w:pPr>
            <w:r>
              <w:rPr>
                <w:rFonts w:hint="eastAsia"/>
                <w:szCs w:val="21"/>
              </w:rPr>
              <w:t>泵房</w:t>
            </w:r>
          </w:p>
        </w:tc>
        <w:tc>
          <w:tcPr>
            <w:tcW w:w="4073" w:type="dxa"/>
            <w:noWrap w:val="0"/>
            <w:vAlign w:val="center"/>
          </w:tcPr>
          <w:p w14:paraId="63EE7DE2">
            <w:pPr>
              <w:jc w:val="center"/>
              <w:rPr>
                <w:rFonts w:hint="eastAsia"/>
                <w:szCs w:val="21"/>
              </w:rPr>
            </w:pPr>
            <w:r>
              <w:rPr>
                <w:rFonts w:hint="eastAsia"/>
                <w:szCs w:val="21"/>
              </w:rPr>
              <w:t>噪声</w:t>
            </w:r>
          </w:p>
        </w:tc>
      </w:tr>
      <w:tr w14:paraId="2A82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41" w:type="dxa"/>
            <w:noWrap w:val="0"/>
            <w:vAlign w:val="center"/>
          </w:tcPr>
          <w:p w14:paraId="6B162179">
            <w:pPr>
              <w:jc w:val="center"/>
              <w:rPr>
                <w:rFonts w:hint="eastAsia"/>
                <w:szCs w:val="21"/>
              </w:rPr>
            </w:pPr>
            <w:r>
              <w:rPr>
                <w:rFonts w:hint="eastAsia"/>
                <w:szCs w:val="21"/>
              </w:rPr>
              <w:t>10</w:t>
            </w:r>
          </w:p>
        </w:tc>
        <w:tc>
          <w:tcPr>
            <w:tcW w:w="1701" w:type="dxa"/>
            <w:noWrap w:val="0"/>
            <w:vAlign w:val="center"/>
          </w:tcPr>
          <w:p w14:paraId="1E1CC176">
            <w:pPr>
              <w:jc w:val="center"/>
              <w:rPr>
                <w:rFonts w:hint="eastAsia"/>
                <w:szCs w:val="21"/>
              </w:rPr>
            </w:pPr>
            <w:r>
              <w:rPr>
                <w:rFonts w:hint="eastAsia"/>
                <w:szCs w:val="21"/>
              </w:rPr>
              <w:t>喷砂间</w:t>
            </w:r>
          </w:p>
        </w:tc>
        <w:tc>
          <w:tcPr>
            <w:tcW w:w="1560" w:type="dxa"/>
            <w:noWrap w:val="0"/>
            <w:vAlign w:val="center"/>
          </w:tcPr>
          <w:p w14:paraId="164A330E">
            <w:pPr>
              <w:jc w:val="center"/>
              <w:rPr>
                <w:rFonts w:hint="eastAsia"/>
                <w:szCs w:val="21"/>
              </w:rPr>
            </w:pPr>
            <w:r>
              <w:rPr>
                <w:rFonts w:hint="eastAsia"/>
                <w:szCs w:val="21"/>
              </w:rPr>
              <w:t>喷砂间</w:t>
            </w:r>
          </w:p>
        </w:tc>
        <w:tc>
          <w:tcPr>
            <w:tcW w:w="4073" w:type="dxa"/>
            <w:noWrap w:val="0"/>
            <w:vAlign w:val="center"/>
          </w:tcPr>
          <w:p w14:paraId="64B5FD5E">
            <w:pPr>
              <w:jc w:val="center"/>
              <w:rPr>
                <w:rFonts w:hint="eastAsia"/>
                <w:szCs w:val="21"/>
              </w:rPr>
            </w:pPr>
            <w:bookmarkStart w:id="2" w:name="_Hlk36577278"/>
            <w:r>
              <w:rPr>
                <w:rFonts w:hint="eastAsia"/>
                <w:szCs w:val="21"/>
              </w:rPr>
              <w:t>游离二氧化硅、</w:t>
            </w:r>
            <w:bookmarkEnd w:id="2"/>
            <w:bookmarkStart w:id="3" w:name="_Hlk36577292"/>
            <w:r>
              <w:rPr>
                <w:rFonts w:hint="eastAsia"/>
                <w:szCs w:val="21"/>
              </w:rPr>
              <w:t>其他</w:t>
            </w:r>
            <w:r>
              <w:rPr>
                <w:szCs w:val="21"/>
              </w:rPr>
              <w:t>粉尘</w:t>
            </w:r>
            <w:r>
              <w:rPr>
                <w:rFonts w:hint="eastAsia"/>
                <w:szCs w:val="21"/>
              </w:rPr>
              <w:t>（总尘）</w:t>
            </w:r>
            <w:r>
              <w:rPr>
                <w:szCs w:val="21"/>
              </w:rPr>
              <w:t>、</w:t>
            </w:r>
            <w:r>
              <w:rPr>
                <w:rFonts w:hint="eastAsia"/>
                <w:szCs w:val="21"/>
              </w:rPr>
              <w:t>噪声、照度</w:t>
            </w:r>
            <w:bookmarkEnd w:id="3"/>
          </w:p>
        </w:tc>
      </w:tr>
      <w:tr w14:paraId="012B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41" w:type="dxa"/>
            <w:noWrap w:val="0"/>
            <w:vAlign w:val="center"/>
          </w:tcPr>
          <w:p w14:paraId="705ED8BC">
            <w:pPr>
              <w:jc w:val="center"/>
              <w:rPr>
                <w:rFonts w:hint="eastAsia"/>
                <w:szCs w:val="21"/>
              </w:rPr>
            </w:pPr>
            <w:r>
              <w:rPr>
                <w:rFonts w:hint="eastAsia"/>
                <w:szCs w:val="21"/>
              </w:rPr>
              <w:t>11</w:t>
            </w:r>
          </w:p>
        </w:tc>
        <w:tc>
          <w:tcPr>
            <w:tcW w:w="1701" w:type="dxa"/>
            <w:noWrap w:val="0"/>
            <w:vAlign w:val="center"/>
          </w:tcPr>
          <w:p w14:paraId="6963ADD8">
            <w:pPr>
              <w:jc w:val="center"/>
              <w:rPr>
                <w:rFonts w:hint="eastAsia"/>
                <w:szCs w:val="21"/>
              </w:rPr>
            </w:pPr>
            <w:r>
              <w:rPr>
                <w:rFonts w:hint="eastAsia"/>
                <w:szCs w:val="21"/>
              </w:rPr>
              <w:t>喷漆室</w:t>
            </w:r>
          </w:p>
        </w:tc>
        <w:tc>
          <w:tcPr>
            <w:tcW w:w="1560" w:type="dxa"/>
            <w:noWrap w:val="0"/>
            <w:vAlign w:val="center"/>
          </w:tcPr>
          <w:p w14:paraId="45B9412C">
            <w:pPr>
              <w:jc w:val="center"/>
              <w:rPr>
                <w:rFonts w:hint="eastAsia"/>
                <w:szCs w:val="21"/>
              </w:rPr>
            </w:pPr>
            <w:r>
              <w:rPr>
                <w:rFonts w:hint="eastAsia"/>
                <w:szCs w:val="21"/>
              </w:rPr>
              <w:t>喷漆室</w:t>
            </w:r>
          </w:p>
        </w:tc>
        <w:tc>
          <w:tcPr>
            <w:tcW w:w="4073" w:type="dxa"/>
            <w:noWrap w:val="0"/>
            <w:vAlign w:val="center"/>
          </w:tcPr>
          <w:p w14:paraId="798DDCFE">
            <w:pPr>
              <w:jc w:val="center"/>
              <w:rPr>
                <w:rFonts w:hint="eastAsia"/>
                <w:szCs w:val="21"/>
              </w:rPr>
            </w:pPr>
            <w:r>
              <w:rPr>
                <w:rFonts w:hint="eastAsia"/>
                <w:szCs w:val="21"/>
              </w:rPr>
              <w:t>正丁醇、异丙醇、丙烯酸、照度</w:t>
            </w:r>
          </w:p>
        </w:tc>
      </w:tr>
      <w:tr w14:paraId="04875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41" w:type="dxa"/>
            <w:noWrap w:val="0"/>
            <w:vAlign w:val="center"/>
          </w:tcPr>
          <w:p w14:paraId="01B2BE2A">
            <w:pPr>
              <w:jc w:val="center"/>
              <w:rPr>
                <w:rFonts w:hint="eastAsia"/>
                <w:szCs w:val="21"/>
              </w:rPr>
            </w:pPr>
            <w:r>
              <w:rPr>
                <w:rFonts w:hint="eastAsia"/>
                <w:szCs w:val="21"/>
              </w:rPr>
              <w:t>12</w:t>
            </w:r>
          </w:p>
        </w:tc>
        <w:tc>
          <w:tcPr>
            <w:tcW w:w="1701" w:type="dxa"/>
            <w:noWrap w:val="0"/>
            <w:vAlign w:val="center"/>
          </w:tcPr>
          <w:p w14:paraId="50CE8C6A">
            <w:pPr>
              <w:jc w:val="center"/>
              <w:rPr>
                <w:rFonts w:hint="eastAsia"/>
                <w:szCs w:val="21"/>
              </w:rPr>
            </w:pPr>
            <w:r>
              <w:rPr>
                <w:rFonts w:hint="eastAsia"/>
                <w:szCs w:val="21"/>
              </w:rPr>
              <w:t>酸洗区</w:t>
            </w:r>
          </w:p>
        </w:tc>
        <w:tc>
          <w:tcPr>
            <w:tcW w:w="1560" w:type="dxa"/>
            <w:noWrap w:val="0"/>
            <w:vAlign w:val="center"/>
          </w:tcPr>
          <w:p w14:paraId="038F8CF0">
            <w:pPr>
              <w:jc w:val="center"/>
              <w:rPr>
                <w:rFonts w:hint="eastAsia"/>
                <w:szCs w:val="21"/>
              </w:rPr>
            </w:pPr>
            <w:r>
              <w:rPr>
                <w:rFonts w:hint="eastAsia"/>
                <w:szCs w:val="21"/>
              </w:rPr>
              <w:t>酸洗操作位</w:t>
            </w:r>
          </w:p>
        </w:tc>
        <w:tc>
          <w:tcPr>
            <w:tcW w:w="4073" w:type="dxa"/>
            <w:noWrap w:val="0"/>
            <w:vAlign w:val="center"/>
          </w:tcPr>
          <w:p w14:paraId="2D71DD1B">
            <w:pPr>
              <w:jc w:val="center"/>
              <w:rPr>
                <w:rFonts w:hint="eastAsia"/>
                <w:szCs w:val="21"/>
              </w:rPr>
            </w:pPr>
            <w:r>
              <w:rPr>
                <w:rFonts w:hint="eastAsia"/>
                <w:szCs w:val="21"/>
              </w:rPr>
              <w:t>硫酸、盐酸、氢氧化钠、碳酸钠、噪声</w:t>
            </w:r>
          </w:p>
        </w:tc>
      </w:tr>
      <w:tr w14:paraId="26A82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41" w:type="dxa"/>
            <w:noWrap w:val="0"/>
            <w:vAlign w:val="center"/>
          </w:tcPr>
          <w:p w14:paraId="4D96230D">
            <w:pPr>
              <w:jc w:val="center"/>
              <w:rPr>
                <w:rFonts w:hint="eastAsia"/>
                <w:szCs w:val="21"/>
              </w:rPr>
            </w:pPr>
            <w:r>
              <w:rPr>
                <w:rFonts w:hint="eastAsia"/>
                <w:szCs w:val="21"/>
              </w:rPr>
              <w:t>13</w:t>
            </w:r>
          </w:p>
        </w:tc>
        <w:tc>
          <w:tcPr>
            <w:tcW w:w="1701" w:type="dxa"/>
            <w:noWrap w:val="0"/>
            <w:vAlign w:val="center"/>
          </w:tcPr>
          <w:p w14:paraId="2669931B">
            <w:pPr>
              <w:jc w:val="center"/>
              <w:rPr>
                <w:rFonts w:hint="eastAsia"/>
                <w:szCs w:val="21"/>
              </w:rPr>
            </w:pPr>
            <w:r>
              <w:rPr>
                <w:rFonts w:hint="eastAsia"/>
                <w:szCs w:val="21"/>
              </w:rPr>
              <w:t>危险品库</w:t>
            </w:r>
          </w:p>
        </w:tc>
        <w:tc>
          <w:tcPr>
            <w:tcW w:w="1560" w:type="dxa"/>
            <w:noWrap w:val="0"/>
            <w:vAlign w:val="center"/>
          </w:tcPr>
          <w:p w14:paraId="1BD50AA9">
            <w:pPr>
              <w:jc w:val="center"/>
              <w:rPr>
                <w:rFonts w:hint="eastAsia"/>
                <w:szCs w:val="21"/>
              </w:rPr>
            </w:pPr>
            <w:r>
              <w:rPr>
                <w:rFonts w:hint="eastAsia"/>
                <w:szCs w:val="21"/>
              </w:rPr>
              <w:t>危险品库</w:t>
            </w:r>
          </w:p>
        </w:tc>
        <w:tc>
          <w:tcPr>
            <w:tcW w:w="4073" w:type="dxa"/>
            <w:noWrap w:val="0"/>
            <w:vAlign w:val="center"/>
          </w:tcPr>
          <w:p w14:paraId="4C0BA88C">
            <w:pPr>
              <w:jc w:val="center"/>
              <w:rPr>
                <w:rFonts w:hint="eastAsia"/>
                <w:szCs w:val="21"/>
              </w:rPr>
            </w:pPr>
            <w:r>
              <w:rPr>
                <w:rFonts w:hint="eastAsia"/>
                <w:szCs w:val="21"/>
              </w:rPr>
              <w:t>正丁醇、异丙醇、硫酸、盐酸、氢氧化钠、碳酸钠、丙烯酸</w:t>
            </w:r>
          </w:p>
        </w:tc>
      </w:tr>
    </w:tbl>
    <w:p w14:paraId="15558E3D">
      <w:pPr>
        <w:ind w:firstLine="602" w:firstLineChars="200"/>
        <w:rPr>
          <w:rFonts w:hint="eastAsia" w:ascii="仿宋" w:hAnsi="仿宋" w:eastAsia="仿宋" w:cs="仿宋"/>
          <w:bCs/>
          <w:kern w:val="1"/>
          <w:sz w:val="30"/>
          <w:szCs w:val="30"/>
        </w:rPr>
      </w:pPr>
      <w:r>
        <w:rPr>
          <w:rFonts w:hint="eastAsia" w:ascii="仿宋" w:hAnsi="仿宋" w:eastAsia="仿宋" w:cs="仿宋"/>
          <w:b/>
          <w:color w:val="auto"/>
          <w:sz w:val="30"/>
          <w:szCs w:val="30"/>
        </w:rPr>
        <w:t>三、报价人资质与要求</w:t>
      </w:r>
    </w:p>
    <w:p w14:paraId="0DF68036">
      <w:pPr>
        <w:adjustRightInd w:val="0"/>
        <w:snapToGrid w:val="0"/>
        <w:spacing w:line="360" w:lineRule="auto"/>
        <w:ind w:firstLine="600" w:firstLineChars="200"/>
        <w:rPr>
          <w:rFonts w:hint="eastAsia" w:ascii="仿宋" w:hAnsi="仿宋" w:eastAsia="仿宋" w:cs="仿宋"/>
          <w:bCs/>
          <w:kern w:val="1"/>
          <w:sz w:val="30"/>
          <w:szCs w:val="30"/>
        </w:rPr>
      </w:pPr>
      <w:r>
        <w:rPr>
          <w:rFonts w:hint="eastAsia" w:ascii="仿宋" w:hAnsi="仿宋" w:eastAsia="仿宋" w:cs="仿宋"/>
          <w:bCs/>
          <w:kern w:val="1"/>
          <w:sz w:val="30"/>
          <w:szCs w:val="30"/>
        </w:rPr>
        <w:t>1．</w:t>
      </w:r>
      <w:r>
        <w:rPr>
          <w:rFonts w:hint="eastAsia" w:ascii="仿宋" w:hAnsi="仿宋" w:eastAsia="仿宋" w:cs="仿宋"/>
          <w:bCs/>
          <w:kern w:val="1"/>
          <w:sz w:val="30"/>
          <w:szCs w:val="30"/>
          <w:lang w:eastAsia="zh-CN"/>
        </w:rPr>
        <w:t>报价</w:t>
      </w:r>
      <w:r>
        <w:rPr>
          <w:rFonts w:hint="eastAsia" w:ascii="仿宋" w:hAnsi="仿宋" w:eastAsia="仿宋" w:cs="仿宋"/>
          <w:bCs/>
          <w:kern w:val="1"/>
          <w:sz w:val="30"/>
          <w:szCs w:val="30"/>
          <w:lang w:val="en-US" w:eastAsia="zh-CN"/>
        </w:rPr>
        <w:t>人</w:t>
      </w:r>
      <w:r>
        <w:rPr>
          <w:rFonts w:hint="eastAsia" w:ascii="仿宋" w:hAnsi="仿宋" w:eastAsia="仿宋" w:cs="仿宋"/>
          <w:bCs/>
          <w:kern w:val="1"/>
          <w:sz w:val="30"/>
          <w:szCs w:val="30"/>
        </w:rPr>
        <w:t>必须为江苏省内注册的法人，具有合法的营业执照，经营范围须含有职业卫生服务内容，注册资本50万以上。</w:t>
      </w:r>
    </w:p>
    <w:p w14:paraId="0457F0D7">
      <w:pPr>
        <w:adjustRightInd w:val="0"/>
        <w:snapToGrid w:val="0"/>
        <w:spacing w:line="360" w:lineRule="auto"/>
        <w:ind w:firstLine="600" w:firstLineChars="200"/>
        <w:rPr>
          <w:rFonts w:hint="eastAsia" w:ascii="仿宋" w:hAnsi="仿宋" w:eastAsia="仿宋" w:cs="仿宋"/>
          <w:bCs/>
          <w:kern w:val="1"/>
          <w:sz w:val="30"/>
          <w:szCs w:val="30"/>
        </w:rPr>
      </w:pPr>
      <w:r>
        <w:rPr>
          <w:rFonts w:hint="eastAsia" w:ascii="仿宋" w:hAnsi="仿宋" w:eastAsia="仿宋" w:cs="仿宋"/>
          <w:bCs/>
          <w:kern w:val="1"/>
          <w:sz w:val="30"/>
          <w:szCs w:val="30"/>
        </w:rPr>
        <w:t>2．</w:t>
      </w:r>
      <w:r>
        <w:rPr>
          <w:rFonts w:hint="eastAsia" w:ascii="仿宋" w:hAnsi="仿宋" w:eastAsia="仿宋" w:cs="仿宋"/>
          <w:bCs/>
          <w:kern w:val="1"/>
          <w:sz w:val="30"/>
          <w:szCs w:val="30"/>
          <w:lang w:eastAsia="zh-CN"/>
        </w:rPr>
        <w:t>报价</w:t>
      </w:r>
      <w:r>
        <w:rPr>
          <w:rFonts w:hint="eastAsia" w:ascii="仿宋" w:hAnsi="仿宋" w:eastAsia="仿宋" w:cs="仿宋"/>
          <w:bCs/>
          <w:kern w:val="1"/>
          <w:sz w:val="30"/>
          <w:szCs w:val="30"/>
          <w:lang w:val="en-US" w:eastAsia="zh-CN"/>
        </w:rPr>
        <w:t>人</w:t>
      </w:r>
      <w:r>
        <w:rPr>
          <w:rFonts w:hint="eastAsia" w:ascii="仿宋" w:hAnsi="仿宋" w:eastAsia="仿宋" w:cs="仿宋"/>
          <w:bCs/>
          <w:kern w:val="1"/>
          <w:sz w:val="30"/>
          <w:szCs w:val="30"/>
        </w:rPr>
        <w:t>守法诚信、信用良好，无重大违法行为。</w:t>
      </w:r>
    </w:p>
    <w:p w14:paraId="0292096B">
      <w:pPr>
        <w:adjustRightInd w:val="0"/>
        <w:snapToGrid w:val="0"/>
        <w:spacing w:line="360" w:lineRule="auto"/>
        <w:ind w:firstLine="600" w:firstLineChars="200"/>
        <w:rPr>
          <w:rFonts w:hint="eastAsia" w:ascii="仿宋" w:hAnsi="仿宋" w:eastAsia="仿宋" w:cs="仿宋"/>
          <w:bCs/>
          <w:kern w:val="1"/>
          <w:sz w:val="30"/>
          <w:szCs w:val="30"/>
        </w:rPr>
      </w:pPr>
      <w:r>
        <w:rPr>
          <w:rFonts w:hint="eastAsia" w:ascii="仿宋" w:hAnsi="仿宋" w:eastAsia="仿宋" w:cs="仿宋"/>
          <w:bCs/>
          <w:kern w:val="1"/>
          <w:sz w:val="30"/>
          <w:szCs w:val="30"/>
        </w:rPr>
        <w:t>3．</w:t>
      </w:r>
      <w:r>
        <w:rPr>
          <w:rFonts w:hint="eastAsia" w:ascii="仿宋" w:hAnsi="仿宋" w:eastAsia="仿宋" w:cs="仿宋"/>
          <w:bCs/>
          <w:kern w:val="1"/>
          <w:sz w:val="30"/>
          <w:szCs w:val="30"/>
          <w:lang w:eastAsia="zh-CN"/>
        </w:rPr>
        <w:t>报价</w:t>
      </w:r>
      <w:r>
        <w:rPr>
          <w:rFonts w:hint="eastAsia" w:ascii="仿宋" w:hAnsi="仿宋" w:eastAsia="仿宋" w:cs="仿宋"/>
          <w:bCs/>
          <w:kern w:val="1"/>
          <w:sz w:val="30"/>
          <w:szCs w:val="30"/>
          <w:lang w:val="en-US" w:eastAsia="zh-CN"/>
        </w:rPr>
        <w:t>人</w:t>
      </w:r>
      <w:bookmarkStart w:id="4" w:name="_GoBack"/>
      <w:bookmarkEnd w:id="4"/>
      <w:r>
        <w:rPr>
          <w:rFonts w:hint="eastAsia" w:ascii="仿宋" w:hAnsi="仿宋" w:eastAsia="仿宋" w:cs="仿宋"/>
          <w:bCs/>
          <w:kern w:val="1"/>
          <w:sz w:val="30"/>
          <w:szCs w:val="30"/>
        </w:rPr>
        <w:t>应该具备职业卫生技术服务资质，有从事职业卫生技术服务工作的业绩，资信良好。</w:t>
      </w:r>
    </w:p>
    <w:p w14:paraId="5295CC62">
      <w:pPr>
        <w:adjustRightInd w:val="0"/>
        <w:snapToGrid w:val="0"/>
        <w:spacing w:line="600" w:lineRule="exact"/>
        <w:ind w:firstLine="480"/>
        <w:rPr>
          <w:rFonts w:hint="eastAsia" w:ascii="仿宋" w:hAnsi="仿宋" w:eastAsia="仿宋" w:cs="仿宋"/>
          <w:bCs/>
          <w:color w:val="auto"/>
          <w:kern w:val="1"/>
          <w:sz w:val="30"/>
          <w:szCs w:val="30"/>
        </w:rPr>
      </w:pPr>
      <w:r>
        <w:rPr>
          <w:rFonts w:hint="eastAsia" w:ascii="仿宋" w:hAnsi="仿宋" w:eastAsia="仿宋" w:cs="仿宋"/>
          <w:b/>
          <w:color w:val="auto"/>
          <w:kern w:val="2"/>
          <w:sz w:val="30"/>
          <w:szCs w:val="30"/>
        </w:rPr>
        <w:t>四、报价：</w:t>
      </w:r>
    </w:p>
    <w:p w14:paraId="067B1D46">
      <w:pPr>
        <w:adjustRightInd w:val="0"/>
        <w:snapToGrid w:val="0"/>
        <w:spacing w:line="600" w:lineRule="exact"/>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sz w:val="30"/>
          <w:szCs w:val="30"/>
        </w:rPr>
        <w:t>报价为含增值税送到价。如国家税率调整，按合同含税价格/（1+合同约定税率）*（1+国家规定的新税率）调整合同价格开具发票；</w:t>
      </w:r>
    </w:p>
    <w:p w14:paraId="63D12CEB">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（二）付款方式：</w:t>
      </w:r>
      <w:r>
        <w:rPr>
          <w:rFonts w:hint="eastAsia" w:ascii="仿宋" w:hAnsi="仿宋" w:eastAsia="仿宋" w:cs="仿宋"/>
          <w:bCs/>
          <w:color w:val="auto"/>
          <w:kern w:val="1"/>
          <w:sz w:val="30"/>
          <w:szCs w:val="30"/>
          <w:lang w:val="en-US" w:eastAsia="zh-CN"/>
        </w:rPr>
        <w:t>见询价单</w:t>
      </w:r>
      <w:r>
        <w:rPr>
          <w:rFonts w:hint="eastAsia" w:ascii="仿宋" w:hAnsi="仿宋" w:eastAsia="仿宋" w:cs="仿宋"/>
          <w:bCs/>
          <w:color w:val="auto"/>
          <w:kern w:val="1"/>
          <w:sz w:val="30"/>
          <w:szCs w:val="30"/>
        </w:rPr>
        <w:t>。如报价人不接受采购人提出的付款方式，可在</w:t>
      </w:r>
      <w:r>
        <w:rPr>
          <w:rFonts w:hint="eastAsia" w:ascii="仿宋" w:hAnsi="仿宋" w:eastAsia="仿宋" w:cs="仿宋"/>
          <w:bCs/>
          <w:color w:val="auto"/>
          <w:kern w:val="1"/>
          <w:sz w:val="30"/>
          <w:szCs w:val="30"/>
          <w:lang w:val="en-US" w:eastAsia="zh-CN"/>
        </w:rPr>
        <w:t>询价单</w:t>
      </w:r>
      <w:r>
        <w:rPr>
          <w:rFonts w:hint="eastAsia" w:ascii="仿宋" w:hAnsi="仿宋" w:eastAsia="仿宋" w:cs="仿宋"/>
          <w:bCs/>
          <w:color w:val="auto"/>
          <w:kern w:val="1"/>
          <w:sz w:val="30"/>
          <w:szCs w:val="30"/>
        </w:rPr>
        <w:t>中明确能够接受的付款方式及付款时间，评</w:t>
      </w:r>
      <w:r>
        <w:rPr>
          <w:rFonts w:hint="eastAsia" w:ascii="仿宋" w:hAnsi="仿宋" w:eastAsia="仿宋" w:cs="仿宋"/>
          <w:bCs/>
          <w:color w:val="auto"/>
          <w:kern w:val="1"/>
          <w:sz w:val="30"/>
          <w:szCs w:val="30"/>
          <w:lang w:val="en-US" w:eastAsia="zh-CN"/>
        </w:rPr>
        <w:t>审</w:t>
      </w:r>
      <w:r>
        <w:rPr>
          <w:rFonts w:hint="eastAsia" w:ascii="仿宋" w:hAnsi="仿宋" w:eastAsia="仿宋" w:cs="仿宋"/>
          <w:bCs/>
          <w:color w:val="auto"/>
          <w:kern w:val="1"/>
          <w:sz w:val="30"/>
          <w:szCs w:val="30"/>
        </w:rPr>
        <w:t>时作为参考。报价为含税</w:t>
      </w:r>
      <w:r>
        <w:rPr>
          <w:rFonts w:hint="eastAsia" w:ascii="仿宋" w:hAnsi="仿宋" w:eastAsia="仿宋" w:cs="仿宋"/>
          <w:bCs/>
          <w:color w:val="auto"/>
          <w:kern w:val="1"/>
          <w:sz w:val="30"/>
          <w:szCs w:val="30"/>
          <w:lang w:val="en-US" w:eastAsia="zh-CN"/>
        </w:rPr>
        <w:t>含运费价</w:t>
      </w:r>
      <w:r>
        <w:rPr>
          <w:rFonts w:hint="eastAsia" w:ascii="仿宋" w:hAnsi="仿宋" w:eastAsia="仿宋" w:cs="仿宋"/>
          <w:bCs/>
          <w:color w:val="auto"/>
          <w:kern w:val="1"/>
          <w:sz w:val="30"/>
          <w:szCs w:val="30"/>
        </w:rPr>
        <w:t>，如有不同请注明。</w:t>
      </w:r>
    </w:p>
    <w:p w14:paraId="1CABDBCD">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（三）本项目报价可通过线上和线下两种方式进行：</w:t>
      </w:r>
    </w:p>
    <w:p w14:paraId="77F4337D">
      <w:pPr>
        <w:adjustRightInd w:val="0"/>
        <w:snapToGrid w:val="0"/>
        <w:spacing w:line="600" w:lineRule="exact"/>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1、采用线上报价需严格按照1688线上格式要求填写报价，如需上传报价单需加盖报价章，同时上传采购文件中所规定的资质材料。</w:t>
      </w:r>
    </w:p>
    <w:p w14:paraId="200D0998">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2、采用线下报价有两种方式：</w:t>
      </w:r>
    </w:p>
    <w:p w14:paraId="498F64F9">
      <w:pPr>
        <w:wordWrap w:val="0"/>
        <w:adjustRightInd w:val="0"/>
        <w:snapToGrid w:val="0"/>
        <w:spacing w:line="600" w:lineRule="exact"/>
        <w:ind w:firstLine="600" w:firstLineChars="200"/>
        <w:jc w:val="left"/>
        <w:rPr>
          <w:rFonts w:hint="eastAsia" w:ascii="仿宋" w:hAnsi="仿宋" w:eastAsia="仿宋" w:cs="仿宋"/>
          <w:bCs/>
          <w:sz w:val="30"/>
          <w:szCs w:val="30"/>
        </w:rPr>
      </w:pPr>
      <w:r>
        <w:rPr>
          <w:rFonts w:hint="eastAsia" w:ascii="仿宋" w:hAnsi="仿宋" w:eastAsia="仿宋" w:cs="仿宋"/>
          <w:bCs/>
          <w:color w:val="auto"/>
          <w:kern w:val="1"/>
          <w:sz w:val="30"/>
          <w:szCs w:val="30"/>
        </w:rPr>
        <w:t>（1）密封报价。应</w:t>
      </w:r>
      <w:r>
        <w:rPr>
          <w:rFonts w:hint="eastAsia" w:ascii="仿宋" w:hAnsi="仿宋" w:eastAsia="仿宋" w:cs="仿宋"/>
          <w:bCs/>
          <w:sz w:val="30"/>
          <w:szCs w:val="30"/>
        </w:rPr>
        <w:t>将报价书及相关资料以标袋形式送达，标袋外包装必须用“封条”密封，封条“格式自定”，另需加盖公章、法人章，填写密封日期；在标袋封面上需注明“报价项目名称，报价方名称、地址、联系人、联系电话”等；</w:t>
      </w:r>
    </w:p>
    <w:p w14:paraId="7334AD7E">
      <w:pPr>
        <w:wordWrap w:val="0"/>
        <w:adjustRightInd w:val="0"/>
        <w:snapToGrid w:val="0"/>
        <w:spacing w:line="600" w:lineRule="exact"/>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sz w:val="30"/>
          <w:szCs w:val="30"/>
        </w:rPr>
        <w:t>（2）</w:t>
      </w:r>
      <w:r>
        <w:rPr>
          <w:rFonts w:hint="eastAsia" w:ascii="仿宋" w:hAnsi="仿宋" w:eastAsia="仿宋" w:cs="仿宋"/>
          <w:bCs/>
          <w:color w:val="auto"/>
          <w:kern w:val="1"/>
          <w:sz w:val="30"/>
          <w:szCs w:val="30"/>
        </w:rPr>
        <w:t>通过采购邮箱报价。应将报价报价盖章扫描发至公司招报价邮箱，邮件主题上应注明报价单位的名称+标的物的名称，以便于在开标时区分采购名称，防止误点误开，未注明清楚的报价由报价单位自行负责，</w:t>
      </w:r>
      <w:r>
        <w:rPr>
          <w:rFonts w:hint="eastAsia" w:ascii="仿宋" w:hAnsi="仿宋" w:eastAsia="仿宋" w:cs="仿宋"/>
          <w:b/>
          <w:bCs/>
          <w:color w:val="auto"/>
          <w:kern w:val="1"/>
          <w:sz w:val="30"/>
          <w:szCs w:val="30"/>
        </w:rPr>
        <w:t>此外通过邮箱报价的附件应进行文件加密，在开标时采购人会电话联系报价联系人，报价人将密码告知采购人进行解密，未对文件进行加密的报价文件导致的信息泄露采购方概不负责</w:t>
      </w:r>
      <w:r>
        <w:rPr>
          <w:rFonts w:hint="eastAsia" w:ascii="仿宋" w:hAnsi="仿宋" w:eastAsia="仿宋" w:cs="仿宋"/>
          <w:bCs/>
          <w:color w:val="auto"/>
          <w:kern w:val="1"/>
          <w:sz w:val="30"/>
          <w:szCs w:val="30"/>
        </w:rPr>
        <w:t>。以上两种线下报价方式要求在报价截止日之前送达，逾期将作为无效报价处理。</w:t>
      </w:r>
    </w:p>
    <w:p w14:paraId="56608A1B">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（四）与本报价有关的一切往来通讯请密封寄：</w:t>
      </w:r>
    </w:p>
    <w:p w14:paraId="1A2CA56B">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公司：江苏索普赛瑞装备制造有限公司商务合作部</w:t>
      </w:r>
    </w:p>
    <w:p w14:paraId="5740CE7C">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地址：江苏省镇江市京口区谏壁镇求索路18号</w:t>
      </w:r>
    </w:p>
    <w:p w14:paraId="76D8FA69">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邮编：212006</w:t>
      </w:r>
    </w:p>
    <w:p w14:paraId="7CBE5877">
      <w:pPr>
        <w:wordWrap w:val="0"/>
        <w:adjustRightInd w:val="0"/>
        <w:snapToGrid w:val="0"/>
        <w:spacing w:line="600" w:lineRule="exact"/>
        <w:ind w:firstLine="600" w:firstLineChars="200"/>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联系人：</w:t>
      </w:r>
      <w:r>
        <w:rPr>
          <w:rFonts w:hint="eastAsia" w:ascii="仿宋" w:hAnsi="仿宋" w:eastAsia="仿宋" w:cs="仿宋"/>
          <w:bCs/>
          <w:color w:val="auto"/>
          <w:kern w:val="1"/>
          <w:sz w:val="30"/>
          <w:szCs w:val="30"/>
          <w:lang w:val="en-US" w:eastAsia="zh-CN"/>
        </w:rPr>
        <w:t>石晓庆</w:t>
      </w:r>
    </w:p>
    <w:p w14:paraId="539D3672">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联系电话：</w:t>
      </w:r>
      <w:r>
        <w:rPr>
          <w:rFonts w:hint="eastAsia" w:ascii="仿宋" w:hAnsi="仿宋" w:eastAsia="仿宋" w:cs="仿宋"/>
          <w:bCs/>
          <w:color w:val="auto"/>
          <w:kern w:val="1"/>
          <w:sz w:val="30"/>
          <w:szCs w:val="30"/>
          <w:lang w:val="en-US" w:eastAsia="zh-CN"/>
        </w:rPr>
        <w:t>15952902110</w:t>
      </w:r>
    </w:p>
    <w:p w14:paraId="6F507C60">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（五）与本报价有关的收件邮箱有关信息：</w:t>
      </w:r>
    </w:p>
    <w:p w14:paraId="570876F6">
      <w:pPr>
        <w:wordWrap w:val="0"/>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收件地址：</w:t>
      </w:r>
      <w:r>
        <w:rPr>
          <w:rFonts w:hint="eastAsia" w:ascii="仿宋" w:hAnsi="仿宋" w:eastAsia="仿宋" w:cs="仿宋"/>
          <w:bCs/>
          <w:color w:val="auto"/>
          <w:kern w:val="1"/>
          <w:sz w:val="30"/>
          <w:szCs w:val="30"/>
        </w:rPr>
        <w:fldChar w:fldCharType="begin"/>
      </w:r>
      <w:r>
        <w:rPr>
          <w:rFonts w:hint="eastAsia" w:ascii="仿宋" w:hAnsi="仿宋" w:eastAsia="仿宋" w:cs="仿宋"/>
          <w:bCs/>
          <w:color w:val="auto"/>
          <w:kern w:val="1"/>
          <w:sz w:val="30"/>
          <w:szCs w:val="30"/>
        </w:rPr>
        <w:instrText xml:space="preserve"> HYPERLINK "mailto:cgzb@sopocere.com" </w:instrText>
      </w:r>
      <w:r>
        <w:rPr>
          <w:rFonts w:hint="eastAsia" w:ascii="仿宋" w:hAnsi="仿宋" w:eastAsia="仿宋" w:cs="仿宋"/>
          <w:bCs/>
          <w:color w:val="auto"/>
          <w:kern w:val="1"/>
          <w:sz w:val="30"/>
          <w:szCs w:val="30"/>
        </w:rPr>
        <w:fldChar w:fldCharType="separate"/>
      </w:r>
      <w:r>
        <w:rPr>
          <w:rFonts w:hint="eastAsia" w:ascii="仿宋" w:hAnsi="仿宋" w:eastAsia="仿宋" w:cs="仿宋"/>
          <w:bCs/>
          <w:color w:val="auto"/>
          <w:kern w:val="1"/>
          <w:sz w:val="30"/>
          <w:szCs w:val="30"/>
        </w:rPr>
        <w:t>cgzb@sopocere.com</w:t>
      </w:r>
      <w:r>
        <w:rPr>
          <w:rFonts w:hint="eastAsia" w:ascii="仿宋" w:hAnsi="仿宋" w:eastAsia="仿宋" w:cs="仿宋"/>
          <w:bCs/>
          <w:color w:val="auto"/>
          <w:kern w:val="1"/>
          <w:sz w:val="30"/>
          <w:szCs w:val="30"/>
        </w:rPr>
        <w:fldChar w:fldCharType="end"/>
      </w:r>
      <w:r>
        <w:rPr>
          <w:rFonts w:hint="eastAsia" w:ascii="仿宋" w:hAnsi="仿宋" w:eastAsia="仿宋" w:cs="仿宋"/>
          <w:bCs/>
          <w:color w:val="auto"/>
          <w:kern w:val="1"/>
          <w:sz w:val="30"/>
          <w:szCs w:val="30"/>
        </w:rPr>
        <w:t>（邮件主题上应注明报价单位的名称+标的物的名称，以便于在解密邮件时区分采购名称，防止误点误开，未注明清楚的报价由报价单位自行负责）</w:t>
      </w:r>
    </w:p>
    <w:p w14:paraId="5F150407">
      <w:pPr>
        <w:adjustRightInd w:val="0"/>
        <w:snapToGrid w:val="0"/>
        <w:spacing w:line="600" w:lineRule="exact"/>
        <w:ind w:firstLine="602" w:firstLineChars="200"/>
        <w:jc w:val="left"/>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五、采购评审流程：</w:t>
      </w:r>
    </w:p>
    <w:p w14:paraId="22B77363">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（一）解密</w:t>
      </w:r>
    </w:p>
    <w:p w14:paraId="6E497F95">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本项目由采购人组织评审小组，确定合作单位。</w:t>
      </w:r>
    </w:p>
    <w:p w14:paraId="53E84D97">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（二）评审</w:t>
      </w:r>
    </w:p>
    <w:p w14:paraId="52A1F839">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w:t>
      </w:r>
      <w:r>
        <w:rPr>
          <w:rFonts w:hint="eastAsia" w:ascii="仿宋_GB2312" w:hAnsi="宋体" w:eastAsia="仿宋_GB2312" w:cs="‹ÎSå"/>
          <w:color w:val="auto"/>
          <w:kern w:val="1"/>
          <w:sz w:val="30"/>
          <w:szCs w:val="30"/>
        </w:rPr>
        <w:t>在能够满足采购人技术要求及供货期要求的报价人中选择总价最低的一家报价人作为合作候选人。</w:t>
      </w:r>
    </w:p>
    <w:p w14:paraId="4EB39346">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2、请各报价人保持通讯畅通，便于</w:t>
      </w:r>
      <w:r>
        <w:rPr>
          <w:rFonts w:hint="eastAsia" w:ascii="仿宋_GB2312" w:hAnsi="宋体" w:eastAsia="仿宋_GB2312" w:cs="‹ÎSå"/>
          <w:color w:val="auto"/>
          <w:kern w:val="1"/>
          <w:sz w:val="30"/>
          <w:szCs w:val="30"/>
        </w:rPr>
        <w:t>评审小组在评审现场电话联系</w:t>
      </w:r>
      <w:r>
        <w:rPr>
          <w:rFonts w:hint="eastAsia" w:ascii="仿宋" w:hAnsi="仿宋" w:eastAsia="仿宋" w:cs="仿宋"/>
          <w:bCs/>
          <w:color w:val="auto"/>
          <w:kern w:val="1"/>
          <w:sz w:val="30"/>
          <w:szCs w:val="30"/>
        </w:rPr>
        <w:t>。</w:t>
      </w:r>
    </w:p>
    <w:p w14:paraId="2F03631C">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3、评审小组不得泄露各报价人的报价。                                    </w:t>
      </w:r>
    </w:p>
    <w:p w14:paraId="4895E517">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（三）流标</w:t>
      </w:r>
    </w:p>
    <w:p w14:paraId="6EF3FCD5">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采购人如发现采购过程中有串标、陪标等扰乱采购人经营秩序的恶劣情况，经采购人评审小组评定可作流标处理，并可将相关报价方列入供应商负面清单，一年内不再接受参与报价工作。</w:t>
      </w:r>
    </w:p>
    <w:p w14:paraId="583F37DA">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（四）无效报价</w:t>
      </w:r>
    </w:p>
    <w:p w14:paraId="714560D1">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1、凡报价人不具备生产经营资质的，或报价文件填写不完整、报价有空项的，或不符合技术要求条款的，或者存在其他不符合采购人有关要求的问题，经采购人评审小组评定，可作无效报价处理。</w:t>
      </w:r>
    </w:p>
    <w:p w14:paraId="6EE44C69">
      <w:pPr>
        <w:adjustRightInd w:val="0"/>
        <w:snapToGrid w:val="0"/>
        <w:spacing w:line="600" w:lineRule="exact"/>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FF0000"/>
          <w:kern w:val="1"/>
          <w:sz w:val="30"/>
          <w:szCs w:val="30"/>
        </w:rPr>
        <w:t xml:space="preserve">  </w:t>
      </w:r>
      <w:r>
        <w:rPr>
          <w:rFonts w:hint="eastAsia" w:ascii="仿宋" w:hAnsi="仿宋" w:eastAsia="仿宋" w:cs="仿宋"/>
          <w:bCs/>
          <w:color w:val="auto"/>
          <w:kern w:val="1"/>
          <w:sz w:val="30"/>
          <w:szCs w:val="30"/>
        </w:rPr>
        <w:t>2、报价人应如实提供符合市场规律和自身成本的合理报价。如果报价人的报价与市场价格明显偏离并因此影响了采购活动的公正合理性，损害了采购人的正当利益，经采购人评审小组评定，可作无效报价处理。</w:t>
      </w:r>
    </w:p>
    <w:p w14:paraId="0CF5A953">
      <w:pPr>
        <w:numPr>
          <w:ilvl w:val="0"/>
          <w:numId w:val="1"/>
        </w:numPr>
        <w:adjustRightInd w:val="0"/>
        <w:snapToGrid w:val="0"/>
        <w:spacing w:line="600" w:lineRule="exact"/>
        <w:ind w:firstLine="602" w:firstLineChars="200"/>
        <w:jc w:val="left"/>
        <w:rPr>
          <w:rFonts w:hint="eastAsia"/>
          <w:color w:val="auto"/>
          <w:sz w:val="30"/>
          <w:szCs w:val="30"/>
        </w:rPr>
      </w:pPr>
      <w:r>
        <w:rPr>
          <w:rFonts w:hint="eastAsia" w:ascii="仿宋" w:hAnsi="仿宋" w:eastAsia="仿宋" w:cs="仿宋"/>
          <w:b/>
          <w:color w:val="auto"/>
          <w:kern w:val="1"/>
          <w:sz w:val="30"/>
          <w:szCs w:val="30"/>
        </w:rPr>
        <w:t>其他注意事项：</w:t>
      </w:r>
      <w:r>
        <w:rPr>
          <w:rFonts w:hint="eastAsia"/>
          <w:color w:val="auto"/>
          <w:sz w:val="30"/>
          <w:szCs w:val="30"/>
        </w:rPr>
        <w:t>　　</w:t>
      </w:r>
    </w:p>
    <w:p w14:paraId="62704BC8">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（一）违约责任：</w:t>
      </w:r>
    </w:p>
    <w:p w14:paraId="7C78E70B">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1.如出卖人没有按照规定的时间交货或提供服务，出卖人须支付违约金，违约金从货款中扣除，迟交货物或未提供服务的违约金逾期每日按合同总金额的1%计收。迟交货物或未提供服务超过</w:t>
      </w:r>
      <w:r>
        <w:rPr>
          <w:rFonts w:ascii="仿宋" w:hAnsi="仿宋" w:eastAsia="仿宋" w:cs="仿宋"/>
          <w:bCs/>
          <w:color w:val="auto"/>
          <w:kern w:val="1"/>
          <w:sz w:val="30"/>
          <w:szCs w:val="30"/>
        </w:rPr>
        <w:t>7</w:t>
      </w:r>
      <w:r>
        <w:rPr>
          <w:rFonts w:hint="eastAsia" w:ascii="仿宋" w:hAnsi="仿宋" w:eastAsia="仿宋" w:cs="仿宋"/>
          <w:bCs/>
          <w:color w:val="auto"/>
          <w:kern w:val="1"/>
          <w:sz w:val="30"/>
          <w:szCs w:val="30"/>
        </w:rPr>
        <w:t>日，买受人有权解除合同,买受人可要求出卖人于五个工作日内返还买受人合同货款并按合同总额的</w:t>
      </w:r>
      <w:r>
        <w:rPr>
          <w:rFonts w:ascii="仿宋" w:hAnsi="仿宋" w:eastAsia="仿宋" w:cs="仿宋"/>
          <w:bCs/>
          <w:color w:val="auto"/>
          <w:kern w:val="1"/>
          <w:sz w:val="30"/>
          <w:szCs w:val="30"/>
        </w:rPr>
        <w:t>3</w:t>
      </w:r>
      <w:r>
        <w:rPr>
          <w:rFonts w:hint="eastAsia" w:ascii="仿宋" w:hAnsi="仿宋" w:eastAsia="仿宋" w:cs="仿宋"/>
          <w:bCs/>
          <w:color w:val="auto"/>
          <w:kern w:val="1"/>
          <w:sz w:val="30"/>
          <w:szCs w:val="30"/>
        </w:rPr>
        <w:t>0%承担违约责任。</w:t>
      </w:r>
    </w:p>
    <w:p w14:paraId="29981A8D">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2.出卖人交货后，如果货物经检验不合格的，买受人可选择以下处理方式：</w:t>
      </w:r>
    </w:p>
    <w:p w14:paraId="25E422DD">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w:t>
      </w:r>
      <w:r>
        <w:rPr>
          <w:rFonts w:ascii="仿宋" w:hAnsi="仿宋" w:eastAsia="仿宋" w:cs="仿宋"/>
          <w:bCs/>
          <w:color w:val="auto"/>
          <w:kern w:val="1"/>
          <w:sz w:val="30"/>
          <w:szCs w:val="30"/>
        </w:rPr>
        <w:t>3</w:t>
      </w:r>
      <w:r>
        <w:rPr>
          <w:rFonts w:hint="eastAsia" w:ascii="仿宋" w:hAnsi="仿宋" w:eastAsia="仿宋" w:cs="仿宋"/>
          <w:bCs/>
          <w:color w:val="auto"/>
          <w:kern w:val="1"/>
          <w:sz w:val="30"/>
          <w:szCs w:val="30"/>
        </w:rPr>
        <w:t>0%违约金给买受人，买受人在出卖人返还货款之前，有权质押货物，质押期间如产生仓储费，该仓储费由出卖人承担。</w:t>
      </w:r>
    </w:p>
    <w:p w14:paraId="0B1E3588">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（2）买受人选择解除合同的，退货所产生的费用由出卖人承担。出卖人需在检验不合格之日起五个工作日内返还买受人合同货款，并赔偿合同总货款的</w:t>
      </w:r>
      <w:r>
        <w:rPr>
          <w:rFonts w:ascii="仿宋" w:hAnsi="仿宋" w:eastAsia="仿宋" w:cs="仿宋"/>
          <w:bCs/>
          <w:color w:val="auto"/>
          <w:kern w:val="1"/>
          <w:sz w:val="30"/>
          <w:szCs w:val="30"/>
        </w:rPr>
        <w:t>3</w:t>
      </w:r>
      <w:r>
        <w:rPr>
          <w:rFonts w:hint="eastAsia" w:ascii="仿宋" w:hAnsi="仿宋" w:eastAsia="仿宋" w:cs="仿宋"/>
          <w:bCs/>
          <w:color w:val="auto"/>
          <w:kern w:val="1"/>
          <w:sz w:val="30"/>
          <w:szCs w:val="30"/>
        </w:rPr>
        <w:t>0%违约金给买受人，买受人在出卖人返还货款之前，有权质押货物，质押期间如产生仓储费，仓储费由出卖人承担。</w:t>
      </w:r>
    </w:p>
    <w:p w14:paraId="6517A519">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合作候选人确定以后应严格按照采购文件约定与采购方签定供需合同，并按合同约定做好物资供应和服务工作。对合作候选人所有违背采购文件及合同约定的行为，采购人均可持续保留与合作候选人中止合作的一切权利。　</w:t>
      </w:r>
    </w:p>
    <w:p w14:paraId="697701A1">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对需检验的品种，经采购人检验部门检验合格后方能收货，否则做退、换货处理；长期合约的合作方如出现三次产品质量不合格的情况，视为合作方无能力保障产品质量，采购人有权终止此次采购合同的执行。</w:t>
      </w:r>
    </w:p>
    <w:p w14:paraId="5D6A7210">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（四）对不合格货品采购人应及时通知合作方，如有异议双方可协商解决；协商期间合作方应保证采购人供应，不影响采购人正常生产运行。</w:t>
      </w:r>
    </w:p>
    <w:p w14:paraId="1EA1B699">
      <w:pPr>
        <w:adjustRightInd w:val="0"/>
        <w:snapToGrid w:val="0"/>
        <w:spacing w:line="600" w:lineRule="exac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五）如报价人不能正常履约，对采购人生产经营活动造成影响的，根据《索普赛瑞供应商负面清单管理规定(2023年修订版)》（详见附件1），采购人有权对违反规定的报价人进行考核扣分，对列入负面清单的供应商，索普集团本部及各分子公司将不接受其报价，产生严重影响的，采购人将依法追究报价人法律责任。索普集团供应商负面清单的公示地址为：www.sopo.com.cn。</w:t>
      </w:r>
    </w:p>
    <w:p w14:paraId="7E8B810A">
      <w:pPr>
        <w:adjustRightInd w:val="0"/>
        <w:snapToGrid w:val="0"/>
        <w:spacing w:line="600" w:lineRule="exact"/>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sz w:val="30"/>
          <w:szCs w:val="30"/>
        </w:rPr>
        <w:t>（六）报价人对所供产品所引起的知识产权方面的纠纷，由报价人承担一切后果，采购人不承担任何责任。</w:t>
      </w:r>
    </w:p>
    <w:p w14:paraId="5597BE9F">
      <w:pPr>
        <w:adjustRightInd w:val="0"/>
        <w:snapToGrid w:val="0"/>
        <w:spacing w:line="600" w:lineRule="exact"/>
        <w:ind w:firstLine="600" w:firstLineChars="200"/>
        <w:rPr>
          <w:rFonts w:ascii="仿宋" w:hAnsi="仿宋" w:eastAsia="仿宋" w:cs="仿宋"/>
          <w:bCs/>
          <w:color w:val="auto"/>
          <w:kern w:val="1"/>
          <w:sz w:val="30"/>
          <w:szCs w:val="30"/>
        </w:rPr>
      </w:pPr>
      <w:r>
        <w:rPr>
          <w:rFonts w:hint="eastAsia" w:ascii="仿宋" w:hAnsi="仿宋" w:eastAsia="仿宋" w:cs="仿宋"/>
          <w:bCs/>
          <w:color w:val="auto"/>
          <w:kern w:val="1"/>
          <w:sz w:val="30"/>
          <w:szCs w:val="30"/>
        </w:rPr>
        <w:t>（七）报价人应详细阅读本采购书，参与报价报价即视为对本采购书所列之条款均表示接受。</w:t>
      </w:r>
    </w:p>
    <w:p w14:paraId="571D9251">
      <w:pPr>
        <w:pStyle w:val="3"/>
        <w:ind w:firstLine="567" w:firstLineChars="189"/>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（八）报价人不得将任何报价信息泄漏给第三方，一经发现有损采购人利益的可能，均视为无效报价。</w:t>
      </w:r>
    </w:p>
    <w:p w14:paraId="679B8DA3">
      <w:pPr>
        <w:adjustRightInd w:val="0"/>
        <w:snapToGrid w:val="0"/>
        <w:spacing w:line="600" w:lineRule="exact"/>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（九）本次采购解释权归江苏索普赛瑞装备制造有限公司商务合作部所有</w:t>
      </w:r>
      <w:r>
        <w:rPr>
          <w:rFonts w:hint="eastAsia" w:ascii="仿宋" w:hAnsi="仿宋" w:eastAsia="仿宋" w:cs="仿宋"/>
          <w:bCs/>
          <w:color w:val="auto"/>
          <w:kern w:val="2"/>
          <w:sz w:val="30"/>
          <w:szCs w:val="30"/>
        </w:rPr>
        <w:t>。</w:t>
      </w:r>
    </w:p>
    <w:p w14:paraId="018C5DBB">
      <w:pPr>
        <w:adjustRightInd w:val="0"/>
        <w:snapToGrid w:val="0"/>
        <w:spacing w:line="600" w:lineRule="exact"/>
        <w:ind w:left="600" w:hanging="600" w:hanging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（十）本次采购信息公示网址：</w:t>
      </w:r>
      <w:r>
        <w:rPr>
          <w:rFonts w:ascii="仿宋" w:hAnsi="仿宋" w:eastAsia="仿宋" w:cs="仿宋"/>
          <w:bCs/>
          <w:color w:val="auto"/>
          <w:kern w:val="1"/>
          <w:sz w:val="30"/>
          <w:szCs w:val="30"/>
        </w:rPr>
        <w:fldChar w:fldCharType="begin"/>
      </w:r>
      <w:r>
        <w:rPr>
          <w:rFonts w:ascii="仿宋" w:hAnsi="仿宋" w:eastAsia="仿宋" w:cs="仿宋"/>
          <w:bCs/>
          <w:color w:val="auto"/>
          <w:kern w:val="1"/>
          <w:sz w:val="30"/>
          <w:szCs w:val="30"/>
        </w:rPr>
        <w:instrText xml:space="preserve"> HYPERLINK "http://www.sopo.com.cn/list/91-93.html。" </w:instrText>
      </w:r>
      <w:r>
        <w:rPr>
          <w:rFonts w:ascii="仿宋" w:hAnsi="仿宋" w:eastAsia="仿宋" w:cs="仿宋"/>
          <w:bCs/>
          <w:color w:val="auto"/>
          <w:kern w:val="1"/>
          <w:sz w:val="30"/>
          <w:szCs w:val="30"/>
        </w:rPr>
        <w:fldChar w:fldCharType="separate"/>
      </w:r>
      <w:r>
        <w:rPr>
          <w:rStyle w:val="8"/>
          <w:rFonts w:ascii="仿宋" w:hAnsi="仿宋" w:eastAsia="仿宋" w:cs="仿宋"/>
          <w:bCs/>
          <w:color w:val="auto"/>
          <w:kern w:val="1"/>
          <w:sz w:val="30"/>
          <w:szCs w:val="30"/>
          <w:u w:val="none"/>
        </w:rPr>
        <w:t>http://www.sopo.com.cn/list/91-93.html</w:t>
      </w:r>
      <w:r>
        <w:rPr>
          <w:rStyle w:val="8"/>
          <w:rFonts w:hint="eastAsia" w:ascii="仿宋" w:hAnsi="仿宋" w:eastAsia="仿宋" w:cs="仿宋"/>
          <w:bCs/>
          <w:color w:val="auto"/>
          <w:kern w:val="1"/>
          <w:sz w:val="30"/>
          <w:szCs w:val="30"/>
          <w:u w:val="none"/>
        </w:rPr>
        <w:t>。</w:t>
      </w:r>
      <w:r>
        <w:rPr>
          <w:rFonts w:ascii="仿宋" w:hAnsi="仿宋" w:eastAsia="仿宋" w:cs="仿宋"/>
          <w:bCs/>
          <w:color w:val="auto"/>
          <w:kern w:val="1"/>
          <w:sz w:val="30"/>
          <w:szCs w:val="30"/>
        </w:rPr>
        <w:fldChar w:fldCharType="end"/>
      </w:r>
    </w:p>
    <w:p w14:paraId="2E74D9ED">
      <w:pPr>
        <w:adjustRightInd w:val="0"/>
        <w:snapToGrid w:val="0"/>
        <w:spacing w:line="600" w:lineRule="exact"/>
        <w:jc w:val="center"/>
        <w:rPr>
          <w:rFonts w:hint="eastAsia" w:ascii="方正小标宋简体" w:hAnsi="方正小标宋简体" w:eastAsia="方正小标宋简体" w:cs="方正小标宋简体"/>
          <w:bCs/>
          <w:sz w:val="44"/>
          <w:szCs w:val="44"/>
        </w:rPr>
      </w:pPr>
    </w:p>
    <w:p w14:paraId="366249CA">
      <w:pPr>
        <w:adjustRightInd w:val="0"/>
        <w:snapToGrid w:val="0"/>
        <w:spacing w:line="600" w:lineRule="exact"/>
        <w:jc w:val="center"/>
        <w:rPr>
          <w:rFonts w:hint="eastAsia" w:ascii="方正小标宋简体" w:hAnsi="方正小标宋简体" w:eastAsia="方正小标宋简体" w:cs="方正小标宋简体"/>
          <w:bCs/>
          <w:sz w:val="44"/>
          <w:szCs w:val="44"/>
        </w:rPr>
      </w:pPr>
    </w:p>
    <w:p w14:paraId="52F3E50F">
      <w:pPr>
        <w:adjustRightInd w:val="0"/>
        <w:snapToGrid w:val="0"/>
        <w:spacing w:line="600" w:lineRule="exact"/>
        <w:jc w:val="center"/>
        <w:rPr>
          <w:rFonts w:hint="eastAsia" w:ascii="方正小标宋简体" w:hAnsi="方正小标宋简体" w:eastAsia="方正小标宋简体" w:cs="方正小标宋简体"/>
          <w:bCs/>
          <w:sz w:val="44"/>
          <w:szCs w:val="44"/>
        </w:rPr>
      </w:pPr>
    </w:p>
    <w:p w14:paraId="4B88AB0B">
      <w:pPr>
        <w:pStyle w:val="2"/>
        <w:rPr>
          <w:rFonts w:hint="eastAsia" w:ascii="方正小标宋简体" w:hAnsi="方正小标宋简体" w:eastAsia="方正小标宋简体" w:cs="方正小标宋简体"/>
          <w:bCs/>
          <w:sz w:val="44"/>
          <w:szCs w:val="44"/>
        </w:rPr>
      </w:pPr>
    </w:p>
    <w:p w14:paraId="4FBE92F8">
      <w:pPr>
        <w:rPr>
          <w:rFonts w:hint="eastAsia" w:ascii="方正小标宋简体" w:hAnsi="方正小标宋简体" w:eastAsia="方正小标宋简体" w:cs="方正小标宋简体"/>
          <w:bCs/>
          <w:sz w:val="44"/>
          <w:szCs w:val="44"/>
        </w:rPr>
      </w:pPr>
    </w:p>
    <w:p w14:paraId="1A76C1B6">
      <w:pPr>
        <w:pStyle w:val="2"/>
        <w:rPr>
          <w:rFonts w:hint="eastAsia" w:ascii="方正小标宋简体" w:hAnsi="方正小标宋简体" w:eastAsia="方正小标宋简体" w:cs="方正小标宋简体"/>
          <w:bCs/>
          <w:sz w:val="44"/>
          <w:szCs w:val="44"/>
        </w:rPr>
      </w:pPr>
    </w:p>
    <w:p w14:paraId="5EDADB7D">
      <w:pPr>
        <w:rPr>
          <w:rFonts w:hint="eastAsia" w:ascii="方正小标宋简体" w:hAnsi="方正小标宋简体" w:eastAsia="方正小标宋简体" w:cs="方正小标宋简体"/>
          <w:bCs/>
          <w:sz w:val="44"/>
          <w:szCs w:val="44"/>
        </w:rPr>
      </w:pPr>
    </w:p>
    <w:p w14:paraId="7CA2D310">
      <w:pPr>
        <w:rPr>
          <w:rFonts w:hint="eastAsia"/>
        </w:rPr>
      </w:pPr>
    </w:p>
    <w:p w14:paraId="357106E9">
      <w:pPr>
        <w:adjustRightInd w:val="0"/>
        <w:snapToGrid w:val="0"/>
        <w:spacing w:line="600" w:lineRule="exact"/>
        <w:jc w:val="center"/>
        <w:rPr>
          <w:rFonts w:hint="eastAsia" w:ascii="方正小标宋简体" w:hAnsi="方正小标宋简体" w:eastAsia="方正小标宋简体" w:cs="方正小标宋简体"/>
          <w:bCs/>
          <w:sz w:val="44"/>
          <w:szCs w:val="44"/>
        </w:rPr>
      </w:pPr>
    </w:p>
    <w:p w14:paraId="6340DA24">
      <w:pPr>
        <w:adjustRightInd w:val="0"/>
        <w:snapToGrid w:val="0"/>
        <w:spacing w:line="600" w:lineRule="exact"/>
        <w:jc w:val="center"/>
        <w:rPr>
          <w:rFonts w:hint="eastAsia" w:ascii="方正小标宋简体" w:hAnsi="方正小标宋简体" w:eastAsia="方正小标宋简体" w:cs="方正小标宋简体"/>
          <w:bCs/>
          <w:sz w:val="44"/>
          <w:szCs w:val="44"/>
        </w:rPr>
      </w:pPr>
    </w:p>
    <w:p w14:paraId="636400DC">
      <w:pPr>
        <w:adjustRightInd w:val="0"/>
        <w:snapToGrid w:val="0"/>
        <w:spacing w:line="600" w:lineRule="exact"/>
        <w:jc w:val="center"/>
        <w:rPr>
          <w:rFonts w:hint="eastAsia" w:ascii="方正小标宋简体" w:hAnsi="方正小标宋简体" w:eastAsia="方正小标宋简体" w:cs="方正小标宋简体"/>
          <w:bCs/>
          <w:sz w:val="44"/>
          <w:szCs w:val="44"/>
        </w:rPr>
      </w:pPr>
    </w:p>
    <w:p w14:paraId="4DDBA12B">
      <w:pPr>
        <w:pStyle w:val="2"/>
        <w:rPr>
          <w:rFonts w:hint="eastAsia"/>
        </w:rPr>
      </w:pPr>
    </w:p>
    <w:p w14:paraId="0A6FAE1D">
      <w:pPr>
        <w:rPr>
          <w:rFonts w:hint="eastAsia"/>
        </w:rPr>
      </w:pPr>
    </w:p>
    <w:p w14:paraId="5F7423D4">
      <w:pPr>
        <w:adjustRightInd w:val="0"/>
        <w:snapToGrid w:val="0"/>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索普赛瑞供应商负面清单管理规定</w:t>
      </w:r>
    </w:p>
    <w:p w14:paraId="662137F7">
      <w:pPr>
        <w:adjustRightInd w:val="0"/>
        <w:snapToGrid w:val="0"/>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年修订版）</w:t>
      </w:r>
    </w:p>
    <w:p w14:paraId="6F8ED93A">
      <w:pPr>
        <w:tabs>
          <w:tab w:val="left" w:pos="2565"/>
        </w:tabs>
        <w:spacing w:line="600" w:lineRule="exact"/>
        <w:ind w:firstLine="680" w:firstLineChars="200"/>
        <w:rPr>
          <w:rFonts w:ascii="仿宋_GB2312" w:hAnsi="仿宋" w:eastAsia="仿宋_GB2312"/>
          <w:sz w:val="34"/>
          <w:szCs w:val="34"/>
        </w:rPr>
      </w:pPr>
    </w:p>
    <w:p w14:paraId="3788A009">
      <w:pPr>
        <w:adjustRightInd w:val="0"/>
        <w:snapToGrid w:val="0"/>
        <w:spacing w:line="600" w:lineRule="exact"/>
        <w:ind w:firstLine="2891" w:firstLineChars="900"/>
        <w:rPr>
          <w:rFonts w:ascii="黑体" w:hAnsi="黑体" w:eastAsia="黑体"/>
          <w:b/>
          <w:bCs/>
          <w:sz w:val="32"/>
          <w:szCs w:val="32"/>
        </w:rPr>
      </w:pPr>
      <w:r>
        <w:rPr>
          <w:rFonts w:hint="eastAsia" w:ascii="黑体" w:hAnsi="黑体" w:eastAsia="黑体" w:cs="黑体"/>
          <w:b/>
          <w:bCs/>
          <w:sz w:val="32"/>
          <w:szCs w:val="32"/>
        </w:rPr>
        <w:t>第一章 总则</w:t>
      </w:r>
    </w:p>
    <w:p w14:paraId="21ACF0D9">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第一条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凡按国家标准及相关准则或规定组织生产销售的物资供应商、服务提供商或施工承包商，只要资质证照齐全且满足我司采购要求（采购和外协加工受压元件的材料，需要经公司相关部门考察认定），均可参与我司组织的招报价、比价采购等商务活动。</w:t>
      </w:r>
    </w:p>
    <w:p w14:paraId="16F0ABAD">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第二条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本制度适用于索普赛瑞本部各部门。</w:t>
      </w:r>
    </w:p>
    <w:p w14:paraId="0B9C3E6B">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第三条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责任部门职责分工</w:t>
      </w:r>
    </w:p>
    <w:p w14:paraId="18C46B4A">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使用部门：负责提供技术参数或提出服务要求，对采购物资或服务的质量进行验收，对供应商所供货物在使用效果、产品质量、服务质量等方面进行评价。</w:t>
      </w:r>
    </w:p>
    <w:p w14:paraId="3803EF57">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管理部门（质量控制部门或设备保障部等）：监管使用过程，负责对标的物样品或试供原料的质量进行检验，判定其是否符合公司所需的技术要求。</w:t>
      </w:r>
    </w:p>
    <w:p w14:paraId="6BB60BEF">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采购部门：通过线上或线下途径不断开发有能力满足公司所需物资或服务的供应商。对目标供应商所提供的材料完整性、交货期、价格等作为筛选的依据进行资格初审，收集供应商资料并建立档案。</w:t>
      </w:r>
    </w:p>
    <w:p w14:paraId="05534CCB">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监管部门：负责对采购流程的合规性进行监督。</w:t>
      </w:r>
    </w:p>
    <w:p w14:paraId="0413E225">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第二章 供应商负面清单确定流程</w:t>
      </w:r>
    </w:p>
    <w:p w14:paraId="24F71282">
      <w:pPr>
        <w:tabs>
          <w:tab w:val="left" w:pos="2565"/>
        </w:tabs>
        <w:spacing w:line="600" w:lineRule="exact"/>
        <w:ind w:firstLine="643" w:firstLineChars="200"/>
        <w:rPr>
          <w:rFonts w:ascii="仿宋_GB2312" w:hAnsi="仿宋_GB2312" w:eastAsia="仿宋_GB2312" w:cs="仿宋_GB2312"/>
          <w:sz w:val="34"/>
          <w:szCs w:val="34"/>
        </w:rPr>
      </w:pPr>
      <w:r>
        <w:rPr>
          <w:rFonts w:ascii="仿宋_GB2312" w:hAnsi="黑体" w:eastAsia="仿宋_GB2312" w:cs="黑体"/>
          <w:b/>
          <w:bCs/>
          <w:sz w:val="32"/>
          <w:szCs w:val="32"/>
        </w:rPr>
        <w:drawing>
          <wp:anchor distT="0" distB="0" distL="114300" distR="114300" simplePos="0" relativeHeight="251659264" behindDoc="0" locked="0" layoutInCell="1" allowOverlap="1">
            <wp:simplePos x="0" y="0"/>
            <wp:positionH relativeFrom="margin">
              <wp:posOffset>337820</wp:posOffset>
            </wp:positionH>
            <wp:positionV relativeFrom="paragraph">
              <wp:posOffset>1164590</wp:posOffset>
            </wp:positionV>
            <wp:extent cx="5103495" cy="6125845"/>
            <wp:effectExtent l="0" t="0" r="1905" b="8255"/>
            <wp:wrapTopAndBottom/>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5"/>
                    <a:stretch>
                      <a:fillRect/>
                    </a:stretch>
                  </pic:blipFill>
                  <pic:spPr>
                    <a:xfrm>
                      <a:off x="0" y="0"/>
                      <a:ext cx="5103495" cy="6125845"/>
                    </a:xfrm>
                    <a:prstGeom prst="rect">
                      <a:avLst/>
                    </a:prstGeom>
                    <a:noFill/>
                    <a:ln>
                      <a:noFill/>
                    </a:ln>
                  </pic:spPr>
                </pic:pic>
              </a:graphicData>
            </a:graphic>
          </wp:anchor>
        </w:drawing>
      </w:r>
      <w:r>
        <w:rPr>
          <w:rFonts w:hint="eastAsia" w:ascii="仿宋_GB2312" w:hAnsi="黑体" w:eastAsia="仿宋_GB2312" w:cs="黑体"/>
          <w:b/>
          <w:bCs/>
          <w:sz w:val="32"/>
          <w:szCs w:val="32"/>
        </w:rPr>
        <w:t>第四条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供应商负面清单管理工作由商务合作部全面负责，其他职能部门在使用或监管过程中产生的供应商考核意见应报商务合作部统一汇总管理。具体确定流程：</w:t>
      </w:r>
    </w:p>
    <w:p w14:paraId="6765C0AD">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第三章 供应商积分考核和管理</w:t>
      </w:r>
    </w:p>
    <w:p w14:paraId="449B93F3">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第五条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供应商积分考核主要包括供货质量、交货周期、售后服务、资质信誉等方面，每项10分。使用部门、专业管理部门、采购部门均可书面提出考核意见。商务合作部负责对各相关部门提出的考核意见进行收集汇总，并根据综合扣分情况将供应商分为合格供应商或负面清单供应商。凡被列入负面清单的供应商，自被考核当日起一年内均不得与公司进行合作；凡未被列入负面清单的供应商一年后当年考核扣分自动清零。</w:t>
      </w:r>
    </w:p>
    <w:p w14:paraId="2E4B17D3">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1.合格供应商：供应商一年内累计考核扣分介于0-9分之间，可作为合格供应商继续开展合作。</w:t>
      </w:r>
    </w:p>
    <w:p w14:paraId="756E31F8">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2.负面清单供应商：供应商单次供应考核扣分或一年内累计考核扣分达到10分以上（含10分），须列入负面清单供应商，至少于一年内停止与其产生新的合作。</w:t>
      </w:r>
    </w:p>
    <w:p w14:paraId="1CBAF9D9">
      <w:pPr>
        <w:spacing w:line="600" w:lineRule="exact"/>
        <w:ind w:firstLine="643" w:firstLineChars="200"/>
        <w:rPr>
          <w:rFonts w:ascii="仿宋_GB2312" w:hAnsi="仿宋_GB2312" w:eastAsia="仿宋_GB2312" w:cs="仿宋_GB2312"/>
          <w:bCs/>
          <w:sz w:val="34"/>
          <w:szCs w:val="34"/>
        </w:rPr>
      </w:pPr>
      <w:r>
        <w:rPr>
          <w:rFonts w:hint="eastAsia" w:ascii="仿宋_GB2312" w:hAnsi="黑体" w:eastAsia="仿宋_GB2312" w:cs="黑体"/>
          <w:b/>
          <w:bCs/>
          <w:sz w:val="32"/>
          <w:szCs w:val="32"/>
        </w:rPr>
        <w:t>第六条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供应商考核方法</w:t>
      </w:r>
    </w:p>
    <w:p w14:paraId="0C8EEB95">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1.质量方面</w:t>
      </w:r>
    </w:p>
    <w:p w14:paraId="67BD9CCD">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（1）所供产品出现质量问题，经调换未对公司造成影响，单次扣1-3分。</w:t>
      </w:r>
    </w:p>
    <w:p w14:paraId="10231F41">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（2）所供产品出现质量问题，对公司造成了一定影响，单次扣3-5分。</w:t>
      </w:r>
    </w:p>
    <w:p w14:paraId="088156CA">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（3）所供产品出现质量问题，对公司造成了严重影响，单次扣5-10分。</w:t>
      </w:r>
    </w:p>
    <w:p w14:paraId="57786B54">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2.交货方面</w:t>
      </w:r>
    </w:p>
    <w:p w14:paraId="6720BCD2">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（1）交货时无质检报告或合格证等必要资料的，单次扣1-3分。</w:t>
      </w:r>
    </w:p>
    <w:p w14:paraId="391BA78F">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（2）交货时未按规定包装的，单次扣1-3分。</w:t>
      </w:r>
    </w:p>
    <w:p w14:paraId="7E9CAF04">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（3）延期交货，但未对公司造成影响，单次扣1-3分；造成一定影响，单次扣3-5分；造成严重影响，单次扣5-10分。</w:t>
      </w:r>
    </w:p>
    <w:p w14:paraId="063513DD">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（4）交货过程中存在故意隐瞒质量缺陷或以次充好，单次扣5-10分。</w:t>
      </w:r>
    </w:p>
    <w:p w14:paraId="17A69ED6">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（5）运输单位未能按要求完成运输任务，单次扣1-3分。</w:t>
      </w:r>
    </w:p>
    <w:p w14:paraId="3027793D">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（6）发生安全事故，并且供应商有责任的，单次扣5-10分。</w:t>
      </w:r>
    </w:p>
    <w:p w14:paraId="5AF3E792">
      <w:pPr>
        <w:tabs>
          <w:tab w:val="left" w:pos="2565"/>
        </w:tabs>
        <w:spacing w:line="600" w:lineRule="exact"/>
        <w:ind w:left="420" w:leftChars="20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3.售后方面</w:t>
      </w:r>
    </w:p>
    <w:p w14:paraId="65471529">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（1）对我公司的售后服务要求不能及时响应，单次扣1-3分；已造成一定影响，单次扣3-5分；造成严重影响，单次扣5-10分。</w:t>
      </w:r>
    </w:p>
    <w:p w14:paraId="792CEB9A">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（2）售后人员不能及时解决问题，单次扣1-3分。</w:t>
      </w:r>
    </w:p>
    <w:p w14:paraId="3BF547C1">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（3）在质保期之内，拒绝按合同提供售后服务，单次扣5-10分。</w:t>
      </w:r>
    </w:p>
    <w:p w14:paraId="4FED6025">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4.资信方面</w:t>
      </w:r>
    </w:p>
    <w:p w14:paraId="1DA098B5">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（1）确定合作单位之后因报价、参数错误等原因，经双方协商终止合同签订，单次扣1-3分。</w:t>
      </w:r>
    </w:p>
    <w:p w14:paraId="2877B589">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（2）合作单位确定之后拒绝签订合同或拒绝履行合同，单次扣5-10分。</w:t>
      </w:r>
    </w:p>
    <w:p w14:paraId="5886283B">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（3）无正当理由未及时开具发票给我方，单次扣1-3分。</w:t>
      </w:r>
    </w:p>
    <w:p w14:paraId="33AFE207">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（4）未按合同约定价格开票，单次扣1-3分。</w:t>
      </w:r>
    </w:p>
    <w:p w14:paraId="20E3B3C5">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（5）注册信息及基本资质证书不属实，单次扣5-10分。</w:t>
      </w:r>
    </w:p>
    <w:p w14:paraId="1FC57D83">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（6）因知识产权引起纠纷，单次扣5-10分。</w:t>
      </w:r>
    </w:p>
    <w:p w14:paraId="1071EC0C">
      <w:pPr>
        <w:tabs>
          <w:tab w:val="left" w:pos="2565"/>
        </w:tabs>
        <w:spacing w:line="600" w:lineRule="exact"/>
        <w:rPr>
          <w:rFonts w:ascii="仿宋_GB2312" w:hAnsi="仿宋_GB2312" w:eastAsia="仿宋_GB2312" w:cs="仿宋_GB2312"/>
          <w:sz w:val="34"/>
          <w:szCs w:val="34"/>
        </w:rPr>
      </w:pPr>
      <w:r>
        <w:rPr>
          <w:rFonts w:hint="eastAsia" w:ascii="仿宋_GB2312" w:hAnsi="黑体" w:eastAsia="仿宋_GB2312" w:cs="黑体"/>
          <w:b/>
          <w:bCs/>
          <w:sz w:val="32"/>
          <w:szCs w:val="32"/>
        </w:rPr>
        <w:t xml:space="preserve">   第七条</w:t>
      </w:r>
      <w:r>
        <w:rPr>
          <w:rFonts w:ascii="仿宋_GB2312" w:hAnsi="仿宋" w:eastAsia="仿宋_GB2312"/>
          <w:sz w:val="32"/>
          <w:szCs w:val="32"/>
        </w:rPr>
        <w:t xml:space="preserve"> </w:t>
      </w:r>
      <w:r>
        <w:rPr>
          <w:rFonts w:hint="eastAsia" w:ascii="仿宋_GB2312" w:hAnsi="仿宋_GB2312" w:eastAsia="仿宋_GB2312" w:cs="仿宋_GB2312"/>
          <w:sz w:val="34"/>
          <w:szCs w:val="34"/>
        </w:rPr>
        <w:t>供应商发生以下情况，将直接列入负面清单，情节严重的，甚至可以直接用就行停止合作；</w:t>
      </w:r>
    </w:p>
    <w:p w14:paraId="41F9D047">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1、涉及弄虚作假、欺诈、故意隐瞒、冒名顶替等行为的。</w:t>
      </w:r>
    </w:p>
    <w:p w14:paraId="7863D563">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2、出现串标、围标、陪标、或者以损害其他城市竞争者的利益谋求中标的。</w:t>
      </w:r>
    </w:p>
    <w:p w14:paraId="7B818106">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3、供应商通过恶意法律诉讼起诉我公司最终被法院裁定为败诉的。</w:t>
      </w:r>
    </w:p>
    <w:p w14:paraId="43F9A91D">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4、违反廉政协议，滋生腐败现象的。</w:t>
      </w:r>
    </w:p>
    <w:p w14:paraId="4E74CA3C">
      <w:pPr>
        <w:tabs>
          <w:tab w:val="left" w:pos="2565"/>
        </w:tabs>
        <w:spacing w:line="600" w:lineRule="exact"/>
        <w:rPr>
          <w:rFonts w:ascii="仿宋_GB2312" w:hAnsi="仿宋_GB2312" w:eastAsia="仿宋_GB2312" w:cs="仿宋_GB2312"/>
          <w:sz w:val="34"/>
          <w:szCs w:val="34"/>
        </w:rPr>
      </w:pPr>
      <w:r>
        <w:rPr>
          <w:rFonts w:hint="eastAsia" w:ascii="仿宋_GB2312" w:hAnsi="黑体" w:eastAsia="仿宋_GB2312" w:cs="黑体"/>
          <w:b/>
          <w:bCs/>
          <w:sz w:val="32"/>
          <w:szCs w:val="32"/>
        </w:rPr>
        <w:t xml:space="preserve">    第八条</w:t>
      </w:r>
      <w:r>
        <w:rPr>
          <w:rFonts w:hint="eastAsia" w:ascii="仿宋_GB2312" w:hAnsi="仿宋" w:eastAsia="仿宋_GB2312"/>
          <w:sz w:val="32"/>
          <w:szCs w:val="32"/>
        </w:rPr>
        <w:t xml:space="preserve"> </w:t>
      </w:r>
      <w:r>
        <w:rPr>
          <w:rFonts w:hint="eastAsia" w:ascii="仿宋_GB2312" w:hAnsi="仿宋_GB2312" w:eastAsia="仿宋_GB2312" w:cs="仿宋_GB2312"/>
          <w:sz w:val="34"/>
          <w:szCs w:val="34"/>
        </w:rPr>
        <w:t>关于无效投诉的处理办法</w:t>
      </w:r>
    </w:p>
    <w:p w14:paraId="5B4A78D5">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报价人如对报价结果存有异议，可向监管部门提起投诉。但为了维护采购工作的严肃性，报价人所提出的投诉一旦被公司认定为无效投诉，单次扣除投诉人3分；如果报价人仍不接受解释且采取重复投诉，甚至出现捏造事实、无理取闹、聚众围堵、恶意诽谤等严重扰乱公司生产经营秩序的违法行为，可再扣除投诉人5-10分;报价人对同一事件的无效投诉或一年内累计无效投诉的次数达到三次以上（含三次），均直接列入供应商负面清单，情节严重的，也可以永久性停止合作。</w:t>
      </w:r>
    </w:p>
    <w:p w14:paraId="2FFAE5F2">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第四章 从负面清单供应商的消除</w:t>
      </w:r>
    </w:p>
    <w:p w14:paraId="75E0D2C5">
      <w:pPr>
        <w:tabs>
          <w:tab w:val="left" w:pos="2565"/>
        </w:tabs>
        <w:spacing w:line="600" w:lineRule="exact"/>
        <w:rPr>
          <w:rFonts w:ascii="仿宋_GB2312" w:hAnsi="仿宋_GB2312" w:eastAsia="仿宋_GB2312" w:cs="仿宋_GB2312"/>
          <w:sz w:val="34"/>
          <w:szCs w:val="34"/>
        </w:rPr>
      </w:pPr>
      <w:r>
        <w:rPr>
          <w:rFonts w:hint="eastAsia" w:ascii="仿宋_GB2312" w:hAnsi="黑体" w:eastAsia="仿宋_GB2312" w:cs="黑体"/>
          <w:b/>
          <w:bCs/>
          <w:sz w:val="32"/>
          <w:szCs w:val="32"/>
        </w:rPr>
        <w:t xml:space="preserve">   第九条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已被列入的负面清单供应商通过自身完善、整改等措施，其产品或服务质量满足公司要求，原则上自考核满一年以后，供应商可提出书面申请，经供应商能力确认流程鉴定后方可从负面清单中消除。具体流程如下：</w:t>
      </w:r>
    </w:p>
    <w:p w14:paraId="1CC8DA04">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1.供应商提出负面清单消除的书面申请以及针对考核项的整改措施、效果等相关文件材料；</w:t>
      </w:r>
    </w:p>
    <w:p w14:paraId="39B9D695">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2.商务合作部牵头组织相关部门对供应商提供的文件材料进行确认，必要时组织现场考察；</w:t>
      </w:r>
    </w:p>
    <w:p w14:paraId="56FDA7A3">
      <w:pPr>
        <w:tabs>
          <w:tab w:val="left" w:pos="2565"/>
        </w:tabs>
        <w:spacing w:line="600" w:lineRule="exact"/>
        <w:rPr>
          <w:rFonts w:ascii="仿宋_GB2312" w:hAnsi="仿宋_GB2312" w:eastAsia="仿宋_GB2312" w:cs="仿宋_GB2312"/>
          <w:sz w:val="34"/>
          <w:szCs w:val="34"/>
        </w:rPr>
      </w:pPr>
      <w:r>
        <w:rPr>
          <w:rFonts w:hint="eastAsia" w:ascii="仿宋_GB2312" w:hAnsi="仿宋_GB2312" w:eastAsia="仿宋_GB2312" w:cs="仿宋_GB2312"/>
          <w:sz w:val="34"/>
          <w:szCs w:val="34"/>
        </w:rPr>
        <w:t>　　3.商务合作部根据材料确认及考察情况提出建议，经相关部门会签再报公司分管领导、总经理、董事长批准以后方可完成负面清单供应商的消除工作。</w:t>
      </w:r>
    </w:p>
    <w:p w14:paraId="3B40C60E">
      <w:pPr>
        <w:adjustRightInd w:val="0"/>
        <w:snapToGrid w:val="0"/>
        <w:spacing w:line="600" w:lineRule="exact"/>
        <w:jc w:val="center"/>
        <w:rPr>
          <w:rFonts w:ascii="黑体" w:hAnsi="黑体" w:eastAsia="黑体"/>
          <w:b/>
          <w:bCs/>
          <w:sz w:val="32"/>
          <w:szCs w:val="32"/>
        </w:rPr>
      </w:pPr>
      <w:r>
        <w:rPr>
          <w:rFonts w:hint="eastAsia" w:ascii="黑体" w:hAnsi="黑体" w:eastAsia="黑体" w:cs="黑体"/>
          <w:b/>
          <w:bCs/>
          <w:sz w:val="32"/>
          <w:szCs w:val="32"/>
        </w:rPr>
        <w:t>第五章 附则</w:t>
      </w:r>
    </w:p>
    <w:p w14:paraId="25B8B69F">
      <w:pPr>
        <w:spacing w:line="600" w:lineRule="exact"/>
        <w:ind w:firstLine="643" w:firstLineChars="200"/>
        <w:rPr>
          <w:rFonts w:ascii="仿宋_GB2312" w:hAnsi="仿宋_GB2312" w:eastAsia="仿宋_GB2312" w:cs="仿宋_GB2312"/>
          <w:sz w:val="34"/>
          <w:szCs w:val="34"/>
        </w:rPr>
      </w:pPr>
      <w:r>
        <w:rPr>
          <w:rFonts w:hint="eastAsia" w:ascii="仿宋_GB2312" w:hAnsi="楷体" w:eastAsia="仿宋_GB2312"/>
          <w:b/>
          <w:sz w:val="32"/>
          <w:szCs w:val="32"/>
        </w:rPr>
        <w:t>第</w:t>
      </w:r>
      <w:r>
        <w:rPr>
          <w:rFonts w:hint="eastAsia" w:ascii="仿宋_GB2312" w:hAnsi="黑体" w:eastAsia="仿宋_GB2312" w:cs="黑体"/>
          <w:b/>
          <w:bCs/>
          <w:sz w:val="32"/>
          <w:szCs w:val="32"/>
        </w:rPr>
        <w:t>十条</w:t>
      </w:r>
      <w:r>
        <w:rPr>
          <w:rFonts w:hint="eastAsia" w:ascii="仿宋_GB2312" w:hAnsi="楷体" w:eastAsia="仿宋_GB2312"/>
          <w:b/>
          <w:sz w:val="32"/>
          <w:szCs w:val="32"/>
        </w:rPr>
        <w:t xml:space="preserve"> </w:t>
      </w:r>
      <w:r>
        <w:rPr>
          <w:rFonts w:hint="eastAsia" w:ascii="仿宋_GB2312" w:hAnsi="仿宋_GB2312" w:eastAsia="仿宋_GB2312" w:cs="仿宋_GB2312"/>
          <w:sz w:val="34"/>
          <w:szCs w:val="34"/>
        </w:rPr>
        <w:t>各部门应按照公开公平公正的原则，做好供应商负面清单的考核和管理工作。</w:t>
      </w:r>
    </w:p>
    <w:p w14:paraId="207B837B">
      <w:pPr>
        <w:spacing w:line="600" w:lineRule="exact"/>
        <w:ind w:firstLine="643" w:firstLineChars="200"/>
        <w:rPr>
          <w:rFonts w:ascii="仿宋_GB2312" w:hAnsi="仿宋_GB2312" w:eastAsia="仿宋_GB2312" w:cs="仿宋_GB2312"/>
          <w:sz w:val="34"/>
          <w:szCs w:val="34"/>
        </w:rPr>
      </w:pPr>
      <w:r>
        <w:rPr>
          <w:rFonts w:hint="eastAsia" w:ascii="仿宋_GB2312" w:hAnsi="仿宋" w:eastAsia="仿宋_GB2312"/>
          <w:b/>
          <w:bCs/>
          <w:sz w:val="32"/>
          <w:szCs w:val="32"/>
        </w:rPr>
        <w:t xml:space="preserve">第十一条 </w:t>
      </w:r>
      <w:r>
        <w:rPr>
          <w:rFonts w:hint="eastAsia" w:ascii="仿宋_GB2312" w:hAnsi="仿宋_GB2312" w:eastAsia="仿宋_GB2312" w:cs="仿宋_GB2312"/>
          <w:sz w:val="34"/>
          <w:szCs w:val="34"/>
        </w:rPr>
        <w:t>供应商负面清单的加入和消除总体采取谁加入谁消除的独立自主处置原则，不同直属单位对同一供应商一年内的考核扣分累计达到15分以上，由集团商务合作部将其列为负面清单供应商。</w:t>
      </w:r>
    </w:p>
    <w:p w14:paraId="7CFABA51">
      <w:pPr>
        <w:spacing w:line="600" w:lineRule="exact"/>
        <w:ind w:firstLine="643" w:firstLineChars="200"/>
        <w:rPr>
          <w:rFonts w:ascii="仿宋_GB2312" w:hAnsi="仿宋_GB2312" w:eastAsia="仿宋_GB2312" w:cs="仿宋_GB2312"/>
          <w:sz w:val="34"/>
          <w:szCs w:val="34"/>
        </w:rPr>
      </w:pPr>
      <w:r>
        <w:rPr>
          <w:rFonts w:hint="eastAsia" w:ascii="仿宋_GB2312" w:hAnsi="楷体" w:eastAsia="仿宋_GB2312"/>
          <w:b/>
          <w:sz w:val="32"/>
          <w:szCs w:val="32"/>
        </w:rPr>
        <w:t xml:space="preserve">第十二条 </w:t>
      </w:r>
      <w:r>
        <w:rPr>
          <w:rFonts w:hint="eastAsia" w:ascii="仿宋_GB2312" w:hAnsi="仿宋_GB2312" w:eastAsia="仿宋_GB2312" w:cs="仿宋_GB2312"/>
          <w:sz w:val="34"/>
          <w:szCs w:val="34"/>
        </w:rPr>
        <w:t>各部门对负面清单供应商的加入和消除均应在第一时间报送集团商务合作部，并由集团商务合作部统一在公司指定公告栏中进行公示。对已被某一单位列入负面清单的供应商，其他单位在同一时期一律不得再与其开展新的合作；对所有已被累计两次加入负面清单的供应商，原则上永久性停止与该供应商的合作。</w:t>
      </w:r>
    </w:p>
    <w:p w14:paraId="5D035C75">
      <w:pPr>
        <w:spacing w:line="600" w:lineRule="exact"/>
        <w:ind w:firstLine="643" w:firstLineChars="200"/>
        <w:rPr>
          <w:rFonts w:ascii="仿宋_GB2312" w:hAnsi="仿宋_GB2312" w:eastAsia="仿宋_GB2312" w:cs="仿宋_GB2312"/>
          <w:sz w:val="34"/>
          <w:szCs w:val="34"/>
        </w:rPr>
      </w:pPr>
      <w:r>
        <w:rPr>
          <w:rFonts w:hint="eastAsia" w:ascii="仿宋_GB2312" w:hAnsi="楷体" w:eastAsia="仿宋_GB2312"/>
          <w:b/>
          <w:sz w:val="32"/>
          <w:szCs w:val="32"/>
        </w:rPr>
        <w:t xml:space="preserve">第十三条 </w:t>
      </w:r>
      <w:r>
        <w:rPr>
          <w:rFonts w:hint="eastAsia" w:ascii="仿宋_GB2312" w:hAnsi="仿宋_GB2312" w:eastAsia="仿宋_GB2312" w:cs="仿宋_GB2312"/>
          <w:sz w:val="34"/>
          <w:szCs w:val="34"/>
        </w:rPr>
        <w:t>本规定自颁发之日起生效，由商务合作部负责解释，原《索普赛瑞供应商负面清单管理规定（试行）》（苏索瑞企字[2022]22号）同时废止。</w:t>
      </w:r>
    </w:p>
    <w:p w14:paraId="621DBDF9">
      <w:pPr>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本制度由商务合作部负责解释。</w:t>
      </w:r>
    </w:p>
    <w:p w14:paraId="64D165A3">
      <w:pPr>
        <w:spacing w:line="600" w:lineRule="exact"/>
        <w:ind w:firstLine="680" w:firstLineChars="200"/>
        <w:rPr>
          <w:rFonts w:ascii="仿宋_GB2312" w:hAnsi="仿宋_GB2312" w:eastAsia="仿宋_GB2312" w:cs="仿宋_GB2312"/>
          <w:sz w:val="34"/>
          <w:szCs w:val="34"/>
        </w:rPr>
      </w:pPr>
    </w:p>
    <w:p w14:paraId="62B7D046">
      <w:pPr>
        <w:spacing w:line="600" w:lineRule="exact"/>
        <w:ind w:firstLine="680" w:firstLineChars="200"/>
        <w:rPr>
          <w:rFonts w:ascii="仿宋_GB2312" w:hAnsi="仿宋_GB2312" w:eastAsia="仿宋_GB2312" w:cs="仿宋_GB2312"/>
          <w:sz w:val="34"/>
          <w:szCs w:val="34"/>
        </w:rPr>
      </w:pPr>
    </w:p>
    <w:p w14:paraId="30E074F9">
      <w:pPr>
        <w:spacing w:line="600" w:lineRule="exact"/>
        <w:ind w:firstLine="680" w:firstLineChars="200"/>
        <w:rPr>
          <w:rFonts w:ascii="仿宋_GB2312" w:hAnsi="仿宋_GB2312" w:eastAsia="仿宋_GB2312" w:cs="仿宋_GB2312"/>
          <w:sz w:val="34"/>
          <w:szCs w:val="34"/>
        </w:rPr>
      </w:pPr>
    </w:p>
    <w:p w14:paraId="60EC7218">
      <w:pPr>
        <w:spacing w:line="600" w:lineRule="exact"/>
        <w:ind w:firstLine="680" w:firstLineChars="200"/>
        <w:jc w:val="right"/>
        <w:rPr>
          <w:rFonts w:ascii="仿宋_GB2312" w:hAnsi="仿宋_GB2312" w:eastAsia="仿宋_GB2312" w:cs="仿宋_GB2312"/>
          <w:sz w:val="34"/>
          <w:szCs w:val="34"/>
        </w:rPr>
      </w:pPr>
      <w:r>
        <w:rPr>
          <w:rFonts w:hint="eastAsia" w:ascii="仿宋_GB2312" w:hAnsi="仿宋_GB2312" w:eastAsia="仿宋_GB2312" w:cs="仿宋_GB2312"/>
          <w:sz w:val="34"/>
          <w:szCs w:val="34"/>
        </w:rPr>
        <w:t>江苏索普赛瑞装备制造有限公司</w:t>
      </w:r>
    </w:p>
    <w:p w14:paraId="4FDCCC2E">
      <w:pPr>
        <w:spacing w:line="600" w:lineRule="exact"/>
        <w:ind w:firstLine="680" w:firstLineChars="200"/>
        <w:jc w:val="center"/>
        <w:rPr>
          <w:rFonts w:hint="eastAsia" w:ascii="仿宋_GB2312" w:hAnsi="仿宋_GB2312" w:eastAsia="仿宋_GB2312" w:cs="仿宋_GB2312"/>
          <w:sz w:val="34"/>
          <w:szCs w:val="34"/>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4"/>
          <w:szCs w:val="34"/>
        </w:rPr>
        <w:t xml:space="preserve">                2023年8月15日</w:t>
      </w:r>
    </w:p>
    <w:tbl>
      <w:tblPr>
        <w:tblStyle w:val="6"/>
        <w:tblpPr w:leftFromText="180" w:rightFromText="180" w:vertAnchor="text" w:horzAnchor="page" w:tblpX="1066" w:tblpY="256"/>
        <w:tblOverlap w:val="never"/>
        <w:tblW w:w="15781" w:type="dxa"/>
        <w:tblInd w:w="0" w:type="dxa"/>
        <w:tblLayout w:type="fixed"/>
        <w:tblCellMar>
          <w:top w:w="15" w:type="dxa"/>
          <w:left w:w="15" w:type="dxa"/>
          <w:bottom w:w="15" w:type="dxa"/>
          <w:right w:w="15" w:type="dxa"/>
        </w:tblCellMar>
      </w:tblPr>
      <w:tblGrid>
        <w:gridCol w:w="2812"/>
        <w:gridCol w:w="1016"/>
        <w:gridCol w:w="981"/>
        <w:gridCol w:w="1016"/>
        <w:gridCol w:w="1003"/>
        <w:gridCol w:w="993"/>
        <w:gridCol w:w="1003"/>
        <w:gridCol w:w="944"/>
        <w:gridCol w:w="969"/>
        <w:gridCol w:w="944"/>
        <w:gridCol w:w="956"/>
        <w:gridCol w:w="993"/>
        <w:gridCol w:w="1076"/>
        <w:gridCol w:w="1075"/>
      </w:tblGrid>
      <w:tr w14:paraId="47CA71B3">
        <w:tblPrEx>
          <w:tblCellMar>
            <w:top w:w="15" w:type="dxa"/>
            <w:left w:w="15" w:type="dxa"/>
            <w:bottom w:w="15" w:type="dxa"/>
            <w:right w:w="15" w:type="dxa"/>
          </w:tblCellMar>
        </w:tblPrEx>
        <w:trPr>
          <w:trHeight w:val="228" w:hRule="atLeast"/>
        </w:trPr>
        <w:tc>
          <w:tcPr>
            <w:tcW w:w="2812" w:type="dxa"/>
            <w:noWrap w:val="0"/>
            <w:vAlign w:val="bottom"/>
          </w:tcPr>
          <w:p w14:paraId="43D8772F">
            <w:pPr>
              <w:rPr>
                <w:rFonts w:ascii="宋体" w:hAnsi="宋体" w:cs="宋体"/>
                <w:sz w:val="24"/>
              </w:rPr>
            </w:pPr>
            <w:r>
              <w:rPr>
                <w:rFonts w:hint="eastAsia" w:ascii="黑体" w:hAnsi="黑体" w:eastAsia="黑体" w:cs="黑体"/>
                <w:sz w:val="36"/>
                <w:szCs w:val="36"/>
              </w:rPr>
              <w:t>附件</w:t>
            </w:r>
            <w:r>
              <w:rPr>
                <w:rFonts w:ascii="黑体" w:hAnsi="黑体" w:eastAsia="黑体" w:cs="黑体"/>
                <w:sz w:val="36"/>
                <w:szCs w:val="36"/>
              </w:rPr>
              <w:t>1</w:t>
            </w:r>
          </w:p>
        </w:tc>
        <w:tc>
          <w:tcPr>
            <w:tcW w:w="1016" w:type="dxa"/>
            <w:noWrap w:val="0"/>
            <w:vAlign w:val="bottom"/>
          </w:tcPr>
          <w:p w14:paraId="75B5D3A9">
            <w:pPr>
              <w:rPr>
                <w:rFonts w:ascii="宋体" w:hAnsi="宋体" w:cs="宋体"/>
                <w:sz w:val="24"/>
              </w:rPr>
            </w:pPr>
          </w:p>
        </w:tc>
        <w:tc>
          <w:tcPr>
            <w:tcW w:w="981" w:type="dxa"/>
            <w:noWrap w:val="0"/>
            <w:vAlign w:val="bottom"/>
          </w:tcPr>
          <w:p w14:paraId="427D8CB1">
            <w:pPr>
              <w:rPr>
                <w:rFonts w:ascii="宋体" w:hAnsi="宋体" w:cs="宋体"/>
                <w:sz w:val="24"/>
              </w:rPr>
            </w:pPr>
          </w:p>
        </w:tc>
        <w:tc>
          <w:tcPr>
            <w:tcW w:w="1016" w:type="dxa"/>
            <w:noWrap w:val="0"/>
            <w:vAlign w:val="bottom"/>
          </w:tcPr>
          <w:p w14:paraId="572A998F">
            <w:pPr>
              <w:rPr>
                <w:rFonts w:ascii="宋体" w:hAnsi="宋体" w:cs="宋体"/>
                <w:sz w:val="24"/>
              </w:rPr>
            </w:pPr>
          </w:p>
        </w:tc>
        <w:tc>
          <w:tcPr>
            <w:tcW w:w="1003" w:type="dxa"/>
            <w:noWrap w:val="0"/>
            <w:vAlign w:val="bottom"/>
          </w:tcPr>
          <w:p w14:paraId="735E05CB">
            <w:pPr>
              <w:rPr>
                <w:rFonts w:ascii="宋体" w:hAnsi="宋体" w:cs="宋体"/>
                <w:sz w:val="24"/>
              </w:rPr>
            </w:pPr>
          </w:p>
        </w:tc>
        <w:tc>
          <w:tcPr>
            <w:tcW w:w="993" w:type="dxa"/>
            <w:noWrap w:val="0"/>
            <w:vAlign w:val="bottom"/>
          </w:tcPr>
          <w:p w14:paraId="2E5AB1B5">
            <w:pPr>
              <w:rPr>
                <w:rFonts w:ascii="宋体" w:hAnsi="宋体" w:cs="宋体"/>
                <w:sz w:val="24"/>
              </w:rPr>
            </w:pPr>
          </w:p>
        </w:tc>
        <w:tc>
          <w:tcPr>
            <w:tcW w:w="1003" w:type="dxa"/>
            <w:noWrap w:val="0"/>
            <w:vAlign w:val="bottom"/>
          </w:tcPr>
          <w:p w14:paraId="690792CC">
            <w:pPr>
              <w:rPr>
                <w:rFonts w:ascii="宋体" w:hAnsi="宋体" w:cs="宋体"/>
                <w:sz w:val="24"/>
              </w:rPr>
            </w:pPr>
          </w:p>
        </w:tc>
        <w:tc>
          <w:tcPr>
            <w:tcW w:w="944" w:type="dxa"/>
            <w:noWrap w:val="0"/>
            <w:vAlign w:val="bottom"/>
          </w:tcPr>
          <w:p w14:paraId="777B1BDE">
            <w:pPr>
              <w:rPr>
                <w:rFonts w:ascii="宋体" w:hAnsi="宋体" w:cs="宋体"/>
                <w:sz w:val="24"/>
              </w:rPr>
            </w:pPr>
          </w:p>
        </w:tc>
        <w:tc>
          <w:tcPr>
            <w:tcW w:w="969" w:type="dxa"/>
            <w:noWrap w:val="0"/>
            <w:vAlign w:val="bottom"/>
          </w:tcPr>
          <w:p w14:paraId="12917FD5">
            <w:pPr>
              <w:rPr>
                <w:rFonts w:ascii="宋体" w:hAnsi="宋体" w:cs="宋体"/>
                <w:sz w:val="24"/>
              </w:rPr>
            </w:pPr>
          </w:p>
        </w:tc>
        <w:tc>
          <w:tcPr>
            <w:tcW w:w="944" w:type="dxa"/>
            <w:noWrap w:val="0"/>
            <w:vAlign w:val="bottom"/>
          </w:tcPr>
          <w:p w14:paraId="2ADCBFD1">
            <w:pPr>
              <w:rPr>
                <w:rFonts w:ascii="宋体" w:hAnsi="宋体" w:cs="宋体"/>
                <w:sz w:val="24"/>
              </w:rPr>
            </w:pPr>
          </w:p>
        </w:tc>
        <w:tc>
          <w:tcPr>
            <w:tcW w:w="956" w:type="dxa"/>
            <w:noWrap w:val="0"/>
            <w:vAlign w:val="bottom"/>
          </w:tcPr>
          <w:p w14:paraId="6D68842A">
            <w:pPr>
              <w:rPr>
                <w:rFonts w:ascii="宋体" w:hAnsi="宋体" w:cs="宋体"/>
                <w:sz w:val="24"/>
              </w:rPr>
            </w:pPr>
          </w:p>
        </w:tc>
        <w:tc>
          <w:tcPr>
            <w:tcW w:w="993" w:type="dxa"/>
            <w:noWrap w:val="0"/>
            <w:vAlign w:val="bottom"/>
          </w:tcPr>
          <w:p w14:paraId="12F31FD7">
            <w:pPr>
              <w:rPr>
                <w:rFonts w:ascii="宋体" w:hAnsi="宋体" w:cs="宋体"/>
                <w:sz w:val="24"/>
              </w:rPr>
            </w:pPr>
          </w:p>
        </w:tc>
        <w:tc>
          <w:tcPr>
            <w:tcW w:w="1076" w:type="dxa"/>
            <w:noWrap w:val="0"/>
            <w:vAlign w:val="bottom"/>
          </w:tcPr>
          <w:p w14:paraId="65717CBD">
            <w:pPr>
              <w:rPr>
                <w:rFonts w:ascii="宋体" w:hAnsi="宋体" w:cs="宋体"/>
                <w:sz w:val="24"/>
              </w:rPr>
            </w:pPr>
          </w:p>
        </w:tc>
        <w:tc>
          <w:tcPr>
            <w:tcW w:w="1075" w:type="dxa"/>
            <w:noWrap w:val="0"/>
            <w:vAlign w:val="bottom"/>
          </w:tcPr>
          <w:p w14:paraId="38FCD9A7">
            <w:pPr>
              <w:rPr>
                <w:rFonts w:ascii="宋体" w:hAnsi="宋体" w:cs="宋体"/>
                <w:sz w:val="24"/>
              </w:rPr>
            </w:pPr>
          </w:p>
        </w:tc>
      </w:tr>
    </w:tbl>
    <w:p w14:paraId="0284D1D8">
      <w:pPr>
        <w:rPr>
          <w:vanish/>
        </w:rPr>
      </w:pPr>
    </w:p>
    <w:tbl>
      <w:tblPr>
        <w:tblStyle w:val="6"/>
        <w:tblW w:w="12939" w:type="dxa"/>
        <w:tblInd w:w="-108" w:type="dxa"/>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871"/>
        <w:gridCol w:w="1157"/>
        <w:gridCol w:w="200"/>
        <w:gridCol w:w="487"/>
        <w:gridCol w:w="799"/>
      </w:tblGrid>
      <w:tr w14:paraId="4B5D354F">
        <w:tblPrEx>
          <w:tblCellMar>
            <w:top w:w="0" w:type="dxa"/>
            <w:left w:w="108" w:type="dxa"/>
            <w:bottom w:w="0" w:type="dxa"/>
            <w:right w:w="108" w:type="dxa"/>
          </w:tblCellMar>
        </w:tblPrEx>
        <w:trPr>
          <w:trHeight w:val="375" w:hRule="atLeast"/>
        </w:trPr>
        <w:tc>
          <w:tcPr>
            <w:tcW w:w="11653" w:type="dxa"/>
            <w:gridSpan w:val="13"/>
            <w:tcBorders>
              <w:top w:val="nil"/>
              <w:left w:val="nil"/>
              <w:bottom w:val="nil"/>
              <w:right w:val="nil"/>
            </w:tcBorders>
            <w:noWrap w:val="0"/>
            <w:vAlign w:val="center"/>
          </w:tcPr>
          <w:p w14:paraId="0F14FB91">
            <w:pPr>
              <w:widowControl/>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供应商考核表</w:t>
            </w:r>
          </w:p>
        </w:tc>
        <w:tc>
          <w:tcPr>
            <w:tcW w:w="1286" w:type="dxa"/>
            <w:gridSpan w:val="2"/>
            <w:tcBorders>
              <w:top w:val="nil"/>
              <w:left w:val="nil"/>
              <w:bottom w:val="nil"/>
              <w:right w:val="nil"/>
            </w:tcBorders>
            <w:noWrap w:val="0"/>
            <w:vAlign w:val="center"/>
          </w:tcPr>
          <w:p w14:paraId="10B8BFE0">
            <w:pPr>
              <w:widowControl/>
              <w:jc w:val="center"/>
              <w:rPr>
                <w:rFonts w:ascii="方正小标宋简体" w:hAnsi="宋体" w:eastAsia="方正小标宋简体" w:cs="宋体"/>
                <w:bCs/>
                <w:sz w:val="44"/>
                <w:szCs w:val="44"/>
              </w:rPr>
            </w:pPr>
          </w:p>
        </w:tc>
      </w:tr>
      <w:tr w14:paraId="663A48E8">
        <w:tblPrEx>
          <w:tblCellMar>
            <w:top w:w="0" w:type="dxa"/>
            <w:left w:w="108" w:type="dxa"/>
            <w:bottom w:w="0" w:type="dxa"/>
            <w:right w:w="108" w:type="dxa"/>
          </w:tblCellMar>
        </w:tblPrEx>
        <w:trPr>
          <w:trHeight w:val="285" w:hRule="atLeast"/>
        </w:trPr>
        <w:tc>
          <w:tcPr>
            <w:tcW w:w="11653" w:type="dxa"/>
            <w:gridSpan w:val="13"/>
            <w:tcBorders>
              <w:top w:val="nil"/>
              <w:left w:val="nil"/>
              <w:bottom w:val="nil"/>
              <w:right w:val="nil"/>
            </w:tcBorders>
            <w:noWrap w:val="0"/>
            <w:vAlign w:val="center"/>
          </w:tcPr>
          <w:p w14:paraId="0D0E2150">
            <w:pPr>
              <w:widowControl/>
              <w:jc w:val="left"/>
              <w:rPr>
                <w:rFonts w:ascii="宋体" w:hAnsi="宋体" w:cs="宋体"/>
                <w:sz w:val="24"/>
              </w:rPr>
            </w:pPr>
            <w:r>
              <w:rPr>
                <w:rFonts w:hint="eastAsia" w:ascii="宋体" w:hAnsi="宋体" w:cs="宋体"/>
                <w:sz w:val="24"/>
              </w:rPr>
              <w:t xml:space="preserve">                                                                      　 时间：    年   月   日                                                           </w:t>
            </w:r>
          </w:p>
        </w:tc>
        <w:tc>
          <w:tcPr>
            <w:tcW w:w="1286" w:type="dxa"/>
            <w:gridSpan w:val="2"/>
            <w:tcBorders>
              <w:top w:val="nil"/>
              <w:left w:val="nil"/>
              <w:bottom w:val="nil"/>
              <w:right w:val="nil"/>
            </w:tcBorders>
            <w:noWrap w:val="0"/>
            <w:vAlign w:val="center"/>
          </w:tcPr>
          <w:p w14:paraId="6F85C811">
            <w:pPr>
              <w:widowControl/>
              <w:jc w:val="left"/>
              <w:rPr>
                <w:rFonts w:ascii="宋体" w:hAnsi="宋体" w:cs="宋体"/>
                <w:sz w:val="24"/>
              </w:rPr>
            </w:pPr>
          </w:p>
        </w:tc>
      </w:tr>
      <w:tr w14:paraId="07E332D5">
        <w:tblPrEx>
          <w:tblCellMar>
            <w:top w:w="0" w:type="dxa"/>
            <w:left w:w="108" w:type="dxa"/>
            <w:bottom w:w="0" w:type="dxa"/>
            <w:right w:w="108" w:type="dxa"/>
          </w:tblCellMar>
        </w:tblPrEx>
        <w:trPr>
          <w:gridAfter w:val="1"/>
          <w:wAfter w:w="799" w:type="dxa"/>
          <w:trHeight w:val="498" w:hRule="atLeast"/>
        </w:trPr>
        <w:tc>
          <w:tcPr>
            <w:tcW w:w="705" w:type="dxa"/>
            <w:vMerge w:val="restart"/>
            <w:tcBorders>
              <w:top w:val="single" w:color="auto" w:sz="4" w:space="0"/>
              <w:left w:val="single" w:color="auto" w:sz="4" w:space="0"/>
              <w:right w:val="single" w:color="auto" w:sz="4" w:space="0"/>
            </w:tcBorders>
            <w:noWrap w:val="0"/>
            <w:vAlign w:val="center"/>
          </w:tcPr>
          <w:p w14:paraId="123F7A43">
            <w:pPr>
              <w:widowControl/>
              <w:jc w:val="center"/>
              <w:rPr>
                <w:rFonts w:ascii="宋体" w:hAnsi="宋体" w:cs="宋体"/>
                <w:b/>
                <w:sz w:val="24"/>
              </w:rPr>
            </w:pPr>
            <w:r>
              <w:rPr>
                <w:rFonts w:hint="eastAsia" w:ascii="宋体" w:hAnsi="宋体" w:cs="宋体"/>
                <w:b/>
                <w:sz w:val="24"/>
              </w:rPr>
              <w:t>序号</w:t>
            </w:r>
          </w:p>
        </w:tc>
        <w:tc>
          <w:tcPr>
            <w:tcW w:w="1685" w:type="dxa"/>
            <w:vMerge w:val="restart"/>
            <w:tcBorders>
              <w:top w:val="single" w:color="auto" w:sz="4" w:space="0"/>
              <w:left w:val="single" w:color="auto" w:sz="4" w:space="0"/>
              <w:right w:val="single" w:color="auto" w:sz="4" w:space="0"/>
            </w:tcBorders>
            <w:noWrap w:val="0"/>
            <w:vAlign w:val="center"/>
          </w:tcPr>
          <w:p w14:paraId="0DE55BD5">
            <w:pPr>
              <w:widowControl/>
              <w:jc w:val="center"/>
              <w:rPr>
                <w:rFonts w:ascii="宋体" w:hAnsi="宋体" w:cs="宋体"/>
                <w:b/>
                <w:sz w:val="24"/>
              </w:rPr>
            </w:pPr>
            <w:r>
              <w:rPr>
                <w:rFonts w:hint="eastAsia" w:ascii="宋体" w:hAnsi="宋体" w:cs="宋体"/>
                <w:b/>
                <w:sz w:val="24"/>
              </w:rPr>
              <w:t>企业名称</w:t>
            </w:r>
          </w:p>
        </w:tc>
        <w:tc>
          <w:tcPr>
            <w:tcW w:w="1328" w:type="dxa"/>
            <w:vMerge w:val="restart"/>
            <w:tcBorders>
              <w:top w:val="single" w:color="auto" w:sz="4" w:space="0"/>
              <w:left w:val="single" w:color="auto" w:sz="4" w:space="0"/>
              <w:right w:val="single" w:color="auto" w:sz="4" w:space="0"/>
            </w:tcBorders>
            <w:noWrap w:val="0"/>
            <w:vAlign w:val="center"/>
          </w:tcPr>
          <w:p w14:paraId="7AEF8882">
            <w:pPr>
              <w:widowControl/>
              <w:jc w:val="center"/>
              <w:rPr>
                <w:rFonts w:ascii="宋体" w:hAnsi="宋体" w:cs="宋体"/>
                <w:b/>
                <w:sz w:val="24"/>
              </w:rPr>
            </w:pPr>
            <w:r>
              <w:rPr>
                <w:rFonts w:hint="eastAsia" w:ascii="宋体" w:hAnsi="宋体" w:cs="宋体"/>
                <w:b/>
                <w:sz w:val="24"/>
              </w:rPr>
              <w:t>供货产品</w:t>
            </w:r>
          </w:p>
        </w:tc>
        <w:tc>
          <w:tcPr>
            <w:tcW w:w="4782" w:type="dxa"/>
            <w:gridSpan w:val="6"/>
            <w:tcBorders>
              <w:top w:val="single" w:color="auto" w:sz="4" w:space="0"/>
              <w:left w:val="single" w:color="auto" w:sz="4" w:space="0"/>
              <w:bottom w:val="single" w:color="auto" w:sz="4" w:space="0"/>
              <w:right w:val="single" w:color="auto" w:sz="4" w:space="0"/>
            </w:tcBorders>
            <w:noWrap w:val="0"/>
            <w:vAlign w:val="center"/>
          </w:tcPr>
          <w:p w14:paraId="4D6371C3">
            <w:pPr>
              <w:widowControl/>
              <w:jc w:val="center"/>
              <w:rPr>
                <w:rFonts w:ascii="宋体" w:hAnsi="宋体" w:cs="宋体"/>
                <w:b/>
                <w:sz w:val="24"/>
              </w:rPr>
            </w:pPr>
            <w:r>
              <w:rPr>
                <w:rFonts w:hint="eastAsia" w:ascii="宋体" w:hAnsi="宋体" w:cs="宋体"/>
                <w:b/>
                <w:sz w:val="24"/>
              </w:rPr>
              <w:t>考核扣分</w:t>
            </w: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0CB3F637">
            <w:pPr>
              <w:widowControl/>
              <w:jc w:val="center"/>
              <w:rPr>
                <w:rFonts w:ascii="宋体" w:hAnsi="宋体" w:cs="宋体"/>
                <w:b/>
                <w:sz w:val="24"/>
              </w:rPr>
            </w:pPr>
            <w:r>
              <w:rPr>
                <w:rFonts w:hint="eastAsia" w:ascii="宋体" w:hAnsi="宋体" w:cs="宋体"/>
                <w:b/>
                <w:sz w:val="24"/>
              </w:rPr>
              <w:t>扣分时间</w:t>
            </w:r>
          </w:p>
        </w:tc>
        <w:tc>
          <w:tcPr>
            <w:tcW w:w="2028" w:type="dxa"/>
            <w:gridSpan w:val="2"/>
            <w:tcBorders>
              <w:top w:val="single" w:color="auto" w:sz="4" w:space="0"/>
              <w:left w:val="single" w:color="auto" w:sz="4" w:space="0"/>
              <w:bottom w:val="single" w:color="auto" w:sz="4" w:space="0"/>
              <w:right w:val="single" w:color="auto" w:sz="4" w:space="0"/>
            </w:tcBorders>
            <w:noWrap w:val="0"/>
            <w:vAlign w:val="center"/>
          </w:tcPr>
          <w:p w14:paraId="463759DD">
            <w:pPr>
              <w:widowControl/>
              <w:jc w:val="center"/>
              <w:rPr>
                <w:rFonts w:ascii="宋体" w:hAnsi="宋体" w:cs="宋体"/>
                <w:b/>
                <w:sz w:val="24"/>
              </w:rPr>
            </w:pPr>
            <w:r>
              <w:rPr>
                <w:rFonts w:hint="eastAsia" w:ascii="宋体" w:hAnsi="宋体" w:cs="宋体"/>
                <w:b/>
                <w:sz w:val="24"/>
              </w:rPr>
              <w:t>总体评估</w:t>
            </w:r>
          </w:p>
        </w:tc>
        <w:tc>
          <w:tcPr>
            <w:tcW w:w="68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4F91394">
            <w:pPr>
              <w:widowControl/>
              <w:jc w:val="center"/>
              <w:rPr>
                <w:rFonts w:ascii="宋体" w:hAnsi="宋体" w:cs="宋体"/>
                <w:b/>
                <w:sz w:val="24"/>
              </w:rPr>
            </w:pPr>
            <w:r>
              <w:rPr>
                <w:rFonts w:hint="eastAsia" w:ascii="宋体" w:hAnsi="宋体" w:cs="宋体"/>
                <w:b/>
                <w:sz w:val="24"/>
              </w:rPr>
              <w:t>备注</w:t>
            </w:r>
          </w:p>
        </w:tc>
      </w:tr>
      <w:tr w14:paraId="0F86C125">
        <w:tblPrEx>
          <w:tblCellMar>
            <w:top w:w="0" w:type="dxa"/>
            <w:left w:w="108" w:type="dxa"/>
            <w:bottom w:w="0" w:type="dxa"/>
            <w:right w:w="108" w:type="dxa"/>
          </w:tblCellMar>
        </w:tblPrEx>
        <w:trPr>
          <w:gridAfter w:val="1"/>
          <w:wAfter w:w="799" w:type="dxa"/>
          <w:trHeight w:val="534" w:hRule="atLeast"/>
        </w:trPr>
        <w:tc>
          <w:tcPr>
            <w:tcW w:w="705" w:type="dxa"/>
            <w:vMerge w:val="continue"/>
            <w:tcBorders>
              <w:left w:val="single" w:color="auto" w:sz="4" w:space="0"/>
              <w:bottom w:val="single" w:color="auto" w:sz="4" w:space="0"/>
              <w:right w:val="single" w:color="auto" w:sz="4" w:space="0"/>
            </w:tcBorders>
            <w:noWrap w:val="0"/>
            <w:vAlign w:val="center"/>
          </w:tcPr>
          <w:p w14:paraId="403CD4B2">
            <w:pPr>
              <w:widowControl/>
              <w:jc w:val="center"/>
              <w:rPr>
                <w:rFonts w:ascii="宋体" w:hAnsi="宋体" w:cs="宋体"/>
                <w:b/>
                <w:sz w:val="24"/>
              </w:rPr>
            </w:pPr>
          </w:p>
        </w:tc>
        <w:tc>
          <w:tcPr>
            <w:tcW w:w="1685" w:type="dxa"/>
            <w:vMerge w:val="continue"/>
            <w:tcBorders>
              <w:left w:val="single" w:color="auto" w:sz="4" w:space="0"/>
              <w:bottom w:val="single" w:color="auto" w:sz="4" w:space="0"/>
              <w:right w:val="single" w:color="auto" w:sz="4" w:space="0"/>
            </w:tcBorders>
            <w:noWrap w:val="0"/>
            <w:vAlign w:val="center"/>
          </w:tcPr>
          <w:p w14:paraId="3727084D">
            <w:pPr>
              <w:widowControl/>
              <w:jc w:val="center"/>
              <w:rPr>
                <w:rFonts w:ascii="宋体" w:hAnsi="宋体" w:cs="宋体"/>
                <w:b/>
                <w:sz w:val="24"/>
              </w:rPr>
            </w:pPr>
          </w:p>
        </w:tc>
        <w:tc>
          <w:tcPr>
            <w:tcW w:w="1328" w:type="dxa"/>
            <w:vMerge w:val="continue"/>
            <w:tcBorders>
              <w:left w:val="single" w:color="auto" w:sz="4" w:space="0"/>
              <w:bottom w:val="single" w:color="auto" w:sz="4" w:space="0"/>
              <w:right w:val="single" w:color="auto" w:sz="4" w:space="0"/>
            </w:tcBorders>
            <w:noWrap w:val="0"/>
            <w:vAlign w:val="center"/>
          </w:tcPr>
          <w:p w14:paraId="0825C6D3">
            <w:pPr>
              <w:widowControl/>
              <w:jc w:val="center"/>
              <w:rPr>
                <w:rFonts w:ascii="宋体" w:hAnsi="宋体" w:cs="宋体"/>
                <w:b/>
                <w:sz w:val="24"/>
              </w:rPr>
            </w:pPr>
          </w:p>
        </w:tc>
        <w:tc>
          <w:tcPr>
            <w:tcW w:w="908" w:type="dxa"/>
            <w:tcBorders>
              <w:top w:val="single" w:color="auto" w:sz="4" w:space="0"/>
              <w:left w:val="nil"/>
              <w:bottom w:val="single" w:color="auto" w:sz="4" w:space="0"/>
              <w:right w:val="single" w:color="auto" w:sz="4" w:space="0"/>
            </w:tcBorders>
            <w:noWrap w:val="0"/>
            <w:vAlign w:val="center"/>
          </w:tcPr>
          <w:p w14:paraId="52EC07CA">
            <w:pPr>
              <w:widowControl/>
              <w:jc w:val="center"/>
              <w:rPr>
                <w:rFonts w:ascii="宋体" w:hAnsi="宋体" w:cs="宋体"/>
                <w:b/>
                <w:sz w:val="24"/>
              </w:rPr>
            </w:pPr>
            <w:r>
              <w:rPr>
                <w:rFonts w:hint="eastAsia" w:ascii="宋体" w:hAnsi="宋体" w:cs="宋体"/>
                <w:b/>
                <w:sz w:val="24"/>
              </w:rPr>
              <w:t>质量</w:t>
            </w:r>
          </w:p>
        </w:tc>
        <w:tc>
          <w:tcPr>
            <w:tcW w:w="788" w:type="dxa"/>
            <w:tcBorders>
              <w:top w:val="single" w:color="auto" w:sz="4" w:space="0"/>
              <w:left w:val="nil"/>
              <w:bottom w:val="single" w:color="auto" w:sz="4" w:space="0"/>
              <w:right w:val="single" w:color="auto" w:sz="4" w:space="0"/>
            </w:tcBorders>
            <w:noWrap w:val="0"/>
            <w:vAlign w:val="center"/>
          </w:tcPr>
          <w:p w14:paraId="2C0E0C33">
            <w:pPr>
              <w:widowControl/>
              <w:jc w:val="center"/>
              <w:rPr>
                <w:rFonts w:ascii="宋体" w:hAnsi="宋体" w:cs="宋体"/>
                <w:b/>
                <w:sz w:val="24"/>
              </w:rPr>
            </w:pPr>
            <w:r>
              <w:rPr>
                <w:rFonts w:hint="eastAsia" w:ascii="宋体" w:hAnsi="宋体" w:cs="宋体"/>
                <w:b/>
                <w:sz w:val="24"/>
              </w:rPr>
              <w:t>交货</w:t>
            </w:r>
          </w:p>
        </w:tc>
        <w:tc>
          <w:tcPr>
            <w:tcW w:w="824" w:type="dxa"/>
            <w:tcBorders>
              <w:top w:val="single" w:color="auto" w:sz="4" w:space="0"/>
              <w:left w:val="nil"/>
              <w:bottom w:val="single" w:color="auto" w:sz="4" w:space="0"/>
              <w:right w:val="single" w:color="auto" w:sz="4" w:space="0"/>
            </w:tcBorders>
            <w:noWrap w:val="0"/>
            <w:vAlign w:val="center"/>
          </w:tcPr>
          <w:p w14:paraId="2DD4101C">
            <w:pPr>
              <w:widowControl/>
              <w:jc w:val="center"/>
              <w:rPr>
                <w:rFonts w:ascii="宋体" w:hAnsi="宋体" w:cs="宋体"/>
                <w:b/>
                <w:sz w:val="24"/>
              </w:rPr>
            </w:pPr>
            <w:r>
              <w:rPr>
                <w:rFonts w:hint="eastAsia" w:ascii="宋体" w:hAnsi="宋体" w:cs="宋体"/>
                <w:b/>
                <w:sz w:val="24"/>
              </w:rPr>
              <w:t>售后</w:t>
            </w:r>
          </w:p>
        </w:tc>
        <w:tc>
          <w:tcPr>
            <w:tcW w:w="703" w:type="dxa"/>
            <w:tcBorders>
              <w:top w:val="single" w:color="auto" w:sz="4" w:space="0"/>
              <w:left w:val="nil"/>
              <w:bottom w:val="single" w:color="auto" w:sz="4" w:space="0"/>
              <w:right w:val="single" w:color="auto" w:sz="4" w:space="0"/>
            </w:tcBorders>
            <w:noWrap w:val="0"/>
            <w:vAlign w:val="center"/>
          </w:tcPr>
          <w:p w14:paraId="315613D6">
            <w:pPr>
              <w:widowControl/>
              <w:jc w:val="center"/>
              <w:rPr>
                <w:rFonts w:ascii="宋体" w:hAnsi="宋体" w:cs="宋体"/>
                <w:b/>
                <w:sz w:val="24"/>
              </w:rPr>
            </w:pPr>
            <w:r>
              <w:rPr>
                <w:rFonts w:hint="eastAsia" w:ascii="宋体" w:hAnsi="宋体" w:cs="宋体"/>
                <w:b/>
                <w:sz w:val="24"/>
              </w:rPr>
              <w:t>资信</w:t>
            </w:r>
          </w:p>
        </w:tc>
        <w:tc>
          <w:tcPr>
            <w:tcW w:w="753" w:type="dxa"/>
            <w:tcBorders>
              <w:top w:val="single" w:color="auto" w:sz="4" w:space="0"/>
              <w:left w:val="nil"/>
              <w:bottom w:val="single" w:color="auto" w:sz="4" w:space="0"/>
              <w:right w:val="single" w:color="auto" w:sz="4" w:space="0"/>
            </w:tcBorders>
            <w:noWrap w:val="0"/>
            <w:vAlign w:val="center"/>
          </w:tcPr>
          <w:p w14:paraId="77A9F1F5">
            <w:pPr>
              <w:widowControl/>
              <w:jc w:val="center"/>
              <w:rPr>
                <w:rFonts w:ascii="宋体" w:hAnsi="宋体" w:cs="宋体"/>
                <w:b/>
                <w:sz w:val="24"/>
              </w:rPr>
            </w:pPr>
            <w:r>
              <w:rPr>
                <w:rFonts w:hint="eastAsia" w:ascii="宋体" w:hAnsi="宋体" w:cs="宋体"/>
                <w:b/>
                <w:sz w:val="24"/>
              </w:rPr>
              <w:t>其他</w:t>
            </w:r>
          </w:p>
        </w:tc>
        <w:tc>
          <w:tcPr>
            <w:tcW w:w="806" w:type="dxa"/>
            <w:tcBorders>
              <w:top w:val="single" w:color="auto" w:sz="4" w:space="0"/>
              <w:left w:val="nil"/>
              <w:bottom w:val="single" w:color="auto" w:sz="4" w:space="0"/>
              <w:right w:val="single" w:color="auto" w:sz="4" w:space="0"/>
            </w:tcBorders>
            <w:noWrap w:val="0"/>
            <w:vAlign w:val="center"/>
          </w:tcPr>
          <w:p w14:paraId="74087D87">
            <w:pPr>
              <w:widowControl/>
              <w:jc w:val="center"/>
              <w:rPr>
                <w:rFonts w:ascii="宋体" w:hAnsi="宋体" w:cs="宋体"/>
                <w:b/>
                <w:sz w:val="24"/>
              </w:rPr>
            </w:pPr>
            <w:r>
              <w:rPr>
                <w:rFonts w:hint="eastAsia" w:ascii="宋体" w:hAnsi="宋体" w:cs="宋体"/>
                <w:b/>
                <w:sz w:val="24"/>
              </w:rPr>
              <w:t>累计</w:t>
            </w:r>
          </w:p>
        </w:tc>
        <w:tc>
          <w:tcPr>
            <w:tcW w:w="925" w:type="dxa"/>
            <w:vMerge w:val="continue"/>
            <w:tcBorders>
              <w:top w:val="single" w:color="auto" w:sz="4" w:space="0"/>
              <w:left w:val="nil"/>
              <w:bottom w:val="single" w:color="auto" w:sz="4" w:space="0"/>
              <w:right w:val="single" w:color="auto" w:sz="4" w:space="0"/>
            </w:tcBorders>
            <w:noWrap w:val="0"/>
            <w:vAlign w:val="center"/>
          </w:tcPr>
          <w:p w14:paraId="4EDE6E46">
            <w:pPr>
              <w:widowControl/>
              <w:jc w:val="center"/>
              <w:rPr>
                <w:rFonts w:ascii="宋体" w:hAnsi="宋体" w:cs="宋体"/>
                <w:b/>
                <w:sz w:val="24"/>
              </w:rPr>
            </w:pPr>
          </w:p>
        </w:tc>
        <w:tc>
          <w:tcPr>
            <w:tcW w:w="871" w:type="dxa"/>
            <w:tcBorders>
              <w:top w:val="single" w:color="auto" w:sz="4" w:space="0"/>
              <w:left w:val="single" w:color="auto" w:sz="4" w:space="0"/>
              <w:bottom w:val="single" w:color="auto" w:sz="4" w:space="0"/>
              <w:right w:val="single" w:color="auto" w:sz="4" w:space="0"/>
            </w:tcBorders>
            <w:noWrap w:val="0"/>
            <w:vAlign w:val="center"/>
          </w:tcPr>
          <w:p w14:paraId="419503C7">
            <w:pPr>
              <w:widowControl/>
              <w:jc w:val="center"/>
              <w:rPr>
                <w:rFonts w:ascii="宋体" w:hAnsi="宋体" w:cs="宋体"/>
                <w:b/>
                <w:sz w:val="24"/>
              </w:rPr>
            </w:pPr>
            <w:r>
              <w:rPr>
                <w:rFonts w:hint="eastAsia" w:ascii="宋体" w:hAnsi="宋体" w:cs="宋体"/>
                <w:b/>
                <w:sz w:val="24"/>
              </w:rPr>
              <w:t>继续合作</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2D511333">
            <w:pPr>
              <w:widowControl/>
              <w:jc w:val="center"/>
              <w:rPr>
                <w:rFonts w:ascii="宋体" w:hAnsi="宋体" w:cs="宋体"/>
                <w:b/>
                <w:sz w:val="24"/>
              </w:rPr>
            </w:pPr>
            <w:r>
              <w:rPr>
                <w:rFonts w:hint="eastAsia" w:ascii="宋体" w:hAnsi="宋体" w:cs="宋体"/>
                <w:b/>
                <w:sz w:val="24"/>
              </w:rPr>
              <w:t>列入负面清单</w:t>
            </w:r>
          </w:p>
        </w:tc>
        <w:tc>
          <w:tcPr>
            <w:tcW w:w="687" w:type="dxa"/>
            <w:gridSpan w:val="2"/>
            <w:vMerge w:val="continue"/>
            <w:tcBorders>
              <w:top w:val="single" w:color="auto" w:sz="4" w:space="0"/>
              <w:left w:val="nil"/>
              <w:bottom w:val="single" w:color="auto" w:sz="4" w:space="0"/>
              <w:right w:val="single" w:color="auto" w:sz="4" w:space="0"/>
            </w:tcBorders>
            <w:noWrap w:val="0"/>
            <w:vAlign w:val="center"/>
          </w:tcPr>
          <w:p w14:paraId="2B49DFA0">
            <w:pPr>
              <w:widowControl/>
              <w:jc w:val="center"/>
              <w:rPr>
                <w:rFonts w:ascii="宋体" w:hAnsi="宋体" w:cs="宋体"/>
                <w:b/>
                <w:sz w:val="24"/>
              </w:rPr>
            </w:pPr>
          </w:p>
        </w:tc>
      </w:tr>
      <w:tr w14:paraId="15A7C0ED">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53FDBC0F">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2B022EE2">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1B6F0B6E">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67C78BEC">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67FB511B">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5251754E">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2E66A158">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2A0831F0">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2C33DEBA">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11889E55">
            <w:pPr>
              <w:widowControl/>
              <w:jc w:val="center"/>
              <w:rPr>
                <w:rFonts w:ascii="宋体" w:hAnsi="宋体" w:cs="宋体"/>
                <w:b/>
                <w:sz w:val="24"/>
              </w:rPr>
            </w:pPr>
          </w:p>
        </w:tc>
        <w:tc>
          <w:tcPr>
            <w:tcW w:w="871" w:type="dxa"/>
            <w:tcBorders>
              <w:top w:val="single" w:color="auto" w:sz="4" w:space="0"/>
              <w:left w:val="nil"/>
              <w:bottom w:val="single" w:color="auto" w:sz="4" w:space="0"/>
              <w:right w:val="single" w:color="auto" w:sz="4" w:space="0"/>
            </w:tcBorders>
            <w:noWrap w:val="0"/>
            <w:vAlign w:val="center"/>
          </w:tcPr>
          <w:p w14:paraId="68FC4D34">
            <w:pPr>
              <w:widowControl/>
              <w:jc w:val="center"/>
              <w:rPr>
                <w:rFonts w:ascii="Calibri" w:hAnsi="Calibri" w:cs="宋体"/>
                <w:sz w:val="24"/>
              </w:rPr>
            </w:pPr>
          </w:p>
        </w:tc>
        <w:tc>
          <w:tcPr>
            <w:tcW w:w="1157" w:type="dxa"/>
            <w:tcBorders>
              <w:top w:val="single" w:color="auto" w:sz="4" w:space="0"/>
              <w:left w:val="nil"/>
              <w:bottom w:val="single" w:color="auto" w:sz="4" w:space="0"/>
              <w:right w:val="single" w:color="auto" w:sz="4" w:space="0"/>
            </w:tcBorders>
            <w:noWrap w:val="0"/>
            <w:vAlign w:val="center"/>
          </w:tcPr>
          <w:p w14:paraId="77992A4A">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7A4327CF">
            <w:pPr>
              <w:widowControl/>
              <w:jc w:val="center"/>
              <w:rPr>
                <w:rFonts w:ascii="Calibri" w:hAnsi="Calibri" w:cs="宋体"/>
                <w:sz w:val="24"/>
              </w:rPr>
            </w:pPr>
          </w:p>
        </w:tc>
      </w:tr>
      <w:tr w14:paraId="47764B24">
        <w:tblPrEx>
          <w:tblCellMar>
            <w:top w:w="0" w:type="dxa"/>
            <w:left w:w="108" w:type="dxa"/>
            <w:bottom w:w="0" w:type="dxa"/>
            <w:right w:w="108" w:type="dxa"/>
          </w:tblCellMar>
        </w:tblPrEx>
        <w:trPr>
          <w:gridAfter w:val="1"/>
          <w:wAfter w:w="799" w:type="dxa"/>
          <w:trHeight w:val="343" w:hRule="atLeast"/>
        </w:trPr>
        <w:tc>
          <w:tcPr>
            <w:tcW w:w="705" w:type="dxa"/>
            <w:tcBorders>
              <w:top w:val="nil"/>
              <w:left w:val="single" w:color="auto" w:sz="4" w:space="0"/>
              <w:bottom w:val="single" w:color="auto" w:sz="4" w:space="0"/>
              <w:right w:val="single" w:color="auto" w:sz="4" w:space="0"/>
            </w:tcBorders>
            <w:noWrap w:val="0"/>
            <w:vAlign w:val="center"/>
          </w:tcPr>
          <w:p w14:paraId="71FE3934">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2D81F626">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6DE30B29">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314FCCE8">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051686D0">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6DE53A9C">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0D505E16">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6A35F45E">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50AF0E4A">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2B64EB13">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148647BA">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6144EF51">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760AF59D">
            <w:pPr>
              <w:widowControl/>
              <w:jc w:val="center"/>
              <w:rPr>
                <w:rFonts w:ascii="Calibri" w:hAnsi="Calibri" w:cs="宋体"/>
                <w:sz w:val="24"/>
              </w:rPr>
            </w:pPr>
          </w:p>
        </w:tc>
      </w:tr>
      <w:tr w14:paraId="27BA932D">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45B051D3">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06E8E2FB">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25EE82F6">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76D9A571">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363D0099">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1363FE20">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47CF7CC0">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0DE5562">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02D4F9E8">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36797FC">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1B79DE3D">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0256A012">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3AD88847">
            <w:pPr>
              <w:widowControl/>
              <w:jc w:val="center"/>
              <w:rPr>
                <w:rFonts w:ascii="Calibri" w:hAnsi="Calibri" w:cs="宋体"/>
                <w:sz w:val="24"/>
              </w:rPr>
            </w:pPr>
          </w:p>
        </w:tc>
      </w:tr>
      <w:tr w14:paraId="05CECDBC">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1607D6E9">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6B5FEABC">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51B65EBE">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75A277E0">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1F173A01">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3566840D">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1BEE1364">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54335682">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291FC8F3">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2109AF95">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4364F5AA">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5BDAB22D">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0E213512">
            <w:pPr>
              <w:widowControl/>
              <w:jc w:val="center"/>
              <w:rPr>
                <w:rFonts w:ascii="Calibri" w:hAnsi="Calibri" w:cs="宋体"/>
                <w:sz w:val="24"/>
              </w:rPr>
            </w:pPr>
          </w:p>
        </w:tc>
      </w:tr>
      <w:tr w14:paraId="46DDE5AD">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5B1F98A8">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7B198753">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059483CB">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2970F1B0">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1DF8FCEE">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686FCFE9">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6C8FAAB8">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14B6A61A">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63FC5646">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093FDAF9">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2BA20D59">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1C00DA33">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31D32922">
            <w:pPr>
              <w:widowControl/>
              <w:jc w:val="center"/>
              <w:rPr>
                <w:rFonts w:ascii="Calibri" w:hAnsi="Calibri" w:cs="宋体"/>
                <w:sz w:val="24"/>
              </w:rPr>
            </w:pPr>
          </w:p>
        </w:tc>
      </w:tr>
      <w:tr w14:paraId="01D4BB6C">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43D5E9B4">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47764AC2">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27FFA225">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27E4EE9F">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05B07012">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3346B55C">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665A9CC8">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6F392343">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0957B8FB">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3F113A2F">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3729F5B6">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47BC0ECF">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23364011">
            <w:pPr>
              <w:widowControl/>
              <w:jc w:val="center"/>
              <w:rPr>
                <w:rFonts w:ascii="Calibri" w:hAnsi="Calibri" w:cs="宋体"/>
                <w:sz w:val="24"/>
              </w:rPr>
            </w:pPr>
          </w:p>
        </w:tc>
      </w:tr>
      <w:tr w14:paraId="358CDE8C">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3B4E9D02">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0EA434AB">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2C8A836A">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5937E302">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40B9A80E">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3F90716F">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5FD7E250">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D4FFC98">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4DDAD2D1">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1209F4AF">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68819C68">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7EA596EB">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49F16859">
            <w:pPr>
              <w:widowControl/>
              <w:jc w:val="center"/>
              <w:rPr>
                <w:rFonts w:ascii="Calibri" w:hAnsi="Calibri" w:cs="宋体"/>
                <w:sz w:val="24"/>
              </w:rPr>
            </w:pPr>
          </w:p>
        </w:tc>
      </w:tr>
      <w:tr w14:paraId="55ECEA98">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23463A70">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69800333">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6EBCDD65">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062187BB">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22CDBADF">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40802D3B">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7BBB58F0">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63037BE8">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6CFF884F">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5FB002D">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59D77394">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45ECFF6F">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33C5B45E">
            <w:pPr>
              <w:widowControl/>
              <w:jc w:val="center"/>
              <w:rPr>
                <w:rFonts w:ascii="Calibri" w:hAnsi="Calibri" w:cs="宋体"/>
                <w:sz w:val="24"/>
              </w:rPr>
            </w:pPr>
          </w:p>
        </w:tc>
      </w:tr>
      <w:tr w14:paraId="7F8068DA">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5A2C1B60">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452813B1">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25FBDB4F">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1ACD5715">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135757B9">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741B8151">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4ACA214E">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B01A3D1">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4C1FF693">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97CF060">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6AA46C64">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58858765">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2CF3ACC5">
            <w:pPr>
              <w:widowControl/>
              <w:jc w:val="center"/>
              <w:rPr>
                <w:rFonts w:ascii="Calibri" w:hAnsi="Calibri" w:cs="宋体"/>
                <w:sz w:val="24"/>
              </w:rPr>
            </w:pPr>
          </w:p>
        </w:tc>
      </w:tr>
      <w:tr w14:paraId="767BF33E">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0643A177">
            <w:pPr>
              <w:widowControl/>
              <w:jc w:val="center"/>
              <w:rPr>
                <w:rFonts w:ascii="Arial" w:hAnsi="Arial" w:cs="Arial"/>
                <w:sz w:val="24"/>
              </w:rPr>
            </w:pPr>
          </w:p>
        </w:tc>
        <w:tc>
          <w:tcPr>
            <w:tcW w:w="1685" w:type="dxa"/>
            <w:tcBorders>
              <w:top w:val="nil"/>
              <w:left w:val="nil"/>
              <w:bottom w:val="single" w:color="auto" w:sz="4" w:space="0"/>
              <w:right w:val="single" w:color="auto" w:sz="4" w:space="0"/>
            </w:tcBorders>
            <w:noWrap w:val="0"/>
            <w:vAlign w:val="center"/>
          </w:tcPr>
          <w:p w14:paraId="50B38E6C">
            <w:pPr>
              <w:widowControl/>
              <w:jc w:val="center"/>
              <w:rPr>
                <w:rFonts w:ascii="Arial" w:hAnsi="Arial" w:cs="Arial"/>
                <w:sz w:val="24"/>
              </w:rPr>
            </w:pPr>
          </w:p>
        </w:tc>
        <w:tc>
          <w:tcPr>
            <w:tcW w:w="1328" w:type="dxa"/>
            <w:tcBorders>
              <w:top w:val="nil"/>
              <w:left w:val="nil"/>
              <w:bottom w:val="single" w:color="auto" w:sz="4" w:space="0"/>
              <w:right w:val="single" w:color="auto" w:sz="4" w:space="0"/>
            </w:tcBorders>
            <w:noWrap w:val="0"/>
            <w:vAlign w:val="center"/>
          </w:tcPr>
          <w:p w14:paraId="09E2474E">
            <w:pPr>
              <w:widowControl/>
              <w:jc w:val="center"/>
              <w:rPr>
                <w:rFonts w:ascii="Calibri" w:hAnsi="Calibri" w:cs="宋体"/>
                <w:sz w:val="24"/>
              </w:rPr>
            </w:pPr>
          </w:p>
        </w:tc>
        <w:tc>
          <w:tcPr>
            <w:tcW w:w="908" w:type="dxa"/>
            <w:tcBorders>
              <w:top w:val="nil"/>
              <w:left w:val="nil"/>
              <w:bottom w:val="single" w:color="auto" w:sz="4" w:space="0"/>
              <w:right w:val="single" w:color="auto" w:sz="4" w:space="0"/>
            </w:tcBorders>
            <w:noWrap w:val="0"/>
            <w:vAlign w:val="center"/>
          </w:tcPr>
          <w:p w14:paraId="1A9C8575">
            <w:pPr>
              <w:widowControl/>
              <w:jc w:val="center"/>
              <w:rPr>
                <w:rFonts w:ascii="Calibri" w:hAnsi="Calibri" w:cs="宋体"/>
                <w:sz w:val="24"/>
              </w:rPr>
            </w:pPr>
          </w:p>
        </w:tc>
        <w:tc>
          <w:tcPr>
            <w:tcW w:w="788" w:type="dxa"/>
            <w:tcBorders>
              <w:top w:val="nil"/>
              <w:left w:val="nil"/>
              <w:bottom w:val="single" w:color="auto" w:sz="4" w:space="0"/>
              <w:right w:val="single" w:color="auto" w:sz="4" w:space="0"/>
            </w:tcBorders>
            <w:noWrap w:val="0"/>
            <w:vAlign w:val="center"/>
          </w:tcPr>
          <w:p w14:paraId="2238CA5A">
            <w:pPr>
              <w:widowControl/>
              <w:jc w:val="center"/>
              <w:rPr>
                <w:rFonts w:ascii="Calibri" w:hAnsi="Calibri" w:cs="宋体"/>
                <w:sz w:val="24"/>
              </w:rPr>
            </w:pPr>
          </w:p>
        </w:tc>
        <w:tc>
          <w:tcPr>
            <w:tcW w:w="824" w:type="dxa"/>
            <w:tcBorders>
              <w:top w:val="nil"/>
              <w:left w:val="nil"/>
              <w:bottom w:val="single" w:color="auto" w:sz="4" w:space="0"/>
              <w:right w:val="single" w:color="auto" w:sz="4" w:space="0"/>
            </w:tcBorders>
            <w:noWrap w:val="0"/>
            <w:vAlign w:val="center"/>
          </w:tcPr>
          <w:p w14:paraId="6139C464">
            <w:pPr>
              <w:widowControl/>
              <w:jc w:val="center"/>
              <w:rPr>
                <w:rFonts w:ascii="Calibri" w:hAnsi="Calibri" w:cs="宋体"/>
                <w:sz w:val="24"/>
              </w:rPr>
            </w:pPr>
          </w:p>
        </w:tc>
        <w:tc>
          <w:tcPr>
            <w:tcW w:w="703" w:type="dxa"/>
            <w:tcBorders>
              <w:top w:val="nil"/>
              <w:left w:val="nil"/>
              <w:bottom w:val="single" w:color="auto" w:sz="4" w:space="0"/>
              <w:right w:val="single" w:color="auto" w:sz="4" w:space="0"/>
            </w:tcBorders>
            <w:noWrap w:val="0"/>
            <w:vAlign w:val="center"/>
          </w:tcPr>
          <w:p w14:paraId="72915505">
            <w:pPr>
              <w:widowControl/>
              <w:jc w:val="center"/>
              <w:rPr>
                <w:rFonts w:ascii="Calibri" w:hAnsi="Calibri" w:cs="宋体"/>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10F1FD8B">
            <w:pPr>
              <w:widowControl/>
              <w:jc w:val="center"/>
              <w:rPr>
                <w:rFonts w:ascii="Calibri" w:hAnsi="Calibri" w:cs="宋体"/>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4C465A71">
            <w:pPr>
              <w:widowControl/>
              <w:jc w:val="center"/>
              <w:rPr>
                <w:rFonts w:ascii="Calibri" w:hAnsi="Calibri" w:cs="宋体"/>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73C576C4">
            <w:pPr>
              <w:widowControl/>
              <w:jc w:val="center"/>
              <w:rPr>
                <w:rFonts w:ascii="宋体" w:hAnsi="宋体" w:cs="宋体"/>
                <w:b/>
                <w:sz w:val="24"/>
              </w:rPr>
            </w:pPr>
          </w:p>
        </w:tc>
        <w:tc>
          <w:tcPr>
            <w:tcW w:w="871" w:type="dxa"/>
            <w:tcBorders>
              <w:top w:val="nil"/>
              <w:left w:val="nil"/>
              <w:bottom w:val="single" w:color="auto" w:sz="4" w:space="0"/>
              <w:right w:val="single" w:color="auto" w:sz="4" w:space="0"/>
            </w:tcBorders>
            <w:noWrap w:val="0"/>
            <w:vAlign w:val="center"/>
          </w:tcPr>
          <w:p w14:paraId="346F4B93">
            <w:pPr>
              <w:widowControl/>
              <w:jc w:val="center"/>
              <w:rPr>
                <w:rFonts w:ascii="Calibri" w:hAnsi="Calibri" w:cs="宋体"/>
                <w:sz w:val="24"/>
              </w:rPr>
            </w:pPr>
          </w:p>
        </w:tc>
        <w:tc>
          <w:tcPr>
            <w:tcW w:w="1157" w:type="dxa"/>
            <w:tcBorders>
              <w:top w:val="nil"/>
              <w:left w:val="nil"/>
              <w:bottom w:val="single" w:color="auto" w:sz="4" w:space="0"/>
              <w:right w:val="single" w:color="auto" w:sz="4" w:space="0"/>
            </w:tcBorders>
            <w:noWrap w:val="0"/>
            <w:vAlign w:val="center"/>
          </w:tcPr>
          <w:p w14:paraId="5C3CB51A">
            <w:pPr>
              <w:widowControl/>
              <w:jc w:val="center"/>
              <w:rPr>
                <w:rFonts w:ascii="Calibri" w:hAnsi="Calibri" w:cs="宋体"/>
                <w:sz w:val="24"/>
              </w:rPr>
            </w:pPr>
          </w:p>
        </w:tc>
        <w:tc>
          <w:tcPr>
            <w:tcW w:w="687" w:type="dxa"/>
            <w:gridSpan w:val="2"/>
            <w:tcBorders>
              <w:top w:val="nil"/>
              <w:left w:val="nil"/>
              <w:bottom w:val="single" w:color="auto" w:sz="4" w:space="0"/>
              <w:right w:val="single" w:color="auto" w:sz="4" w:space="0"/>
            </w:tcBorders>
            <w:noWrap w:val="0"/>
            <w:vAlign w:val="center"/>
          </w:tcPr>
          <w:p w14:paraId="07F6A95A">
            <w:pPr>
              <w:widowControl/>
              <w:jc w:val="center"/>
              <w:rPr>
                <w:rFonts w:ascii="Calibri" w:hAnsi="Calibri" w:cs="宋体"/>
                <w:sz w:val="24"/>
              </w:rPr>
            </w:pPr>
          </w:p>
        </w:tc>
      </w:tr>
    </w:tbl>
    <w:p w14:paraId="2EB667DB">
      <w:pPr>
        <w:pStyle w:val="2"/>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CBC0B">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0325" cy="154940"/>
              <wp:effectExtent l="0" t="0" r="0" b="0"/>
              <wp:wrapNone/>
              <wp:docPr id="1" name="矩形 1"/>
              <wp:cNvGraphicFramePr/>
              <a:graphic xmlns:a="http://schemas.openxmlformats.org/drawingml/2006/main">
                <a:graphicData uri="http://schemas.microsoft.com/office/word/2010/wordprocessingShape">
                  <wps:wsp>
                    <wps:cNvSpPr/>
                    <wps:spPr>
                      <a:xfrm>
                        <a:off x="0" y="0"/>
                        <a:ext cx="60325" cy="154940"/>
                      </a:xfrm>
                      <a:prstGeom prst="rect">
                        <a:avLst/>
                      </a:prstGeom>
                      <a:noFill/>
                      <a:ln>
                        <a:noFill/>
                      </a:ln>
                    </wps:spPr>
                    <wps:txbx>
                      <w:txbxContent>
                        <w:p w14:paraId="1EB7701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2.2pt;width:4.75pt;mso-position-horizontal:center;mso-position-horizontal-relative:margin;mso-wrap-style:none;z-index:251660288;mso-width-relative:page;mso-height-relative:page;" filled="f" stroked="f" coordsize="21600,21600" o:gfxdata="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BDF2tEAAAACAQAADwAAAAAAAAABACAAAAAiAAAAZHJzL2Rvd25yZXYueG1sUEsB&#10;AhQAFAAAAAgAh07iQKta3ALDAQAAiQMAAA4AAAAAAAAAAQAgAAAAIAEAAGRycy9lMm9Eb2MueG1s&#10;UEsFBgAAAAAGAAYAWQEAAFUFAAAAAA==&#10;">
              <v:fill on="f" focussize="0,0"/>
              <v:stroke on="f"/>
              <v:imagedata o:title=""/>
              <o:lock v:ext="edit" aspectratio="f"/>
              <v:textbox inset="0mm,0mm,0mm,0mm" style="mso-fit-shape-to-text:t;">
                <w:txbxContent>
                  <w:p w14:paraId="1EB7701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1ZWM5YjkwZDgyMThiMjA0NGUyYmE4YjVkMDBjYjQifQ=="/>
  </w:docVars>
  <w:rsids>
    <w:rsidRoot w:val="3EA51A9A"/>
    <w:rsid w:val="00F211EF"/>
    <w:rsid w:val="049B06D8"/>
    <w:rsid w:val="05485881"/>
    <w:rsid w:val="064A73D7"/>
    <w:rsid w:val="0A5371A2"/>
    <w:rsid w:val="0AAC0660"/>
    <w:rsid w:val="100658CF"/>
    <w:rsid w:val="100920B1"/>
    <w:rsid w:val="12695089"/>
    <w:rsid w:val="12902616"/>
    <w:rsid w:val="193E726F"/>
    <w:rsid w:val="1E652BA8"/>
    <w:rsid w:val="1ED65854"/>
    <w:rsid w:val="2412242D"/>
    <w:rsid w:val="25B032A3"/>
    <w:rsid w:val="2610789E"/>
    <w:rsid w:val="28086671"/>
    <w:rsid w:val="290C0346"/>
    <w:rsid w:val="2B2E4587"/>
    <w:rsid w:val="2DF126AA"/>
    <w:rsid w:val="2EC76F67"/>
    <w:rsid w:val="2F4D56BE"/>
    <w:rsid w:val="30542A7D"/>
    <w:rsid w:val="325D3E6B"/>
    <w:rsid w:val="331F7372"/>
    <w:rsid w:val="38A92B70"/>
    <w:rsid w:val="3A5F274A"/>
    <w:rsid w:val="3B2B62A3"/>
    <w:rsid w:val="3C2B010F"/>
    <w:rsid w:val="3D0575D8"/>
    <w:rsid w:val="3D351B7B"/>
    <w:rsid w:val="3EA51A9A"/>
    <w:rsid w:val="40026051"/>
    <w:rsid w:val="451E1B7F"/>
    <w:rsid w:val="47C02A7A"/>
    <w:rsid w:val="48825857"/>
    <w:rsid w:val="48DD3AFF"/>
    <w:rsid w:val="496164DE"/>
    <w:rsid w:val="4A2C2648"/>
    <w:rsid w:val="4B920E8F"/>
    <w:rsid w:val="4ED27537"/>
    <w:rsid w:val="4F710AFD"/>
    <w:rsid w:val="501A2F43"/>
    <w:rsid w:val="53682217"/>
    <w:rsid w:val="552503C0"/>
    <w:rsid w:val="55915A56"/>
    <w:rsid w:val="58643521"/>
    <w:rsid w:val="598F04FE"/>
    <w:rsid w:val="5DCB3ACF"/>
    <w:rsid w:val="60F4333C"/>
    <w:rsid w:val="66134265"/>
    <w:rsid w:val="66D6776C"/>
    <w:rsid w:val="68A04E37"/>
    <w:rsid w:val="6CAB51F7"/>
    <w:rsid w:val="6CC63F02"/>
    <w:rsid w:val="6DBE0F5A"/>
    <w:rsid w:val="703D260A"/>
    <w:rsid w:val="718801FD"/>
    <w:rsid w:val="719C7804"/>
    <w:rsid w:val="71F70629"/>
    <w:rsid w:val="720E4E8D"/>
    <w:rsid w:val="770E6AAE"/>
    <w:rsid w:val="7CC7607D"/>
    <w:rsid w:val="7D9D0B8C"/>
    <w:rsid w:val="7DF52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2"/>
    <w:basedOn w:val="1"/>
    <w:next w:val="1"/>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rPr>
      <w:rFonts w:ascii="Times New Roman" w:hAnsi="Times New Roman" w:eastAsia="宋体" w:cs="Times New Roman"/>
    </w:rPr>
  </w:style>
  <w:style w:type="paragraph" w:styleId="4">
    <w:name w:val="Plain Text"/>
    <w:basedOn w:val="1"/>
    <w:qFormat/>
    <w:uiPriority w:val="0"/>
    <w:rPr>
      <w:rFonts w:ascii="宋体" w:hAnsi="Courier New" w:eastAsia="宋体" w:cs="Times New Roman"/>
      <w:kern w:val="0"/>
      <w:sz w:val="20"/>
      <w:szCs w:val="20"/>
    </w:rPr>
  </w:style>
  <w:style w:type="paragraph" w:styleId="5">
    <w:name w:val="footer"/>
    <w:basedOn w:val="1"/>
    <w:unhideWhenUsed/>
    <w:qFormat/>
    <w:uiPriority w:val="0"/>
    <w:pPr>
      <w:tabs>
        <w:tab w:val="center" w:pos="4153"/>
        <w:tab w:val="right" w:pos="8306"/>
      </w:tabs>
      <w:snapToGrid w:val="0"/>
      <w:jc w:val="left"/>
    </w:pPr>
    <w:rPr>
      <w:sz w:val="18"/>
      <w:szCs w:val="18"/>
    </w:rPr>
  </w:style>
  <w:style w:type="character" w:styleId="8">
    <w:name w:val="Hyperlink"/>
    <w:unhideWhenUsed/>
    <w:qFormat/>
    <w:uiPriority w:val="99"/>
    <w:rPr>
      <w:color w:val="0000FF"/>
      <w:u w:val="single"/>
    </w:rPr>
  </w:style>
  <w:style w:type="paragraph" w:customStyle="1" w:styleId="9">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5425</Words>
  <Characters>5632</Characters>
  <Lines>0</Lines>
  <Paragraphs>0</Paragraphs>
  <TotalTime>29</TotalTime>
  <ScaleCrop>false</ScaleCrop>
  <LinksUpToDate>false</LinksUpToDate>
  <CharactersWithSpaces>5960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2024-10-10T05:38:00Z</dcterms:created>
  <dc:creator>君问羽</dc:creator>
  <cp:lastModifiedBy>Ruri</cp:lastModifiedBy>
  <dcterms:modified xsi:type="dcterms:W3CDTF">2024-10-11T06:23:46Z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B804F8DA7D8F4BC0BC87F0A5A614748C_13</vt:lpwstr>
  </property>
</Properties>
</file>