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20240923公铁运输零星土建施工</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镇江海纳川公铁运输有限公司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2024年10月10日上午10:00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2024年10月10日上午10:00</w:t>
      </w:r>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119C36C">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20240923公铁运输零星土建施工</w:t>
      </w:r>
    </w:p>
    <w:p w14:paraId="1DC826CB">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1598F385">
      <w:pPr>
        <w:pStyle w:val="15"/>
        <w:widowControl w:val="0"/>
        <w:numPr>
          <w:ilvl w:val="0"/>
          <w:numId w:val="0"/>
        </w:numPr>
        <w:adjustRightInd w:val="0"/>
        <w:spacing w:after="0" w:line="312" w:lineRule="atLeast"/>
        <w:jc w:val="both"/>
        <w:textAlignment w:val="baseline"/>
      </w:pPr>
    </w:p>
    <w:p w14:paraId="71349822">
      <w:pPr>
        <w:pStyle w:val="15"/>
        <w:widowControl w:val="0"/>
        <w:numPr>
          <w:ilvl w:val="0"/>
          <w:numId w:val="0"/>
        </w:numPr>
        <w:adjustRightInd w:val="0"/>
        <w:spacing w:after="0" w:line="312" w:lineRule="atLeast"/>
        <w:jc w:val="both"/>
        <w:textAlignment w:val="baseline"/>
      </w:pPr>
    </w:p>
    <w:p w14:paraId="39EA6ACE">
      <w:pPr>
        <w:pStyle w:val="15"/>
        <w:widowControl w:val="0"/>
        <w:numPr>
          <w:ilvl w:val="0"/>
          <w:numId w:val="0"/>
        </w:numPr>
        <w:adjustRightInd w:val="0"/>
        <w:spacing w:after="0" w:line="312" w:lineRule="atLeast"/>
        <w:jc w:val="both"/>
        <w:textAlignment w:val="baseline"/>
      </w:pPr>
    </w:p>
    <w:p w14:paraId="695BCFC3">
      <w:pPr>
        <w:pStyle w:val="15"/>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8EAEEEB">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421805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（1）围墙维修：拆除原围墙4m*3.6m，砌筑24墙4m*3.6m，双面水泥砂浆粉刷，清理直径20cm树木2棵，需登高约2m。</w:t>
      </w:r>
    </w:p>
    <w:p w14:paraId="5FEDDD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（2）铁路货场开票室拆除并更换甲级防盗门（室外防盗门带开合器；）1扇，高2.05米，宽0.86米。</w:t>
      </w:r>
    </w:p>
    <w:p w14:paraId="3C4958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（3）铁路作业室拆除更换无缝钢化玻璃门把手1副。（304不锈钢材质，长60厘米，管直径4.5厘米。）</w:t>
      </w:r>
    </w:p>
    <w:p w14:paraId="526D46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配电房屋顶檐口维修处理：铲除檐口外侧开裂粉刷层（面积：5.5m*0.55m=2.75㎡）；重新粉刷外侧檐口（面积同上），考虑老鹰嘴滴水线；外侧檐口防水腻子批白2遍，蓝色乳胶漆2遍（面积同上）；檐口上部及内侧表面刷防水涂料2遍（面积：5m*0.6m=3㎡）；铲除檐口下部起皮部位腻子及涂料（面积：5.5m*0.65m=3.575㎡）；檐口下部防水腻子批白2遍，刷白色乳胶漆2遍（面积同上）；清理配电房屋面垃圾，确保屋面排水通畅。</w:t>
      </w:r>
    </w:p>
    <w:p w14:paraId="48C90E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排水沟塌陷处理（5000mm*300mm*600mm）：拆除排水沟盖板（统一放置）；拆除排水沟两侧侧壁；拆除排水沟沟底混凝土；重新浇筑排水沟沟底混凝土（厚度同原排水沟沟底混凝土，标号C30），内配单层双向Φ8@100（两侧钢筋采用植筋方式植入原排水沟沟底混凝土内）；重新砌筑排水沟两侧侧壁（侧壁厚度同原排水沟厚度）；排水沟侧壁进行粉刷；排水上方两侧角铁重新安装（需与周边排水沟角铁进行连接）；安装原排水沟盖板；</w:t>
      </w:r>
    </w:p>
    <w:p w14:paraId="758D8B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地面积水处理（30㎡）：破碎积水路面混凝土（机械开挖、人工辅助）；人工开挖土方至漏点（漏点数不详及土方开挖深度需施工单位现场踏勘后综合考虑），漏点处理；土方回填（回填土方不含杂质、分层夯实）；铺设100mm碎石垫层重新浇筑路面混凝土(厚度同原路面厚度，标号C30），内配单层双向Φ10@150mm（四周钢筋采用植筋方式植入周边路面混凝土内）。</w:t>
      </w:r>
    </w:p>
    <w:p w14:paraId="26DFA51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kern w:val="2"/>
          <w:sz w:val="32"/>
          <w:szCs w:val="32"/>
          <w:lang w:val="en-US" w:eastAsia="zh-CN"/>
        </w:rPr>
        <w:t>2.</w:t>
      </w:r>
      <w:r>
        <w:rPr>
          <w:rFonts w:hint="eastAsia" w:ascii="方正仿宋简体" w:hAnsi="方正仿宋简体" w:eastAsia="方正仿宋简体" w:cs="方正仿宋简体"/>
          <w:color w:val="FF0000"/>
          <w:kern w:val="2"/>
          <w:sz w:val="32"/>
          <w:szCs w:val="32"/>
          <w:lang w:val="en-US" w:eastAsia="zh-CN"/>
        </w:rPr>
        <w:t>承包方式：</w:t>
      </w:r>
    </w:p>
    <w:p w14:paraId="545E5DD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（1）围墙维修项目：包工、包料；</w:t>
      </w:r>
    </w:p>
    <w:p w14:paraId="7F7B9C9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（2）铁路货场开票室拆除并更换甲级防盗门项目：包工、包料，中标单位应按照招标方推荐品牌购买防盗门，推荐品牌：盼盼、步阳、永佳；</w:t>
      </w:r>
    </w:p>
    <w:p w14:paraId="07445AF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（3）铁路作业室拆除更换无缝钢化玻璃门把手项目：包工、包料；</w:t>
      </w:r>
    </w:p>
    <w:p w14:paraId="7A2253D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（4）配电房屋顶檐口维修处理项目：包工、包料；</w:t>
      </w:r>
    </w:p>
    <w:p w14:paraId="21F7474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（5）排水沟塌陷处理项目：包工、包料；</w:t>
      </w:r>
    </w:p>
    <w:p w14:paraId="2CA34E2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bidi="ar-SA"/>
        </w:rPr>
        <w:t>（6）地面积水处理项目：包工、包料。</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动火作业、登高作业等特殊作业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67C38CA">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.质量要求及技术标准：质量要求及技术标准：</w:t>
      </w:r>
      <w:r>
        <w:rPr>
          <w:rFonts w:hint="eastAsia" w:ascii="方正仿宋简体" w:hAnsi="方正仿宋简体" w:eastAsia="方正仿宋简体" w:cs="方正仿宋简体"/>
          <w:color w:val="auto"/>
          <w:sz w:val="32"/>
          <w:szCs w:val="32"/>
          <w:lang w:val="en-US" w:eastAsia="zh-CN"/>
        </w:rPr>
        <w:t>《钢结构工程施工质量验收标准》GB50205-2020；《建筑工程施工质量验收统一标准》GB50300-2013。</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；特种作业操作证：焊工证和登高作业证各</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90%，剩余10% 壹年无质量问题后</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53B9E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259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1A6D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3D77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8DA9FCC">
      <w:pPr>
        <w:pStyle w:val="2"/>
        <w:jc w:val="both"/>
        <w:rPr>
          <w:rFonts w:hint="eastAsia" w:ascii="方正小标宋简体" w:hAnsi="方正小标宋简体" w:eastAsia="方正小标宋简体" w:cs="方正小标宋简体"/>
          <w:sz w:val="44"/>
          <w:szCs w:val="44"/>
        </w:rPr>
      </w:pPr>
    </w:p>
    <w:p w14:paraId="52B752A5">
      <w:pPr>
        <w:pStyle w:val="2"/>
        <w:rPr>
          <w:rFonts w:hint="eastAsia" w:ascii="方正小标宋简体" w:hAnsi="方正小标宋简体" w:eastAsia="方正小标宋简体" w:cs="方正小标宋简体"/>
          <w:sz w:val="44"/>
          <w:szCs w:val="44"/>
        </w:rPr>
      </w:pPr>
    </w:p>
    <w:p w14:paraId="7C703B9F">
      <w:pPr>
        <w:rPr>
          <w:rFonts w:hint="eastAsia"/>
        </w:rPr>
      </w:pPr>
    </w:p>
    <w:p w14:paraId="6D205744">
      <w:pPr>
        <w:rPr>
          <w:rFonts w:hint="eastAsia"/>
        </w:rPr>
      </w:pPr>
    </w:p>
    <w:p w14:paraId="6B03013F">
      <w:pPr>
        <w:rPr>
          <w:rFonts w:hint="eastAsia"/>
        </w:rPr>
      </w:pPr>
    </w:p>
    <w:p w14:paraId="1159CD8D">
      <w:pPr>
        <w:rPr>
          <w:rFonts w:hint="eastAsia"/>
        </w:rPr>
      </w:pPr>
    </w:p>
    <w:p w14:paraId="439791AB">
      <w:pPr>
        <w:rPr>
          <w:rFonts w:hint="eastAsia"/>
        </w:rPr>
      </w:pPr>
    </w:p>
    <w:p w14:paraId="313EE41C">
      <w:pPr>
        <w:rPr>
          <w:rFonts w:hint="eastAsia"/>
        </w:rPr>
      </w:pPr>
    </w:p>
    <w:p w14:paraId="194AAFE9">
      <w:pPr>
        <w:rPr>
          <w:rFonts w:hint="eastAsia"/>
        </w:rPr>
      </w:pPr>
    </w:p>
    <w:p w14:paraId="54BB8F40">
      <w:pPr>
        <w:rPr>
          <w:rFonts w:hint="eastAsia"/>
        </w:rPr>
      </w:pPr>
    </w:p>
    <w:p w14:paraId="6FA956C8">
      <w:pPr>
        <w:rPr>
          <w:rFonts w:hint="eastAsia"/>
        </w:rPr>
      </w:pPr>
    </w:p>
    <w:p w14:paraId="49161D76">
      <w:pPr>
        <w:rPr>
          <w:rFonts w:hint="eastAsia"/>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10042" w:type="dxa"/>
        <w:jc w:val="center"/>
        <w:tblLayout w:type="fixed"/>
        <w:tblCellMar>
          <w:top w:w="0" w:type="dxa"/>
          <w:left w:w="108" w:type="dxa"/>
          <w:bottom w:w="0" w:type="dxa"/>
          <w:right w:w="108" w:type="dxa"/>
        </w:tblCellMar>
      </w:tblPr>
      <w:tblGrid>
        <w:gridCol w:w="1001"/>
        <w:gridCol w:w="5280"/>
        <w:gridCol w:w="2711"/>
        <w:gridCol w:w="1050"/>
      </w:tblGrid>
      <w:tr w14:paraId="11C08DE1">
        <w:tblPrEx>
          <w:tblCellMar>
            <w:top w:w="0" w:type="dxa"/>
            <w:left w:w="108" w:type="dxa"/>
            <w:bottom w:w="0" w:type="dxa"/>
            <w:right w:w="108" w:type="dxa"/>
          </w:tblCellMar>
        </w:tblPrEx>
        <w:trPr>
          <w:trHeight w:val="870" w:hRule="exac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7CEA4D8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序号</w:t>
            </w:r>
          </w:p>
        </w:tc>
        <w:tc>
          <w:tcPr>
            <w:tcW w:w="5280" w:type="dxa"/>
            <w:tcBorders>
              <w:top w:val="single" w:color="000000" w:sz="4" w:space="0"/>
              <w:left w:val="single" w:color="auto" w:sz="4" w:space="0"/>
              <w:bottom w:val="single" w:color="000000" w:sz="4" w:space="0"/>
              <w:right w:val="single" w:color="auto" w:sz="4" w:space="0"/>
            </w:tcBorders>
            <w:vAlign w:val="center"/>
          </w:tcPr>
          <w:p w14:paraId="4D99796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rPr>
              <w:t>标的名称</w:t>
            </w:r>
          </w:p>
        </w:tc>
        <w:tc>
          <w:tcPr>
            <w:tcW w:w="2711" w:type="dxa"/>
            <w:tcBorders>
              <w:top w:val="single" w:color="000000" w:sz="4" w:space="0"/>
              <w:left w:val="single" w:color="auto" w:sz="4" w:space="0"/>
              <w:bottom w:val="single" w:color="000000" w:sz="4" w:space="0"/>
              <w:right w:val="single" w:color="auto" w:sz="4" w:space="0"/>
            </w:tcBorders>
            <w:vAlign w:val="center"/>
          </w:tcPr>
          <w:p w14:paraId="7F80C33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1050" w:type="dxa"/>
            <w:tcBorders>
              <w:top w:val="single" w:color="000000" w:sz="4" w:space="0"/>
              <w:left w:val="single" w:color="auto" w:sz="4" w:space="0"/>
              <w:bottom w:val="single" w:color="000000" w:sz="4" w:space="0"/>
              <w:right w:val="single" w:color="000000" w:sz="4" w:space="0"/>
            </w:tcBorders>
            <w:vAlign w:val="center"/>
          </w:tcPr>
          <w:p w14:paraId="20AD1FAD">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r>
      <w:tr w14:paraId="4CA04D16">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D670B6D">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1</w:t>
            </w:r>
          </w:p>
        </w:tc>
        <w:tc>
          <w:tcPr>
            <w:tcW w:w="5280" w:type="dxa"/>
            <w:tcBorders>
              <w:top w:val="single" w:color="000000" w:sz="4" w:space="0"/>
              <w:left w:val="single" w:color="auto" w:sz="4" w:space="0"/>
              <w:bottom w:val="single" w:color="000000" w:sz="4" w:space="0"/>
              <w:right w:val="single" w:color="auto" w:sz="4" w:space="0"/>
            </w:tcBorders>
            <w:vAlign w:val="center"/>
          </w:tcPr>
          <w:p w14:paraId="0376EC13">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围墙维修项目</w:t>
            </w:r>
          </w:p>
        </w:tc>
        <w:tc>
          <w:tcPr>
            <w:tcW w:w="2711" w:type="dxa"/>
            <w:tcBorders>
              <w:top w:val="single" w:color="000000" w:sz="4" w:space="0"/>
              <w:left w:val="single" w:color="auto" w:sz="4" w:space="0"/>
              <w:bottom w:val="single" w:color="000000" w:sz="4" w:space="0"/>
              <w:right w:val="single" w:color="auto" w:sz="4" w:space="0"/>
            </w:tcBorders>
            <w:vAlign w:val="center"/>
          </w:tcPr>
          <w:p w14:paraId="6C8FC5BA">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restart"/>
            <w:tcBorders>
              <w:left w:val="single" w:color="auto" w:sz="4" w:space="0"/>
              <w:right w:val="single" w:color="000000" w:sz="4" w:space="0"/>
            </w:tcBorders>
            <w:vAlign w:val="center"/>
          </w:tcPr>
          <w:p w14:paraId="1C1D6DF5">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365FFA2B">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0D3A67B1">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2</w:t>
            </w:r>
          </w:p>
        </w:tc>
        <w:tc>
          <w:tcPr>
            <w:tcW w:w="5280" w:type="dxa"/>
            <w:tcBorders>
              <w:top w:val="single" w:color="000000" w:sz="4" w:space="0"/>
              <w:left w:val="single" w:color="auto" w:sz="4" w:space="0"/>
              <w:bottom w:val="single" w:color="000000" w:sz="4" w:space="0"/>
              <w:right w:val="single" w:color="auto" w:sz="4" w:space="0"/>
            </w:tcBorders>
            <w:vAlign w:val="center"/>
          </w:tcPr>
          <w:p w14:paraId="52B5B25C">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铁路货场开票室拆除并更换甲级防盗门项目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AE420C3">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21F98DB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419D9DD">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D139D21">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3</w:t>
            </w:r>
          </w:p>
        </w:tc>
        <w:tc>
          <w:tcPr>
            <w:tcW w:w="5280" w:type="dxa"/>
            <w:tcBorders>
              <w:top w:val="single" w:color="000000" w:sz="4" w:space="0"/>
              <w:left w:val="single" w:color="auto" w:sz="4" w:space="0"/>
              <w:bottom w:val="single" w:color="000000" w:sz="4" w:space="0"/>
              <w:right w:val="single" w:color="auto" w:sz="4" w:space="0"/>
            </w:tcBorders>
            <w:vAlign w:val="center"/>
          </w:tcPr>
          <w:p w14:paraId="27D84EDE">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铁路作业室拆除更换无缝钢化玻璃门把手项目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3E11A7C">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20BBF69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2E3E7F2">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7AF8D6F6">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4</w:t>
            </w:r>
          </w:p>
        </w:tc>
        <w:tc>
          <w:tcPr>
            <w:tcW w:w="5280" w:type="dxa"/>
            <w:tcBorders>
              <w:top w:val="single" w:color="000000" w:sz="4" w:space="0"/>
              <w:left w:val="single" w:color="auto" w:sz="4" w:space="0"/>
              <w:bottom w:val="single" w:color="000000" w:sz="4" w:space="0"/>
              <w:right w:val="single" w:color="auto" w:sz="4" w:space="0"/>
            </w:tcBorders>
            <w:vAlign w:val="center"/>
          </w:tcPr>
          <w:p w14:paraId="58261666">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配电房屋顶檐口维修处理项目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016639D">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55026772">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0820D1E0">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356885E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5</w:t>
            </w:r>
          </w:p>
        </w:tc>
        <w:tc>
          <w:tcPr>
            <w:tcW w:w="5280" w:type="dxa"/>
            <w:tcBorders>
              <w:top w:val="single" w:color="000000" w:sz="4" w:space="0"/>
              <w:left w:val="single" w:color="auto" w:sz="4" w:space="0"/>
              <w:bottom w:val="single" w:color="000000" w:sz="4" w:space="0"/>
              <w:right w:val="single" w:color="auto" w:sz="4" w:space="0"/>
            </w:tcBorders>
            <w:vAlign w:val="center"/>
          </w:tcPr>
          <w:p w14:paraId="364474BA">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排水沟塌陷处理项目</w:t>
            </w:r>
          </w:p>
        </w:tc>
        <w:tc>
          <w:tcPr>
            <w:tcW w:w="2711" w:type="dxa"/>
            <w:tcBorders>
              <w:top w:val="single" w:color="000000" w:sz="4" w:space="0"/>
              <w:left w:val="single" w:color="auto" w:sz="4" w:space="0"/>
              <w:bottom w:val="single" w:color="000000" w:sz="4" w:space="0"/>
              <w:right w:val="single" w:color="auto" w:sz="4" w:space="0"/>
            </w:tcBorders>
            <w:vAlign w:val="center"/>
          </w:tcPr>
          <w:p w14:paraId="64FC54B3">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6C5CBBDC">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B96BBF4">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6AE912F">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6</w:t>
            </w:r>
          </w:p>
        </w:tc>
        <w:tc>
          <w:tcPr>
            <w:tcW w:w="5280" w:type="dxa"/>
            <w:tcBorders>
              <w:top w:val="single" w:color="000000" w:sz="4" w:space="0"/>
              <w:left w:val="single" w:color="auto" w:sz="4" w:space="0"/>
              <w:bottom w:val="single" w:color="000000" w:sz="4" w:space="0"/>
              <w:right w:val="single" w:color="auto" w:sz="4" w:space="0"/>
            </w:tcBorders>
            <w:vAlign w:val="center"/>
          </w:tcPr>
          <w:p w14:paraId="08AEF0B7">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地面积水处理项目</w:t>
            </w:r>
          </w:p>
        </w:tc>
        <w:tc>
          <w:tcPr>
            <w:tcW w:w="2711" w:type="dxa"/>
            <w:tcBorders>
              <w:top w:val="single" w:color="000000" w:sz="4" w:space="0"/>
              <w:left w:val="single" w:color="auto" w:sz="4" w:space="0"/>
              <w:bottom w:val="single" w:color="000000" w:sz="4" w:space="0"/>
              <w:right w:val="single" w:color="auto" w:sz="4" w:space="0"/>
            </w:tcBorders>
            <w:vAlign w:val="center"/>
          </w:tcPr>
          <w:p w14:paraId="20730337">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5F46E7BE">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56F23E3D">
        <w:tblPrEx>
          <w:tblCellMar>
            <w:top w:w="0" w:type="dxa"/>
            <w:left w:w="108" w:type="dxa"/>
            <w:bottom w:w="0" w:type="dxa"/>
            <w:right w:w="108" w:type="dxa"/>
          </w:tblCellMar>
        </w:tblPrEx>
        <w:trPr>
          <w:trHeight w:val="737" w:hRule="exact"/>
          <w:jc w:val="center"/>
        </w:trPr>
        <w:tc>
          <w:tcPr>
            <w:tcW w:w="10042" w:type="dxa"/>
            <w:gridSpan w:val="4"/>
            <w:tcBorders>
              <w:top w:val="single" w:color="000000" w:sz="4" w:space="0"/>
              <w:left w:val="single" w:color="000000" w:sz="4" w:space="0"/>
              <w:bottom w:val="single" w:color="000000" w:sz="4" w:space="0"/>
              <w:right w:val="single" w:color="000000" w:sz="4" w:space="0"/>
            </w:tcBorders>
            <w:vAlign w:val="center"/>
          </w:tcPr>
          <w:p w14:paraId="3455D1C3">
            <w:pPr>
              <w:spacing w:line="360" w:lineRule="auto"/>
              <w:jc w:val="both"/>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以上合计总价（大写）：</w:t>
            </w:r>
          </w:p>
        </w:tc>
      </w:tr>
    </w:tbl>
    <w:p w14:paraId="6C0E807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p>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6C79B359">
      <w:pPr>
        <w:rPr>
          <w:rFonts w:ascii="方正仿宋简体" w:hAnsi="方正仿宋简体" w:eastAsia="方正仿宋简体" w:cs="方正仿宋简体"/>
          <w:kern w:val="1"/>
        </w:rPr>
      </w:pPr>
    </w:p>
    <w:p w14:paraId="25FD744D">
      <w:pPr>
        <w:rPr>
          <w:rFonts w:ascii="方正仿宋简体" w:hAnsi="方正仿宋简体" w:eastAsia="方正仿宋简体" w:cs="方正仿宋简体"/>
          <w:kern w:val="1"/>
        </w:rPr>
      </w:pPr>
    </w:p>
    <w:p w14:paraId="01EEC634">
      <w:pPr>
        <w:rPr>
          <w:rFonts w:ascii="方正仿宋简体" w:hAnsi="方正仿宋简体" w:eastAsia="方正仿宋简体" w:cs="方正仿宋简体"/>
          <w:kern w:val="1"/>
        </w:rPr>
      </w:pPr>
    </w:p>
    <w:p w14:paraId="1FDC27A2">
      <w:pPr>
        <w:rPr>
          <w:rFonts w:ascii="方正仿宋简体" w:hAnsi="方正仿宋简体" w:eastAsia="方正仿宋简体" w:cs="方正仿宋简体"/>
          <w:kern w:val="1"/>
        </w:rPr>
      </w:pPr>
    </w:p>
    <w:p w14:paraId="0260406B">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546B01-11DC-41E3-BD0B-86A7E369D0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5567B43-CEEE-4821-B82F-FFB7877599C3}"/>
  </w:font>
  <w:font w:name="微软雅黑">
    <w:panose1 w:val="020B0503020204020204"/>
    <w:charset w:val="86"/>
    <w:family w:val="auto"/>
    <w:pitch w:val="default"/>
    <w:sig w:usb0="80000287" w:usb1="280F3C52" w:usb2="00000016" w:usb3="00000000" w:csb0="0004001F" w:csb1="00000000"/>
    <w:embedRegular r:id="rId3" w:fontKey="{18FD5A6B-725C-43A8-8B99-3042AC79CC24}"/>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555443AB-E1D0-46A8-A18E-F8E9BD3781F4}"/>
  </w:font>
  <w:font w:name="方正楷体_GBK">
    <w:panose1 w:val="03000509000000000000"/>
    <w:charset w:val="86"/>
    <w:family w:val="script"/>
    <w:pitch w:val="default"/>
    <w:sig w:usb0="00000001" w:usb1="080E0000" w:usb2="00000000" w:usb3="00000000" w:csb0="00040000" w:csb1="00000000"/>
    <w:embedRegular r:id="rId5" w:fontKey="{4CC02C1A-EC95-411A-8B14-ED7B7009A178}"/>
  </w:font>
  <w:font w:name="仿宋">
    <w:panose1 w:val="02010609060101010101"/>
    <w:charset w:val="86"/>
    <w:family w:val="modern"/>
    <w:pitch w:val="default"/>
    <w:sig w:usb0="800002BF" w:usb1="38CF7CFA" w:usb2="00000016" w:usb3="00000000" w:csb0="00040001" w:csb1="00000000"/>
    <w:embedRegular r:id="rId6" w:fontKey="{425DDCAD-468D-457C-9812-85F55BB95EC0}"/>
  </w:font>
  <w:font w:name="方正仿宋_GBK">
    <w:panose1 w:val="03000509000000000000"/>
    <w:charset w:val="86"/>
    <w:family w:val="script"/>
    <w:pitch w:val="default"/>
    <w:sig w:usb0="00000001" w:usb1="080E0000" w:usb2="00000000" w:usb3="00000000" w:csb0="00040000" w:csb1="00000000"/>
    <w:embedRegular r:id="rId7" w:fontKey="{3824CB8F-2564-453F-BD29-216D46F0F1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7B55447"/>
    <w:rsid w:val="08826623"/>
    <w:rsid w:val="0928131E"/>
    <w:rsid w:val="09E67744"/>
    <w:rsid w:val="0A214D41"/>
    <w:rsid w:val="0AA725EC"/>
    <w:rsid w:val="0B9417E9"/>
    <w:rsid w:val="0CCD460E"/>
    <w:rsid w:val="0D9A4364"/>
    <w:rsid w:val="0E615903"/>
    <w:rsid w:val="0F5A0F7A"/>
    <w:rsid w:val="109F188D"/>
    <w:rsid w:val="11C30959"/>
    <w:rsid w:val="11E467E9"/>
    <w:rsid w:val="1444244B"/>
    <w:rsid w:val="14EA645D"/>
    <w:rsid w:val="15831B86"/>
    <w:rsid w:val="15A9663E"/>
    <w:rsid w:val="1603009A"/>
    <w:rsid w:val="1771382D"/>
    <w:rsid w:val="19181A3A"/>
    <w:rsid w:val="1C4830FD"/>
    <w:rsid w:val="1C9D6AB7"/>
    <w:rsid w:val="1C9F1DD3"/>
    <w:rsid w:val="1CA6682A"/>
    <w:rsid w:val="1CAC2CCB"/>
    <w:rsid w:val="1D6F6BEA"/>
    <w:rsid w:val="1E0513AA"/>
    <w:rsid w:val="1F533349"/>
    <w:rsid w:val="216E14AA"/>
    <w:rsid w:val="225D796E"/>
    <w:rsid w:val="22EC3898"/>
    <w:rsid w:val="232B589C"/>
    <w:rsid w:val="238847EF"/>
    <w:rsid w:val="24EC6623"/>
    <w:rsid w:val="25A20B86"/>
    <w:rsid w:val="28317393"/>
    <w:rsid w:val="289A5B44"/>
    <w:rsid w:val="29E76B67"/>
    <w:rsid w:val="2A9226E6"/>
    <w:rsid w:val="2A98798D"/>
    <w:rsid w:val="2BBD3669"/>
    <w:rsid w:val="2D1A7C52"/>
    <w:rsid w:val="2DD51314"/>
    <w:rsid w:val="2E16582B"/>
    <w:rsid w:val="2E4116FA"/>
    <w:rsid w:val="2E9C1044"/>
    <w:rsid w:val="2ED7364E"/>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88A07AC"/>
    <w:rsid w:val="38F65019"/>
    <w:rsid w:val="390A2872"/>
    <w:rsid w:val="39144F66"/>
    <w:rsid w:val="391E61C3"/>
    <w:rsid w:val="3AD20986"/>
    <w:rsid w:val="3B3616FD"/>
    <w:rsid w:val="3B381919"/>
    <w:rsid w:val="3C184DCC"/>
    <w:rsid w:val="3D4F6AA6"/>
    <w:rsid w:val="3ED57FA3"/>
    <w:rsid w:val="3F3D735A"/>
    <w:rsid w:val="3F6D578B"/>
    <w:rsid w:val="3F724AD0"/>
    <w:rsid w:val="3F811682"/>
    <w:rsid w:val="400A4627"/>
    <w:rsid w:val="402B3012"/>
    <w:rsid w:val="40D519B8"/>
    <w:rsid w:val="416D2207"/>
    <w:rsid w:val="41A8262E"/>
    <w:rsid w:val="434B436B"/>
    <w:rsid w:val="43EC12FF"/>
    <w:rsid w:val="44366C11"/>
    <w:rsid w:val="443F7115"/>
    <w:rsid w:val="44E509D4"/>
    <w:rsid w:val="45E834B6"/>
    <w:rsid w:val="45EE7EF1"/>
    <w:rsid w:val="46825CD1"/>
    <w:rsid w:val="46FF481C"/>
    <w:rsid w:val="484A7410"/>
    <w:rsid w:val="491C0184"/>
    <w:rsid w:val="4ADD1BA1"/>
    <w:rsid w:val="4AFF5FAF"/>
    <w:rsid w:val="4B0853C3"/>
    <w:rsid w:val="4B195D9E"/>
    <w:rsid w:val="4B942E73"/>
    <w:rsid w:val="4DC0511E"/>
    <w:rsid w:val="4DFC4DB6"/>
    <w:rsid w:val="4EA135A7"/>
    <w:rsid w:val="4F3501F1"/>
    <w:rsid w:val="4FAC5BC3"/>
    <w:rsid w:val="4FC6004B"/>
    <w:rsid w:val="4FC61FF0"/>
    <w:rsid w:val="50846203"/>
    <w:rsid w:val="50EC2B32"/>
    <w:rsid w:val="514B3CFC"/>
    <w:rsid w:val="51A21442"/>
    <w:rsid w:val="51E705A2"/>
    <w:rsid w:val="52E964FA"/>
    <w:rsid w:val="538763B9"/>
    <w:rsid w:val="540463E4"/>
    <w:rsid w:val="5454418C"/>
    <w:rsid w:val="549F173E"/>
    <w:rsid w:val="5531128A"/>
    <w:rsid w:val="555952B3"/>
    <w:rsid w:val="55DC546E"/>
    <w:rsid w:val="57603931"/>
    <w:rsid w:val="576639D5"/>
    <w:rsid w:val="579C3951"/>
    <w:rsid w:val="57F90679"/>
    <w:rsid w:val="596D6B7C"/>
    <w:rsid w:val="5C1473E0"/>
    <w:rsid w:val="5C737BB0"/>
    <w:rsid w:val="5CEC747F"/>
    <w:rsid w:val="5DDA4712"/>
    <w:rsid w:val="5E3B0C54"/>
    <w:rsid w:val="5F072ED8"/>
    <w:rsid w:val="5F2F39E3"/>
    <w:rsid w:val="60773D8D"/>
    <w:rsid w:val="61D878C6"/>
    <w:rsid w:val="62D17DD9"/>
    <w:rsid w:val="630E2DDB"/>
    <w:rsid w:val="643C436B"/>
    <w:rsid w:val="64562C49"/>
    <w:rsid w:val="658D2E41"/>
    <w:rsid w:val="66202ABE"/>
    <w:rsid w:val="66441755"/>
    <w:rsid w:val="66CF713B"/>
    <w:rsid w:val="683F6E19"/>
    <w:rsid w:val="68961ACE"/>
    <w:rsid w:val="69C166FE"/>
    <w:rsid w:val="69E44896"/>
    <w:rsid w:val="6A8E0A43"/>
    <w:rsid w:val="6AE467D8"/>
    <w:rsid w:val="6D9745DB"/>
    <w:rsid w:val="6E26547D"/>
    <w:rsid w:val="6E3073EE"/>
    <w:rsid w:val="6EA6211A"/>
    <w:rsid w:val="711F7F62"/>
    <w:rsid w:val="71CF7BDA"/>
    <w:rsid w:val="726141AB"/>
    <w:rsid w:val="737547B1"/>
    <w:rsid w:val="7406451D"/>
    <w:rsid w:val="752F592A"/>
    <w:rsid w:val="756A3232"/>
    <w:rsid w:val="75A21C85"/>
    <w:rsid w:val="75EE5C09"/>
    <w:rsid w:val="761E2EDE"/>
    <w:rsid w:val="77DF544D"/>
    <w:rsid w:val="78087088"/>
    <w:rsid w:val="783458C3"/>
    <w:rsid w:val="786F6883"/>
    <w:rsid w:val="7A1E0C67"/>
    <w:rsid w:val="7AA53BCD"/>
    <w:rsid w:val="7B044DE1"/>
    <w:rsid w:val="7DC00FA5"/>
    <w:rsid w:val="7DD76804"/>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7730</Words>
  <Characters>8201</Characters>
  <Lines>52</Lines>
  <Paragraphs>14</Paragraphs>
  <TotalTime>1</TotalTime>
  <ScaleCrop>false</ScaleCrop>
  <LinksUpToDate>false</LinksUpToDate>
  <CharactersWithSpaces>8601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2024-09-26T09:04:00Z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C24B867591BC4570B3AE4329CA5639A2_13</vt:lpwstr>
  </property>
</Properties>
</file>