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2ABF0">
      <w:pPr>
        <w:adjustRightInd w:val="0"/>
        <w:snapToGrid w:val="0"/>
        <w:jc w:val="center"/>
        <w:rPr>
          <w:rFonts w:hint="eastAsia" w:ascii="方正小标宋简体" w:hAnsi="方正小标宋简体" w:eastAsia="方正小标宋简体" w:cs="方正小标宋简体"/>
          <w:bCs/>
          <w:kern w:val="1"/>
          <w:sz w:val="44"/>
          <w:szCs w:val="44"/>
        </w:rPr>
      </w:pPr>
      <w:r>
        <w:rPr>
          <w:rFonts w:hint="eastAsia" w:ascii="方正小标宋简体" w:hAnsi="方正小标宋简体" w:eastAsia="方正小标宋简体" w:cs="方正小标宋简体"/>
          <w:bCs/>
          <w:kern w:val="1"/>
          <w:sz w:val="44"/>
          <w:szCs w:val="44"/>
        </w:rPr>
        <w:t>江苏索普赛瑞装备制造有限公司采购文件</w:t>
      </w:r>
    </w:p>
    <w:p w14:paraId="74FBDC0E">
      <w:pPr>
        <w:adjustRightInd w:val="0"/>
        <w:snapToGrid w:val="0"/>
        <w:jc w:val="center"/>
        <w:rPr>
          <w:rFonts w:hint="eastAsia" w:ascii="仿宋" w:hAnsi="仿宋" w:eastAsia="仿宋" w:cs="仿宋"/>
          <w:bCs/>
          <w:sz w:val="32"/>
          <w:szCs w:val="32"/>
          <w:lang w:val="zh-CN"/>
        </w:rPr>
      </w:pPr>
      <w:r>
        <w:rPr>
          <w:rFonts w:hint="eastAsia" w:ascii="仿宋" w:hAnsi="仿宋" w:eastAsia="仿宋" w:cs="仿宋"/>
          <w:bCs/>
          <w:sz w:val="32"/>
          <w:szCs w:val="32"/>
          <w:lang w:val="zh-CN"/>
        </w:rPr>
        <w:t>（通用模板）</w:t>
      </w:r>
    </w:p>
    <w:p w14:paraId="4A784007">
      <w:pPr>
        <w:adjustRightInd w:val="0"/>
        <w:snapToGrid w:val="0"/>
        <w:spacing w:line="360" w:lineRule="auto"/>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    </w:t>
      </w:r>
    </w:p>
    <w:p w14:paraId="415B9BCD">
      <w:pPr>
        <w:adjustRightInd w:val="0"/>
        <w:snapToGrid w:val="0"/>
        <w:spacing w:line="600" w:lineRule="exact"/>
        <w:jc w:val="left"/>
        <w:rPr>
          <w:rFonts w:hint="eastAsia" w:ascii="仿宋" w:hAnsi="仿宋" w:eastAsia="仿宋" w:cs="仿宋"/>
          <w:bCs/>
          <w:sz w:val="30"/>
          <w:szCs w:val="30"/>
        </w:rPr>
      </w:pPr>
      <w:r>
        <w:rPr>
          <w:rFonts w:hint="eastAsia" w:ascii="仿宋_GB2312" w:hAnsi="仿宋_GB2312" w:eastAsia="仿宋_GB2312" w:cs="仿宋_GB2312"/>
          <w:bCs/>
          <w:sz w:val="24"/>
        </w:rPr>
        <w:t xml:space="preserve">    </w:t>
      </w:r>
      <w:r>
        <w:rPr>
          <w:rFonts w:hint="eastAsia" w:ascii="仿宋" w:hAnsi="仿宋" w:eastAsia="仿宋" w:cs="仿宋"/>
          <w:bCs/>
          <w:sz w:val="30"/>
          <w:szCs w:val="30"/>
        </w:rPr>
        <w:t>我公司现需</w:t>
      </w:r>
      <w:r>
        <w:rPr>
          <w:rFonts w:hint="eastAsia" w:ascii="仿宋" w:hAnsi="仿宋" w:eastAsia="仿宋" w:cs="仿宋"/>
          <w:sz w:val="30"/>
          <w:szCs w:val="30"/>
          <w:lang w:val="en-US" w:eastAsia="zh-CN"/>
        </w:rPr>
        <w:t>对</w:t>
      </w:r>
      <w:r>
        <w:rPr>
          <w:rFonts w:hint="eastAsia" w:ascii="仿宋" w:hAnsi="仿宋" w:eastAsia="仿宋" w:cs="仿宋"/>
          <w:bCs/>
          <w:color w:val="auto"/>
          <w:kern w:val="1"/>
          <w:sz w:val="30"/>
          <w:szCs w:val="30"/>
        </w:rPr>
        <w:t>索普</w:t>
      </w:r>
      <w:r>
        <w:rPr>
          <w:rFonts w:hint="eastAsia" w:ascii="仿宋" w:hAnsi="仿宋" w:eastAsia="仿宋" w:cs="仿宋"/>
          <w:bCs/>
          <w:color w:val="auto"/>
          <w:kern w:val="1"/>
          <w:sz w:val="30"/>
          <w:szCs w:val="30"/>
          <w:lang w:val="en-US" w:eastAsia="zh-CN"/>
        </w:rPr>
        <w:t>赛瑞厂区</w:t>
      </w:r>
      <w:r>
        <w:rPr>
          <w:rFonts w:hint="eastAsia" w:ascii="仿宋" w:hAnsi="仿宋" w:eastAsia="仿宋" w:cs="仿宋"/>
          <w:bCs/>
          <w:color w:val="auto"/>
          <w:sz w:val="30"/>
          <w:szCs w:val="30"/>
        </w:rPr>
        <w:t>焊</w:t>
      </w:r>
      <w:r>
        <w:rPr>
          <w:rFonts w:hint="eastAsia" w:ascii="仿宋" w:hAnsi="仿宋" w:eastAsia="仿宋" w:cs="仿宋"/>
          <w:bCs/>
          <w:color w:val="auto"/>
          <w:sz w:val="30"/>
          <w:szCs w:val="30"/>
          <w:lang w:val="en-US" w:eastAsia="zh-CN"/>
        </w:rPr>
        <w:t>接设备、电机、剪板机等设备维修保养</w:t>
      </w:r>
      <w:r>
        <w:rPr>
          <w:rFonts w:hint="eastAsia" w:ascii="仿宋" w:hAnsi="仿宋" w:eastAsia="仿宋" w:cs="仿宋"/>
          <w:bCs/>
          <w:color w:val="auto"/>
          <w:sz w:val="30"/>
          <w:szCs w:val="30"/>
        </w:rPr>
        <w:t>项目</w:t>
      </w:r>
      <w:r>
        <w:rPr>
          <w:rFonts w:hint="eastAsia" w:ascii="仿宋" w:hAnsi="仿宋" w:eastAsia="仿宋" w:cs="仿宋"/>
          <w:sz w:val="30"/>
          <w:szCs w:val="30"/>
          <w:lang w:val="en-US" w:eastAsia="zh-CN"/>
        </w:rPr>
        <w:t>进行</w:t>
      </w:r>
      <w:r>
        <w:rPr>
          <w:rFonts w:hint="eastAsia" w:ascii="仿宋" w:hAnsi="仿宋" w:eastAsia="仿宋" w:cs="仿宋"/>
          <w:bCs/>
          <w:sz w:val="30"/>
          <w:szCs w:val="30"/>
          <w:lang w:val="zh-CN"/>
        </w:rPr>
        <w:t>公开采购</w:t>
      </w:r>
      <w:r>
        <w:rPr>
          <w:rFonts w:hint="eastAsia" w:ascii="仿宋" w:hAnsi="仿宋" w:eastAsia="仿宋" w:cs="仿宋"/>
          <w:bCs/>
          <w:sz w:val="30"/>
          <w:szCs w:val="30"/>
        </w:rPr>
        <w:t>，</w:t>
      </w:r>
      <w:r>
        <w:rPr>
          <w:rFonts w:hint="eastAsia" w:ascii="仿宋" w:hAnsi="仿宋" w:eastAsia="仿宋" w:cs="仿宋"/>
          <w:bCs/>
          <w:sz w:val="30"/>
          <w:szCs w:val="30"/>
          <w:lang w:val="zh-CN"/>
        </w:rPr>
        <w:t>采用自主公开采购的方式选定供应商，</w:t>
      </w:r>
      <w:r>
        <w:rPr>
          <w:rFonts w:hint="eastAsia" w:ascii="仿宋" w:hAnsi="仿宋" w:eastAsia="仿宋" w:cs="仿宋"/>
          <w:bCs/>
          <w:sz w:val="30"/>
          <w:szCs w:val="30"/>
        </w:rPr>
        <w:t>特邀请贵单位参与报价。</w:t>
      </w:r>
    </w:p>
    <w:p w14:paraId="0242D898">
      <w:pPr>
        <w:adjustRightInd w:val="0"/>
        <w:snapToGrid w:val="0"/>
        <w:spacing w:line="600" w:lineRule="exact"/>
        <w:jc w:val="left"/>
        <w:rPr>
          <w:rFonts w:hint="eastAsia"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 xml:space="preserve">  </w:t>
      </w:r>
      <w:r>
        <w:rPr>
          <w:rFonts w:hint="eastAsia" w:ascii="仿宋" w:hAnsi="仿宋" w:eastAsia="仿宋" w:cs="仿宋"/>
          <w:bCs/>
          <w:sz w:val="30"/>
          <w:szCs w:val="30"/>
        </w:rPr>
        <w:t xml:space="preserve"> </w:t>
      </w:r>
      <w:r>
        <w:rPr>
          <w:rFonts w:hint="eastAsia" w:ascii="仿宋" w:hAnsi="仿宋" w:eastAsia="仿宋" w:cs="仿宋"/>
          <w:b/>
          <w:sz w:val="30"/>
          <w:szCs w:val="30"/>
        </w:rPr>
        <w:t>一、采购概况：</w:t>
      </w:r>
    </w:p>
    <w:p w14:paraId="070401E3">
      <w:pPr>
        <w:adjustRightInd w:val="0"/>
        <w:snapToGrid w:val="0"/>
        <w:spacing w:line="600" w:lineRule="exact"/>
        <w:ind w:firstLine="600" w:firstLineChars="200"/>
        <w:rPr>
          <w:rFonts w:hint="eastAsia" w:ascii="仿宋" w:hAnsi="仿宋" w:eastAsia="仿宋" w:cs="仿宋"/>
          <w:bCs/>
          <w:sz w:val="30"/>
          <w:szCs w:val="30"/>
        </w:rPr>
      </w:pPr>
      <w:r>
        <w:rPr>
          <w:rFonts w:hint="eastAsia" w:ascii="仿宋" w:hAnsi="仿宋" w:eastAsia="仿宋" w:cs="仿宋"/>
          <w:bCs/>
          <w:kern w:val="1"/>
          <w:sz w:val="30"/>
          <w:szCs w:val="30"/>
        </w:rPr>
        <w:t>（一）</w:t>
      </w:r>
      <w:r>
        <w:rPr>
          <w:rFonts w:hint="eastAsia" w:ascii="仿宋" w:hAnsi="仿宋" w:eastAsia="仿宋" w:cs="仿宋"/>
          <w:bCs/>
          <w:sz w:val="30"/>
          <w:szCs w:val="30"/>
        </w:rPr>
        <w:t>项目名称：</w:t>
      </w:r>
      <w:r>
        <w:rPr>
          <w:rFonts w:hint="eastAsia" w:ascii="仿宋" w:hAnsi="仿宋" w:eastAsia="仿宋" w:cs="仿宋"/>
          <w:bCs/>
          <w:color w:val="auto"/>
          <w:kern w:val="1"/>
          <w:sz w:val="30"/>
          <w:szCs w:val="30"/>
        </w:rPr>
        <w:t>索普</w:t>
      </w:r>
      <w:r>
        <w:rPr>
          <w:rFonts w:hint="eastAsia" w:ascii="仿宋" w:hAnsi="仿宋" w:eastAsia="仿宋" w:cs="仿宋"/>
          <w:bCs/>
          <w:color w:val="auto"/>
          <w:kern w:val="1"/>
          <w:sz w:val="30"/>
          <w:szCs w:val="30"/>
          <w:lang w:val="en-US" w:eastAsia="zh-CN"/>
        </w:rPr>
        <w:t>赛瑞厂区</w:t>
      </w:r>
      <w:r>
        <w:rPr>
          <w:rFonts w:hint="eastAsia" w:ascii="仿宋" w:hAnsi="仿宋" w:eastAsia="仿宋" w:cs="仿宋"/>
          <w:bCs/>
          <w:color w:val="auto"/>
          <w:sz w:val="30"/>
          <w:szCs w:val="30"/>
        </w:rPr>
        <w:t>焊</w:t>
      </w:r>
      <w:r>
        <w:rPr>
          <w:rFonts w:hint="eastAsia" w:ascii="仿宋" w:hAnsi="仿宋" w:eastAsia="仿宋" w:cs="仿宋"/>
          <w:bCs/>
          <w:color w:val="auto"/>
          <w:sz w:val="30"/>
          <w:szCs w:val="30"/>
          <w:lang w:val="en-US" w:eastAsia="zh-CN"/>
        </w:rPr>
        <w:t>接设备、电机、剪板机等设备维修保养</w:t>
      </w:r>
      <w:r>
        <w:rPr>
          <w:rFonts w:hint="eastAsia" w:ascii="仿宋" w:hAnsi="仿宋" w:eastAsia="仿宋" w:cs="仿宋"/>
          <w:bCs/>
          <w:color w:val="auto"/>
          <w:sz w:val="30"/>
          <w:szCs w:val="30"/>
        </w:rPr>
        <w:t>项目</w:t>
      </w:r>
      <w:r>
        <w:rPr>
          <w:rFonts w:hint="eastAsia" w:ascii="仿宋" w:hAnsi="仿宋" w:eastAsia="仿宋" w:cs="仿宋"/>
          <w:bCs/>
          <w:sz w:val="30"/>
          <w:szCs w:val="30"/>
        </w:rPr>
        <w:t>；</w:t>
      </w:r>
    </w:p>
    <w:p w14:paraId="12D4E3F3">
      <w:pPr>
        <w:adjustRightInd w:val="0"/>
        <w:snapToGrid w:val="0"/>
        <w:spacing w:line="600" w:lineRule="exact"/>
        <w:ind w:firstLine="600" w:firstLineChars="200"/>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lang w:val="en-US" w:eastAsia="zh-CN"/>
        </w:rPr>
        <w:t>施工</w:t>
      </w:r>
      <w:r>
        <w:rPr>
          <w:rFonts w:hint="default" w:ascii="仿宋" w:hAnsi="仿宋" w:eastAsia="仿宋" w:cs="仿宋"/>
          <w:bCs/>
          <w:color w:val="auto"/>
          <w:sz w:val="30"/>
          <w:szCs w:val="30"/>
          <w:lang w:val="en-US"/>
        </w:rPr>
        <w:t>时间</w:t>
      </w:r>
      <w:r>
        <w:rPr>
          <w:rFonts w:hint="eastAsia" w:ascii="仿宋" w:hAnsi="仿宋" w:eastAsia="仿宋" w:cs="仿宋"/>
          <w:bCs/>
          <w:color w:val="auto"/>
          <w:sz w:val="30"/>
          <w:szCs w:val="30"/>
        </w:rPr>
        <w:t>：</w:t>
      </w:r>
      <w:r>
        <w:rPr>
          <w:rFonts w:hint="eastAsia" w:ascii="仿宋" w:hAnsi="仿宋" w:eastAsia="仿宋" w:cs="仿宋"/>
          <w:sz w:val="30"/>
          <w:szCs w:val="30"/>
        </w:rPr>
        <w:t>合同签订后，维保时间从</w:t>
      </w:r>
      <w:r>
        <w:rPr>
          <w:rFonts w:hint="eastAsia" w:ascii="仿宋" w:hAnsi="仿宋" w:eastAsia="仿宋" w:cs="仿宋"/>
          <w:sz w:val="30"/>
          <w:szCs w:val="30"/>
          <w:u w:val="single"/>
        </w:rPr>
        <w:t>202</w:t>
      </w:r>
      <w:r>
        <w:rPr>
          <w:rFonts w:hint="eastAsia" w:ascii="仿宋" w:hAnsi="仿宋" w:eastAsia="仿宋" w:cs="仿宋"/>
          <w:sz w:val="30"/>
          <w:szCs w:val="30"/>
          <w:u w:val="single"/>
          <w:lang w:val="en-US" w:eastAsia="zh-CN"/>
        </w:rPr>
        <w:t>4</w:t>
      </w:r>
      <w:r>
        <w:rPr>
          <w:rFonts w:hint="eastAsia" w:ascii="仿宋" w:hAnsi="仿宋" w:eastAsia="仿宋" w:cs="仿宋"/>
          <w:sz w:val="30"/>
          <w:szCs w:val="30"/>
        </w:rPr>
        <w:t>年</w:t>
      </w:r>
      <w:r>
        <w:rPr>
          <w:rFonts w:hint="eastAsia" w:ascii="仿宋" w:hAnsi="仿宋" w:eastAsia="仿宋" w:cs="仿宋"/>
          <w:sz w:val="30"/>
          <w:szCs w:val="30"/>
          <w:u w:val="single"/>
          <w:lang w:val="en-US" w:eastAsia="zh-CN"/>
        </w:rPr>
        <w:t>9</w:t>
      </w:r>
      <w:r>
        <w:rPr>
          <w:rFonts w:hint="eastAsia" w:ascii="仿宋" w:hAnsi="仿宋" w:eastAsia="仿宋" w:cs="仿宋"/>
          <w:sz w:val="30"/>
          <w:szCs w:val="30"/>
        </w:rPr>
        <w:t>月</w:t>
      </w:r>
      <w:r>
        <w:rPr>
          <w:rFonts w:hint="eastAsia" w:ascii="仿宋" w:hAnsi="仿宋" w:eastAsia="仿宋" w:cs="仿宋"/>
          <w:sz w:val="30"/>
          <w:szCs w:val="30"/>
          <w:u w:val="single"/>
          <w:lang w:val="en-US" w:eastAsia="zh-CN"/>
        </w:rPr>
        <w:t>10</w:t>
      </w:r>
      <w:r>
        <w:rPr>
          <w:rFonts w:hint="eastAsia" w:ascii="仿宋" w:hAnsi="仿宋" w:eastAsia="仿宋" w:cs="仿宋"/>
          <w:sz w:val="30"/>
          <w:szCs w:val="30"/>
        </w:rPr>
        <w:t>日开始至</w:t>
      </w:r>
      <w:r>
        <w:rPr>
          <w:rFonts w:hint="eastAsia" w:ascii="仿宋" w:hAnsi="仿宋" w:eastAsia="仿宋" w:cs="仿宋"/>
          <w:sz w:val="30"/>
          <w:szCs w:val="30"/>
          <w:u w:val="single"/>
        </w:rPr>
        <w:t>202</w:t>
      </w:r>
      <w:r>
        <w:rPr>
          <w:rFonts w:hint="eastAsia" w:ascii="仿宋" w:hAnsi="仿宋" w:eastAsia="仿宋" w:cs="仿宋"/>
          <w:sz w:val="30"/>
          <w:szCs w:val="30"/>
          <w:u w:val="single"/>
          <w:lang w:val="en-US" w:eastAsia="zh-CN"/>
        </w:rPr>
        <w:t>5</w:t>
      </w:r>
      <w:r>
        <w:rPr>
          <w:rFonts w:hint="eastAsia" w:ascii="仿宋" w:hAnsi="仿宋" w:eastAsia="仿宋" w:cs="仿宋"/>
          <w:sz w:val="30"/>
          <w:szCs w:val="30"/>
        </w:rPr>
        <w:t>年</w:t>
      </w:r>
      <w:r>
        <w:rPr>
          <w:rFonts w:hint="eastAsia" w:ascii="仿宋" w:hAnsi="仿宋" w:eastAsia="仿宋" w:cs="仿宋"/>
          <w:sz w:val="30"/>
          <w:szCs w:val="30"/>
          <w:u w:val="single"/>
          <w:lang w:val="en-US" w:eastAsia="zh-CN"/>
        </w:rPr>
        <w:t>9</w:t>
      </w:r>
      <w:r>
        <w:rPr>
          <w:rFonts w:hint="eastAsia" w:ascii="仿宋" w:hAnsi="仿宋" w:eastAsia="仿宋" w:cs="仿宋"/>
          <w:sz w:val="30"/>
          <w:szCs w:val="30"/>
        </w:rPr>
        <w:t>月</w:t>
      </w:r>
      <w:r>
        <w:rPr>
          <w:rFonts w:hint="eastAsia" w:ascii="仿宋" w:hAnsi="仿宋" w:eastAsia="仿宋" w:cs="仿宋"/>
          <w:sz w:val="30"/>
          <w:szCs w:val="30"/>
          <w:u w:val="single"/>
          <w:lang w:val="en-US" w:eastAsia="zh-CN"/>
        </w:rPr>
        <w:t>9</w:t>
      </w:r>
      <w:r>
        <w:rPr>
          <w:rFonts w:hint="eastAsia" w:ascii="仿宋" w:hAnsi="仿宋" w:eastAsia="仿宋" w:cs="仿宋"/>
          <w:sz w:val="30"/>
          <w:szCs w:val="30"/>
        </w:rPr>
        <w:t>日截至。</w:t>
      </w:r>
      <w:r>
        <w:rPr>
          <w:rFonts w:hint="eastAsia" w:ascii="仿宋" w:hAnsi="仿宋" w:eastAsia="仿宋" w:cs="仿宋"/>
          <w:bCs/>
          <w:color w:val="auto"/>
          <w:sz w:val="30"/>
          <w:szCs w:val="30"/>
        </w:rPr>
        <w:t>；</w:t>
      </w:r>
    </w:p>
    <w:p w14:paraId="04FFF24D">
      <w:pPr>
        <w:adjustRightInd w:val="0"/>
        <w:snapToGrid w:val="0"/>
        <w:spacing w:line="600" w:lineRule="exact"/>
        <w:ind w:firstLine="579" w:firstLineChars="193"/>
        <w:rPr>
          <w:rFonts w:hint="eastAsia"/>
          <w:color w:val="auto"/>
        </w:rPr>
      </w:pP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lang w:val="en-US" w:eastAsia="zh-CN"/>
        </w:rPr>
        <w:t>施工</w:t>
      </w:r>
      <w:r>
        <w:rPr>
          <w:rFonts w:hint="eastAsia" w:ascii="仿宋" w:hAnsi="仿宋" w:eastAsia="仿宋" w:cs="仿宋"/>
          <w:bCs/>
          <w:color w:val="auto"/>
          <w:sz w:val="30"/>
          <w:szCs w:val="30"/>
        </w:rPr>
        <w:t>地点：</w:t>
      </w:r>
      <w:r>
        <w:rPr>
          <w:rFonts w:hint="eastAsia" w:ascii="仿宋" w:hAnsi="仿宋" w:eastAsia="仿宋" w:cs="仿宋"/>
          <w:sz w:val="30"/>
          <w:szCs w:val="30"/>
          <w:u w:val="single"/>
        </w:rPr>
        <w:t>江苏索普赛瑞装备制造有限公司</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14:paraId="2D22F162">
      <w:pPr>
        <w:adjustRightInd w:val="0"/>
        <w:snapToGrid w:val="0"/>
        <w:spacing w:line="600" w:lineRule="exact"/>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rPr>
        <w:t>报价截止时间及评审时间202</w:t>
      </w:r>
      <w:r>
        <w:rPr>
          <w:rFonts w:hint="eastAsia" w:ascii="仿宋" w:hAnsi="仿宋" w:eastAsia="仿宋" w:cs="仿宋"/>
          <w:bCs/>
          <w:color w:val="auto"/>
          <w:sz w:val="30"/>
          <w:szCs w:val="30"/>
          <w:lang w:val="en-US" w:eastAsia="zh-CN"/>
        </w:rPr>
        <w:t>4</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9</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2</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时（北京时间）；</w:t>
      </w:r>
    </w:p>
    <w:p w14:paraId="1637FC02">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（五）评审地点：江苏索普(集团)有限公司采购中心；</w:t>
      </w:r>
    </w:p>
    <w:p w14:paraId="08222791">
      <w:pPr>
        <w:adjustRightInd w:val="0"/>
        <w:snapToGrid w:val="0"/>
        <w:spacing w:line="600" w:lineRule="exact"/>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二、采购内容：</w:t>
      </w:r>
    </w:p>
    <w:p w14:paraId="7AC37818">
      <w:pPr>
        <w:adjustRightInd w:val="0"/>
        <w:snapToGrid w:val="0"/>
        <w:spacing w:line="600" w:lineRule="exac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（一）项目基本情况    </w:t>
      </w:r>
    </w:p>
    <w:p w14:paraId="3C2BBF36">
      <w:pPr>
        <w:adjustRightInd w:val="0"/>
        <w:snapToGrid w:val="0"/>
        <w:spacing w:line="600" w:lineRule="exac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sz w:val="30"/>
          <w:szCs w:val="30"/>
        </w:rPr>
        <w:t xml:space="preserve"> </w:t>
      </w:r>
      <w:r>
        <w:rPr>
          <w:rFonts w:hint="eastAsia" w:ascii="仿宋" w:hAnsi="仿宋" w:eastAsia="仿宋" w:cs="仿宋"/>
          <w:bCs/>
          <w:color w:val="auto"/>
          <w:kern w:val="1"/>
          <w:sz w:val="30"/>
          <w:szCs w:val="30"/>
        </w:rPr>
        <w:t>索普</w:t>
      </w:r>
      <w:r>
        <w:rPr>
          <w:rFonts w:hint="eastAsia" w:ascii="仿宋" w:hAnsi="仿宋" w:eastAsia="仿宋" w:cs="仿宋"/>
          <w:bCs/>
          <w:color w:val="auto"/>
          <w:kern w:val="1"/>
          <w:sz w:val="30"/>
          <w:szCs w:val="30"/>
          <w:lang w:val="en-US" w:eastAsia="zh-CN"/>
        </w:rPr>
        <w:t>赛瑞厂区</w:t>
      </w:r>
      <w:r>
        <w:rPr>
          <w:rFonts w:hint="eastAsia" w:ascii="仿宋" w:hAnsi="仿宋" w:eastAsia="仿宋" w:cs="仿宋"/>
          <w:bCs/>
          <w:color w:val="auto"/>
          <w:sz w:val="30"/>
          <w:szCs w:val="30"/>
        </w:rPr>
        <w:t>焊</w:t>
      </w:r>
      <w:r>
        <w:rPr>
          <w:rFonts w:hint="eastAsia" w:ascii="仿宋" w:hAnsi="仿宋" w:eastAsia="仿宋" w:cs="仿宋"/>
          <w:bCs/>
          <w:color w:val="auto"/>
          <w:sz w:val="30"/>
          <w:szCs w:val="30"/>
          <w:lang w:val="en-US" w:eastAsia="zh-CN"/>
        </w:rPr>
        <w:t>接设备、电机、剪板机等设备维修保养</w:t>
      </w:r>
      <w:r>
        <w:rPr>
          <w:rFonts w:hint="eastAsia" w:ascii="仿宋" w:hAnsi="仿宋" w:eastAsia="仿宋" w:cs="仿宋"/>
          <w:sz w:val="30"/>
          <w:szCs w:val="30"/>
        </w:rPr>
        <w:t>。</w:t>
      </w:r>
      <w:r>
        <w:rPr>
          <w:rFonts w:hint="eastAsia" w:ascii="仿宋_GB2312" w:hAnsi="仿宋_GB2312" w:eastAsia="仿宋_GB2312" w:cs="仿宋_GB2312"/>
          <w:bCs/>
          <w:kern w:val="1"/>
          <w:sz w:val="30"/>
          <w:szCs w:val="30"/>
        </w:rPr>
        <w:t xml:space="preserve">       </w:t>
      </w:r>
    </w:p>
    <w:p w14:paraId="0C7F3533">
      <w:pPr>
        <w:adjustRightInd w:val="0"/>
        <w:snapToGrid w:val="0"/>
        <w:spacing w:line="600" w:lineRule="exact"/>
        <w:ind w:firstLine="579" w:firstLineChars="193"/>
        <w:rPr>
          <w:rFonts w:hint="eastAsia" w:ascii="仿宋" w:hAnsi="仿宋" w:eastAsia="仿宋" w:cs="仿宋"/>
          <w:bCs/>
          <w:color w:val="auto"/>
          <w:sz w:val="30"/>
          <w:szCs w:val="30"/>
        </w:rPr>
      </w:pPr>
      <w:r>
        <w:rPr>
          <w:rFonts w:hint="eastAsia" w:ascii="仿宋" w:hAnsi="仿宋" w:eastAsia="仿宋" w:cs="仿宋"/>
          <w:bCs/>
          <w:color w:val="auto"/>
          <w:sz w:val="30"/>
          <w:szCs w:val="30"/>
        </w:rPr>
        <w:t>（二）技术要求：</w:t>
      </w:r>
    </w:p>
    <w:p w14:paraId="2803945D">
      <w:pPr>
        <w:adjustRightInd w:val="0"/>
        <w:snapToGrid w:val="0"/>
        <w:spacing w:line="600" w:lineRule="exact"/>
        <w:ind w:firstLine="579" w:firstLineChars="193"/>
        <w:rPr>
          <w:rFonts w:hint="eastAsia" w:ascii="仿宋" w:hAnsi="仿宋" w:eastAsia="仿宋" w:cs="仿宋"/>
          <w:bCs/>
          <w:color w:val="auto"/>
          <w:sz w:val="30"/>
          <w:szCs w:val="30"/>
          <w:u w:val="single"/>
        </w:rPr>
      </w:pPr>
      <w:r>
        <w:rPr>
          <w:rFonts w:hint="eastAsia" w:ascii="仿宋" w:hAnsi="仿宋" w:eastAsia="仿宋" w:cs="仿宋"/>
          <w:bCs/>
          <w:sz w:val="30"/>
          <w:szCs w:val="30"/>
        </w:rPr>
        <w:t>投标方上门服务，能够做到随叫随到。要求维修、维护完毕后质量稳定可靠。性能应完全符合国家标准（如没有国家标准的，应符合行业标准或企业标准，以标准高者为准）。投标方若怠于履行质保义务，则招标方有权聘请他人进行维修，因此发生的一切费用（包括但不限于人工及更换零配件的费用）均由投标方予以双倍承担。</w:t>
      </w:r>
    </w:p>
    <w:p w14:paraId="118AB58E">
      <w:pPr>
        <w:adjustRightInd w:val="0"/>
        <w:snapToGrid w:val="0"/>
        <w:spacing w:line="600" w:lineRule="exact"/>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三、报价人资质与要求：</w:t>
      </w:r>
    </w:p>
    <w:p w14:paraId="1DE19DC2">
      <w:pPr>
        <w:pStyle w:val="5"/>
        <w:adjustRightInd w:val="0"/>
        <w:snapToGrid w:val="0"/>
        <w:spacing w:after="0" w:line="600" w:lineRule="exact"/>
        <w:ind w:firstLine="600"/>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（一）报价人必须具备中华人民共和国境内生产或经营应具备的合法资质；</w:t>
      </w:r>
    </w:p>
    <w:p w14:paraId="0FADCC96">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 xml:space="preserve"> （二）其他资质要求：</w:t>
      </w:r>
    </w:p>
    <w:p w14:paraId="5CEAED77">
      <w:pPr>
        <w:wordWrap w:val="0"/>
        <w:adjustRightInd w:val="0"/>
        <w:snapToGrid w:val="0"/>
        <w:spacing w:line="56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1、资质方面，投标时需提供企业营业执照副本（加盖公章）、法人授权委托书原件壹份（如有授权）、法人及委托授权人身份证复印件壹份（加盖公章）等相关资质材料。确定中标后，在签订合同前，投标人还需提供工伤保险缴纳证明或人身意外伤害保险或雇主责任险缴纳证明。维修过程中，若涉及特种作业（如电焊工、电工等）的需提供相应的特种作业证，必须人证一致，且在有效期内。现场维修做好施工人员的个人防护，施工过程中发生意外伤害由投标人自行负责等。</w:t>
      </w:r>
    </w:p>
    <w:p w14:paraId="41AEA289">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2.如投标人为代理商，必须具有合法代理资质。代理商必须提供厂家授权的代理证明材料和合法代理资质的验证渠道，以便招标人验证真伪。（厂家要求必须满足1.条款）。</w:t>
      </w:r>
    </w:p>
    <w:p w14:paraId="152C9156">
      <w:pPr>
        <w:pStyle w:val="6"/>
        <w:ind w:firstLine="600"/>
        <w:rPr>
          <w:rFonts w:hint="eastAsia"/>
        </w:rPr>
      </w:pPr>
    </w:p>
    <w:p w14:paraId="6440E157">
      <w:pPr>
        <w:adjustRightInd w:val="0"/>
        <w:snapToGrid w:val="0"/>
        <w:spacing w:line="600" w:lineRule="exact"/>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三</w:t>
      </w:r>
      <w:r>
        <w:rPr>
          <w:rFonts w:hint="eastAsia" w:ascii="仿宋" w:hAnsi="仿宋" w:eastAsia="仿宋" w:cs="仿宋"/>
          <w:bCs/>
          <w:color w:val="auto"/>
          <w:kern w:val="1"/>
          <w:sz w:val="30"/>
          <w:szCs w:val="30"/>
        </w:rPr>
        <w:t>）</w:t>
      </w:r>
      <w:r>
        <w:rPr>
          <w:rFonts w:hint="eastAsia" w:ascii="仿宋" w:hAnsi="仿宋" w:eastAsia="仿宋" w:cs="仿宋"/>
          <w:bCs/>
          <w:color w:val="auto"/>
          <w:sz w:val="30"/>
          <w:szCs w:val="30"/>
        </w:rPr>
        <w:t>不接受被列入失信被执行人、重大违法案件当事人报价；</w:t>
      </w:r>
    </w:p>
    <w:p w14:paraId="37E3D8DE">
      <w:pPr>
        <w:adjustRightInd w:val="0"/>
        <w:snapToGrid w:val="0"/>
        <w:spacing w:line="600" w:lineRule="exac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四</w:t>
      </w:r>
      <w:r>
        <w:rPr>
          <w:rFonts w:hint="eastAsia" w:ascii="仿宋" w:hAnsi="仿宋" w:eastAsia="仿宋" w:cs="仿宋"/>
          <w:bCs/>
          <w:color w:val="auto"/>
          <w:kern w:val="1"/>
          <w:sz w:val="30"/>
          <w:szCs w:val="30"/>
        </w:rPr>
        <w:t>）</w:t>
      </w:r>
      <w:r>
        <w:rPr>
          <w:rFonts w:hint="eastAsia" w:ascii="仿宋" w:hAnsi="仿宋" w:eastAsia="仿宋" w:cs="仿宋"/>
          <w:bCs/>
          <w:color w:val="auto"/>
          <w:sz w:val="30"/>
          <w:szCs w:val="30"/>
        </w:rPr>
        <w:t>报价人注册资金应不低于人民币</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50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万元；</w:t>
      </w:r>
    </w:p>
    <w:p w14:paraId="2A350B95">
      <w:pPr>
        <w:adjustRightInd w:val="0"/>
        <w:snapToGrid w:val="0"/>
        <w:spacing w:line="600" w:lineRule="exact"/>
        <w:rPr>
          <w:rFonts w:hint="eastAsia" w:ascii="仿宋" w:hAnsi="仿宋" w:eastAsia="仿宋" w:cs="仿宋"/>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五</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报价</w:t>
      </w:r>
      <w:r>
        <w:rPr>
          <w:rFonts w:hint="eastAsia" w:ascii="仿宋" w:hAnsi="仿宋" w:eastAsia="仿宋" w:cs="仿宋"/>
          <w:sz w:val="30"/>
          <w:szCs w:val="30"/>
        </w:rPr>
        <w:t>人应具备良好的售后服务能力.在日常生产中，24小时内接到我司通知后，需在2个小时内指派专业维修人员（须具有5年以上相关工作经验）到达故障设备现场对设备进行维修，并在要求时间内维修完毕（且包含夜间故障维修）。</w:t>
      </w:r>
    </w:p>
    <w:p w14:paraId="3A5F9CC6">
      <w:pPr>
        <w:adjustRightInd w:val="0"/>
        <w:snapToGrid w:val="0"/>
        <w:spacing w:line="600" w:lineRule="exact"/>
        <w:jc w:val="left"/>
        <w:rPr>
          <w:rFonts w:hint="eastAsia" w:ascii="仿宋" w:hAnsi="仿宋" w:eastAsia="仿宋" w:cs="仿宋"/>
          <w:bCs/>
          <w:color w:val="auto"/>
          <w:sz w:val="30"/>
          <w:szCs w:val="30"/>
        </w:rPr>
      </w:pPr>
    </w:p>
    <w:p w14:paraId="0D249BD2">
      <w:pPr>
        <w:pStyle w:val="6"/>
        <w:adjustRightInd w:val="0"/>
        <w:snapToGrid w:val="0"/>
        <w:spacing w:line="600" w:lineRule="exac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sz w:val="30"/>
          <w:szCs w:val="30"/>
          <w:lang w:val="en-US" w:eastAsia="zh-CN"/>
        </w:rPr>
        <w:t>六</w:t>
      </w:r>
      <w:r>
        <w:rPr>
          <w:rFonts w:hint="eastAsia" w:ascii="仿宋" w:hAnsi="仿宋" w:eastAsia="仿宋" w:cs="仿宋"/>
          <w:bCs/>
          <w:color w:val="auto"/>
          <w:sz w:val="30"/>
          <w:szCs w:val="30"/>
        </w:rPr>
        <w:t>）</w:t>
      </w:r>
      <w:r>
        <w:rPr>
          <w:rFonts w:hint="eastAsia" w:ascii="仿宋" w:hAnsi="仿宋" w:eastAsia="仿宋" w:cs="仿宋"/>
          <w:bCs/>
          <w:color w:val="auto"/>
          <w:sz w:val="30"/>
          <w:szCs w:val="30"/>
          <w:lang w:val="en-US" w:eastAsia="zh-CN"/>
        </w:rPr>
        <w:t xml:space="preserve"> </w:t>
      </w:r>
      <w:r>
        <w:rPr>
          <w:rFonts w:hint="eastAsia" w:ascii="仿宋" w:hAnsi="仿宋" w:eastAsia="仿宋" w:cs="仿宋"/>
          <w:bCs/>
          <w:color w:val="auto"/>
          <w:sz w:val="30"/>
          <w:szCs w:val="30"/>
        </w:rPr>
        <w:t>不接受被列入索普集团供应商负面清单中的单位报价；</w:t>
      </w:r>
    </w:p>
    <w:p w14:paraId="488492A2">
      <w:pPr>
        <w:adjustRightInd w:val="0"/>
        <w:snapToGrid w:val="0"/>
        <w:spacing w:line="600" w:lineRule="exact"/>
        <w:ind w:firstLine="480"/>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rPr>
        <w:t>四、报价：</w:t>
      </w:r>
    </w:p>
    <w:p w14:paraId="3E82CCDB">
      <w:pPr>
        <w:adjustRightInd w:val="0"/>
        <w:snapToGrid w:val="0"/>
        <w:spacing w:line="60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报价为含增值税送到价。如国家税率调整，按合同含税价格/（1+合同约定税率）*（1+国家规定的新税率）调整合同价格开具发票；</w:t>
      </w:r>
    </w:p>
    <w:p w14:paraId="2712D62C">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w:t>
      </w:r>
      <w:r>
        <w:rPr>
          <w:rFonts w:hint="eastAsia" w:ascii="仿宋" w:hAnsi="仿宋" w:eastAsia="仿宋" w:cs="仿宋"/>
          <w:bCs/>
          <w:color w:val="auto"/>
          <w:kern w:val="1"/>
          <w:sz w:val="30"/>
          <w:szCs w:val="30"/>
          <w:lang w:val="en-US" w:eastAsia="zh-CN"/>
        </w:rPr>
        <w:t>维保维修结束验收合格</w:t>
      </w:r>
      <w:r>
        <w:rPr>
          <w:rFonts w:hint="eastAsia" w:ascii="仿宋" w:hAnsi="仿宋" w:eastAsia="仿宋" w:cs="仿宋"/>
          <w:bCs/>
          <w:color w:val="auto"/>
          <w:kern w:val="1"/>
          <w:sz w:val="30"/>
          <w:szCs w:val="30"/>
        </w:rPr>
        <w:t>增值税专用发票到</w:t>
      </w:r>
      <w:r>
        <w:rPr>
          <w:rFonts w:hint="eastAsia" w:ascii="仿宋" w:hAnsi="仿宋" w:eastAsia="仿宋" w:cs="仿宋"/>
          <w:bCs/>
          <w:color w:val="auto"/>
          <w:kern w:val="1"/>
          <w:sz w:val="30"/>
          <w:szCs w:val="30"/>
          <w:lang w:val="en-US" w:eastAsia="zh-CN"/>
        </w:rPr>
        <w:t>后</w:t>
      </w:r>
      <w:r>
        <w:rPr>
          <w:rFonts w:hint="eastAsia" w:ascii="仿宋" w:hAnsi="仿宋" w:eastAsia="仿宋" w:cs="仿宋"/>
          <w:bCs/>
          <w:color w:val="auto"/>
          <w:kern w:val="1"/>
          <w:sz w:val="30"/>
          <w:szCs w:val="30"/>
          <w:u w:val="single"/>
        </w:rPr>
        <w:t xml:space="preserve">  </w:t>
      </w:r>
      <w:r>
        <w:rPr>
          <w:rFonts w:hint="eastAsia" w:ascii="仿宋" w:hAnsi="仿宋" w:eastAsia="仿宋" w:cs="仿宋"/>
          <w:sz w:val="30"/>
          <w:szCs w:val="30"/>
          <w:u w:val="single"/>
        </w:rPr>
        <w:t>30个工作日内支付</w:t>
      </w:r>
      <w:r>
        <w:rPr>
          <w:rFonts w:hint="eastAsia" w:ascii="仿宋" w:hAnsi="仿宋" w:eastAsia="仿宋" w:cs="仿宋"/>
          <w:sz w:val="30"/>
          <w:szCs w:val="30"/>
          <w:u w:val="single"/>
          <w:lang w:val="en-US" w:eastAsia="zh-CN"/>
        </w:rPr>
        <w:t>70</w:t>
      </w:r>
      <w:r>
        <w:rPr>
          <w:rFonts w:hint="eastAsia" w:ascii="仿宋" w:hAnsi="仿宋" w:eastAsia="仿宋" w:cs="仿宋"/>
          <w:sz w:val="30"/>
          <w:szCs w:val="30"/>
          <w:u w:val="single"/>
        </w:rPr>
        <w:t>%。余款：维保费3个月质保后付清</w:t>
      </w:r>
      <w:r>
        <w:rPr>
          <w:rFonts w:hint="eastAsia" w:ascii="仿宋" w:hAnsi="仿宋" w:eastAsia="仿宋" w:cs="仿宋"/>
          <w:bCs/>
          <w:color w:val="auto"/>
          <w:kern w:val="1"/>
          <w:sz w:val="30"/>
          <w:szCs w:val="30"/>
        </w:rPr>
        <w:t>，付款方式为</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承兑</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。如报价人不接受采购人提出的付款方式，可在线下报价书中明确能够接受的付款方式及付款时间，评标时作为参考。报价为含税价，</w:t>
      </w:r>
      <w:r>
        <w:rPr>
          <w:rFonts w:hint="eastAsia" w:ascii="仿宋" w:hAnsi="仿宋" w:eastAsia="仿宋" w:cs="仿宋"/>
          <w:sz w:val="30"/>
          <w:szCs w:val="30"/>
        </w:rPr>
        <w:t>税率13%</w:t>
      </w:r>
      <w:r>
        <w:rPr>
          <w:rFonts w:hint="eastAsia" w:ascii="仿宋" w:hAnsi="仿宋" w:eastAsia="仿宋" w:cs="仿宋"/>
          <w:sz w:val="30"/>
          <w:szCs w:val="30"/>
          <w:lang w:eastAsia="zh-CN"/>
        </w:rPr>
        <w:t>，</w:t>
      </w:r>
      <w:r>
        <w:rPr>
          <w:rFonts w:hint="eastAsia" w:ascii="仿宋" w:hAnsi="仿宋" w:eastAsia="仿宋" w:cs="仿宋"/>
          <w:bCs/>
          <w:color w:val="auto"/>
          <w:kern w:val="1"/>
          <w:sz w:val="30"/>
          <w:szCs w:val="30"/>
        </w:rPr>
        <w:t>如有不同请注明。</w:t>
      </w:r>
    </w:p>
    <w:p w14:paraId="18A7E394">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（三）本项目报价可通过线下方式进行：</w:t>
      </w:r>
    </w:p>
    <w:p w14:paraId="21C63F56">
      <w:pPr>
        <w:wordWrap/>
        <w:adjustRightInd w:val="0"/>
        <w:snapToGrid w:val="0"/>
        <w:spacing w:line="600" w:lineRule="exact"/>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1、采用线下报价</w:t>
      </w:r>
      <w:r>
        <w:rPr>
          <w:rFonts w:hint="eastAsia" w:ascii="仿宋" w:hAnsi="仿宋" w:eastAsia="仿宋" w:cs="仿宋"/>
          <w:bCs/>
          <w:color w:val="auto"/>
          <w:kern w:val="1"/>
          <w:sz w:val="30"/>
          <w:szCs w:val="30"/>
          <w:lang w:val="en-US" w:eastAsia="zh-CN"/>
        </w:rPr>
        <w:t>采用</w:t>
      </w:r>
      <w:r>
        <w:rPr>
          <w:rFonts w:hint="eastAsia" w:ascii="仿宋" w:hAnsi="仿宋" w:eastAsia="仿宋" w:cs="仿宋"/>
          <w:bCs/>
          <w:color w:val="auto"/>
          <w:kern w:val="1"/>
          <w:sz w:val="30"/>
          <w:szCs w:val="30"/>
        </w:rPr>
        <w:t>密封报价方式：应</w:t>
      </w:r>
      <w:r>
        <w:rPr>
          <w:rFonts w:hint="eastAsia" w:ascii="仿宋" w:hAnsi="仿宋" w:eastAsia="仿宋" w:cs="仿宋"/>
          <w:bCs/>
          <w:sz w:val="30"/>
          <w:szCs w:val="30"/>
        </w:rPr>
        <w:t>将报价书及相关资料以标袋形式送达，标袋外包装必须用“封条”密封，封条“格式自定”，另需加盖公章、法人章，填写密封日期；在标袋封面上需注明“报价项目名称，报价方名称、地址、联系人、联系电话”等；</w:t>
      </w:r>
      <w:r>
        <w:rPr>
          <w:rFonts w:hint="eastAsia" w:ascii="仿宋" w:hAnsi="仿宋" w:eastAsia="仿宋" w:cs="仿宋"/>
          <w:bCs/>
          <w:color w:val="auto"/>
          <w:kern w:val="1"/>
          <w:sz w:val="30"/>
          <w:szCs w:val="30"/>
        </w:rPr>
        <w:t>以上线下报价方式要求在报价截止日之前送达，逾期将作为无效报价处理。</w:t>
      </w:r>
    </w:p>
    <w:p w14:paraId="31188E93">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（四）与本报价有关的一切往来通讯请密封寄：</w:t>
      </w:r>
    </w:p>
    <w:p w14:paraId="4A7380BA">
      <w:pPr>
        <w:pStyle w:val="31"/>
        <w:tabs>
          <w:tab w:val="left" w:pos="180"/>
        </w:tabs>
        <w:wordWrap w:val="0"/>
        <w:adjustRightInd w:val="0"/>
        <w:snapToGrid w:val="0"/>
        <w:spacing w:line="360" w:lineRule="auto"/>
        <w:ind w:firstLine="600"/>
        <w:jc w:val="left"/>
        <w:rPr>
          <w:rFonts w:hint="eastAsia"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auto"/>
          <w:kern w:val="1"/>
          <w:sz w:val="30"/>
          <w:szCs w:val="30"/>
        </w:rPr>
        <w:t>公司：</w:t>
      </w:r>
      <w:r>
        <w:rPr>
          <w:rFonts w:hint="eastAsia" w:ascii="仿宋" w:hAnsi="仿宋" w:eastAsia="仿宋" w:cs="仿宋"/>
          <w:bCs/>
          <w:color w:val="000000" w:themeColor="text1"/>
          <w:kern w:val="1"/>
          <w:sz w:val="30"/>
          <w:szCs w:val="30"/>
          <w14:textFill>
            <w14:solidFill>
              <w14:schemeClr w14:val="tx1"/>
            </w14:solidFill>
          </w14:textFill>
        </w:rPr>
        <w:t>江苏索普赛瑞装备制造有限公司</w:t>
      </w:r>
    </w:p>
    <w:p w14:paraId="2378B097">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地址：江苏省镇江市京口区谏壁镇求索路1</w:t>
      </w:r>
      <w:r>
        <w:rPr>
          <w:rFonts w:ascii="仿宋" w:hAnsi="仿宋" w:eastAsia="仿宋" w:cs="仿宋"/>
          <w:bCs/>
          <w:color w:val="auto"/>
          <w:kern w:val="1"/>
          <w:sz w:val="30"/>
          <w:szCs w:val="30"/>
        </w:rPr>
        <w:t>8</w:t>
      </w:r>
      <w:r>
        <w:rPr>
          <w:rFonts w:hint="eastAsia" w:ascii="仿宋" w:hAnsi="仿宋" w:eastAsia="仿宋" w:cs="仿宋"/>
          <w:bCs/>
          <w:color w:val="auto"/>
          <w:kern w:val="1"/>
          <w:sz w:val="30"/>
          <w:szCs w:val="30"/>
        </w:rPr>
        <w:t>号</w:t>
      </w:r>
    </w:p>
    <w:p w14:paraId="11D634F8">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邮编：212006</w:t>
      </w:r>
    </w:p>
    <w:p w14:paraId="5C420063">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联系人：</w:t>
      </w:r>
      <w:r>
        <w:rPr>
          <w:rFonts w:hint="eastAsia" w:ascii="仿宋" w:hAnsi="仿宋" w:eastAsia="仿宋" w:cs="仿宋"/>
          <w:bCs/>
          <w:color w:val="auto"/>
          <w:kern w:val="1"/>
          <w:sz w:val="30"/>
          <w:szCs w:val="30"/>
          <w:lang w:val="en-US" w:eastAsia="zh-CN"/>
        </w:rPr>
        <w:t>耿爱江</w:t>
      </w:r>
    </w:p>
    <w:p w14:paraId="0D67E393">
      <w:pPr>
        <w:wordWrap w:val="0"/>
        <w:adjustRightInd w:val="0"/>
        <w:snapToGrid w:val="0"/>
        <w:spacing w:line="600" w:lineRule="exact"/>
        <w:ind w:firstLine="600" w:firstLineChars="200"/>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联系电话：</w:t>
      </w:r>
      <w:r>
        <w:rPr>
          <w:rFonts w:hint="eastAsia" w:ascii="仿宋" w:hAnsi="仿宋" w:eastAsia="仿宋" w:cs="仿宋"/>
          <w:bCs/>
          <w:color w:val="auto"/>
          <w:kern w:val="1"/>
          <w:sz w:val="30"/>
          <w:szCs w:val="30"/>
          <w:lang w:val="en-US" w:eastAsia="zh-CN"/>
        </w:rPr>
        <w:t>18752975881</w:t>
      </w:r>
    </w:p>
    <w:p w14:paraId="29BDBABA">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kern w:val="1"/>
          <w:sz w:val="30"/>
          <w:szCs w:val="30"/>
        </w:rPr>
        <w:t>（五）</w:t>
      </w:r>
      <w:r>
        <w:rPr>
          <w:rFonts w:hint="eastAsia" w:ascii="仿宋" w:hAnsi="仿宋" w:eastAsia="仿宋" w:cs="仿宋"/>
          <w:bCs/>
          <w:color w:val="auto"/>
          <w:kern w:val="1"/>
          <w:sz w:val="30"/>
          <w:szCs w:val="30"/>
        </w:rPr>
        <w:t>凡对采购文件条款有疑义的，请在报价截止时间前按以下方式联系：</w:t>
      </w:r>
    </w:p>
    <w:p w14:paraId="34AC3B04">
      <w:pPr>
        <w:adjustRightInd w:val="0"/>
        <w:snapToGrid w:val="0"/>
        <w:spacing w:line="360" w:lineRule="auto"/>
        <w:jc w:val="left"/>
        <w:rPr>
          <w:rFonts w:hint="eastAsia"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auto"/>
          <w:kern w:val="1"/>
          <w:sz w:val="30"/>
          <w:szCs w:val="30"/>
        </w:rPr>
        <w:t xml:space="preserve">    联系单位：</w:t>
      </w:r>
      <w:r>
        <w:rPr>
          <w:rFonts w:hint="eastAsia" w:ascii="仿宋" w:hAnsi="仿宋" w:eastAsia="仿宋" w:cs="仿宋"/>
          <w:bCs/>
          <w:color w:val="000000" w:themeColor="text1"/>
          <w:kern w:val="1"/>
          <w:sz w:val="30"/>
          <w:szCs w:val="30"/>
          <w14:textFill>
            <w14:solidFill>
              <w14:schemeClr w14:val="tx1"/>
            </w14:solidFill>
          </w14:textFill>
        </w:rPr>
        <w:t>江苏索普赛瑞装备制造有限公司</w:t>
      </w:r>
    </w:p>
    <w:p w14:paraId="13857DAB">
      <w:pPr>
        <w:adjustRightInd w:val="0"/>
        <w:snapToGrid w:val="0"/>
        <w:spacing w:line="360" w:lineRule="auto"/>
        <w:ind w:firstLine="600"/>
        <w:jc w:val="left"/>
        <w:rPr>
          <w:rFonts w:hint="eastAsia"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地址：江苏省镇江市京口区谏壁镇求索路1</w:t>
      </w:r>
      <w:r>
        <w:rPr>
          <w:rFonts w:ascii="仿宋" w:hAnsi="仿宋" w:eastAsia="仿宋" w:cs="仿宋"/>
          <w:bCs/>
          <w:color w:val="000000" w:themeColor="text1"/>
          <w:kern w:val="1"/>
          <w:sz w:val="30"/>
          <w:szCs w:val="30"/>
          <w14:textFill>
            <w14:solidFill>
              <w14:schemeClr w14:val="tx1"/>
            </w14:solidFill>
          </w14:textFill>
        </w:rPr>
        <w:t>8</w:t>
      </w:r>
      <w:r>
        <w:rPr>
          <w:rFonts w:hint="eastAsia" w:ascii="仿宋" w:hAnsi="仿宋" w:eastAsia="仿宋" w:cs="仿宋"/>
          <w:bCs/>
          <w:color w:val="000000" w:themeColor="text1"/>
          <w:kern w:val="1"/>
          <w:sz w:val="30"/>
          <w:szCs w:val="30"/>
          <w14:textFill>
            <w14:solidFill>
              <w14:schemeClr w14:val="tx1"/>
            </w14:solidFill>
          </w14:textFill>
        </w:rPr>
        <w:t>号</w:t>
      </w:r>
    </w:p>
    <w:p w14:paraId="65CCA65A">
      <w:pPr>
        <w:adjustRightInd w:val="0"/>
        <w:snapToGrid w:val="0"/>
        <w:spacing w:line="360" w:lineRule="auto"/>
        <w:ind w:firstLine="600"/>
        <w:jc w:val="left"/>
        <w:rPr>
          <w:rFonts w:hint="eastAsia"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邮编：212006</w:t>
      </w:r>
    </w:p>
    <w:p w14:paraId="517515D0">
      <w:pPr>
        <w:adjustRightInd w:val="0"/>
        <w:snapToGrid w:val="0"/>
        <w:spacing w:line="360" w:lineRule="auto"/>
        <w:ind w:firstLine="585"/>
        <w:jc w:val="left"/>
        <w:rPr>
          <w:rFonts w:hint="default" w:ascii="仿宋" w:hAnsi="仿宋" w:eastAsia="仿宋" w:cs="仿宋"/>
          <w:bCs/>
          <w:color w:val="000000" w:themeColor="text1"/>
          <w:kern w:val="1"/>
          <w:sz w:val="30"/>
          <w:szCs w:val="30"/>
          <w:lang w:val="en-US" w:eastAsia="zh-CN"/>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采购业务联系人：</w:t>
      </w:r>
      <w:r>
        <w:rPr>
          <w:rFonts w:hint="eastAsia" w:ascii="仿宋" w:hAnsi="仿宋" w:eastAsia="仿宋" w:cs="仿宋"/>
          <w:bCs/>
          <w:color w:val="000000" w:themeColor="text1"/>
          <w:kern w:val="1"/>
          <w:sz w:val="30"/>
          <w:szCs w:val="30"/>
          <w:lang w:val="en-US" w:eastAsia="zh-CN"/>
          <w14:textFill>
            <w14:solidFill>
              <w14:schemeClr w14:val="tx1"/>
            </w14:solidFill>
          </w14:textFill>
        </w:rPr>
        <w:t xml:space="preserve">耿爱江  </w:t>
      </w:r>
      <w:r>
        <w:rPr>
          <w:rFonts w:hint="eastAsia" w:ascii="仿宋" w:hAnsi="仿宋" w:eastAsia="仿宋" w:cs="仿宋"/>
          <w:bCs/>
          <w:color w:val="000000" w:themeColor="text1"/>
          <w:kern w:val="1"/>
          <w:sz w:val="30"/>
          <w:szCs w:val="30"/>
          <w14:textFill>
            <w14:solidFill>
              <w14:schemeClr w14:val="tx1"/>
            </w14:solidFill>
          </w14:textFill>
        </w:rPr>
        <w:t xml:space="preserve">   电话：</w:t>
      </w:r>
      <w:r>
        <w:rPr>
          <w:rFonts w:hint="eastAsia" w:ascii="仿宋" w:hAnsi="仿宋" w:eastAsia="仿宋" w:cs="仿宋"/>
          <w:bCs/>
          <w:color w:val="000000" w:themeColor="text1"/>
          <w:kern w:val="1"/>
          <w:sz w:val="30"/>
          <w:szCs w:val="30"/>
          <w:lang w:val="en-US" w:eastAsia="zh-CN"/>
          <w14:textFill>
            <w14:solidFill>
              <w14:schemeClr w14:val="tx1"/>
            </w14:solidFill>
          </w14:textFill>
        </w:rPr>
        <w:t>18752975881</w:t>
      </w:r>
    </w:p>
    <w:p w14:paraId="46E4C0BD">
      <w:pPr>
        <w:adjustRightInd w:val="0"/>
        <w:snapToGrid w:val="0"/>
        <w:spacing w:line="360" w:lineRule="auto"/>
        <w:ind w:firstLine="600" w:firstLineChars="200"/>
        <w:jc w:val="left"/>
        <w:rPr>
          <w:rFonts w:hint="default" w:ascii="仿宋" w:hAnsi="仿宋" w:eastAsia="仿宋" w:cs="仿宋"/>
          <w:bCs/>
          <w:color w:val="000000" w:themeColor="text1"/>
          <w:kern w:val="1"/>
          <w:sz w:val="30"/>
          <w:szCs w:val="30"/>
          <w:lang w:val="en-US" w:eastAsia="zh-CN"/>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采购部门负责人：</w:t>
      </w:r>
      <w:r>
        <w:rPr>
          <w:rFonts w:hint="eastAsia" w:ascii="仿宋" w:hAnsi="仿宋" w:eastAsia="仿宋" w:cs="仿宋"/>
          <w:bCs/>
          <w:color w:val="000000" w:themeColor="text1"/>
          <w:kern w:val="1"/>
          <w:sz w:val="30"/>
          <w:szCs w:val="30"/>
          <w:lang w:val="en-US" w:eastAsia="zh-CN"/>
          <w14:textFill>
            <w14:solidFill>
              <w14:schemeClr w14:val="tx1"/>
            </w14:solidFill>
          </w14:textFill>
        </w:rPr>
        <w:t xml:space="preserve">姚斌       </w:t>
      </w:r>
      <w:r>
        <w:rPr>
          <w:rFonts w:hint="eastAsia" w:ascii="仿宋" w:hAnsi="仿宋" w:eastAsia="仿宋" w:cs="仿宋"/>
          <w:bCs/>
          <w:color w:val="000000" w:themeColor="text1"/>
          <w:kern w:val="1"/>
          <w:sz w:val="30"/>
          <w:szCs w:val="30"/>
          <w14:textFill>
            <w14:solidFill>
              <w14:schemeClr w14:val="tx1"/>
            </w14:solidFill>
          </w14:textFill>
        </w:rPr>
        <w:t>电话：</w:t>
      </w:r>
      <w:r>
        <w:rPr>
          <w:rFonts w:hint="eastAsia" w:ascii="仿宋" w:hAnsi="仿宋" w:eastAsia="仿宋" w:cs="仿宋"/>
          <w:bCs/>
          <w:color w:val="000000" w:themeColor="text1"/>
          <w:kern w:val="1"/>
          <w:sz w:val="30"/>
          <w:szCs w:val="30"/>
          <w:lang w:val="en-US" w:eastAsia="zh-CN"/>
          <w14:textFill>
            <w14:solidFill>
              <w14:schemeClr w14:val="tx1"/>
            </w14:solidFill>
          </w14:textFill>
        </w:rPr>
        <w:t>15952866487</w:t>
      </w:r>
    </w:p>
    <w:p w14:paraId="4FB91BE7">
      <w:pPr>
        <w:adjustRightInd w:val="0"/>
        <w:snapToGrid w:val="0"/>
        <w:spacing w:line="600" w:lineRule="exact"/>
        <w:ind w:firstLine="602" w:firstLineChars="200"/>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五、采购评审流程：</w:t>
      </w:r>
    </w:p>
    <w:p w14:paraId="66403416">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（一）解密</w:t>
      </w:r>
    </w:p>
    <w:p w14:paraId="131F6EF8">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本项目由采购人组织评审小组，确定合作单位。</w:t>
      </w:r>
    </w:p>
    <w:p w14:paraId="03E6E345">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（二）评审</w:t>
      </w:r>
    </w:p>
    <w:p w14:paraId="1BC06C4F">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w:t>
      </w:r>
      <w:r>
        <w:rPr>
          <w:rFonts w:hint="eastAsia" w:ascii="仿宋_GB2312" w:hAnsi="宋体" w:eastAsia="仿宋_GB2312" w:cs="‹ÎSå"/>
          <w:color w:val="auto"/>
          <w:kern w:val="1"/>
          <w:sz w:val="30"/>
          <w:szCs w:val="30"/>
        </w:rPr>
        <w:t>在能够满足采购人技术要求及供货期要求的报价人中选择总价最低的一家报价人作为合作候选人。</w:t>
      </w:r>
    </w:p>
    <w:p w14:paraId="4835AB4F">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2、请各报价人保持通讯畅通，便于</w:t>
      </w:r>
      <w:r>
        <w:rPr>
          <w:rFonts w:hint="eastAsia" w:ascii="仿宋_GB2312" w:hAnsi="宋体" w:eastAsia="仿宋_GB2312" w:cs="‹ÎSå"/>
          <w:color w:val="auto"/>
          <w:kern w:val="1"/>
          <w:sz w:val="30"/>
          <w:szCs w:val="30"/>
        </w:rPr>
        <w:t>评审小组在评审现场电话联系</w:t>
      </w:r>
      <w:r>
        <w:rPr>
          <w:rFonts w:hint="eastAsia" w:ascii="仿宋" w:hAnsi="仿宋" w:eastAsia="仿宋" w:cs="仿宋"/>
          <w:bCs/>
          <w:color w:val="auto"/>
          <w:kern w:val="1"/>
          <w:sz w:val="30"/>
          <w:szCs w:val="30"/>
        </w:rPr>
        <w:t>。</w:t>
      </w:r>
    </w:p>
    <w:p w14:paraId="200361F3">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3、评审小组不得泄露各报价人的报价。                                    </w:t>
      </w:r>
    </w:p>
    <w:p w14:paraId="20061A0E">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（三）流标</w:t>
      </w:r>
    </w:p>
    <w:p w14:paraId="4A6F3681">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采购人如发现采购过程中有串标、陪标等扰乱采购人经营秩序的恶劣情况，经采购人评审小组评定可作流标处理，并可将相关报价方列入供应商负面清单，一年内不再接受参与报价工作。</w:t>
      </w:r>
    </w:p>
    <w:p w14:paraId="13FA1CF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（四）无效报价</w:t>
      </w:r>
    </w:p>
    <w:p w14:paraId="506BE8A9">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1、凡报价人不具备生产经营资质的，或报价文件填写不完整、报价有空项的，或不符合技术要求条款的，或者存在其他不符合采购人有关要求的问题，经采购人评审小组评定，可作无效报价处理。</w:t>
      </w:r>
    </w:p>
    <w:p w14:paraId="751E50CB">
      <w:pPr>
        <w:adjustRightInd w:val="0"/>
        <w:snapToGrid w:val="0"/>
        <w:spacing w:line="600" w:lineRule="exact"/>
        <w:jc w:val="left"/>
        <w:rPr>
          <w:rFonts w:hint="eastAsia"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auto"/>
          <w:kern w:val="1"/>
          <w:sz w:val="30"/>
          <w:szCs w:val="30"/>
        </w:rPr>
        <w:t xml:space="preserve">  </w:t>
      </w:r>
      <w:r>
        <w:rPr>
          <w:rFonts w:hint="eastAsia" w:ascii="仿宋" w:hAnsi="仿宋" w:eastAsia="仿宋" w:cs="仿宋"/>
          <w:bCs/>
          <w:color w:val="FF0000"/>
          <w:kern w:val="1"/>
          <w:sz w:val="30"/>
          <w:szCs w:val="30"/>
        </w:rPr>
        <w:t xml:space="preserve"> </w:t>
      </w:r>
      <w:r>
        <w:rPr>
          <w:rFonts w:hint="eastAsia" w:ascii="仿宋" w:hAnsi="仿宋" w:eastAsia="仿宋" w:cs="仿宋"/>
          <w:bCs/>
          <w:color w:val="000000" w:themeColor="text1"/>
          <w:kern w:val="1"/>
          <w:sz w:val="30"/>
          <w:szCs w:val="30"/>
          <w14:textFill>
            <w14:solidFill>
              <w14:schemeClr w14:val="tx1"/>
            </w14:solidFill>
          </w14:textFill>
        </w:rPr>
        <w:t xml:space="preserve"> 2、报价人应如实提供符合市场规律和自身成本的合理报价。如果报价人的报价与市场价格明显偏离并因此影响了采购活动的公正合理性，损害了采购人的正当利益，经采购人评审小组评定，可作无效报价处理。</w:t>
      </w:r>
    </w:p>
    <w:p w14:paraId="6D87A4F4">
      <w:pPr>
        <w:numPr>
          <w:ilvl w:val="0"/>
          <w:numId w:val="1"/>
        </w:numPr>
        <w:adjustRightInd w:val="0"/>
        <w:snapToGrid w:val="0"/>
        <w:spacing w:line="600" w:lineRule="exact"/>
        <w:ind w:firstLine="602" w:firstLineChars="200"/>
        <w:jc w:val="left"/>
        <w:rPr>
          <w:rFonts w:hint="eastAsia"/>
          <w:color w:val="000000" w:themeColor="text1"/>
          <w:sz w:val="30"/>
          <w:szCs w:val="30"/>
          <w14:textFill>
            <w14:solidFill>
              <w14:schemeClr w14:val="tx1"/>
            </w14:solidFill>
          </w14:textFill>
        </w:rPr>
      </w:pPr>
      <w:r>
        <w:rPr>
          <w:rFonts w:hint="eastAsia" w:ascii="仿宋" w:hAnsi="仿宋" w:eastAsia="仿宋" w:cs="仿宋"/>
          <w:b/>
          <w:color w:val="000000" w:themeColor="text1"/>
          <w:kern w:val="1"/>
          <w:sz w:val="30"/>
          <w:szCs w:val="30"/>
          <w14:textFill>
            <w14:solidFill>
              <w14:schemeClr w14:val="tx1"/>
            </w14:solidFill>
          </w14:textFill>
        </w:rPr>
        <w:t>其他注意事项：</w:t>
      </w:r>
      <w:r>
        <w:rPr>
          <w:rFonts w:hint="eastAsia"/>
          <w:color w:val="000000" w:themeColor="text1"/>
          <w:sz w:val="30"/>
          <w:szCs w:val="30"/>
          <w14:textFill>
            <w14:solidFill>
              <w14:schemeClr w14:val="tx1"/>
            </w14:solidFill>
          </w14:textFill>
        </w:rPr>
        <w:t>　　</w:t>
      </w:r>
    </w:p>
    <w:p w14:paraId="6536763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（一）违约责任：</w:t>
      </w:r>
    </w:p>
    <w:p w14:paraId="4EB4AE06">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1.如出卖人没有按照规定的时间交货或提供服务，出卖人须支付违约金，违约金从货款中扣除，迟交货物或未提供服务的违约金逾期每日按合同总金额的1%计收。迟交货物或未提供服务超过</w:t>
      </w:r>
      <w:r>
        <w:rPr>
          <w:rFonts w:ascii="仿宋" w:hAnsi="仿宋" w:eastAsia="仿宋" w:cs="仿宋"/>
          <w:bCs/>
          <w:color w:val="000000" w:themeColor="text1"/>
          <w:kern w:val="1"/>
          <w:sz w:val="30"/>
          <w:szCs w:val="30"/>
          <w14:textFill>
            <w14:solidFill>
              <w14:schemeClr w14:val="tx1"/>
            </w14:solidFill>
          </w14:textFill>
        </w:rPr>
        <w:t>7</w:t>
      </w:r>
      <w:r>
        <w:rPr>
          <w:rFonts w:hint="eastAsia" w:ascii="仿宋" w:hAnsi="仿宋" w:eastAsia="仿宋" w:cs="仿宋"/>
          <w:bCs/>
          <w:color w:val="000000" w:themeColor="text1"/>
          <w:kern w:val="1"/>
          <w:sz w:val="30"/>
          <w:szCs w:val="30"/>
          <w14:textFill>
            <w14:solidFill>
              <w14:schemeClr w14:val="tx1"/>
            </w14:solidFill>
          </w14:textFill>
        </w:rPr>
        <w:t>日，买受人有权解除合同,买受人可要求出卖人于五个工作日内返还买</w:t>
      </w:r>
      <w:r>
        <w:rPr>
          <w:rFonts w:hint="eastAsia" w:ascii="仿宋" w:hAnsi="仿宋" w:eastAsia="仿宋" w:cs="仿宋"/>
          <w:bCs/>
          <w:color w:val="auto"/>
          <w:kern w:val="1"/>
          <w:sz w:val="30"/>
          <w:szCs w:val="30"/>
        </w:rPr>
        <w:t>受人合同货款并按合同总额的</w:t>
      </w:r>
      <w:r>
        <w:rPr>
          <w:rFonts w:ascii="仿宋" w:hAnsi="仿宋" w:eastAsia="仿宋" w:cs="仿宋"/>
          <w:bCs/>
          <w:color w:val="auto"/>
          <w:kern w:val="1"/>
          <w:sz w:val="30"/>
          <w:szCs w:val="30"/>
        </w:rPr>
        <w:t>3</w:t>
      </w:r>
      <w:r>
        <w:rPr>
          <w:rFonts w:hint="eastAsia" w:ascii="仿宋" w:hAnsi="仿宋" w:eastAsia="仿宋" w:cs="仿宋"/>
          <w:bCs/>
          <w:color w:val="auto"/>
          <w:kern w:val="1"/>
          <w:sz w:val="30"/>
          <w:szCs w:val="30"/>
        </w:rPr>
        <w:t>0%承担违约责任。</w:t>
      </w:r>
    </w:p>
    <w:p w14:paraId="3C767C92">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2.出卖人交货后，如果货物经检验不合格的，买受人可选择以下处理方式：</w:t>
      </w:r>
    </w:p>
    <w:p w14:paraId="12EAB532">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（1）买受人选择</w:t>
      </w:r>
      <w:r>
        <w:rPr>
          <w:rFonts w:hint="eastAsia" w:ascii="仿宋" w:hAnsi="仿宋" w:eastAsia="仿宋" w:cs="仿宋"/>
          <w:bCs/>
          <w:color w:val="auto"/>
          <w:kern w:val="1"/>
          <w:sz w:val="30"/>
          <w:szCs w:val="30"/>
          <w:lang w:val="en-US" w:eastAsia="zh-CN"/>
        </w:rPr>
        <w:t>重新维修</w:t>
      </w:r>
      <w:r>
        <w:rPr>
          <w:rFonts w:hint="eastAsia" w:ascii="仿宋" w:hAnsi="仿宋" w:eastAsia="仿宋" w:cs="仿宋"/>
          <w:bCs/>
          <w:color w:val="auto"/>
          <w:kern w:val="1"/>
          <w:sz w:val="30"/>
          <w:szCs w:val="30"/>
        </w:rPr>
        <w:t>的，</w:t>
      </w:r>
      <w:r>
        <w:rPr>
          <w:rFonts w:hint="eastAsia" w:ascii="仿宋" w:hAnsi="仿宋" w:eastAsia="仿宋" w:cs="仿宋"/>
          <w:bCs/>
          <w:color w:val="auto"/>
          <w:kern w:val="1"/>
          <w:sz w:val="30"/>
          <w:szCs w:val="30"/>
          <w:lang w:val="en-US" w:eastAsia="zh-CN"/>
        </w:rPr>
        <w:t>重新维修过程中</w:t>
      </w:r>
      <w:r>
        <w:rPr>
          <w:rFonts w:hint="eastAsia" w:ascii="仿宋" w:hAnsi="仿宋" w:eastAsia="仿宋" w:cs="仿宋"/>
          <w:bCs/>
          <w:color w:val="auto"/>
          <w:kern w:val="1"/>
          <w:sz w:val="30"/>
          <w:szCs w:val="30"/>
        </w:rPr>
        <w:t>所产生的费用由出卖人承担。</w:t>
      </w:r>
      <w:r>
        <w:rPr>
          <w:rFonts w:hint="eastAsia" w:ascii="仿宋" w:hAnsi="仿宋" w:eastAsia="仿宋" w:cs="仿宋"/>
          <w:bCs/>
          <w:color w:val="auto"/>
          <w:kern w:val="1"/>
          <w:sz w:val="30"/>
          <w:szCs w:val="30"/>
          <w:lang w:val="en-US" w:eastAsia="zh-CN"/>
        </w:rPr>
        <w:t>且</w:t>
      </w:r>
      <w:r>
        <w:rPr>
          <w:rFonts w:hint="eastAsia" w:ascii="仿宋" w:hAnsi="仿宋" w:eastAsia="仿宋" w:cs="仿宋"/>
          <w:bCs/>
          <w:color w:val="auto"/>
          <w:kern w:val="1"/>
          <w:sz w:val="30"/>
          <w:szCs w:val="30"/>
        </w:rPr>
        <w:t>需在买受人第一次验收不合格之日起</w:t>
      </w:r>
      <w:r>
        <w:rPr>
          <w:rFonts w:hint="eastAsia" w:ascii="仿宋" w:hAnsi="仿宋" w:eastAsia="仿宋" w:cs="仿宋"/>
          <w:bCs/>
          <w:color w:val="auto"/>
          <w:kern w:val="1"/>
          <w:sz w:val="30"/>
          <w:szCs w:val="30"/>
          <w:lang w:val="en-US" w:eastAsia="zh-CN"/>
        </w:rPr>
        <w:t>3</w:t>
      </w:r>
      <w:r>
        <w:rPr>
          <w:rFonts w:hint="eastAsia" w:ascii="仿宋" w:hAnsi="仿宋" w:eastAsia="仿宋" w:cs="仿宋"/>
          <w:bCs/>
          <w:color w:val="auto"/>
          <w:kern w:val="1"/>
          <w:sz w:val="30"/>
          <w:szCs w:val="30"/>
        </w:rPr>
        <w:t>日内</w:t>
      </w:r>
      <w:r>
        <w:rPr>
          <w:rFonts w:hint="eastAsia" w:ascii="仿宋" w:hAnsi="仿宋" w:eastAsia="仿宋" w:cs="仿宋"/>
          <w:bCs/>
          <w:color w:val="auto"/>
          <w:kern w:val="1"/>
          <w:sz w:val="30"/>
          <w:szCs w:val="30"/>
          <w:lang w:val="en-US" w:eastAsia="zh-CN"/>
        </w:rPr>
        <w:t>完成</w:t>
      </w:r>
      <w:r>
        <w:rPr>
          <w:rFonts w:hint="eastAsia" w:ascii="仿宋" w:hAnsi="仿宋" w:eastAsia="仿宋" w:cs="仿宋"/>
          <w:bCs/>
          <w:color w:val="auto"/>
          <w:kern w:val="1"/>
          <w:sz w:val="30"/>
          <w:szCs w:val="30"/>
        </w:rPr>
        <w:t>，逾期</w:t>
      </w:r>
      <w:r>
        <w:rPr>
          <w:rFonts w:hint="eastAsia" w:ascii="仿宋" w:hAnsi="仿宋" w:eastAsia="仿宋" w:cs="仿宋"/>
          <w:bCs/>
          <w:color w:val="auto"/>
          <w:kern w:val="1"/>
          <w:sz w:val="30"/>
          <w:szCs w:val="30"/>
          <w:lang w:val="en-US" w:eastAsia="zh-CN"/>
        </w:rPr>
        <w:t>未完成</w:t>
      </w:r>
      <w:r>
        <w:rPr>
          <w:rFonts w:hint="eastAsia" w:ascii="仿宋" w:hAnsi="仿宋" w:eastAsia="仿宋" w:cs="仿宋"/>
          <w:bCs/>
          <w:color w:val="auto"/>
          <w:kern w:val="1"/>
          <w:sz w:val="30"/>
          <w:szCs w:val="30"/>
        </w:rPr>
        <w:t>的，违约责任参照第1款执行。如果出现两次经检验不合格的情况，买受人有权解除合同，出卖人需在检验不合格之日起五个工作日内返还买受人合同货款，并赔偿合同总货款的</w:t>
      </w:r>
      <w:r>
        <w:rPr>
          <w:rFonts w:ascii="仿宋" w:hAnsi="仿宋" w:eastAsia="仿宋" w:cs="仿宋"/>
          <w:bCs/>
          <w:color w:val="000000" w:themeColor="text1"/>
          <w:kern w:val="1"/>
          <w:sz w:val="30"/>
          <w:szCs w:val="30"/>
          <w14:textFill>
            <w14:solidFill>
              <w14:schemeClr w14:val="tx1"/>
            </w14:solidFill>
          </w14:textFill>
        </w:rPr>
        <w:t>3</w:t>
      </w:r>
      <w:r>
        <w:rPr>
          <w:rFonts w:hint="eastAsia" w:ascii="仿宋" w:hAnsi="仿宋" w:eastAsia="仿宋" w:cs="仿宋"/>
          <w:bCs/>
          <w:color w:val="000000" w:themeColor="text1"/>
          <w:kern w:val="1"/>
          <w:sz w:val="30"/>
          <w:szCs w:val="30"/>
          <w14:textFill>
            <w14:solidFill>
              <w14:schemeClr w14:val="tx1"/>
            </w14:solidFill>
          </w14:textFill>
        </w:rPr>
        <w:t>0</w:t>
      </w:r>
      <w:r>
        <w:rPr>
          <w:rFonts w:hint="eastAsia" w:ascii="仿宋" w:hAnsi="仿宋" w:eastAsia="仿宋" w:cs="仿宋"/>
          <w:bCs/>
          <w:color w:val="auto"/>
          <w:kern w:val="1"/>
          <w:sz w:val="30"/>
          <w:szCs w:val="30"/>
        </w:rPr>
        <w:t>%违约金给买受人，买受人在出卖人返还货款之前，有权质押货物，质押期间如产生仓储费，该仓储费由出卖人承担。</w:t>
      </w:r>
    </w:p>
    <w:p w14:paraId="0BB424AE">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（2）买受人选择解除合同的，退货所产生的费用由出卖人承担。出卖人需在检验不合</w:t>
      </w:r>
      <w:r>
        <w:rPr>
          <w:rFonts w:hint="eastAsia" w:ascii="仿宋" w:hAnsi="仿宋" w:eastAsia="仿宋" w:cs="仿宋"/>
          <w:bCs/>
          <w:color w:val="000000" w:themeColor="text1"/>
          <w:kern w:val="1"/>
          <w:sz w:val="30"/>
          <w:szCs w:val="30"/>
          <w14:textFill>
            <w14:solidFill>
              <w14:schemeClr w14:val="tx1"/>
            </w14:solidFill>
          </w14:textFill>
        </w:rPr>
        <w:t>格之日起五个工作日内返还买受人合同货款，并赔偿合同总货款的</w:t>
      </w:r>
      <w:r>
        <w:rPr>
          <w:rFonts w:ascii="仿宋" w:hAnsi="仿宋" w:eastAsia="仿宋" w:cs="仿宋"/>
          <w:bCs/>
          <w:color w:val="000000" w:themeColor="text1"/>
          <w:kern w:val="1"/>
          <w:sz w:val="30"/>
          <w:szCs w:val="30"/>
          <w14:textFill>
            <w14:solidFill>
              <w14:schemeClr w14:val="tx1"/>
            </w14:solidFill>
          </w14:textFill>
        </w:rPr>
        <w:t>3</w:t>
      </w:r>
      <w:r>
        <w:rPr>
          <w:rFonts w:hint="eastAsia" w:ascii="仿宋" w:hAnsi="仿宋" w:eastAsia="仿宋" w:cs="仿宋"/>
          <w:bCs/>
          <w:color w:val="000000" w:themeColor="text1"/>
          <w:kern w:val="1"/>
          <w:sz w:val="30"/>
          <w:szCs w:val="30"/>
          <w14:textFill>
            <w14:solidFill>
              <w14:schemeClr w14:val="tx1"/>
            </w14:solidFill>
          </w14:textFill>
        </w:rPr>
        <w:t>0%违约金给买受人，买受人在出卖人返还货款之前，有权质押货物</w:t>
      </w:r>
      <w:r>
        <w:rPr>
          <w:rFonts w:hint="eastAsia" w:ascii="仿宋" w:hAnsi="仿宋" w:eastAsia="仿宋" w:cs="仿宋"/>
          <w:bCs/>
          <w:color w:val="auto"/>
          <w:kern w:val="1"/>
          <w:sz w:val="30"/>
          <w:szCs w:val="30"/>
        </w:rPr>
        <w:t>，质押期间如产生仓储费，仓储费由出卖人承担。</w:t>
      </w:r>
    </w:p>
    <w:p w14:paraId="4FCE3DBA">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合作候选人确定以后应严格按照采购文件约定与采购方签定供需合同，并按合同约定做好物资供应和服务工作。对合作候选人所有违背采购文件及合同约定的行为，采购人均可持续保留与合作候选人中止合作的一切权利。　</w:t>
      </w:r>
    </w:p>
    <w:p w14:paraId="19736A41">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对需检验的品种，经采购人检验部门检验合格后方能收货，否则做退、换货处理；长期合约的合作方如出现三次产品质量不合格的情况，视为合作方无能力保障产品质量，采购人有权终止此次采购合同的执行。</w:t>
      </w:r>
    </w:p>
    <w:p w14:paraId="55EC808E">
      <w:pPr>
        <w:adjustRightInd w:val="0"/>
        <w:snapToGrid w:val="0"/>
        <w:spacing w:line="600" w:lineRule="exact"/>
        <w:ind w:firstLine="600" w:firstLineChars="200"/>
        <w:jc w:val="left"/>
        <w:rPr>
          <w:rFonts w:hint="eastAsia"/>
        </w:rPr>
      </w:pPr>
      <w:r>
        <w:rPr>
          <w:rFonts w:hint="eastAsia" w:ascii="仿宋" w:hAnsi="仿宋" w:eastAsia="仿宋" w:cs="仿宋"/>
          <w:bCs/>
          <w:color w:val="auto"/>
          <w:kern w:val="1"/>
          <w:sz w:val="30"/>
          <w:szCs w:val="30"/>
        </w:rPr>
        <w:t>（四）对不合格货品采购人应及时通知合作方，如有异议双方可协商解决；协商期间合作方应保证采购人供应，不影响采购人正常生产运行。</w:t>
      </w:r>
    </w:p>
    <w:p w14:paraId="34DDE006">
      <w:pPr>
        <w:adjustRightInd w:val="0"/>
        <w:snapToGrid w:val="0"/>
        <w:spacing w:line="600" w:lineRule="exact"/>
        <w:rPr>
          <w:rFonts w:hint="eastAsia" w:ascii="仿宋" w:hAnsi="仿宋" w:eastAsia="仿宋" w:cs="仿宋"/>
          <w:sz w:val="30"/>
          <w:szCs w:val="30"/>
        </w:rPr>
      </w:pPr>
      <w:r>
        <w:rPr>
          <w:rFonts w:hint="eastAsia" w:ascii="仿宋" w:hAnsi="仿宋" w:eastAsia="仿宋" w:cs="仿宋"/>
          <w:bCs/>
          <w:color w:val="auto"/>
          <w:kern w:val="1"/>
          <w:sz w:val="30"/>
          <w:szCs w:val="30"/>
        </w:rPr>
        <w:t xml:space="preserve">   （五）</w:t>
      </w:r>
      <w:r>
        <w:rPr>
          <w:rFonts w:hint="eastAsia" w:ascii="仿宋" w:hAnsi="仿宋" w:eastAsia="仿宋" w:cs="仿宋"/>
          <w:sz w:val="30"/>
          <w:szCs w:val="30"/>
        </w:rPr>
        <w:t>报价文件包括：报价函（维</w:t>
      </w:r>
      <w:r>
        <w:rPr>
          <w:rFonts w:hint="eastAsia" w:ascii="仿宋" w:hAnsi="仿宋" w:eastAsia="仿宋" w:cs="仿宋"/>
          <w:sz w:val="30"/>
          <w:szCs w:val="30"/>
          <w:lang w:val="en-US" w:eastAsia="zh-CN"/>
        </w:rPr>
        <w:t>保</w:t>
      </w:r>
      <w:r>
        <w:rPr>
          <w:rFonts w:hint="eastAsia" w:ascii="仿宋" w:hAnsi="仿宋" w:eastAsia="仿宋" w:cs="仿宋"/>
          <w:sz w:val="30"/>
          <w:szCs w:val="30"/>
        </w:rPr>
        <w:t>费用清单，备件需分项报价）、技术标书（包括施工方案、施工组织措施和技术措施），报价中包含13%税费（非13%的发票需在报价中注明）和运费。</w:t>
      </w:r>
    </w:p>
    <w:p w14:paraId="442D0089">
      <w:pPr>
        <w:adjustRightInd w:val="0"/>
        <w:snapToGrid w:val="0"/>
        <w:spacing w:line="600" w:lineRule="exact"/>
        <w:ind w:firstLine="6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六</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w:t>
      </w:r>
      <w:r>
        <w:rPr>
          <w:rFonts w:hint="eastAsia" w:ascii="仿宋" w:hAnsi="仿宋" w:eastAsia="仿宋" w:cs="仿宋"/>
          <w:sz w:val="30"/>
          <w:szCs w:val="30"/>
        </w:rPr>
        <w:t>人必须对维修的设备进行拍照取证，并将图片发给</w:t>
      </w:r>
      <w:r>
        <w:rPr>
          <w:rFonts w:hint="eastAsia" w:ascii="仿宋" w:hAnsi="仿宋" w:eastAsia="仿宋" w:cs="仿宋"/>
          <w:sz w:val="30"/>
          <w:szCs w:val="30"/>
          <w:lang w:val="en-US" w:eastAsia="zh-CN"/>
        </w:rPr>
        <w:t>采购</w:t>
      </w:r>
      <w:r>
        <w:rPr>
          <w:rFonts w:hint="eastAsia" w:ascii="仿宋" w:hAnsi="仿宋" w:eastAsia="仿宋" w:cs="仿宋"/>
          <w:sz w:val="30"/>
          <w:szCs w:val="30"/>
        </w:rPr>
        <w:t>人，如有零件更换，需将更换件随维修好的设备一同返还给</w:t>
      </w:r>
      <w:r>
        <w:rPr>
          <w:rFonts w:hint="eastAsia" w:ascii="仿宋" w:hAnsi="仿宋" w:eastAsia="仿宋" w:cs="仿宋"/>
          <w:sz w:val="30"/>
          <w:szCs w:val="30"/>
          <w:lang w:val="en-US" w:eastAsia="zh-CN"/>
        </w:rPr>
        <w:t>采购</w:t>
      </w:r>
      <w:r>
        <w:rPr>
          <w:rFonts w:hint="eastAsia" w:ascii="仿宋" w:hAnsi="仿宋" w:eastAsia="仿宋" w:cs="仿宋"/>
          <w:sz w:val="30"/>
          <w:szCs w:val="30"/>
        </w:rPr>
        <w:t>人，否则不予结算。</w:t>
      </w:r>
    </w:p>
    <w:p w14:paraId="27B5898D">
      <w:pPr>
        <w:adjustRightInd w:val="0"/>
        <w:snapToGrid w:val="0"/>
        <w:spacing w:line="600" w:lineRule="exact"/>
        <w:ind w:firstLine="6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lang w:val="en-US" w:eastAsia="zh-CN"/>
        </w:rPr>
        <w:t>七</w:t>
      </w: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rPr>
        <w:t>如报价人不能正常履约，对采购人生产经营活动造成影响的，根据《索普赛瑞供应商负面清单管理规定(2023年修订版)》（详见附件1），采购人有权对违反规定的报价人进行考核扣分，对列入负面清单的供应商，索普集团本部及各分子公司将不接受其报价，产生严重影响的，采购人将依法追究报价人法律责任。索普集团供应商负面清单的公示地址为：www.sopo.com.cn。</w:t>
      </w:r>
    </w:p>
    <w:p w14:paraId="17E0A68C">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sz w:val="30"/>
          <w:szCs w:val="30"/>
        </w:rPr>
        <w:t>（</w:t>
      </w:r>
      <w:r>
        <w:rPr>
          <w:rFonts w:hint="eastAsia" w:ascii="仿宋" w:hAnsi="仿宋" w:eastAsia="仿宋" w:cs="仿宋"/>
          <w:bCs/>
          <w:color w:val="auto"/>
          <w:sz w:val="30"/>
          <w:szCs w:val="30"/>
          <w:lang w:val="en-US" w:eastAsia="zh-CN"/>
        </w:rPr>
        <w:t>八</w:t>
      </w:r>
      <w:r>
        <w:rPr>
          <w:rFonts w:hint="eastAsia" w:ascii="仿宋" w:hAnsi="仿宋" w:eastAsia="仿宋" w:cs="仿宋"/>
          <w:bCs/>
          <w:color w:val="auto"/>
          <w:sz w:val="30"/>
          <w:szCs w:val="30"/>
        </w:rPr>
        <w:t>）报价人对所供产品所引起的知识产权方面的纠纷，由报价人承担一切后果，采购人不承担任何责任。</w:t>
      </w:r>
    </w:p>
    <w:p w14:paraId="5503F3CF">
      <w:pPr>
        <w:adjustRightInd w:val="0"/>
        <w:snapToGrid w:val="0"/>
        <w:spacing w:line="600" w:lineRule="exact"/>
        <w:ind w:firstLine="600" w:firstLineChars="200"/>
        <w:rPr>
          <w:rFonts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九</w:t>
      </w:r>
      <w:r>
        <w:rPr>
          <w:rFonts w:hint="eastAsia" w:ascii="仿宋" w:hAnsi="仿宋" w:eastAsia="仿宋" w:cs="仿宋"/>
          <w:bCs/>
          <w:color w:val="auto"/>
          <w:kern w:val="1"/>
          <w:sz w:val="30"/>
          <w:szCs w:val="30"/>
        </w:rPr>
        <w:t>）报价人应详细阅读本采购书，参与报价报价即视为对本采购书所列之条款均表示接受。</w:t>
      </w:r>
    </w:p>
    <w:p w14:paraId="38825BCD">
      <w:pPr>
        <w:pStyle w:val="5"/>
        <w:ind w:firstLine="567" w:firstLineChars="18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十</w:t>
      </w:r>
      <w:r>
        <w:rPr>
          <w:rFonts w:hint="eastAsia" w:ascii="仿宋" w:hAnsi="仿宋" w:eastAsia="仿宋" w:cs="仿宋"/>
          <w:bCs/>
          <w:color w:val="auto"/>
          <w:kern w:val="1"/>
          <w:sz w:val="30"/>
          <w:szCs w:val="30"/>
        </w:rPr>
        <w:t>）报价人不得将任何报价信息泄漏给第三方，一经发现有损采购人利益的可能，均视为无效报价。</w:t>
      </w:r>
    </w:p>
    <w:p w14:paraId="714700A4">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十一</w:t>
      </w:r>
      <w:r>
        <w:rPr>
          <w:rFonts w:hint="eastAsia" w:ascii="仿宋" w:hAnsi="仿宋" w:eastAsia="仿宋" w:cs="仿宋"/>
          <w:bCs/>
          <w:color w:val="auto"/>
          <w:kern w:val="1"/>
          <w:sz w:val="30"/>
          <w:szCs w:val="30"/>
        </w:rPr>
        <w:t>）本次采购解释权归江苏索普赛瑞装备制造有限公司商务合作部所有</w:t>
      </w:r>
      <w:r>
        <w:rPr>
          <w:rFonts w:hint="eastAsia" w:ascii="仿宋" w:hAnsi="仿宋" w:eastAsia="仿宋" w:cs="仿宋"/>
          <w:bCs/>
          <w:color w:val="auto"/>
          <w:kern w:val="2"/>
          <w:sz w:val="30"/>
          <w:szCs w:val="30"/>
        </w:rPr>
        <w:t>。</w:t>
      </w:r>
    </w:p>
    <w:p w14:paraId="7EF744EE">
      <w:pPr>
        <w:pStyle w:val="6"/>
        <w:rPr>
          <w:rFonts w:hint="eastAsia"/>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十二</w:t>
      </w:r>
      <w:r>
        <w:rPr>
          <w:rFonts w:hint="eastAsia" w:ascii="仿宋" w:hAnsi="仿宋" w:eastAsia="仿宋" w:cs="仿宋"/>
          <w:bCs/>
          <w:color w:val="auto"/>
          <w:kern w:val="1"/>
          <w:sz w:val="30"/>
          <w:szCs w:val="30"/>
        </w:rPr>
        <w:t>）本次采购信息公示网址：</w:t>
      </w:r>
      <w:r>
        <w:rPr>
          <w:rFonts w:ascii="仿宋" w:hAnsi="仿宋" w:eastAsia="仿宋" w:cs="仿宋"/>
          <w:bCs/>
          <w:color w:val="auto"/>
          <w:kern w:val="1"/>
          <w:sz w:val="30"/>
          <w:szCs w:val="30"/>
        </w:rPr>
        <w:fldChar w:fldCharType="begin"/>
      </w:r>
      <w:r>
        <w:rPr>
          <w:rFonts w:ascii="仿宋" w:hAnsi="仿宋" w:eastAsia="仿宋" w:cs="仿宋"/>
          <w:bCs/>
          <w:color w:val="auto"/>
          <w:kern w:val="1"/>
          <w:sz w:val="30"/>
          <w:szCs w:val="30"/>
        </w:rPr>
        <w:instrText xml:space="preserve"> HYPERLINK "http://www.sopo.com.cn/list/91-93.html。" </w:instrText>
      </w:r>
      <w:r>
        <w:rPr>
          <w:rFonts w:ascii="仿宋" w:hAnsi="仿宋" w:eastAsia="仿宋" w:cs="仿宋"/>
          <w:bCs/>
          <w:color w:val="auto"/>
          <w:kern w:val="1"/>
          <w:sz w:val="30"/>
          <w:szCs w:val="30"/>
        </w:rPr>
        <w:fldChar w:fldCharType="separate"/>
      </w:r>
      <w:r>
        <w:rPr>
          <w:rStyle w:val="14"/>
          <w:rFonts w:ascii="仿宋" w:hAnsi="仿宋" w:eastAsia="仿宋" w:cs="仿宋"/>
          <w:bCs/>
          <w:color w:val="auto"/>
          <w:kern w:val="1"/>
          <w:sz w:val="30"/>
          <w:szCs w:val="30"/>
          <w:u w:val="none"/>
        </w:rPr>
        <w:t>http://www.sopo.com.cn/list/91-93.html</w:t>
      </w:r>
      <w:r>
        <w:rPr>
          <w:rStyle w:val="14"/>
          <w:rFonts w:hint="eastAsia" w:ascii="仿宋" w:hAnsi="仿宋" w:eastAsia="仿宋" w:cs="仿宋"/>
          <w:bCs/>
          <w:color w:val="auto"/>
          <w:kern w:val="1"/>
          <w:sz w:val="30"/>
          <w:szCs w:val="30"/>
          <w:u w:val="none"/>
        </w:rPr>
        <w:t>。</w:t>
      </w:r>
      <w:r>
        <w:rPr>
          <w:rFonts w:ascii="仿宋" w:hAnsi="仿宋" w:eastAsia="仿宋" w:cs="仿宋"/>
          <w:bCs/>
          <w:color w:val="auto"/>
          <w:kern w:val="1"/>
          <w:sz w:val="30"/>
          <w:szCs w:val="30"/>
        </w:rPr>
        <w:fldChar w:fldCharType="end"/>
      </w:r>
    </w:p>
    <w:p w14:paraId="4207D60E">
      <w:pPr>
        <w:adjustRightInd w:val="0"/>
        <w:snapToGrid w:val="0"/>
        <w:spacing w:line="600" w:lineRule="exact"/>
        <w:jc w:val="center"/>
        <w:rPr>
          <w:rFonts w:hint="eastAsia" w:ascii="方正小标宋简体" w:hAnsi="黑体" w:eastAsia="方正小标宋简体" w:cs="黑体"/>
          <w:sz w:val="48"/>
          <w:szCs w:val="48"/>
        </w:rPr>
      </w:pPr>
      <w:r>
        <w:rPr>
          <w:rFonts w:ascii="黑体" w:hAnsi="黑体" w:eastAsia="黑体" w:cs="黑体"/>
          <w:bCs/>
          <w:color w:val="auto"/>
          <w:sz w:val="34"/>
          <w:szCs w:val="34"/>
        </w:rPr>
        <w:br w:type="page"/>
      </w:r>
      <w:r>
        <w:rPr>
          <w:rFonts w:hint="eastAsia" w:ascii="方正小标宋简体" w:hAnsi="黑体" w:eastAsia="方正小标宋简体" w:cs="黑体"/>
          <w:sz w:val="48"/>
          <w:szCs w:val="48"/>
        </w:rPr>
        <w:t>报价函</w:t>
      </w:r>
    </w:p>
    <w:p w14:paraId="44A6ABE1">
      <w:pPr>
        <w:pStyle w:val="5"/>
        <w:rPr>
          <w:rFonts w:hint="eastAsia"/>
        </w:rPr>
      </w:pPr>
    </w:p>
    <w:p w14:paraId="4EC24CA0">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江苏索普赛瑞装备制造有限公司：</w:t>
      </w:r>
    </w:p>
    <w:p w14:paraId="456BCBB0">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投标单位全称：          ；授权全权代表姓名、职务、职称：</w:t>
      </w:r>
    </w:p>
    <w:p w14:paraId="0123C93B">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 xml:space="preserve">       为全权代表，参加贵方组织的</w:t>
      </w:r>
      <w:r>
        <w:rPr>
          <w:rFonts w:hint="eastAsia" w:ascii="仿宋" w:hAnsi="仿宋" w:eastAsia="仿宋" w:cs="仿宋"/>
          <w:sz w:val="30"/>
          <w:szCs w:val="30"/>
          <w:lang w:val="en-US" w:eastAsia="zh-CN"/>
        </w:rPr>
        <w:t>公开采购</w:t>
      </w:r>
      <w:r>
        <w:rPr>
          <w:rFonts w:hint="eastAsia" w:ascii="仿宋" w:hAnsi="仿宋" w:eastAsia="仿宋" w:cs="仿宋"/>
          <w:sz w:val="30"/>
          <w:szCs w:val="30"/>
        </w:rPr>
        <w:t>有关活动，并对该项目进行</w:t>
      </w:r>
      <w:r>
        <w:rPr>
          <w:rFonts w:hint="eastAsia" w:ascii="仿宋" w:hAnsi="仿宋" w:eastAsia="仿宋" w:cs="仿宋"/>
          <w:sz w:val="30"/>
          <w:szCs w:val="30"/>
          <w:lang w:val="en-US" w:eastAsia="zh-CN"/>
        </w:rPr>
        <w:t>报价</w:t>
      </w:r>
      <w:r>
        <w:rPr>
          <w:rFonts w:hint="eastAsia" w:ascii="仿宋" w:hAnsi="仿宋" w:eastAsia="仿宋" w:cs="仿宋"/>
          <w:sz w:val="30"/>
          <w:szCs w:val="30"/>
        </w:rPr>
        <w:t>。</w:t>
      </w:r>
    </w:p>
    <w:p w14:paraId="0621129E">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 xml:space="preserve">   一.</w:t>
      </w:r>
      <w:r>
        <w:rPr>
          <w:rFonts w:hint="eastAsia" w:ascii="仿宋" w:hAnsi="仿宋" w:eastAsia="仿宋" w:cs="仿宋"/>
          <w:sz w:val="30"/>
          <w:szCs w:val="30"/>
          <w:lang w:val="en-US" w:eastAsia="zh-CN"/>
        </w:rPr>
        <w:t>采购</w:t>
      </w:r>
      <w:r>
        <w:rPr>
          <w:rFonts w:hint="eastAsia" w:ascii="仿宋" w:hAnsi="仿宋" w:eastAsia="仿宋" w:cs="仿宋"/>
          <w:sz w:val="30"/>
          <w:szCs w:val="30"/>
        </w:rPr>
        <w:t>项目的总投标价（含税）为</w:t>
      </w:r>
      <w:r>
        <w:rPr>
          <w:rFonts w:hint="eastAsia" w:ascii="仿宋" w:hAnsi="仿宋" w:eastAsia="仿宋" w:cs="仿宋"/>
          <w:sz w:val="30"/>
          <w:szCs w:val="30"/>
        </w:rPr>
        <w:softHyphen/>
      </w:r>
      <w:r>
        <w:rPr>
          <w:rFonts w:hint="eastAsia" w:ascii="仿宋" w:hAnsi="仿宋" w:eastAsia="仿宋" w:cs="仿宋"/>
          <w:sz w:val="30"/>
          <w:szCs w:val="30"/>
        </w:rPr>
        <w:t xml:space="preserve">            (大写)：             元人民币；税率       %；</w:t>
      </w:r>
    </w:p>
    <w:p w14:paraId="5D91B8D4">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二.报价格式</w:t>
      </w:r>
    </w:p>
    <w:p w14:paraId="287F9362">
      <w:pPr>
        <w:adjustRightInd w:val="0"/>
        <w:snapToGrid w:val="0"/>
        <w:spacing w:line="600" w:lineRule="exact"/>
        <w:rPr>
          <w:rFonts w:hint="eastAsia" w:ascii="仿宋" w:hAnsi="仿宋" w:eastAsia="仿宋" w:cs="仿宋"/>
          <w:sz w:val="30"/>
          <w:szCs w:val="30"/>
          <w:lang w:val="en-US" w:eastAsia="zh-CN"/>
        </w:rPr>
      </w:pPr>
      <w:r>
        <w:rPr>
          <w:rFonts w:hint="eastAsia" w:ascii="仿宋" w:hAnsi="仿宋" w:eastAsia="仿宋" w:cs="仿宋"/>
          <w:sz w:val="30"/>
          <w:szCs w:val="30"/>
        </w:rPr>
        <w:t>1.合同</w:t>
      </w:r>
      <w:r>
        <w:rPr>
          <w:rFonts w:hint="eastAsia" w:ascii="仿宋" w:hAnsi="仿宋" w:eastAsia="仿宋" w:cs="仿宋"/>
          <w:sz w:val="30"/>
          <w:szCs w:val="30"/>
          <w:lang w:val="en-US" w:eastAsia="zh-CN"/>
        </w:rPr>
        <w:t>价为</w:t>
      </w:r>
      <w:r>
        <w:rPr>
          <w:rFonts w:hint="eastAsia" w:ascii="仿宋" w:hAnsi="仿宋" w:eastAsia="仿宋" w:cs="仿宋"/>
          <w:sz w:val="30"/>
          <w:szCs w:val="30"/>
        </w:rPr>
        <w:t>变动费用，维保过程中需更换的零部件，该项发生的种类及数量需双方共同确认后进入合同结算，表格中的数量为维保期内最大需求量。</w:t>
      </w:r>
      <w:r>
        <w:rPr>
          <w:rFonts w:hint="eastAsia" w:ascii="仿宋" w:hAnsi="仿宋" w:eastAsia="仿宋" w:cs="仿宋"/>
          <w:sz w:val="30"/>
          <w:szCs w:val="30"/>
          <w:lang w:val="en-US" w:eastAsia="zh-CN"/>
        </w:rPr>
        <w:t>详见附件1</w:t>
      </w:r>
    </w:p>
    <w:p w14:paraId="61E67EE3">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评审</w:t>
      </w:r>
      <w:r>
        <w:rPr>
          <w:rFonts w:hint="eastAsia" w:ascii="仿宋" w:hAnsi="仿宋" w:eastAsia="仿宋" w:cs="仿宋"/>
          <w:sz w:val="30"/>
          <w:szCs w:val="30"/>
        </w:rPr>
        <w:t>价</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631"/>
        <w:gridCol w:w="1755"/>
      </w:tblGrid>
      <w:tr w14:paraId="5580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noWrap w:val="0"/>
            <w:vAlign w:val="center"/>
          </w:tcPr>
          <w:p w14:paraId="4C4BA00F">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序号</w:t>
            </w:r>
          </w:p>
        </w:tc>
        <w:tc>
          <w:tcPr>
            <w:tcW w:w="6631" w:type="dxa"/>
            <w:noWrap w:val="0"/>
            <w:vAlign w:val="center"/>
          </w:tcPr>
          <w:p w14:paraId="00F7225D">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名称</w:t>
            </w:r>
          </w:p>
        </w:tc>
        <w:tc>
          <w:tcPr>
            <w:tcW w:w="1755" w:type="dxa"/>
            <w:noWrap w:val="0"/>
            <w:vAlign w:val="center"/>
          </w:tcPr>
          <w:p w14:paraId="72ABB0B2">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价格</w:t>
            </w:r>
          </w:p>
        </w:tc>
      </w:tr>
      <w:tr w14:paraId="30341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9" w:type="dxa"/>
            <w:noWrap w:val="0"/>
            <w:vAlign w:val="center"/>
          </w:tcPr>
          <w:p w14:paraId="3FB487BA">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1</w:t>
            </w:r>
          </w:p>
        </w:tc>
        <w:tc>
          <w:tcPr>
            <w:tcW w:w="6631" w:type="dxa"/>
            <w:noWrap w:val="0"/>
            <w:vAlign w:val="center"/>
          </w:tcPr>
          <w:p w14:paraId="0A7B97C6">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lang w:val="en-US" w:eastAsia="zh-CN"/>
              </w:rPr>
              <w:t>评审</w:t>
            </w:r>
            <w:r>
              <w:rPr>
                <w:rFonts w:hint="eastAsia" w:ascii="仿宋" w:hAnsi="仿宋" w:eastAsia="仿宋" w:cs="仿宋"/>
                <w:sz w:val="30"/>
                <w:szCs w:val="30"/>
              </w:rPr>
              <w:t>价</w:t>
            </w:r>
            <w:bookmarkStart w:id="0" w:name="_GoBack"/>
            <w:bookmarkEnd w:id="0"/>
          </w:p>
        </w:tc>
        <w:tc>
          <w:tcPr>
            <w:tcW w:w="1755" w:type="dxa"/>
            <w:noWrap w:val="0"/>
            <w:vAlign w:val="center"/>
          </w:tcPr>
          <w:p w14:paraId="54D37B83">
            <w:pPr>
              <w:adjustRightInd w:val="0"/>
              <w:snapToGrid w:val="0"/>
              <w:spacing w:line="600" w:lineRule="exact"/>
              <w:rPr>
                <w:rFonts w:hint="eastAsia" w:ascii="仿宋" w:hAnsi="仿宋" w:eastAsia="仿宋" w:cs="仿宋"/>
                <w:sz w:val="30"/>
                <w:szCs w:val="30"/>
              </w:rPr>
            </w:pPr>
          </w:p>
        </w:tc>
      </w:tr>
    </w:tbl>
    <w:p w14:paraId="5A964200">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w:t>
      </w:r>
      <w:r>
        <w:rPr>
          <w:rFonts w:hint="eastAsia" w:ascii="仿宋" w:hAnsi="仿宋" w:eastAsia="仿宋" w:cs="仿宋"/>
          <w:sz w:val="30"/>
          <w:szCs w:val="30"/>
          <w:lang w:val="en-US" w:eastAsia="zh-CN"/>
        </w:rPr>
        <w:t>备件更换与维修以实际工作量为准，由双方共同出具书面说明后进入合同结算。</w:t>
      </w:r>
    </w:p>
    <w:p w14:paraId="35453697">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.在满足</w:t>
      </w:r>
      <w:r>
        <w:rPr>
          <w:rFonts w:hint="eastAsia" w:ascii="仿宋" w:hAnsi="仿宋" w:eastAsia="仿宋" w:cs="仿宋"/>
          <w:sz w:val="30"/>
          <w:szCs w:val="30"/>
          <w:lang w:val="en-US" w:eastAsia="zh-CN"/>
        </w:rPr>
        <w:t>采购</w:t>
      </w:r>
      <w:r>
        <w:rPr>
          <w:rFonts w:hint="eastAsia" w:ascii="仿宋" w:hAnsi="仿宋" w:eastAsia="仿宋" w:cs="仿宋"/>
          <w:sz w:val="30"/>
          <w:szCs w:val="30"/>
        </w:rPr>
        <w:t>人使用要求前提下，以报价格式</w:t>
      </w:r>
      <w:r>
        <w:rPr>
          <w:rFonts w:hint="eastAsia" w:ascii="仿宋" w:hAnsi="仿宋" w:eastAsia="仿宋" w:cs="仿宋"/>
          <w:sz w:val="30"/>
          <w:szCs w:val="30"/>
          <w:lang w:val="en-US" w:eastAsia="zh-CN"/>
        </w:rPr>
        <w:t>评审</w:t>
      </w:r>
      <w:r>
        <w:rPr>
          <w:rFonts w:hint="eastAsia" w:ascii="仿宋" w:hAnsi="仿宋" w:eastAsia="仿宋" w:cs="仿宋"/>
          <w:sz w:val="30"/>
          <w:szCs w:val="30"/>
        </w:rPr>
        <w:t>价作为总</w:t>
      </w:r>
      <w:r>
        <w:rPr>
          <w:rFonts w:hint="eastAsia" w:ascii="仿宋" w:hAnsi="仿宋" w:eastAsia="仿宋" w:cs="仿宋"/>
          <w:sz w:val="30"/>
          <w:szCs w:val="30"/>
          <w:lang w:val="en-US" w:eastAsia="zh-CN"/>
        </w:rPr>
        <w:t>报</w:t>
      </w:r>
      <w:r>
        <w:rPr>
          <w:rFonts w:hint="eastAsia" w:ascii="仿宋" w:hAnsi="仿宋" w:eastAsia="仿宋" w:cs="仿宋"/>
          <w:sz w:val="30"/>
          <w:szCs w:val="30"/>
        </w:rPr>
        <w:t>价，总</w:t>
      </w:r>
      <w:r>
        <w:rPr>
          <w:rFonts w:hint="eastAsia" w:ascii="仿宋" w:hAnsi="仿宋" w:eastAsia="仿宋" w:cs="仿宋"/>
          <w:sz w:val="30"/>
          <w:szCs w:val="30"/>
          <w:lang w:val="en-US" w:eastAsia="zh-CN"/>
        </w:rPr>
        <w:t>报</w:t>
      </w:r>
      <w:r>
        <w:rPr>
          <w:rFonts w:hint="eastAsia" w:ascii="仿宋" w:hAnsi="仿宋" w:eastAsia="仿宋" w:cs="仿宋"/>
          <w:sz w:val="30"/>
          <w:szCs w:val="30"/>
        </w:rPr>
        <w:t>价只为确定</w:t>
      </w:r>
      <w:r>
        <w:rPr>
          <w:rFonts w:hint="eastAsia" w:ascii="仿宋" w:hAnsi="仿宋" w:eastAsia="仿宋" w:cs="仿宋"/>
          <w:sz w:val="30"/>
          <w:szCs w:val="30"/>
          <w:lang w:val="en-US" w:eastAsia="zh-CN"/>
        </w:rPr>
        <w:t>合作</w:t>
      </w:r>
      <w:r>
        <w:rPr>
          <w:rFonts w:hint="eastAsia" w:ascii="仿宋" w:hAnsi="仿宋" w:eastAsia="仿宋" w:cs="仿宋"/>
          <w:sz w:val="30"/>
          <w:szCs w:val="30"/>
        </w:rPr>
        <w:t>单位作依据，合同价以</w:t>
      </w:r>
      <w:r>
        <w:rPr>
          <w:rFonts w:hint="eastAsia" w:ascii="仿宋" w:hAnsi="仿宋" w:eastAsia="仿宋" w:cs="仿宋"/>
          <w:sz w:val="30"/>
          <w:szCs w:val="30"/>
          <w:lang w:val="en-US" w:eastAsia="zh-CN"/>
        </w:rPr>
        <w:t>合作</w:t>
      </w:r>
      <w:r>
        <w:rPr>
          <w:rFonts w:hint="eastAsia" w:ascii="仿宋" w:hAnsi="仿宋" w:eastAsia="仿宋" w:cs="仿宋"/>
          <w:sz w:val="30"/>
          <w:szCs w:val="30"/>
        </w:rPr>
        <w:t>单位二项报价为准，即常规维修、零件更换。该价格只为确定</w:t>
      </w:r>
      <w:r>
        <w:rPr>
          <w:rFonts w:hint="eastAsia" w:ascii="仿宋" w:hAnsi="仿宋" w:eastAsia="仿宋" w:cs="仿宋"/>
          <w:sz w:val="30"/>
          <w:szCs w:val="30"/>
          <w:lang w:val="en-US" w:eastAsia="zh-CN"/>
        </w:rPr>
        <w:t>合作</w:t>
      </w:r>
      <w:r>
        <w:rPr>
          <w:rFonts w:hint="eastAsia" w:ascii="仿宋" w:hAnsi="仿宋" w:eastAsia="仿宋" w:cs="仿宋"/>
          <w:sz w:val="30"/>
          <w:szCs w:val="30"/>
        </w:rPr>
        <w:t>单位作依据，合同最终结算价以双方共同出具的书面说明为准。</w:t>
      </w:r>
    </w:p>
    <w:p w14:paraId="37503513">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w:t>
      </w:r>
      <w:r>
        <w:rPr>
          <w:rFonts w:hint="eastAsia" w:ascii="仿宋" w:hAnsi="仿宋" w:eastAsia="仿宋" w:cs="仿宋"/>
          <w:sz w:val="30"/>
          <w:szCs w:val="30"/>
          <w:lang w:val="en-US" w:eastAsia="zh-CN"/>
        </w:rPr>
        <w:t>必须</w:t>
      </w:r>
      <w:r>
        <w:rPr>
          <w:rFonts w:hint="eastAsia" w:ascii="仿宋" w:hAnsi="仿宋" w:eastAsia="仿宋" w:cs="仿宋"/>
          <w:sz w:val="30"/>
          <w:szCs w:val="30"/>
        </w:rPr>
        <w:t>按报价格式进行填报，每格均需填报，</w:t>
      </w:r>
      <w:r>
        <w:rPr>
          <w:rFonts w:hint="eastAsia" w:ascii="仿宋" w:hAnsi="仿宋" w:eastAsia="仿宋" w:cs="仿宋"/>
          <w:sz w:val="30"/>
          <w:szCs w:val="30"/>
          <w:lang w:val="en-US" w:eastAsia="zh-CN"/>
        </w:rPr>
        <w:t>有漏报的视为废标</w:t>
      </w:r>
      <w:r>
        <w:rPr>
          <w:rFonts w:hint="eastAsia" w:ascii="仿宋" w:hAnsi="仿宋" w:eastAsia="仿宋" w:cs="仿宋"/>
          <w:sz w:val="30"/>
          <w:szCs w:val="30"/>
        </w:rPr>
        <w:t>。</w:t>
      </w:r>
    </w:p>
    <w:p w14:paraId="5675D2F7">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 xml:space="preserve">三.交货时间：               </w:t>
      </w:r>
    </w:p>
    <w:p w14:paraId="3E0E73C3">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四.我方承诺遵守</w:t>
      </w:r>
      <w:r>
        <w:rPr>
          <w:rFonts w:hint="eastAsia" w:ascii="仿宋" w:hAnsi="仿宋" w:eastAsia="仿宋" w:cs="仿宋"/>
          <w:sz w:val="30"/>
          <w:szCs w:val="30"/>
          <w:lang w:val="en-US" w:eastAsia="zh-CN"/>
        </w:rPr>
        <w:t>公开采购</w:t>
      </w:r>
      <w:r>
        <w:rPr>
          <w:rFonts w:hint="eastAsia" w:ascii="仿宋" w:hAnsi="仿宋" w:eastAsia="仿宋" w:cs="仿宋"/>
          <w:sz w:val="30"/>
          <w:szCs w:val="30"/>
        </w:rPr>
        <w:t>文件中的全部规定；</w:t>
      </w:r>
    </w:p>
    <w:p w14:paraId="4006A235">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五.我方承诺</w:t>
      </w:r>
      <w:r>
        <w:rPr>
          <w:rFonts w:hint="eastAsia" w:ascii="仿宋" w:hAnsi="仿宋" w:eastAsia="仿宋" w:cs="仿宋"/>
          <w:sz w:val="30"/>
          <w:szCs w:val="30"/>
          <w:lang w:val="en-US" w:eastAsia="zh-CN"/>
        </w:rPr>
        <w:t>评审</w:t>
      </w:r>
      <w:r>
        <w:rPr>
          <w:rFonts w:hint="eastAsia" w:ascii="仿宋" w:hAnsi="仿宋" w:eastAsia="仿宋" w:cs="仿宋"/>
          <w:sz w:val="30"/>
          <w:szCs w:val="30"/>
        </w:rPr>
        <w:t>后双方签订合同,并承担合同规定的责任义务；</w:t>
      </w:r>
    </w:p>
    <w:p w14:paraId="4B6D54D7">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六.我方已详细审查全部</w:t>
      </w:r>
      <w:r>
        <w:rPr>
          <w:rFonts w:hint="eastAsia" w:ascii="仿宋" w:hAnsi="仿宋" w:eastAsia="仿宋" w:cs="仿宋"/>
          <w:sz w:val="30"/>
          <w:szCs w:val="30"/>
          <w:lang w:val="en-US" w:eastAsia="zh-CN"/>
        </w:rPr>
        <w:t>公开采购</w:t>
      </w:r>
      <w:r>
        <w:rPr>
          <w:rFonts w:hint="eastAsia" w:ascii="仿宋" w:hAnsi="仿宋" w:eastAsia="仿宋" w:cs="仿宋"/>
          <w:sz w:val="30"/>
          <w:szCs w:val="30"/>
        </w:rPr>
        <w:t>文件，包括</w:t>
      </w:r>
      <w:r>
        <w:rPr>
          <w:rFonts w:hint="eastAsia" w:ascii="仿宋" w:hAnsi="仿宋" w:eastAsia="仿宋" w:cs="仿宋"/>
          <w:sz w:val="30"/>
          <w:szCs w:val="30"/>
          <w:lang w:val="en-US" w:eastAsia="zh-CN"/>
        </w:rPr>
        <w:t>公开采购</w:t>
      </w:r>
      <w:r>
        <w:rPr>
          <w:rFonts w:hint="eastAsia" w:ascii="仿宋" w:hAnsi="仿宋" w:eastAsia="仿宋" w:cs="仿宋"/>
          <w:sz w:val="30"/>
          <w:szCs w:val="30"/>
        </w:rPr>
        <w:t>文件的补充文件（如有）。我方完全理解并同意放弃对这方面有不明及误解的权力，同时完全接受</w:t>
      </w:r>
      <w:r>
        <w:rPr>
          <w:rFonts w:hint="eastAsia" w:ascii="仿宋" w:hAnsi="仿宋" w:eastAsia="仿宋" w:cs="仿宋"/>
          <w:sz w:val="30"/>
          <w:szCs w:val="30"/>
          <w:lang w:val="en-US" w:eastAsia="zh-CN"/>
        </w:rPr>
        <w:t>公开采购</w:t>
      </w:r>
      <w:r>
        <w:rPr>
          <w:rFonts w:hint="eastAsia" w:ascii="仿宋" w:hAnsi="仿宋" w:eastAsia="仿宋" w:cs="仿宋"/>
          <w:sz w:val="30"/>
          <w:szCs w:val="30"/>
        </w:rPr>
        <w:t>文件所有条款。如果</w:t>
      </w:r>
      <w:r>
        <w:rPr>
          <w:rFonts w:hint="eastAsia" w:ascii="仿宋" w:hAnsi="仿宋" w:eastAsia="仿宋" w:cs="仿宋"/>
          <w:sz w:val="30"/>
          <w:szCs w:val="30"/>
          <w:lang w:val="en-US" w:eastAsia="zh-CN"/>
        </w:rPr>
        <w:t>公开采购</w:t>
      </w:r>
      <w:r>
        <w:rPr>
          <w:rFonts w:hint="eastAsia" w:ascii="仿宋" w:hAnsi="仿宋" w:eastAsia="仿宋" w:cs="仿宋"/>
          <w:sz w:val="30"/>
          <w:szCs w:val="30"/>
        </w:rPr>
        <w:t>文件有相互矛盾之处，我方同意按</w:t>
      </w:r>
      <w:r>
        <w:rPr>
          <w:rFonts w:hint="eastAsia" w:ascii="仿宋" w:hAnsi="仿宋" w:eastAsia="仿宋" w:cs="仿宋"/>
          <w:sz w:val="30"/>
          <w:szCs w:val="30"/>
          <w:lang w:val="en-US" w:eastAsia="zh-CN"/>
        </w:rPr>
        <w:t>采购</w:t>
      </w:r>
      <w:r>
        <w:rPr>
          <w:rFonts w:hint="eastAsia" w:ascii="仿宋" w:hAnsi="仿宋" w:eastAsia="仿宋" w:cs="仿宋"/>
          <w:sz w:val="30"/>
          <w:szCs w:val="30"/>
        </w:rPr>
        <w:t>方的解释处理；</w:t>
      </w:r>
    </w:p>
    <w:p w14:paraId="0F4AB627">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七.愿意向贵方提供任何与该项</w:t>
      </w:r>
      <w:r>
        <w:rPr>
          <w:rFonts w:hint="eastAsia" w:ascii="仿宋" w:hAnsi="仿宋" w:eastAsia="仿宋" w:cs="仿宋"/>
          <w:sz w:val="30"/>
          <w:szCs w:val="30"/>
          <w:lang w:val="en-US" w:eastAsia="zh-CN"/>
        </w:rPr>
        <w:t>采购</w:t>
      </w:r>
      <w:r>
        <w:rPr>
          <w:rFonts w:hint="eastAsia" w:ascii="仿宋" w:hAnsi="仿宋" w:eastAsia="仿宋" w:cs="仿宋"/>
          <w:sz w:val="30"/>
          <w:szCs w:val="30"/>
        </w:rPr>
        <w:t>有关的数据、情况和技术资料，完全理解贵方不一定接受最低价的报价或收到的任何报价。</w:t>
      </w:r>
    </w:p>
    <w:p w14:paraId="41FA21DD">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八.对</w:t>
      </w:r>
      <w:r>
        <w:rPr>
          <w:rFonts w:hint="eastAsia" w:ascii="仿宋" w:hAnsi="仿宋" w:eastAsia="仿宋" w:cs="仿宋"/>
          <w:sz w:val="30"/>
          <w:szCs w:val="30"/>
          <w:lang w:val="en-US" w:eastAsia="zh-CN"/>
        </w:rPr>
        <w:t>公开采购文件</w:t>
      </w:r>
      <w:r>
        <w:rPr>
          <w:rFonts w:hint="eastAsia" w:ascii="仿宋" w:hAnsi="仿宋" w:eastAsia="仿宋" w:cs="仿宋"/>
          <w:sz w:val="30"/>
          <w:szCs w:val="30"/>
        </w:rPr>
        <w:t xml:space="preserve">的不接受项：               </w:t>
      </w:r>
    </w:p>
    <w:p w14:paraId="5C6D6CE8">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全权代表（签字）：</w:t>
      </w:r>
    </w:p>
    <w:p w14:paraId="45B519E7">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联系电话：</w:t>
      </w:r>
    </w:p>
    <w:p w14:paraId="3A3576A0">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投标单位（盖章）：</w:t>
      </w:r>
    </w:p>
    <w:p w14:paraId="5CF3BC6F">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日期：</w:t>
      </w:r>
    </w:p>
    <w:p w14:paraId="3B662289">
      <w:pPr>
        <w:adjustRightInd w:val="0"/>
        <w:snapToGrid w:val="0"/>
        <w:spacing w:line="600" w:lineRule="exact"/>
        <w:rPr>
          <w:rFonts w:hint="eastAsia" w:ascii="仿宋" w:hAnsi="仿宋" w:eastAsia="仿宋" w:cs="仿宋"/>
          <w:sz w:val="30"/>
          <w:szCs w:val="30"/>
        </w:rPr>
      </w:pPr>
      <w:r>
        <w:rPr>
          <w:rFonts w:hint="eastAsia" w:ascii="仿宋" w:hAnsi="仿宋" w:eastAsia="仿宋" w:cs="仿宋"/>
          <w:sz w:val="30"/>
          <w:szCs w:val="30"/>
        </w:rPr>
        <w:t xml:space="preserve">  </w:t>
      </w:r>
    </w:p>
    <w:p w14:paraId="508DAC9B">
      <w:pPr>
        <w:adjustRightInd w:val="0"/>
        <w:snapToGrid w:val="0"/>
        <w:spacing w:line="600" w:lineRule="exact"/>
        <w:rPr>
          <w:rFonts w:hint="eastAsia" w:ascii="仿宋" w:hAnsi="仿宋" w:eastAsia="仿宋" w:cs="仿宋"/>
          <w:sz w:val="30"/>
          <w:szCs w:val="30"/>
        </w:rPr>
      </w:pPr>
    </w:p>
    <w:p w14:paraId="5A36B19B">
      <w:pPr>
        <w:adjustRightInd w:val="0"/>
        <w:snapToGrid w:val="0"/>
        <w:spacing w:line="600" w:lineRule="exact"/>
        <w:jc w:val="center"/>
        <w:rPr>
          <w:rFonts w:hint="eastAsia" w:ascii="方正小标宋简体" w:hAnsi="方正小标宋简体" w:eastAsia="方正小标宋简体" w:cs="方正小标宋简体"/>
          <w:bCs/>
          <w:sz w:val="44"/>
          <w:szCs w:val="44"/>
        </w:rPr>
      </w:pPr>
    </w:p>
    <w:p w14:paraId="20561663">
      <w:pPr>
        <w:adjustRightInd w:val="0"/>
        <w:snapToGrid w:val="0"/>
        <w:spacing w:line="600" w:lineRule="exact"/>
        <w:jc w:val="center"/>
        <w:rPr>
          <w:rFonts w:hint="eastAsia" w:ascii="方正小标宋简体" w:hAnsi="方正小标宋简体" w:eastAsia="方正小标宋简体" w:cs="方正小标宋简体"/>
          <w:bCs/>
          <w:sz w:val="44"/>
          <w:szCs w:val="44"/>
        </w:rPr>
      </w:pPr>
    </w:p>
    <w:p w14:paraId="7C9D618D">
      <w:pPr>
        <w:adjustRightInd w:val="0"/>
        <w:snapToGrid w:val="0"/>
        <w:spacing w:line="600" w:lineRule="exact"/>
        <w:jc w:val="center"/>
        <w:rPr>
          <w:rFonts w:hint="eastAsia" w:ascii="方正小标宋简体" w:hAnsi="方正小标宋简体" w:eastAsia="方正小标宋简体" w:cs="方正小标宋简体"/>
          <w:bCs/>
          <w:sz w:val="44"/>
          <w:szCs w:val="44"/>
        </w:rPr>
      </w:pPr>
    </w:p>
    <w:p w14:paraId="04712A72">
      <w:pPr>
        <w:adjustRightInd w:val="0"/>
        <w:snapToGrid w:val="0"/>
        <w:spacing w:line="600" w:lineRule="exact"/>
        <w:jc w:val="center"/>
        <w:rPr>
          <w:rFonts w:hint="eastAsia" w:ascii="方正小标宋简体" w:hAnsi="方正小标宋简体" w:eastAsia="方正小标宋简体" w:cs="方正小标宋简体"/>
          <w:bCs/>
          <w:sz w:val="44"/>
          <w:szCs w:val="44"/>
        </w:rPr>
      </w:pPr>
    </w:p>
    <w:p w14:paraId="5DC56318">
      <w:pPr>
        <w:adjustRightInd w:val="0"/>
        <w:snapToGrid w:val="0"/>
        <w:spacing w:line="600" w:lineRule="exact"/>
        <w:jc w:val="center"/>
        <w:rPr>
          <w:rFonts w:hint="eastAsia" w:ascii="方正小标宋简体" w:hAnsi="方正小标宋简体" w:eastAsia="方正小标宋简体" w:cs="方正小标宋简体"/>
          <w:bCs/>
          <w:sz w:val="44"/>
          <w:szCs w:val="44"/>
        </w:rPr>
      </w:pPr>
    </w:p>
    <w:p w14:paraId="1F3824A8">
      <w:pPr>
        <w:adjustRightInd w:val="0"/>
        <w:snapToGrid w:val="0"/>
        <w:spacing w:line="600" w:lineRule="exact"/>
        <w:jc w:val="center"/>
        <w:rPr>
          <w:rFonts w:hint="eastAsia" w:ascii="方正小标宋简体" w:hAnsi="方正小标宋简体" w:eastAsia="方正小标宋简体" w:cs="方正小标宋简体"/>
          <w:bCs/>
          <w:sz w:val="44"/>
          <w:szCs w:val="44"/>
        </w:rPr>
      </w:pPr>
    </w:p>
    <w:p w14:paraId="481AB3DB">
      <w:pPr>
        <w:adjustRightInd w:val="0"/>
        <w:snapToGrid w:val="0"/>
        <w:spacing w:line="600" w:lineRule="exact"/>
        <w:jc w:val="center"/>
        <w:rPr>
          <w:rFonts w:hint="eastAsia" w:ascii="方正小标宋简体" w:hAnsi="方正小标宋简体" w:eastAsia="方正小标宋简体" w:cs="方正小标宋简体"/>
          <w:bCs/>
          <w:sz w:val="44"/>
          <w:szCs w:val="44"/>
        </w:rPr>
      </w:pPr>
    </w:p>
    <w:p w14:paraId="6120A7BD">
      <w:pPr>
        <w:adjustRightInd w:val="0"/>
        <w:snapToGrid w:val="0"/>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索普赛瑞供应商负面清单管理规定</w:t>
      </w:r>
    </w:p>
    <w:p w14:paraId="30CB1F0C">
      <w:pPr>
        <w:adjustRightInd w:val="0"/>
        <w:snapToGrid w:val="0"/>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年修订版）</w:t>
      </w:r>
    </w:p>
    <w:p w14:paraId="5EEAACD5">
      <w:pPr>
        <w:tabs>
          <w:tab w:val="left" w:pos="2565"/>
        </w:tabs>
        <w:spacing w:line="600" w:lineRule="exact"/>
        <w:ind w:firstLine="680" w:firstLineChars="200"/>
        <w:rPr>
          <w:rFonts w:ascii="仿宋_GB2312" w:hAnsi="仿宋" w:eastAsia="仿宋_GB2312"/>
          <w:sz w:val="34"/>
          <w:szCs w:val="34"/>
        </w:rPr>
      </w:pPr>
    </w:p>
    <w:p w14:paraId="66FA969C">
      <w:pPr>
        <w:adjustRightInd w:val="0"/>
        <w:snapToGrid w:val="0"/>
        <w:spacing w:line="600" w:lineRule="exact"/>
        <w:ind w:firstLine="2891" w:firstLineChars="900"/>
        <w:rPr>
          <w:rFonts w:ascii="黑体" w:hAnsi="黑体" w:eastAsia="黑体"/>
          <w:b/>
          <w:bCs/>
          <w:sz w:val="32"/>
          <w:szCs w:val="32"/>
        </w:rPr>
      </w:pPr>
      <w:r>
        <w:rPr>
          <w:rFonts w:hint="eastAsia" w:ascii="黑体" w:hAnsi="黑体" w:eastAsia="黑体" w:cs="黑体"/>
          <w:b/>
          <w:bCs/>
          <w:sz w:val="32"/>
          <w:szCs w:val="32"/>
        </w:rPr>
        <w:t>第一章 总则</w:t>
      </w:r>
    </w:p>
    <w:p w14:paraId="57BE3BB8">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第一条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凡按国家标准及相关准则或规定组织生产销售的物资供应商、服务提供商或施工承包商，只要资质证照齐全且满足我司采购要求（采购和外协加工受压元件的材料，需要经公司相关部门考察认定），均可参与我司组织的招报价、比价采购等商务活动。</w:t>
      </w:r>
    </w:p>
    <w:p w14:paraId="41907B0C">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第二条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本制度适用于索普赛瑞本部各部门。</w:t>
      </w:r>
    </w:p>
    <w:p w14:paraId="5A3CB2D5">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第三条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责任部门职责分工</w:t>
      </w:r>
    </w:p>
    <w:p w14:paraId="1CBA9D95">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使用部门：负责提供技术参数或提出服务要求，对采购物资或服务的质量进行验收，对供应商所供货物在使用效果、产品质量、服务质量等方面进行评价。</w:t>
      </w:r>
    </w:p>
    <w:p w14:paraId="79388C0B">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管理部门（质量控制部门或设备保障部等）：监管使用过程，负责对标的物样品或试供原料的质量进行检验，判定其是否符合公司所需的技术要求。</w:t>
      </w:r>
    </w:p>
    <w:p w14:paraId="126E6801">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采购部门：通过线上或线下途径不断开发有能力满足公司所需物资或服务的供应商。对目标供应商所提供的材料完整性、交货期、价格等作为筛选的依据进行资格初审，收集供应商资料并建立档案。</w:t>
      </w:r>
    </w:p>
    <w:p w14:paraId="25FCC57A">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监管部门：负责对采购流程的合规性进行监督。</w:t>
      </w:r>
    </w:p>
    <w:p w14:paraId="7B892547">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第二章 供应商负面清单确定流程</w:t>
      </w:r>
    </w:p>
    <w:p w14:paraId="6037AFE8">
      <w:pPr>
        <w:tabs>
          <w:tab w:val="left" w:pos="2565"/>
        </w:tabs>
        <w:spacing w:line="600" w:lineRule="exact"/>
        <w:ind w:firstLine="643" w:firstLineChars="200"/>
        <w:rPr>
          <w:rFonts w:ascii="仿宋_GB2312" w:hAnsi="仿宋_GB2312" w:eastAsia="仿宋_GB2312" w:cs="仿宋_GB2312"/>
          <w:sz w:val="34"/>
          <w:szCs w:val="34"/>
        </w:rPr>
      </w:pPr>
      <w:r>
        <w:rPr>
          <w:rFonts w:ascii="仿宋_GB2312" w:hAnsi="黑体" w:eastAsia="仿宋_GB2312" w:cs="黑体"/>
          <w:b/>
          <w:bCs/>
          <w:sz w:val="32"/>
          <w:szCs w:val="32"/>
        </w:rPr>
        <w:drawing>
          <wp:anchor distT="0" distB="0" distL="114300" distR="114300" simplePos="0" relativeHeight="251659264" behindDoc="0" locked="0" layoutInCell="1" allowOverlap="1">
            <wp:simplePos x="0" y="0"/>
            <wp:positionH relativeFrom="margin">
              <wp:posOffset>337820</wp:posOffset>
            </wp:positionH>
            <wp:positionV relativeFrom="paragraph">
              <wp:posOffset>1164590</wp:posOffset>
            </wp:positionV>
            <wp:extent cx="5103495" cy="6125845"/>
            <wp:effectExtent l="0" t="0" r="1905" b="8255"/>
            <wp:wrapTopAndBottom/>
            <wp:docPr id="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4"/>
                    <pic:cNvPicPr>
                      <a:picLocks noChangeAspect="1"/>
                    </pic:cNvPicPr>
                  </pic:nvPicPr>
                  <pic:blipFill>
                    <a:blip r:embed="rId7"/>
                    <a:stretch>
                      <a:fillRect/>
                    </a:stretch>
                  </pic:blipFill>
                  <pic:spPr>
                    <a:xfrm>
                      <a:off x="0" y="0"/>
                      <a:ext cx="5103495" cy="6125845"/>
                    </a:xfrm>
                    <a:prstGeom prst="rect">
                      <a:avLst/>
                    </a:prstGeom>
                    <a:noFill/>
                    <a:ln>
                      <a:noFill/>
                    </a:ln>
                  </pic:spPr>
                </pic:pic>
              </a:graphicData>
            </a:graphic>
          </wp:anchor>
        </w:drawing>
      </w:r>
      <w:r>
        <w:rPr>
          <w:rFonts w:hint="eastAsia" w:ascii="仿宋_GB2312" w:hAnsi="黑体" w:eastAsia="仿宋_GB2312" w:cs="黑体"/>
          <w:b/>
          <w:bCs/>
          <w:sz w:val="32"/>
          <w:szCs w:val="32"/>
        </w:rPr>
        <w:t>第四条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供应商负面清单管理工作由商务合作部全面负责，其他职能部门在使用或监管过程中产生的供应商考核意见应报商务合作部统一汇总管理。具体确定流程：</w:t>
      </w:r>
    </w:p>
    <w:p w14:paraId="42BD9BE0">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第三章 供应商积分考核和管理</w:t>
      </w:r>
    </w:p>
    <w:p w14:paraId="35046FE8">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第五条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积分考核主要包括供货质量、交货周期、售后服务、资质信誉等方面，每项10分。使用部门、专业管理部门、采购部门均可书面提出考核意见。商务合作部负责对各相关部门提出的考核意见进行收集汇总，并根据综合扣分情况将供应商分为合格供应商或负面清单供应商。凡被列入负面清单的供应商，自被考核当日起一年内均不得与公司进行合作；凡未被列入负面清单的供应商一年后当年考核扣分自动清零。</w:t>
      </w:r>
    </w:p>
    <w:p w14:paraId="4CEDD902">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1.合格供应商：供应商一年内累计考核扣分介于0-9分之间，可作为合格供应商继续开展合作。</w:t>
      </w:r>
    </w:p>
    <w:p w14:paraId="097EE127">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2.负面清单供应商：供应商单次供应考核扣分或一年内累计考核扣分达到10分以上（含10分），须列入负面清单供应商，至少于一年内停止与其产生新的合作。</w:t>
      </w:r>
    </w:p>
    <w:p w14:paraId="1ED307CE">
      <w:pPr>
        <w:spacing w:line="600" w:lineRule="exact"/>
        <w:ind w:firstLine="643" w:firstLineChars="200"/>
        <w:rPr>
          <w:rFonts w:ascii="仿宋_GB2312" w:hAnsi="仿宋_GB2312" w:eastAsia="仿宋_GB2312" w:cs="仿宋_GB2312"/>
          <w:bCs/>
          <w:sz w:val="34"/>
          <w:szCs w:val="34"/>
        </w:rPr>
      </w:pPr>
      <w:r>
        <w:rPr>
          <w:rFonts w:hint="eastAsia" w:ascii="仿宋_GB2312" w:hAnsi="黑体" w:eastAsia="仿宋_GB2312" w:cs="黑体"/>
          <w:b/>
          <w:bCs/>
          <w:sz w:val="32"/>
          <w:szCs w:val="32"/>
        </w:rPr>
        <w:t>第六条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供应商考核方法</w:t>
      </w:r>
    </w:p>
    <w:p w14:paraId="149CD4CD">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1.质量方面</w:t>
      </w:r>
    </w:p>
    <w:p w14:paraId="533BB7A4">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（1）所供产品出现质量问题，经调换未对公司造成影响，单次扣1-3分。</w:t>
      </w:r>
    </w:p>
    <w:p w14:paraId="68577039">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（2）所供产品出现质量问题，对公司造成了一定影响，单次扣3-5分。</w:t>
      </w:r>
    </w:p>
    <w:p w14:paraId="6B299346">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（3）所供产品出现质量问题，对公司造成了严重影响，单次扣5-10分。</w:t>
      </w:r>
    </w:p>
    <w:p w14:paraId="4A2DC3D0">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2.交货方面</w:t>
      </w:r>
    </w:p>
    <w:p w14:paraId="0DB11AA6">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（1）交货时无质检报告或合格证等必要资料的，单次扣1-3分。</w:t>
      </w:r>
    </w:p>
    <w:p w14:paraId="4B2F15C2">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（2）交货时未按规定包装的，单次扣1-3分。</w:t>
      </w:r>
    </w:p>
    <w:p w14:paraId="297C9375">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（3）延期交货，但未对公司造成影响，单次扣1-3分；造成一定影响，单次扣3-5分；造成严重影响，单次扣5-10分。</w:t>
      </w:r>
    </w:p>
    <w:p w14:paraId="03F16867">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（4）交货过程中存在故意隐瞒质量缺陷或以次充好，单次扣5-10分。</w:t>
      </w:r>
    </w:p>
    <w:p w14:paraId="3C6AB0AC">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（5）运输单位未能按要求完成运输任务，单次扣1-3分。</w:t>
      </w:r>
    </w:p>
    <w:p w14:paraId="68080B20">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（6）发生安全事故，并且供应商有责任的，单次扣5-10分。</w:t>
      </w:r>
    </w:p>
    <w:p w14:paraId="697BBF79">
      <w:pPr>
        <w:tabs>
          <w:tab w:val="left" w:pos="2565"/>
        </w:tabs>
        <w:spacing w:line="600" w:lineRule="exact"/>
        <w:ind w:left="420" w:leftChars="20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3.售后方面</w:t>
      </w:r>
    </w:p>
    <w:p w14:paraId="3000D067">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（1）对我公司的售后服务要求不能及时响应，单次扣1-3分；已造成一定影响，单次扣3-5分；造成严重影响，单次扣5-10分。</w:t>
      </w:r>
    </w:p>
    <w:p w14:paraId="22C9208A">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（2）售后人员不能及时解决问题，单次扣1-3分。</w:t>
      </w:r>
    </w:p>
    <w:p w14:paraId="7B6AC231">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（3）在质保期之内，拒绝按合同提供售后服务，单次扣5-10分。</w:t>
      </w:r>
    </w:p>
    <w:p w14:paraId="02940FD9">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4.资信方面</w:t>
      </w:r>
    </w:p>
    <w:p w14:paraId="5F953786">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（1）确定合作单位之后因报价、参数错误等原因，经双方协商终止合同签订，单次扣1-3分。</w:t>
      </w:r>
    </w:p>
    <w:p w14:paraId="39D61297">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（2）合作单位确定之后拒绝签订合同或拒绝履行合同，单次扣5-10分。</w:t>
      </w:r>
    </w:p>
    <w:p w14:paraId="7A98677E">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（3）无正当理由未及时开具发票给我方，单次扣1-3分。</w:t>
      </w:r>
    </w:p>
    <w:p w14:paraId="78D86902">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（4）未按合同约定价格开票，单次扣1-3分。</w:t>
      </w:r>
    </w:p>
    <w:p w14:paraId="01A57CFB">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（5）注册信息及基本资质证书不属实，单次扣5-10分。</w:t>
      </w:r>
    </w:p>
    <w:p w14:paraId="3B71F7D1">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（6）因知识产权引起纠纷，单次扣5-10分。</w:t>
      </w:r>
    </w:p>
    <w:p w14:paraId="456B0852">
      <w:pPr>
        <w:tabs>
          <w:tab w:val="left" w:pos="2565"/>
        </w:tabs>
        <w:spacing w:line="600" w:lineRule="exact"/>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第七条</w:t>
      </w:r>
      <w:r>
        <w:rPr>
          <w:rFonts w:ascii="仿宋_GB2312" w:hAnsi="仿宋" w:eastAsia="仿宋_GB2312"/>
          <w:sz w:val="32"/>
          <w:szCs w:val="32"/>
        </w:rPr>
        <w:t xml:space="preserve"> </w:t>
      </w:r>
      <w:r>
        <w:rPr>
          <w:rFonts w:hint="eastAsia" w:ascii="仿宋_GB2312" w:hAnsi="仿宋_GB2312" w:eastAsia="仿宋_GB2312" w:cs="仿宋_GB2312"/>
          <w:sz w:val="34"/>
          <w:szCs w:val="34"/>
        </w:rPr>
        <w:t>供应商发生以下情况，将直接列入负面清单，情节严重的，甚至可以直接用就行停止合作；</w:t>
      </w:r>
    </w:p>
    <w:p w14:paraId="23D9622B">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1、涉及弄虚作假、欺诈、故意隐瞒、冒名顶替等行为的。</w:t>
      </w:r>
    </w:p>
    <w:p w14:paraId="0ED66801">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2、出现串标、围标、陪标、或者以损害其他城市竞争者的利益谋求中标的。</w:t>
      </w:r>
    </w:p>
    <w:p w14:paraId="7EDA9153">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3、供应商通过恶意法律诉讼起诉我公司最终被法院裁定为败诉的。</w:t>
      </w:r>
    </w:p>
    <w:p w14:paraId="0162A8AD">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4、违反廉政协议，滋生腐败现象的。</w:t>
      </w:r>
    </w:p>
    <w:p w14:paraId="73B496D0">
      <w:pPr>
        <w:tabs>
          <w:tab w:val="left" w:pos="2565"/>
        </w:tabs>
        <w:spacing w:line="600" w:lineRule="exact"/>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第八条</w:t>
      </w:r>
      <w:r>
        <w:rPr>
          <w:rFonts w:hint="eastAsia" w:ascii="仿宋_GB2312" w:hAnsi="仿宋" w:eastAsia="仿宋_GB2312"/>
          <w:sz w:val="32"/>
          <w:szCs w:val="32"/>
        </w:rPr>
        <w:t xml:space="preserve"> </w:t>
      </w:r>
      <w:r>
        <w:rPr>
          <w:rFonts w:hint="eastAsia" w:ascii="仿宋_GB2312" w:hAnsi="仿宋_GB2312" w:eastAsia="仿宋_GB2312" w:cs="仿宋_GB2312"/>
          <w:sz w:val="34"/>
          <w:szCs w:val="34"/>
        </w:rPr>
        <w:t>关于无效投诉的处理办法</w:t>
      </w:r>
    </w:p>
    <w:p w14:paraId="148CA37C">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报价人如对报价结果存有异议，可向监管部门提起投诉。但为了维护采购工作的严肃性，报价人所提出的投诉一旦被公司认定为无效投诉，单次扣除投诉人3分；如果报价人仍不接受解释且采取重复投诉，甚至出现捏造事实、无理取闹、聚众围堵、恶意诽谤等严重扰乱公司生产经营秩序的违法行为，可再扣除投诉人5-10分;报价人对同一事件的无效投诉或一年内累计无效投诉的次数达到三次以上（含三次），均直接列入供应商负面清单，情节严重的，也可以永久性停止合作。</w:t>
      </w:r>
    </w:p>
    <w:p w14:paraId="397CF87D">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第四章 从负面清单供应商的消除</w:t>
      </w:r>
    </w:p>
    <w:p w14:paraId="36E6D521">
      <w:pPr>
        <w:tabs>
          <w:tab w:val="left" w:pos="2565"/>
        </w:tabs>
        <w:spacing w:line="600" w:lineRule="exact"/>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第九条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已被列入的负面清单供应商通过自身完善、整改等措施，其产品或服务质量满足公司要求，原则上自考核满一年以后，供应商可提出书面申请，经供应商能力确认流程鉴定后方可从负面清单中消除。具体流程如下：</w:t>
      </w:r>
    </w:p>
    <w:p w14:paraId="21689543">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1.供应商提出负面清单消除的书面申请以及针对考核项的整改措施、效果等相关文件材料；</w:t>
      </w:r>
    </w:p>
    <w:p w14:paraId="4577806F">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2.商务合作部牵头组织相关部门对供应商提供的文件材料进行确认，必要时组织现场考察；</w:t>
      </w:r>
    </w:p>
    <w:p w14:paraId="2B9B1F66">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3.商务合作部根据材料确认及考察情况提出建议，经相关部门会签再报公司分管领导、总经理、董事长批准以后方可完成负面清单供应商的消除工作。</w:t>
      </w:r>
    </w:p>
    <w:p w14:paraId="3E5750CD">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第五章 附则</w:t>
      </w:r>
    </w:p>
    <w:p w14:paraId="0963805F">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b/>
          <w:sz w:val="32"/>
          <w:szCs w:val="32"/>
        </w:rPr>
        <w:t>第</w:t>
      </w:r>
      <w:r>
        <w:rPr>
          <w:rFonts w:hint="eastAsia" w:ascii="仿宋_GB2312" w:hAnsi="黑体" w:eastAsia="仿宋_GB2312" w:cs="黑体"/>
          <w:b/>
          <w:bCs/>
          <w:sz w:val="32"/>
          <w:szCs w:val="32"/>
        </w:rPr>
        <w:t>十条</w:t>
      </w:r>
      <w:r>
        <w:rPr>
          <w:rFonts w:hint="eastAsia" w:ascii="仿宋_GB2312" w:hAnsi="楷体" w:eastAsia="仿宋_GB2312"/>
          <w:b/>
          <w:sz w:val="32"/>
          <w:szCs w:val="32"/>
        </w:rPr>
        <w:t xml:space="preserve"> </w:t>
      </w:r>
      <w:r>
        <w:rPr>
          <w:rFonts w:hint="eastAsia" w:ascii="仿宋_GB2312" w:hAnsi="仿宋_GB2312" w:eastAsia="仿宋_GB2312" w:cs="仿宋_GB2312"/>
          <w:sz w:val="34"/>
          <w:szCs w:val="34"/>
        </w:rPr>
        <w:t>各部门应按照公开公平公正的原则，做好供应商负面清单的考核和管理工作。</w:t>
      </w:r>
    </w:p>
    <w:p w14:paraId="7E6C62D1">
      <w:pPr>
        <w:spacing w:line="600" w:lineRule="exact"/>
        <w:ind w:firstLine="643" w:firstLineChars="200"/>
        <w:rPr>
          <w:rFonts w:ascii="仿宋_GB2312" w:hAnsi="仿宋_GB2312" w:eastAsia="仿宋_GB2312" w:cs="仿宋_GB2312"/>
          <w:sz w:val="34"/>
          <w:szCs w:val="34"/>
        </w:rPr>
      </w:pPr>
      <w:r>
        <w:rPr>
          <w:rFonts w:hint="eastAsia" w:ascii="仿宋_GB2312" w:hAnsi="仿宋" w:eastAsia="仿宋_GB2312"/>
          <w:b/>
          <w:bCs/>
          <w:sz w:val="32"/>
          <w:szCs w:val="32"/>
        </w:rPr>
        <w:t xml:space="preserve">第十一条 </w:t>
      </w:r>
      <w:r>
        <w:rPr>
          <w:rFonts w:hint="eastAsia" w:ascii="仿宋_GB2312" w:hAnsi="仿宋_GB2312" w:eastAsia="仿宋_GB2312" w:cs="仿宋_GB2312"/>
          <w:sz w:val="34"/>
          <w:szCs w:val="34"/>
        </w:rPr>
        <w:t>供应商负面清单的加入和消除总体采取谁加入谁消除的独立自主处置原则，不同直属单位对同一供应商一年内的考核扣分累计达到15分以上，由集团商务合作部将其列为负面清单供应商。</w:t>
      </w:r>
    </w:p>
    <w:p w14:paraId="79651BFD">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b/>
          <w:sz w:val="32"/>
          <w:szCs w:val="32"/>
        </w:rPr>
        <w:t xml:space="preserve">第十二条 </w:t>
      </w:r>
      <w:r>
        <w:rPr>
          <w:rFonts w:hint="eastAsia" w:ascii="仿宋_GB2312" w:hAnsi="仿宋_GB2312" w:eastAsia="仿宋_GB2312" w:cs="仿宋_GB2312"/>
          <w:sz w:val="34"/>
          <w:szCs w:val="34"/>
        </w:rPr>
        <w:t>各部门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原则上永久性停止与该供应商的合作。</w:t>
      </w:r>
    </w:p>
    <w:p w14:paraId="5868E608">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b/>
          <w:sz w:val="32"/>
          <w:szCs w:val="32"/>
        </w:rPr>
        <w:t xml:space="preserve">第十三条 </w:t>
      </w:r>
      <w:r>
        <w:rPr>
          <w:rFonts w:hint="eastAsia" w:ascii="仿宋_GB2312" w:hAnsi="仿宋_GB2312" w:eastAsia="仿宋_GB2312" w:cs="仿宋_GB2312"/>
          <w:sz w:val="34"/>
          <w:szCs w:val="34"/>
        </w:rPr>
        <w:t>本规定自颁发之日起生效，由商务合作部负责解释，原《索普赛瑞供应商负面清单管理规定（试行）》（苏索瑞企字[2022]22号）同时废止。</w:t>
      </w:r>
    </w:p>
    <w:p w14:paraId="02C4708C">
      <w:pPr>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本制度由商务合作部负责解释。</w:t>
      </w:r>
    </w:p>
    <w:p w14:paraId="34751EC8">
      <w:pPr>
        <w:spacing w:line="600" w:lineRule="exact"/>
        <w:ind w:firstLine="680" w:firstLineChars="200"/>
        <w:rPr>
          <w:rFonts w:ascii="仿宋_GB2312" w:hAnsi="仿宋_GB2312" w:eastAsia="仿宋_GB2312" w:cs="仿宋_GB2312"/>
          <w:sz w:val="34"/>
          <w:szCs w:val="34"/>
        </w:rPr>
      </w:pPr>
    </w:p>
    <w:p w14:paraId="335B9A18">
      <w:pPr>
        <w:spacing w:line="600" w:lineRule="exact"/>
        <w:ind w:firstLine="680" w:firstLineChars="200"/>
        <w:rPr>
          <w:rFonts w:ascii="仿宋_GB2312" w:hAnsi="仿宋_GB2312" w:eastAsia="仿宋_GB2312" w:cs="仿宋_GB2312"/>
          <w:sz w:val="34"/>
          <w:szCs w:val="34"/>
        </w:rPr>
      </w:pPr>
    </w:p>
    <w:p w14:paraId="5057ED71">
      <w:pPr>
        <w:spacing w:line="600" w:lineRule="exact"/>
        <w:ind w:firstLine="680" w:firstLineChars="200"/>
        <w:rPr>
          <w:rFonts w:ascii="仿宋_GB2312" w:hAnsi="仿宋_GB2312" w:eastAsia="仿宋_GB2312" w:cs="仿宋_GB2312"/>
          <w:sz w:val="34"/>
          <w:szCs w:val="34"/>
        </w:rPr>
      </w:pPr>
    </w:p>
    <w:p w14:paraId="6EBA400A">
      <w:pPr>
        <w:spacing w:line="600" w:lineRule="exact"/>
        <w:ind w:firstLine="680" w:firstLineChars="200"/>
        <w:jc w:val="right"/>
        <w:rPr>
          <w:rFonts w:ascii="仿宋_GB2312" w:hAnsi="仿宋_GB2312" w:eastAsia="仿宋_GB2312" w:cs="仿宋_GB2312"/>
          <w:sz w:val="34"/>
          <w:szCs w:val="34"/>
        </w:rPr>
      </w:pPr>
      <w:r>
        <w:rPr>
          <w:rFonts w:hint="eastAsia" w:ascii="仿宋_GB2312" w:hAnsi="仿宋_GB2312" w:eastAsia="仿宋_GB2312" w:cs="仿宋_GB2312"/>
          <w:sz w:val="34"/>
          <w:szCs w:val="34"/>
        </w:rPr>
        <w:t>江苏索普赛瑞装备制造有限公司</w:t>
      </w:r>
    </w:p>
    <w:p w14:paraId="0DDAB664">
      <w:pPr>
        <w:spacing w:line="600" w:lineRule="exact"/>
        <w:ind w:firstLine="680" w:firstLineChars="200"/>
        <w:jc w:val="center"/>
        <w:rPr>
          <w:rFonts w:ascii="仿宋_GB2312" w:hAnsi="仿宋_GB2312" w:eastAsia="仿宋_GB2312" w:cs="仿宋_GB2312"/>
          <w:sz w:val="34"/>
          <w:szCs w:val="34"/>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4"/>
          <w:szCs w:val="34"/>
        </w:rPr>
        <w:t xml:space="preserve">                2023年8月15日</w:t>
      </w:r>
    </w:p>
    <w:tbl>
      <w:tblPr>
        <w:tblStyle w:val="10"/>
        <w:tblpPr w:leftFromText="180" w:rightFromText="180" w:vertAnchor="text" w:horzAnchor="page" w:tblpX="1066" w:tblpY="256"/>
        <w:tblOverlap w:val="never"/>
        <w:tblW w:w="15781" w:type="dxa"/>
        <w:tblInd w:w="0" w:type="dxa"/>
        <w:tblLayout w:type="fixed"/>
        <w:tblCellMar>
          <w:top w:w="15" w:type="dxa"/>
          <w:left w:w="15" w:type="dxa"/>
          <w:bottom w:w="15" w:type="dxa"/>
          <w:right w:w="15" w:type="dxa"/>
        </w:tblCellMar>
      </w:tblPr>
      <w:tblGrid>
        <w:gridCol w:w="2812"/>
        <w:gridCol w:w="1016"/>
        <w:gridCol w:w="981"/>
        <w:gridCol w:w="1016"/>
        <w:gridCol w:w="1003"/>
        <w:gridCol w:w="993"/>
        <w:gridCol w:w="1003"/>
        <w:gridCol w:w="944"/>
        <w:gridCol w:w="969"/>
        <w:gridCol w:w="944"/>
        <w:gridCol w:w="956"/>
        <w:gridCol w:w="993"/>
        <w:gridCol w:w="1076"/>
        <w:gridCol w:w="1075"/>
      </w:tblGrid>
      <w:tr w14:paraId="1E1432A4">
        <w:tblPrEx>
          <w:tblCellMar>
            <w:top w:w="15" w:type="dxa"/>
            <w:left w:w="15" w:type="dxa"/>
            <w:bottom w:w="15" w:type="dxa"/>
            <w:right w:w="15" w:type="dxa"/>
          </w:tblCellMar>
        </w:tblPrEx>
        <w:trPr>
          <w:trHeight w:val="228" w:hRule="atLeast"/>
        </w:trPr>
        <w:tc>
          <w:tcPr>
            <w:tcW w:w="2812" w:type="dxa"/>
            <w:noWrap w:val="0"/>
            <w:vAlign w:val="bottom"/>
          </w:tcPr>
          <w:p w14:paraId="5DA71908">
            <w:pPr>
              <w:rPr>
                <w:rFonts w:ascii="宋体" w:hAnsi="宋体" w:cs="宋体"/>
                <w:sz w:val="24"/>
              </w:rPr>
            </w:pPr>
            <w:r>
              <w:rPr>
                <w:rFonts w:hint="eastAsia" w:ascii="黑体" w:hAnsi="黑体" w:eastAsia="黑体" w:cs="黑体"/>
                <w:sz w:val="36"/>
                <w:szCs w:val="36"/>
              </w:rPr>
              <w:t>附件</w:t>
            </w:r>
            <w:r>
              <w:rPr>
                <w:rFonts w:ascii="黑体" w:hAnsi="黑体" w:eastAsia="黑体" w:cs="黑体"/>
                <w:sz w:val="36"/>
                <w:szCs w:val="36"/>
              </w:rPr>
              <w:t>1</w:t>
            </w:r>
          </w:p>
        </w:tc>
        <w:tc>
          <w:tcPr>
            <w:tcW w:w="1016" w:type="dxa"/>
            <w:noWrap w:val="0"/>
            <w:vAlign w:val="bottom"/>
          </w:tcPr>
          <w:p w14:paraId="7E8F6838">
            <w:pPr>
              <w:rPr>
                <w:rFonts w:ascii="宋体" w:hAnsi="宋体" w:cs="宋体"/>
                <w:sz w:val="24"/>
              </w:rPr>
            </w:pPr>
          </w:p>
        </w:tc>
        <w:tc>
          <w:tcPr>
            <w:tcW w:w="981" w:type="dxa"/>
            <w:noWrap w:val="0"/>
            <w:vAlign w:val="bottom"/>
          </w:tcPr>
          <w:p w14:paraId="643C0F50">
            <w:pPr>
              <w:rPr>
                <w:rFonts w:ascii="宋体" w:hAnsi="宋体" w:cs="宋体"/>
                <w:sz w:val="24"/>
              </w:rPr>
            </w:pPr>
          </w:p>
        </w:tc>
        <w:tc>
          <w:tcPr>
            <w:tcW w:w="1016" w:type="dxa"/>
            <w:noWrap w:val="0"/>
            <w:vAlign w:val="bottom"/>
          </w:tcPr>
          <w:p w14:paraId="39FF304F">
            <w:pPr>
              <w:rPr>
                <w:rFonts w:ascii="宋体" w:hAnsi="宋体" w:cs="宋体"/>
                <w:sz w:val="24"/>
              </w:rPr>
            </w:pPr>
          </w:p>
        </w:tc>
        <w:tc>
          <w:tcPr>
            <w:tcW w:w="1003" w:type="dxa"/>
            <w:noWrap w:val="0"/>
            <w:vAlign w:val="bottom"/>
          </w:tcPr>
          <w:p w14:paraId="17EBA078">
            <w:pPr>
              <w:rPr>
                <w:rFonts w:ascii="宋体" w:hAnsi="宋体" w:cs="宋体"/>
                <w:sz w:val="24"/>
              </w:rPr>
            </w:pPr>
          </w:p>
        </w:tc>
        <w:tc>
          <w:tcPr>
            <w:tcW w:w="993" w:type="dxa"/>
            <w:noWrap w:val="0"/>
            <w:vAlign w:val="bottom"/>
          </w:tcPr>
          <w:p w14:paraId="56BB3E27">
            <w:pPr>
              <w:rPr>
                <w:rFonts w:ascii="宋体" w:hAnsi="宋体" w:cs="宋体"/>
                <w:sz w:val="24"/>
              </w:rPr>
            </w:pPr>
          </w:p>
        </w:tc>
        <w:tc>
          <w:tcPr>
            <w:tcW w:w="1003" w:type="dxa"/>
            <w:noWrap w:val="0"/>
            <w:vAlign w:val="bottom"/>
          </w:tcPr>
          <w:p w14:paraId="1D1BDF31">
            <w:pPr>
              <w:rPr>
                <w:rFonts w:ascii="宋体" w:hAnsi="宋体" w:cs="宋体"/>
                <w:sz w:val="24"/>
              </w:rPr>
            </w:pPr>
          </w:p>
        </w:tc>
        <w:tc>
          <w:tcPr>
            <w:tcW w:w="944" w:type="dxa"/>
            <w:noWrap w:val="0"/>
            <w:vAlign w:val="bottom"/>
          </w:tcPr>
          <w:p w14:paraId="3990B122">
            <w:pPr>
              <w:rPr>
                <w:rFonts w:ascii="宋体" w:hAnsi="宋体" w:cs="宋体"/>
                <w:sz w:val="24"/>
              </w:rPr>
            </w:pPr>
          </w:p>
        </w:tc>
        <w:tc>
          <w:tcPr>
            <w:tcW w:w="969" w:type="dxa"/>
            <w:noWrap w:val="0"/>
            <w:vAlign w:val="bottom"/>
          </w:tcPr>
          <w:p w14:paraId="41A2DDD7">
            <w:pPr>
              <w:rPr>
                <w:rFonts w:ascii="宋体" w:hAnsi="宋体" w:cs="宋体"/>
                <w:sz w:val="24"/>
              </w:rPr>
            </w:pPr>
          </w:p>
        </w:tc>
        <w:tc>
          <w:tcPr>
            <w:tcW w:w="944" w:type="dxa"/>
            <w:noWrap w:val="0"/>
            <w:vAlign w:val="bottom"/>
          </w:tcPr>
          <w:p w14:paraId="28C73473">
            <w:pPr>
              <w:rPr>
                <w:rFonts w:ascii="宋体" w:hAnsi="宋体" w:cs="宋体"/>
                <w:sz w:val="24"/>
              </w:rPr>
            </w:pPr>
          </w:p>
        </w:tc>
        <w:tc>
          <w:tcPr>
            <w:tcW w:w="956" w:type="dxa"/>
            <w:noWrap w:val="0"/>
            <w:vAlign w:val="bottom"/>
          </w:tcPr>
          <w:p w14:paraId="31AF785C">
            <w:pPr>
              <w:rPr>
                <w:rFonts w:ascii="宋体" w:hAnsi="宋体" w:cs="宋体"/>
                <w:sz w:val="24"/>
              </w:rPr>
            </w:pPr>
          </w:p>
        </w:tc>
        <w:tc>
          <w:tcPr>
            <w:tcW w:w="993" w:type="dxa"/>
            <w:noWrap w:val="0"/>
            <w:vAlign w:val="bottom"/>
          </w:tcPr>
          <w:p w14:paraId="21398CAC">
            <w:pPr>
              <w:rPr>
                <w:rFonts w:ascii="宋体" w:hAnsi="宋体" w:cs="宋体"/>
                <w:sz w:val="24"/>
              </w:rPr>
            </w:pPr>
          </w:p>
        </w:tc>
        <w:tc>
          <w:tcPr>
            <w:tcW w:w="1076" w:type="dxa"/>
            <w:noWrap w:val="0"/>
            <w:vAlign w:val="bottom"/>
          </w:tcPr>
          <w:p w14:paraId="17ED51F2">
            <w:pPr>
              <w:rPr>
                <w:rFonts w:ascii="宋体" w:hAnsi="宋体" w:cs="宋体"/>
                <w:sz w:val="24"/>
              </w:rPr>
            </w:pPr>
          </w:p>
        </w:tc>
        <w:tc>
          <w:tcPr>
            <w:tcW w:w="1075" w:type="dxa"/>
            <w:noWrap w:val="0"/>
            <w:vAlign w:val="bottom"/>
          </w:tcPr>
          <w:p w14:paraId="5EE18F31">
            <w:pPr>
              <w:rPr>
                <w:rFonts w:ascii="宋体" w:hAnsi="宋体" w:cs="宋体"/>
                <w:sz w:val="24"/>
              </w:rPr>
            </w:pPr>
          </w:p>
        </w:tc>
      </w:tr>
    </w:tbl>
    <w:p w14:paraId="0B343361">
      <w:pPr>
        <w:rPr>
          <w:vanish/>
        </w:rPr>
      </w:pPr>
    </w:p>
    <w:tbl>
      <w:tblPr>
        <w:tblStyle w:val="10"/>
        <w:tblW w:w="12939" w:type="dxa"/>
        <w:tblInd w:w="-108" w:type="dxa"/>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871"/>
        <w:gridCol w:w="1157"/>
        <w:gridCol w:w="200"/>
        <w:gridCol w:w="487"/>
        <w:gridCol w:w="799"/>
      </w:tblGrid>
      <w:tr w14:paraId="0BF5E133">
        <w:tblPrEx>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noWrap w:val="0"/>
            <w:vAlign w:val="center"/>
          </w:tcPr>
          <w:p w14:paraId="7987A0DE">
            <w:pPr>
              <w:widowControl/>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供应商考核表</w:t>
            </w:r>
          </w:p>
        </w:tc>
        <w:tc>
          <w:tcPr>
            <w:tcW w:w="1286" w:type="dxa"/>
            <w:gridSpan w:val="2"/>
            <w:tcBorders>
              <w:top w:val="nil"/>
              <w:left w:val="nil"/>
              <w:bottom w:val="nil"/>
              <w:right w:val="nil"/>
            </w:tcBorders>
            <w:noWrap w:val="0"/>
            <w:vAlign w:val="center"/>
          </w:tcPr>
          <w:p w14:paraId="2C2B1C34">
            <w:pPr>
              <w:widowControl/>
              <w:jc w:val="center"/>
              <w:rPr>
                <w:rFonts w:ascii="方正小标宋简体" w:hAnsi="宋体" w:eastAsia="方正小标宋简体" w:cs="宋体"/>
                <w:bCs/>
                <w:sz w:val="44"/>
                <w:szCs w:val="44"/>
              </w:rPr>
            </w:pPr>
          </w:p>
        </w:tc>
      </w:tr>
      <w:tr w14:paraId="4E92ECA6">
        <w:tblPrEx>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noWrap w:val="0"/>
            <w:vAlign w:val="center"/>
          </w:tcPr>
          <w:p w14:paraId="4D97BE88">
            <w:pPr>
              <w:widowControl/>
              <w:jc w:val="left"/>
              <w:rPr>
                <w:rFonts w:ascii="宋体" w:hAnsi="宋体" w:cs="宋体"/>
                <w:sz w:val="24"/>
              </w:rPr>
            </w:pPr>
            <w:r>
              <w:rPr>
                <w:rFonts w:hint="eastAsia" w:ascii="宋体" w:hAnsi="宋体" w:cs="宋体"/>
                <w:sz w:val="24"/>
              </w:rPr>
              <w:t xml:space="preserve">                                                                      　 时间：    年   月   日                                                           </w:t>
            </w:r>
          </w:p>
        </w:tc>
        <w:tc>
          <w:tcPr>
            <w:tcW w:w="1286" w:type="dxa"/>
            <w:gridSpan w:val="2"/>
            <w:tcBorders>
              <w:top w:val="nil"/>
              <w:left w:val="nil"/>
              <w:bottom w:val="nil"/>
              <w:right w:val="nil"/>
            </w:tcBorders>
            <w:noWrap w:val="0"/>
            <w:vAlign w:val="center"/>
          </w:tcPr>
          <w:p w14:paraId="613E5B0A">
            <w:pPr>
              <w:widowControl/>
              <w:jc w:val="left"/>
              <w:rPr>
                <w:rFonts w:ascii="宋体" w:hAnsi="宋体" w:cs="宋体"/>
                <w:sz w:val="24"/>
              </w:rPr>
            </w:pPr>
          </w:p>
        </w:tc>
      </w:tr>
      <w:tr w14:paraId="0240CFBB">
        <w:tblPrEx>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14:paraId="5244FDEF">
            <w:pPr>
              <w:widowControl/>
              <w:jc w:val="center"/>
              <w:rPr>
                <w:rFonts w:ascii="宋体" w:hAnsi="宋体" w:cs="宋体"/>
                <w:b/>
                <w:sz w:val="24"/>
              </w:rPr>
            </w:pPr>
            <w:r>
              <w:rPr>
                <w:rFonts w:hint="eastAsia" w:ascii="宋体" w:hAnsi="宋体" w:cs="宋体"/>
                <w:b/>
                <w:sz w:val="24"/>
              </w:rPr>
              <w:t>序号</w:t>
            </w:r>
          </w:p>
        </w:tc>
        <w:tc>
          <w:tcPr>
            <w:tcW w:w="1685" w:type="dxa"/>
            <w:vMerge w:val="restart"/>
            <w:tcBorders>
              <w:top w:val="single" w:color="auto" w:sz="4" w:space="0"/>
              <w:left w:val="single" w:color="auto" w:sz="4" w:space="0"/>
              <w:right w:val="single" w:color="auto" w:sz="4" w:space="0"/>
            </w:tcBorders>
            <w:noWrap w:val="0"/>
            <w:vAlign w:val="center"/>
          </w:tcPr>
          <w:p w14:paraId="47195669">
            <w:pPr>
              <w:widowControl/>
              <w:jc w:val="center"/>
              <w:rPr>
                <w:rFonts w:ascii="宋体" w:hAnsi="宋体" w:cs="宋体"/>
                <w:b/>
                <w:sz w:val="24"/>
              </w:rPr>
            </w:pPr>
            <w:r>
              <w:rPr>
                <w:rFonts w:hint="eastAsia" w:ascii="宋体" w:hAnsi="宋体" w:cs="宋体"/>
                <w:b/>
                <w:sz w:val="24"/>
              </w:rPr>
              <w:t>企业名称</w:t>
            </w:r>
          </w:p>
        </w:tc>
        <w:tc>
          <w:tcPr>
            <w:tcW w:w="1328" w:type="dxa"/>
            <w:vMerge w:val="restart"/>
            <w:tcBorders>
              <w:top w:val="single" w:color="auto" w:sz="4" w:space="0"/>
              <w:left w:val="single" w:color="auto" w:sz="4" w:space="0"/>
              <w:right w:val="single" w:color="auto" w:sz="4" w:space="0"/>
            </w:tcBorders>
            <w:noWrap w:val="0"/>
            <w:vAlign w:val="center"/>
          </w:tcPr>
          <w:p w14:paraId="005C2B05">
            <w:pPr>
              <w:widowControl/>
              <w:jc w:val="center"/>
              <w:rPr>
                <w:rFonts w:ascii="宋体" w:hAnsi="宋体" w:cs="宋体"/>
                <w:b/>
                <w:sz w:val="24"/>
              </w:rPr>
            </w:pPr>
            <w:r>
              <w:rPr>
                <w:rFonts w:hint="eastAsia" w:ascii="宋体" w:hAnsi="宋体" w:cs="宋体"/>
                <w:b/>
                <w:sz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14:paraId="423953C1">
            <w:pPr>
              <w:widowControl/>
              <w:jc w:val="center"/>
              <w:rPr>
                <w:rFonts w:ascii="宋体" w:hAnsi="宋体" w:cs="宋体"/>
                <w:b/>
                <w:sz w:val="24"/>
              </w:rPr>
            </w:pPr>
            <w:r>
              <w:rPr>
                <w:rFonts w:hint="eastAsia" w:ascii="宋体" w:hAnsi="宋体" w:cs="宋体"/>
                <w:b/>
                <w:sz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7B86BA93">
            <w:pPr>
              <w:widowControl/>
              <w:jc w:val="center"/>
              <w:rPr>
                <w:rFonts w:ascii="宋体" w:hAnsi="宋体" w:cs="宋体"/>
                <w:b/>
                <w:sz w:val="24"/>
              </w:rPr>
            </w:pPr>
            <w:r>
              <w:rPr>
                <w:rFonts w:hint="eastAsia" w:ascii="宋体" w:hAnsi="宋体" w:cs="宋体"/>
                <w:b/>
                <w:sz w:val="24"/>
              </w:rPr>
              <w:t>扣分时间</w:t>
            </w:r>
          </w:p>
        </w:tc>
        <w:tc>
          <w:tcPr>
            <w:tcW w:w="2028" w:type="dxa"/>
            <w:gridSpan w:val="2"/>
            <w:tcBorders>
              <w:top w:val="single" w:color="auto" w:sz="4" w:space="0"/>
              <w:left w:val="single" w:color="auto" w:sz="4" w:space="0"/>
              <w:bottom w:val="single" w:color="auto" w:sz="4" w:space="0"/>
              <w:right w:val="single" w:color="auto" w:sz="4" w:space="0"/>
            </w:tcBorders>
            <w:noWrap w:val="0"/>
            <w:vAlign w:val="center"/>
          </w:tcPr>
          <w:p w14:paraId="6FDC357F">
            <w:pPr>
              <w:widowControl/>
              <w:jc w:val="center"/>
              <w:rPr>
                <w:rFonts w:ascii="宋体" w:hAnsi="宋体" w:cs="宋体"/>
                <w:b/>
                <w:sz w:val="24"/>
              </w:rPr>
            </w:pPr>
            <w:r>
              <w:rPr>
                <w:rFonts w:hint="eastAsia" w:ascii="宋体" w:hAnsi="宋体" w:cs="宋体"/>
                <w:b/>
                <w:sz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F5C1044">
            <w:pPr>
              <w:widowControl/>
              <w:jc w:val="center"/>
              <w:rPr>
                <w:rFonts w:ascii="宋体" w:hAnsi="宋体" w:cs="宋体"/>
                <w:b/>
                <w:sz w:val="24"/>
              </w:rPr>
            </w:pPr>
            <w:r>
              <w:rPr>
                <w:rFonts w:hint="eastAsia" w:ascii="宋体" w:hAnsi="宋体" w:cs="宋体"/>
                <w:b/>
                <w:sz w:val="24"/>
              </w:rPr>
              <w:t>备注</w:t>
            </w:r>
          </w:p>
        </w:tc>
      </w:tr>
      <w:tr w14:paraId="7669E3E7">
        <w:tblPrEx>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14:paraId="787B0ABB">
            <w:pPr>
              <w:widowControl/>
              <w:jc w:val="center"/>
              <w:rPr>
                <w:rFonts w:ascii="宋体" w:hAnsi="宋体" w:cs="宋体"/>
                <w:b/>
                <w:sz w:val="24"/>
              </w:rPr>
            </w:pPr>
          </w:p>
        </w:tc>
        <w:tc>
          <w:tcPr>
            <w:tcW w:w="1685" w:type="dxa"/>
            <w:vMerge w:val="continue"/>
            <w:tcBorders>
              <w:left w:val="single" w:color="auto" w:sz="4" w:space="0"/>
              <w:bottom w:val="single" w:color="auto" w:sz="4" w:space="0"/>
              <w:right w:val="single" w:color="auto" w:sz="4" w:space="0"/>
            </w:tcBorders>
            <w:noWrap w:val="0"/>
            <w:vAlign w:val="center"/>
          </w:tcPr>
          <w:p w14:paraId="04E71ABA">
            <w:pPr>
              <w:widowControl/>
              <w:jc w:val="center"/>
              <w:rPr>
                <w:rFonts w:ascii="宋体" w:hAnsi="宋体" w:cs="宋体"/>
                <w:b/>
                <w:sz w:val="24"/>
              </w:rPr>
            </w:pPr>
          </w:p>
        </w:tc>
        <w:tc>
          <w:tcPr>
            <w:tcW w:w="1328" w:type="dxa"/>
            <w:vMerge w:val="continue"/>
            <w:tcBorders>
              <w:left w:val="single" w:color="auto" w:sz="4" w:space="0"/>
              <w:bottom w:val="single" w:color="auto" w:sz="4" w:space="0"/>
              <w:right w:val="single" w:color="auto" w:sz="4" w:space="0"/>
            </w:tcBorders>
            <w:noWrap w:val="0"/>
            <w:vAlign w:val="center"/>
          </w:tcPr>
          <w:p w14:paraId="503A3244">
            <w:pPr>
              <w:widowControl/>
              <w:jc w:val="center"/>
              <w:rPr>
                <w:rFonts w:ascii="宋体" w:hAnsi="宋体" w:cs="宋体"/>
                <w:b/>
                <w:sz w:val="24"/>
              </w:rPr>
            </w:pPr>
          </w:p>
        </w:tc>
        <w:tc>
          <w:tcPr>
            <w:tcW w:w="908" w:type="dxa"/>
            <w:tcBorders>
              <w:top w:val="single" w:color="auto" w:sz="4" w:space="0"/>
              <w:left w:val="nil"/>
              <w:bottom w:val="single" w:color="auto" w:sz="4" w:space="0"/>
              <w:right w:val="single" w:color="auto" w:sz="4" w:space="0"/>
            </w:tcBorders>
            <w:noWrap w:val="0"/>
            <w:vAlign w:val="center"/>
          </w:tcPr>
          <w:p w14:paraId="3CBBEFC0">
            <w:pPr>
              <w:widowControl/>
              <w:jc w:val="center"/>
              <w:rPr>
                <w:rFonts w:ascii="宋体" w:hAnsi="宋体" w:cs="宋体"/>
                <w:b/>
                <w:sz w:val="24"/>
              </w:rPr>
            </w:pPr>
            <w:r>
              <w:rPr>
                <w:rFonts w:hint="eastAsia" w:ascii="宋体" w:hAnsi="宋体" w:cs="宋体"/>
                <w:b/>
                <w:sz w:val="24"/>
              </w:rPr>
              <w:t>质量</w:t>
            </w:r>
          </w:p>
        </w:tc>
        <w:tc>
          <w:tcPr>
            <w:tcW w:w="788" w:type="dxa"/>
            <w:tcBorders>
              <w:top w:val="single" w:color="auto" w:sz="4" w:space="0"/>
              <w:left w:val="nil"/>
              <w:bottom w:val="single" w:color="auto" w:sz="4" w:space="0"/>
              <w:right w:val="single" w:color="auto" w:sz="4" w:space="0"/>
            </w:tcBorders>
            <w:noWrap w:val="0"/>
            <w:vAlign w:val="center"/>
          </w:tcPr>
          <w:p w14:paraId="4736D018">
            <w:pPr>
              <w:widowControl/>
              <w:jc w:val="center"/>
              <w:rPr>
                <w:rFonts w:ascii="宋体" w:hAnsi="宋体" w:cs="宋体"/>
                <w:b/>
                <w:sz w:val="24"/>
              </w:rPr>
            </w:pPr>
            <w:r>
              <w:rPr>
                <w:rFonts w:hint="eastAsia" w:ascii="宋体" w:hAnsi="宋体" w:cs="宋体"/>
                <w:b/>
                <w:sz w:val="24"/>
              </w:rPr>
              <w:t>交货</w:t>
            </w:r>
          </w:p>
        </w:tc>
        <w:tc>
          <w:tcPr>
            <w:tcW w:w="824" w:type="dxa"/>
            <w:tcBorders>
              <w:top w:val="single" w:color="auto" w:sz="4" w:space="0"/>
              <w:left w:val="nil"/>
              <w:bottom w:val="single" w:color="auto" w:sz="4" w:space="0"/>
              <w:right w:val="single" w:color="auto" w:sz="4" w:space="0"/>
            </w:tcBorders>
            <w:noWrap w:val="0"/>
            <w:vAlign w:val="center"/>
          </w:tcPr>
          <w:p w14:paraId="2F1F1C73">
            <w:pPr>
              <w:widowControl/>
              <w:jc w:val="center"/>
              <w:rPr>
                <w:rFonts w:ascii="宋体" w:hAnsi="宋体" w:cs="宋体"/>
                <w:b/>
                <w:sz w:val="24"/>
              </w:rPr>
            </w:pPr>
            <w:r>
              <w:rPr>
                <w:rFonts w:hint="eastAsia" w:ascii="宋体" w:hAnsi="宋体" w:cs="宋体"/>
                <w:b/>
                <w:sz w:val="24"/>
              </w:rPr>
              <w:t>售后</w:t>
            </w:r>
          </w:p>
        </w:tc>
        <w:tc>
          <w:tcPr>
            <w:tcW w:w="703" w:type="dxa"/>
            <w:tcBorders>
              <w:top w:val="single" w:color="auto" w:sz="4" w:space="0"/>
              <w:left w:val="nil"/>
              <w:bottom w:val="single" w:color="auto" w:sz="4" w:space="0"/>
              <w:right w:val="single" w:color="auto" w:sz="4" w:space="0"/>
            </w:tcBorders>
            <w:noWrap w:val="0"/>
            <w:vAlign w:val="center"/>
          </w:tcPr>
          <w:p w14:paraId="76C9C2A2">
            <w:pPr>
              <w:widowControl/>
              <w:jc w:val="center"/>
              <w:rPr>
                <w:rFonts w:ascii="宋体" w:hAnsi="宋体" w:cs="宋体"/>
                <w:b/>
                <w:sz w:val="24"/>
              </w:rPr>
            </w:pPr>
            <w:r>
              <w:rPr>
                <w:rFonts w:hint="eastAsia" w:ascii="宋体" w:hAnsi="宋体" w:cs="宋体"/>
                <w:b/>
                <w:sz w:val="24"/>
              </w:rPr>
              <w:t>资信</w:t>
            </w:r>
          </w:p>
        </w:tc>
        <w:tc>
          <w:tcPr>
            <w:tcW w:w="753" w:type="dxa"/>
            <w:tcBorders>
              <w:top w:val="single" w:color="auto" w:sz="4" w:space="0"/>
              <w:left w:val="nil"/>
              <w:bottom w:val="single" w:color="auto" w:sz="4" w:space="0"/>
              <w:right w:val="single" w:color="auto" w:sz="4" w:space="0"/>
            </w:tcBorders>
            <w:noWrap w:val="0"/>
            <w:vAlign w:val="center"/>
          </w:tcPr>
          <w:p w14:paraId="66ECE91B">
            <w:pPr>
              <w:widowControl/>
              <w:jc w:val="center"/>
              <w:rPr>
                <w:rFonts w:ascii="宋体" w:hAnsi="宋体" w:cs="宋体"/>
                <w:b/>
                <w:sz w:val="24"/>
              </w:rPr>
            </w:pPr>
            <w:r>
              <w:rPr>
                <w:rFonts w:hint="eastAsia" w:ascii="宋体" w:hAnsi="宋体" w:cs="宋体"/>
                <w:b/>
                <w:sz w:val="24"/>
              </w:rPr>
              <w:t>其他</w:t>
            </w:r>
          </w:p>
        </w:tc>
        <w:tc>
          <w:tcPr>
            <w:tcW w:w="806" w:type="dxa"/>
            <w:tcBorders>
              <w:top w:val="single" w:color="auto" w:sz="4" w:space="0"/>
              <w:left w:val="nil"/>
              <w:bottom w:val="single" w:color="auto" w:sz="4" w:space="0"/>
              <w:right w:val="single" w:color="auto" w:sz="4" w:space="0"/>
            </w:tcBorders>
            <w:noWrap w:val="0"/>
            <w:vAlign w:val="center"/>
          </w:tcPr>
          <w:p w14:paraId="7222555D">
            <w:pPr>
              <w:widowControl/>
              <w:jc w:val="center"/>
              <w:rPr>
                <w:rFonts w:ascii="宋体" w:hAnsi="宋体" w:cs="宋体"/>
                <w:b/>
                <w:sz w:val="24"/>
              </w:rPr>
            </w:pPr>
            <w:r>
              <w:rPr>
                <w:rFonts w:hint="eastAsia" w:ascii="宋体" w:hAnsi="宋体" w:cs="宋体"/>
                <w:b/>
                <w:sz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14:paraId="53129247">
            <w:pPr>
              <w:widowControl/>
              <w:jc w:val="center"/>
              <w:rPr>
                <w:rFonts w:ascii="宋体" w:hAnsi="宋体" w:cs="宋体"/>
                <w:b/>
                <w:sz w:val="24"/>
              </w:rPr>
            </w:pPr>
          </w:p>
        </w:tc>
        <w:tc>
          <w:tcPr>
            <w:tcW w:w="871" w:type="dxa"/>
            <w:tcBorders>
              <w:top w:val="single" w:color="auto" w:sz="4" w:space="0"/>
              <w:left w:val="single" w:color="auto" w:sz="4" w:space="0"/>
              <w:bottom w:val="single" w:color="auto" w:sz="4" w:space="0"/>
              <w:right w:val="single" w:color="auto" w:sz="4" w:space="0"/>
            </w:tcBorders>
            <w:noWrap w:val="0"/>
            <w:vAlign w:val="center"/>
          </w:tcPr>
          <w:p w14:paraId="0AF58C24">
            <w:pPr>
              <w:widowControl/>
              <w:jc w:val="center"/>
              <w:rPr>
                <w:rFonts w:ascii="宋体" w:hAnsi="宋体" w:cs="宋体"/>
                <w:b/>
                <w:sz w:val="24"/>
              </w:rPr>
            </w:pPr>
            <w:r>
              <w:rPr>
                <w:rFonts w:hint="eastAsia" w:ascii="宋体" w:hAnsi="宋体" w:cs="宋体"/>
                <w:b/>
                <w:sz w:val="24"/>
              </w:rPr>
              <w:t>继续合作</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404C37EF">
            <w:pPr>
              <w:widowControl/>
              <w:jc w:val="center"/>
              <w:rPr>
                <w:rFonts w:ascii="宋体" w:hAnsi="宋体" w:cs="宋体"/>
                <w:b/>
                <w:sz w:val="24"/>
              </w:rPr>
            </w:pPr>
            <w:r>
              <w:rPr>
                <w:rFonts w:hint="eastAsia" w:ascii="宋体" w:hAnsi="宋体" w:cs="宋体"/>
                <w:b/>
                <w:sz w:val="24"/>
              </w:rPr>
              <w:t>列入负面清单</w:t>
            </w:r>
          </w:p>
        </w:tc>
        <w:tc>
          <w:tcPr>
            <w:tcW w:w="687" w:type="dxa"/>
            <w:gridSpan w:val="2"/>
            <w:vMerge w:val="continue"/>
            <w:tcBorders>
              <w:top w:val="single" w:color="auto" w:sz="4" w:space="0"/>
              <w:left w:val="nil"/>
              <w:bottom w:val="single" w:color="auto" w:sz="4" w:space="0"/>
              <w:right w:val="single" w:color="auto" w:sz="4" w:space="0"/>
            </w:tcBorders>
            <w:noWrap w:val="0"/>
            <w:vAlign w:val="center"/>
          </w:tcPr>
          <w:p w14:paraId="446F5BED">
            <w:pPr>
              <w:widowControl/>
              <w:jc w:val="center"/>
              <w:rPr>
                <w:rFonts w:ascii="宋体" w:hAnsi="宋体" w:cs="宋体"/>
                <w:b/>
                <w:sz w:val="24"/>
              </w:rPr>
            </w:pPr>
          </w:p>
        </w:tc>
      </w:tr>
      <w:tr w14:paraId="6571B6B8">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466EA05">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6B79BE4C">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55CB0D37">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4358380A">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4E853999">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2F5CC370">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4DCA58BD">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3EDEDA08">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3167DAE1">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7C5AD459">
            <w:pPr>
              <w:widowControl/>
              <w:jc w:val="center"/>
              <w:rPr>
                <w:rFonts w:ascii="宋体" w:hAnsi="宋体" w:cs="宋体"/>
                <w:b/>
                <w:sz w:val="24"/>
              </w:rPr>
            </w:pPr>
          </w:p>
        </w:tc>
        <w:tc>
          <w:tcPr>
            <w:tcW w:w="871" w:type="dxa"/>
            <w:tcBorders>
              <w:top w:val="single" w:color="auto" w:sz="4" w:space="0"/>
              <w:left w:val="nil"/>
              <w:bottom w:val="single" w:color="auto" w:sz="4" w:space="0"/>
              <w:right w:val="single" w:color="auto" w:sz="4" w:space="0"/>
            </w:tcBorders>
            <w:noWrap w:val="0"/>
            <w:vAlign w:val="center"/>
          </w:tcPr>
          <w:p w14:paraId="0CA3A9FD">
            <w:pPr>
              <w:widowControl/>
              <w:jc w:val="center"/>
              <w:rPr>
                <w:rFonts w:ascii="Calibri" w:hAnsi="Calibri" w:cs="宋体"/>
                <w:sz w:val="24"/>
              </w:rPr>
            </w:pPr>
          </w:p>
        </w:tc>
        <w:tc>
          <w:tcPr>
            <w:tcW w:w="1157" w:type="dxa"/>
            <w:tcBorders>
              <w:top w:val="single" w:color="auto" w:sz="4" w:space="0"/>
              <w:left w:val="nil"/>
              <w:bottom w:val="single" w:color="auto" w:sz="4" w:space="0"/>
              <w:right w:val="single" w:color="auto" w:sz="4" w:space="0"/>
            </w:tcBorders>
            <w:noWrap w:val="0"/>
            <w:vAlign w:val="center"/>
          </w:tcPr>
          <w:p w14:paraId="6B718804">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67601922">
            <w:pPr>
              <w:widowControl/>
              <w:jc w:val="center"/>
              <w:rPr>
                <w:rFonts w:ascii="Calibri" w:hAnsi="Calibri" w:cs="宋体"/>
                <w:sz w:val="24"/>
              </w:rPr>
            </w:pPr>
          </w:p>
        </w:tc>
      </w:tr>
      <w:tr w14:paraId="3CE86A4B">
        <w:tblPrEx>
          <w:tblCellMar>
            <w:top w:w="0" w:type="dxa"/>
            <w:left w:w="108" w:type="dxa"/>
            <w:bottom w:w="0" w:type="dxa"/>
            <w:right w:w="108" w:type="dxa"/>
          </w:tblCellMar>
        </w:tblPrEx>
        <w:trPr>
          <w:gridAfter w:val="1"/>
          <w:wAfter w:w="799" w:type="dxa"/>
          <w:trHeight w:val="343" w:hRule="atLeast"/>
        </w:trPr>
        <w:tc>
          <w:tcPr>
            <w:tcW w:w="705" w:type="dxa"/>
            <w:tcBorders>
              <w:top w:val="nil"/>
              <w:left w:val="single" w:color="auto" w:sz="4" w:space="0"/>
              <w:bottom w:val="single" w:color="auto" w:sz="4" w:space="0"/>
              <w:right w:val="single" w:color="auto" w:sz="4" w:space="0"/>
            </w:tcBorders>
            <w:noWrap w:val="0"/>
            <w:vAlign w:val="center"/>
          </w:tcPr>
          <w:p w14:paraId="3DD0EE3F">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3ED1540C">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601FC9CB">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0FDAAA43">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351472EE">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70177575">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768E9607">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32D3C5FA">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201F2C08">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7A0C7B19">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03ECC9EC">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56855F41">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256B648A">
            <w:pPr>
              <w:widowControl/>
              <w:jc w:val="center"/>
              <w:rPr>
                <w:rFonts w:ascii="Calibri" w:hAnsi="Calibri" w:cs="宋体"/>
                <w:sz w:val="24"/>
              </w:rPr>
            </w:pPr>
          </w:p>
        </w:tc>
      </w:tr>
      <w:tr w14:paraId="3E82DB8C">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73C51CEE">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4E965D6B">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213BC0D5">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21C3015C">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55A6CCF6">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0A61241F">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36DD43B6">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3CE84704">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5AB1310C">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6A564BD5">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6D76C8A6">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4CC5B71B">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2268926A">
            <w:pPr>
              <w:widowControl/>
              <w:jc w:val="center"/>
              <w:rPr>
                <w:rFonts w:ascii="Calibri" w:hAnsi="Calibri" w:cs="宋体"/>
                <w:sz w:val="24"/>
              </w:rPr>
            </w:pPr>
          </w:p>
        </w:tc>
      </w:tr>
      <w:tr w14:paraId="7E94C5BA">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0C3472DD">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07E1BD06">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1EB9DE88">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09808BDC">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21D568F1">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3FEBBC1E">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7C6762E0">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2B42A3A7">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3B0305C1">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552F5067">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42876C70">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7D9B1F25">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00AF5ABB">
            <w:pPr>
              <w:widowControl/>
              <w:jc w:val="center"/>
              <w:rPr>
                <w:rFonts w:ascii="Calibri" w:hAnsi="Calibri" w:cs="宋体"/>
                <w:sz w:val="24"/>
              </w:rPr>
            </w:pPr>
          </w:p>
        </w:tc>
      </w:tr>
      <w:tr w14:paraId="51E4AC36">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09DD3C75">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2C1E12CC">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29B57BB7">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300FC036">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11DBBF32">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3E294B63">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156D0444">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9FB027A">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37303E21">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6BB1E1F2">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37009737">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59C51531">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58663CE0">
            <w:pPr>
              <w:widowControl/>
              <w:jc w:val="center"/>
              <w:rPr>
                <w:rFonts w:ascii="Calibri" w:hAnsi="Calibri" w:cs="宋体"/>
                <w:sz w:val="24"/>
              </w:rPr>
            </w:pPr>
          </w:p>
        </w:tc>
      </w:tr>
      <w:tr w14:paraId="2E9D04F4">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8F5B3D7">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491CB92C">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564223C4">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07F42717">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7CDAEBBB">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7B6CDE33">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26D18DB0">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5DA51C70">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656829D5">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32D69FC1">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5E1F4F39">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0F878F78">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0314819E">
            <w:pPr>
              <w:widowControl/>
              <w:jc w:val="center"/>
              <w:rPr>
                <w:rFonts w:ascii="Calibri" w:hAnsi="Calibri" w:cs="宋体"/>
                <w:sz w:val="24"/>
              </w:rPr>
            </w:pPr>
          </w:p>
        </w:tc>
      </w:tr>
      <w:tr w14:paraId="232DE31F">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2796D641">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739E9E5C">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48E94BB8">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0BDBCC88">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419CA711">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13A5E811">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7CC30F1F">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6169B7B0">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105BB74E">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33EC3E3F">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70FD7F84">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56B1F17D">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52C708E9">
            <w:pPr>
              <w:widowControl/>
              <w:jc w:val="center"/>
              <w:rPr>
                <w:rFonts w:ascii="Calibri" w:hAnsi="Calibri" w:cs="宋体"/>
                <w:sz w:val="24"/>
              </w:rPr>
            </w:pPr>
          </w:p>
        </w:tc>
      </w:tr>
      <w:tr w14:paraId="7C822F79">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3021CCA7">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0F276D02">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5E4EC11F">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361305A6">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4B7727E8">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4EA88079">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287129B6">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222A190">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15113F06">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14D925E8">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6DAD4B04">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5B055EA9">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22309146">
            <w:pPr>
              <w:widowControl/>
              <w:jc w:val="center"/>
              <w:rPr>
                <w:rFonts w:ascii="Calibri" w:hAnsi="Calibri" w:cs="宋体"/>
                <w:sz w:val="24"/>
              </w:rPr>
            </w:pPr>
          </w:p>
        </w:tc>
      </w:tr>
      <w:tr w14:paraId="703C3270">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4844FF1A">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56E34511">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7C32B3E0">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249DC357">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70FC709B">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37684A1B">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69C0AEF9">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9BCA85D">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1305C213">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5C9F530C">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752651C7">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23897BBB">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1B094395">
            <w:pPr>
              <w:widowControl/>
              <w:jc w:val="center"/>
              <w:rPr>
                <w:rFonts w:ascii="Calibri" w:hAnsi="Calibri" w:cs="宋体"/>
                <w:sz w:val="24"/>
              </w:rPr>
            </w:pPr>
          </w:p>
        </w:tc>
      </w:tr>
      <w:tr w14:paraId="7D5FAA02">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684104DB">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68668BB1">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4B6720F5">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43730589">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07CAD0ED">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7AB2DAE1">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030C2DE3">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1BCB66FE">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0F48525C">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DAFA764">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51956D94">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0656BE38">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1A441814">
            <w:pPr>
              <w:widowControl/>
              <w:jc w:val="center"/>
              <w:rPr>
                <w:rFonts w:ascii="Calibri" w:hAnsi="Calibri" w:cs="宋体"/>
                <w:sz w:val="24"/>
              </w:rPr>
            </w:pPr>
          </w:p>
        </w:tc>
      </w:tr>
    </w:tbl>
    <w:p w14:paraId="3D0D34D2">
      <w:pPr>
        <w:tabs>
          <w:tab w:val="left" w:pos="2565"/>
        </w:tabs>
        <w:spacing w:line="600" w:lineRule="exact"/>
        <w:rPr>
          <w:rFonts w:hint="eastAsia" w:ascii="仿宋_GB2312" w:eastAsia="仿宋_GB2312" w:cs="‹ÎSå"/>
          <w:bCs/>
          <w:kern w:val="1"/>
          <w:sz w:val="24"/>
        </w:rPr>
      </w:pPr>
    </w:p>
    <w:sectPr>
      <w:footerReference r:id="rId4" w:type="default"/>
      <w:footerReference r:id="rId5" w:type="even"/>
      <w:pgSz w:w="16838" w:h="11906" w:orient="landscape"/>
      <w:pgMar w:top="1587" w:right="1701" w:bottom="1587" w:left="1701" w:header="851" w:footer="141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04B32">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2" name="文本框 10"/>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wps:spPr>
                    <wps:txbx>
                      <w:txbxContent>
                        <w:p w14:paraId="4FBC8B6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1">
                      <a:spAutoFit/>
                    </wps:bodyPr>
                  </wps:wsp>
                </a:graphicData>
              </a:graphic>
            </wp:anchor>
          </w:drawing>
        </mc:Choice>
        <mc:Fallback>
          <w:pict>
            <v:rect id="文本框 10" o:spid="_x0000_s1026" o:spt="1"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AQxdrRAAAAAgEAAA8AAAAAAAAAAQAgAAAAIgAAAGRycy9kb3ducmV2Lnht&#10;bFBLAQIUABQAAAAIAIdO4kBpk/iAxwEAAI0DAAAOAAAAAAAAAAEAIAAAACABAABkcnMvZTJvRG9j&#10;LnhtbFBLBQYAAAAABgAGAFkBAABZBQAAAAA=&#10;">
              <v:fill on="f" focussize="0,0"/>
              <v:stroke on="f"/>
              <v:imagedata o:title=""/>
              <o:lock v:ext="edit" aspectratio="f"/>
              <v:textbox inset="0mm,0mm,0mm,0mm" style="mso-fit-shape-to-text:t;">
                <w:txbxContent>
                  <w:p w14:paraId="4FBC8B6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749FA">
    <w:pPr>
      <w:pStyle w:val="8"/>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5EFF3">
    <w:pPr>
      <w:pStyle w:val="8"/>
      <w:framePr w:wrap="around" w:vAnchor="text" w:hAnchor="margin" w:xAlign="right" w:y="1"/>
      <w:rPr>
        <w:rStyle w:val="13"/>
      </w:rPr>
    </w:pPr>
    <w:r>
      <w:fldChar w:fldCharType="begin"/>
    </w:r>
    <w:r>
      <w:rPr>
        <w:rStyle w:val="13"/>
      </w:rPr>
      <w:instrText xml:space="preserve">PAGE  </w:instrText>
    </w:r>
    <w:r>
      <w:fldChar w:fldCharType="end"/>
    </w:r>
  </w:p>
  <w:p w14:paraId="793C73ED">
    <w:pPr>
      <w:pStyle w:val="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wN2I3YzE4NWQ1MTcyNjMwNmQ0ZWJiZGViMjFmNTgifQ=="/>
  </w:docVars>
  <w:rsids>
    <w:rsidRoot w:val="00C45D21"/>
    <w:rsid w:val="00000B36"/>
    <w:rsid w:val="0000578A"/>
    <w:rsid w:val="000154D0"/>
    <w:rsid w:val="00023B13"/>
    <w:rsid w:val="00027DCD"/>
    <w:rsid w:val="00036953"/>
    <w:rsid w:val="0004430B"/>
    <w:rsid w:val="0005551D"/>
    <w:rsid w:val="0006385A"/>
    <w:rsid w:val="00066FCE"/>
    <w:rsid w:val="00072253"/>
    <w:rsid w:val="000750DA"/>
    <w:rsid w:val="00076FA5"/>
    <w:rsid w:val="00082DC7"/>
    <w:rsid w:val="00085D85"/>
    <w:rsid w:val="0009221D"/>
    <w:rsid w:val="00096B78"/>
    <w:rsid w:val="000B647E"/>
    <w:rsid w:val="000C32F4"/>
    <w:rsid w:val="000C5D79"/>
    <w:rsid w:val="000D54B7"/>
    <w:rsid w:val="000E0B0E"/>
    <w:rsid w:val="000F4A0C"/>
    <w:rsid w:val="00103F5A"/>
    <w:rsid w:val="00105CEC"/>
    <w:rsid w:val="0011682A"/>
    <w:rsid w:val="00117CC8"/>
    <w:rsid w:val="00130C15"/>
    <w:rsid w:val="00132B6D"/>
    <w:rsid w:val="001341D8"/>
    <w:rsid w:val="00134ED5"/>
    <w:rsid w:val="00136470"/>
    <w:rsid w:val="00137AE7"/>
    <w:rsid w:val="00142A92"/>
    <w:rsid w:val="00146253"/>
    <w:rsid w:val="0014734C"/>
    <w:rsid w:val="00147CBF"/>
    <w:rsid w:val="00156ED5"/>
    <w:rsid w:val="00157FF3"/>
    <w:rsid w:val="0018747D"/>
    <w:rsid w:val="00192AC4"/>
    <w:rsid w:val="001B5216"/>
    <w:rsid w:val="001C5F7F"/>
    <w:rsid w:val="001D2603"/>
    <w:rsid w:val="001E28D0"/>
    <w:rsid w:val="001E3B0A"/>
    <w:rsid w:val="001F0092"/>
    <w:rsid w:val="001F265B"/>
    <w:rsid w:val="002058D8"/>
    <w:rsid w:val="00210CD9"/>
    <w:rsid w:val="00211A3A"/>
    <w:rsid w:val="00220534"/>
    <w:rsid w:val="00240AED"/>
    <w:rsid w:val="00240B04"/>
    <w:rsid w:val="00242358"/>
    <w:rsid w:val="00260456"/>
    <w:rsid w:val="00262421"/>
    <w:rsid w:val="0026486A"/>
    <w:rsid w:val="002661E8"/>
    <w:rsid w:val="00267781"/>
    <w:rsid w:val="00267C62"/>
    <w:rsid w:val="00267CD1"/>
    <w:rsid w:val="00277FCE"/>
    <w:rsid w:val="002825B5"/>
    <w:rsid w:val="00282866"/>
    <w:rsid w:val="00282E34"/>
    <w:rsid w:val="00284ABB"/>
    <w:rsid w:val="00284D39"/>
    <w:rsid w:val="00287AC1"/>
    <w:rsid w:val="00294408"/>
    <w:rsid w:val="002970D7"/>
    <w:rsid w:val="002A6A7A"/>
    <w:rsid w:val="002A79C0"/>
    <w:rsid w:val="002B2713"/>
    <w:rsid w:val="002B2D7A"/>
    <w:rsid w:val="002B48F7"/>
    <w:rsid w:val="002C0F5A"/>
    <w:rsid w:val="002C19D0"/>
    <w:rsid w:val="002C3E3B"/>
    <w:rsid w:val="002C49B4"/>
    <w:rsid w:val="002D6CD4"/>
    <w:rsid w:val="002E2E4D"/>
    <w:rsid w:val="002E43B0"/>
    <w:rsid w:val="002E617E"/>
    <w:rsid w:val="002E6F53"/>
    <w:rsid w:val="002F7E71"/>
    <w:rsid w:val="003057DA"/>
    <w:rsid w:val="00305B10"/>
    <w:rsid w:val="003130ED"/>
    <w:rsid w:val="00320A71"/>
    <w:rsid w:val="003536CD"/>
    <w:rsid w:val="003570B1"/>
    <w:rsid w:val="0035795E"/>
    <w:rsid w:val="00361A5B"/>
    <w:rsid w:val="0036489F"/>
    <w:rsid w:val="003650CC"/>
    <w:rsid w:val="00365C58"/>
    <w:rsid w:val="00373904"/>
    <w:rsid w:val="00375302"/>
    <w:rsid w:val="003A3FE3"/>
    <w:rsid w:val="003A5915"/>
    <w:rsid w:val="003B2EB5"/>
    <w:rsid w:val="003C6355"/>
    <w:rsid w:val="003D0404"/>
    <w:rsid w:val="003D293D"/>
    <w:rsid w:val="003D7A49"/>
    <w:rsid w:val="003F2EF5"/>
    <w:rsid w:val="003F3C8C"/>
    <w:rsid w:val="003F5731"/>
    <w:rsid w:val="00402846"/>
    <w:rsid w:val="0040346D"/>
    <w:rsid w:val="00405FAB"/>
    <w:rsid w:val="004114C6"/>
    <w:rsid w:val="00417177"/>
    <w:rsid w:val="00417EAB"/>
    <w:rsid w:val="004212BA"/>
    <w:rsid w:val="00421BA4"/>
    <w:rsid w:val="00425EAB"/>
    <w:rsid w:val="004272DD"/>
    <w:rsid w:val="00441BF5"/>
    <w:rsid w:val="00442262"/>
    <w:rsid w:val="00442D43"/>
    <w:rsid w:val="00445E09"/>
    <w:rsid w:val="004470B0"/>
    <w:rsid w:val="00451F80"/>
    <w:rsid w:val="00452358"/>
    <w:rsid w:val="00464343"/>
    <w:rsid w:val="004671B9"/>
    <w:rsid w:val="004678E4"/>
    <w:rsid w:val="00472F37"/>
    <w:rsid w:val="00473FCE"/>
    <w:rsid w:val="004746C9"/>
    <w:rsid w:val="004748EC"/>
    <w:rsid w:val="00477CC9"/>
    <w:rsid w:val="00483810"/>
    <w:rsid w:val="004972B2"/>
    <w:rsid w:val="004A0276"/>
    <w:rsid w:val="004A17CB"/>
    <w:rsid w:val="004A24C4"/>
    <w:rsid w:val="004A62BD"/>
    <w:rsid w:val="004D27B4"/>
    <w:rsid w:val="004E4C88"/>
    <w:rsid w:val="004E64C7"/>
    <w:rsid w:val="004E79BB"/>
    <w:rsid w:val="004F1B2A"/>
    <w:rsid w:val="004F3C10"/>
    <w:rsid w:val="004F6034"/>
    <w:rsid w:val="00500138"/>
    <w:rsid w:val="005025FC"/>
    <w:rsid w:val="00502F5B"/>
    <w:rsid w:val="00506FC7"/>
    <w:rsid w:val="00513CB1"/>
    <w:rsid w:val="00515AEA"/>
    <w:rsid w:val="005239C0"/>
    <w:rsid w:val="0053082E"/>
    <w:rsid w:val="00532E63"/>
    <w:rsid w:val="00533073"/>
    <w:rsid w:val="00535F64"/>
    <w:rsid w:val="00541377"/>
    <w:rsid w:val="00541AF9"/>
    <w:rsid w:val="00551866"/>
    <w:rsid w:val="0056437C"/>
    <w:rsid w:val="00575D4E"/>
    <w:rsid w:val="005773DF"/>
    <w:rsid w:val="00581DE7"/>
    <w:rsid w:val="00595B74"/>
    <w:rsid w:val="00596D10"/>
    <w:rsid w:val="005B133E"/>
    <w:rsid w:val="005B5FE4"/>
    <w:rsid w:val="005C0D7C"/>
    <w:rsid w:val="005C3BFB"/>
    <w:rsid w:val="005C4296"/>
    <w:rsid w:val="005C4354"/>
    <w:rsid w:val="005D0E39"/>
    <w:rsid w:val="005D4E94"/>
    <w:rsid w:val="005E332E"/>
    <w:rsid w:val="005F0D68"/>
    <w:rsid w:val="005F3F80"/>
    <w:rsid w:val="006031F4"/>
    <w:rsid w:val="00603A81"/>
    <w:rsid w:val="006136BF"/>
    <w:rsid w:val="0061459D"/>
    <w:rsid w:val="006202AC"/>
    <w:rsid w:val="006374A6"/>
    <w:rsid w:val="00641CF0"/>
    <w:rsid w:val="00642194"/>
    <w:rsid w:val="006440AB"/>
    <w:rsid w:val="00650C76"/>
    <w:rsid w:val="0065592C"/>
    <w:rsid w:val="0065665D"/>
    <w:rsid w:val="006570E9"/>
    <w:rsid w:val="00665F5E"/>
    <w:rsid w:val="00666A27"/>
    <w:rsid w:val="00690F06"/>
    <w:rsid w:val="0069245E"/>
    <w:rsid w:val="00695230"/>
    <w:rsid w:val="00695D33"/>
    <w:rsid w:val="00696EDC"/>
    <w:rsid w:val="006B2734"/>
    <w:rsid w:val="006B7778"/>
    <w:rsid w:val="006C00E6"/>
    <w:rsid w:val="006C3D71"/>
    <w:rsid w:val="006D1016"/>
    <w:rsid w:val="006D504C"/>
    <w:rsid w:val="006E0B94"/>
    <w:rsid w:val="006E2403"/>
    <w:rsid w:val="006E27E4"/>
    <w:rsid w:val="006E30A8"/>
    <w:rsid w:val="006E3D0A"/>
    <w:rsid w:val="006E5D3B"/>
    <w:rsid w:val="007011C1"/>
    <w:rsid w:val="007037A1"/>
    <w:rsid w:val="00711691"/>
    <w:rsid w:val="007254A6"/>
    <w:rsid w:val="00727BA1"/>
    <w:rsid w:val="00735CE1"/>
    <w:rsid w:val="007363E5"/>
    <w:rsid w:val="00737965"/>
    <w:rsid w:val="0074325E"/>
    <w:rsid w:val="00754944"/>
    <w:rsid w:val="00756FDD"/>
    <w:rsid w:val="00761D09"/>
    <w:rsid w:val="00766EEB"/>
    <w:rsid w:val="00774B32"/>
    <w:rsid w:val="00777049"/>
    <w:rsid w:val="00795617"/>
    <w:rsid w:val="007A4B81"/>
    <w:rsid w:val="007B324B"/>
    <w:rsid w:val="007B4344"/>
    <w:rsid w:val="007B50AE"/>
    <w:rsid w:val="007C60F6"/>
    <w:rsid w:val="007C7E84"/>
    <w:rsid w:val="007D0B07"/>
    <w:rsid w:val="007D405B"/>
    <w:rsid w:val="007D4112"/>
    <w:rsid w:val="007E1861"/>
    <w:rsid w:val="007E3287"/>
    <w:rsid w:val="007E4176"/>
    <w:rsid w:val="007E41FD"/>
    <w:rsid w:val="007E51F0"/>
    <w:rsid w:val="007E7F3F"/>
    <w:rsid w:val="007F2DD6"/>
    <w:rsid w:val="007F5A16"/>
    <w:rsid w:val="0080132D"/>
    <w:rsid w:val="00814965"/>
    <w:rsid w:val="008253BF"/>
    <w:rsid w:val="008318D4"/>
    <w:rsid w:val="0083579F"/>
    <w:rsid w:val="00837121"/>
    <w:rsid w:val="00850539"/>
    <w:rsid w:val="008516C8"/>
    <w:rsid w:val="00864401"/>
    <w:rsid w:val="00865C45"/>
    <w:rsid w:val="00872B61"/>
    <w:rsid w:val="00891F81"/>
    <w:rsid w:val="00891F9E"/>
    <w:rsid w:val="00894D40"/>
    <w:rsid w:val="008A222B"/>
    <w:rsid w:val="008A6F80"/>
    <w:rsid w:val="008B1EC3"/>
    <w:rsid w:val="008C36B2"/>
    <w:rsid w:val="008C51E9"/>
    <w:rsid w:val="008C590C"/>
    <w:rsid w:val="008C5EFB"/>
    <w:rsid w:val="008D4745"/>
    <w:rsid w:val="008D6A58"/>
    <w:rsid w:val="008E0357"/>
    <w:rsid w:val="008E5D3C"/>
    <w:rsid w:val="008F36CE"/>
    <w:rsid w:val="008F3968"/>
    <w:rsid w:val="00900768"/>
    <w:rsid w:val="00901C89"/>
    <w:rsid w:val="009163BA"/>
    <w:rsid w:val="00916471"/>
    <w:rsid w:val="009267DF"/>
    <w:rsid w:val="00931387"/>
    <w:rsid w:val="0093323A"/>
    <w:rsid w:val="0093612E"/>
    <w:rsid w:val="009364A4"/>
    <w:rsid w:val="0093666D"/>
    <w:rsid w:val="009509C5"/>
    <w:rsid w:val="009561F6"/>
    <w:rsid w:val="00964C87"/>
    <w:rsid w:val="00967593"/>
    <w:rsid w:val="00973D16"/>
    <w:rsid w:val="00974F69"/>
    <w:rsid w:val="00975972"/>
    <w:rsid w:val="009772F1"/>
    <w:rsid w:val="00977C2E"/>
    <w:rsid w:val="00980EEB"/>
    <w:rsid w:val="0098745B"/>
    <w:rsid w:val="00990603"/>
    <w:rsid w:val="009946F0"/>
    <w:rsid w:val="009A1CE6"/>
    <w:rsid w:val="009A3F44"/>
    <w:rsid w:val="009B1314"/>
    <w:rsid w:val="009B334A"/>
    <w:rsid w:val="009B41AD"/>
    <w:rsid w:val="009C43D4"/>
    <w:rsid w:val="009C693D"/>
    <w:rsid w:val="009D3D88"/>
    <w:rsid w:val="009D7896"/>
    <w:rsid w:val="009E27E7"/>
    <w:rsid w:val="009E3CC5"/>
    <w:rsid w:val="009E6E54"/>
    <w:rsid w:val="009E79C7"/>
    <w:rsid w:val="009F1137"/>
    <w:rsid w:val="009F2E9A"/>
    <w:rsid w:val="009F6C65"/>
    <w:rsid w:val="00A14C1D"/>
    <w:rsid w:val="00A16CBA"/>
    <w:rsid w:val="00A17585"/>
    <w:rsid w:val="00A20FAF"/>
    <w:rsid w:val="00A22FB8"/>
    <w:rsid w:val="00A2413D"/>
    <w:rsid w:val="00A27003"/>
    <w:rsid w:val="00A27005"/>
    <w:rsid w:val="00A347B9"/>
    <w:rsid w:val="00A3551D"/>
    <w:rsid w:val="00A53D1D"/>
    <w:rsid w:val="00A55828"/>
    <w:rsid w:val="00A56D2D"/>
    <w:rsid w:val="00A56D9D"/>
    <w:rsid w:val="00A6315C"/>
    <w:rsid w:val="00A63E2F"/>
    <w:rsid w:val="00A8036C"/>
    <w:rsid w:val="00A83DD9"/>
    <w:rsid w:val="00A85922"/>
    <w:rsid w:val="00A95058"/>
    <w:rsid w:val="00A95940"/>
    <w:rsid w:val="00AB2628"/>
    <w:rsid w:val="00AB368E"/>
    <w:rsid w:val="00AB498A"/>
    <w:rsid w:val="00AC343E"/>
    <w:rsid w:val="00AD751E"/>
    <w:rsid w:val="00AF27E2"/>
    <w:rsid w:val="00AF325D"/>
    <w:rsid w:val="00AF4C28"/>
    <w:rsid w:val="00B01C23"/>
    <w:rsid w:val="00B01CD2"/>
    <w:rsid w:val="00B064DF"/>
    <w:rsid w:val="00B06D52"/>
    <w:rsid w:val="00B16AE3"/>
    <w:rsid w:val="00B17251"/>
    <w:rsid w:val="00B2455F"/>
    <w:rsid w:val="00B25D09"/>
    <w:rsid w:val="00B275F9"/>
    <w:rsid w:val="00B300AE"/>
    <w:rsid w:val="00B3610D"/>
    <w:rsid w:val="00B379F8"/>
    <w:rsid w:val="00B42D3B"/>
    <w:rsid w:val="00B46F97"/>
    <w:rsid w:val="00B52FCF"/>
    <w:rsid w:val="00B57B6C"/>
    <w:rsid w:val="00B631FA"/>
    <w:rsid w:val="00B64739"/>
    <w:rsid w:val="00B7003B"/>
    <w:rsid w:val="00B83A83"/>
    <w:rsid w:val="00BA5669"/>
    <w:rsid w:val="00BC5FB3"/>
    <w:rsid w:val="00BC6AC8"/>
    <w:rsid w:val="00BD0AE3"/>
    <w:rsid w:val="00BE3215"/>
    <w:rsid w:val="00BE33D4"/>
    <w:rsid w:val="00BE53C4"/>
    <w:rsid w:val="00BE58C3"/>
    <w:rsid w:val="00BE5F10"/>
    <w:rsid w:val="00BF2E4E"/>
    <w:rsid w:val="00BF7184"/>
    <w:rsid w:val="00C20163"/>
    <w:rsid w:val="00C201E7"/>
    <w:rsid w:val="00C263EA"/>
    <w:rsid w:val="00C27C77"/>
    <w:rsid w:val="00C31B6C"/>
    <w:rsid w:val="00C40BB2"/>
    <w:rsid w:val="00C45D21"/>
    <w:rsid w:val="00C51A2F"/>
    <w:rsid w:val="00C5567F"/>
    <w:rsid w:val="00C607DC"/>
    <w:rsid w:val="00C6413D"/>
    <w:rsid w:val="00C70266"/>
    <w:rsid w:val="00C7603E"/>
    <w:rsid w:val="00C92221"/>
    <w:rsid w:val="00C93932"/>
    <w:rsid w:val="00C94853"/>
    <w:rsid w:val="00CA1C12"/>
    <w:rsid w:val="00CA79C6"/>
    <w:rsid w:val="00CB19D2"/>
    <w:rsid w:val="00CD294A"/>
    <w:rsid w:val="00CF3AD6"/>
    <w:rsid w:val="00CF7ACB"/>
    <w:rsid w:val="00D1486C"/>
    <w:rsid w:val="00D171F0"/>
    <w:rsid w:val="00D17229"/>
    <w:rsid w:val="00D172C2"/>
    <w:rsid w:val="00D17F0C"/>
    <w:rsid w:val="00D236FA"/>
    <w:rsid w:val="00D25C03"/>
    <w:rsid w:val="00D26EAE"/>
    <w:rsid w:val="00D339B9"/>
    <w:rsid w:val="00D36183"/>
    <w:rsid w:val="00D61EDD"/>
    <w:rsid w:val="00D647B1"/>
    <w:rsid w:val="00D71DC8"/>
    <w:rsid w:val="00D750FB"/>
    <w:rsid w:val="00D7603E"/>
    <w:rsid w:val="00D77608"/>
    <w:rsid w:val="00D85EC6"/>
    <w:rsid w:val="00D922D1"/>
    <w:rsid w:val="00D9439B"/>
    <w:rsid w:val="00DA3266"/>
    <w:rsid w:val="00DA4FD9"/>
    <w:rsid w:val="00DB2D31"/>
    <w:rsid w:val="00DC03EB"/>
    <w:rsid w:val="00DC45EF"/>
    <w:rsid w:val="00DD386F"/>
    <w:rsid w:val="00DD67B2"/>
    <w:rsid w:val="00DE040B"/>
    <w:rsid w:val="00DE0D80"/>
    <w:rsid w:val="00DE5F1F"/>
    <w:rsid w:val="00DF255F"/>
    <w:rsid w:val="00DF2B93"/>
    <w:rsid w:val="00DF3B18"/>
    <w:rsid w:val="00E02436"/>
    <w:rsid w:val="00E03F47"/>
    <w:rsid w:val="00E07F8C"/>
    <w:rsid w:val="00E13B52"/>
    <w:rsid w:val="00E1650C"/>
    <w:rsid w:val="00E16F40"/>
    <w:rsid w:val="00E2059D"/>
    <w:rsid w:val="00E20794"/>
    <w:rsid w:val="00E21752"/>
    <w:rsid w:val="00E217DE"/>
    <w:rsid w:val="00E26A62"/>
    <w:rsid w:val="00E26B91"/>
    <w:rsid w:val="00E314F0"/>
    <w:rsid w:val="00E31D1C"/>
    <w:rsid w:val="00E362AC"/>
    <w:rsid w:val="00E374B9"/>
    <w:rsid w:val="00E411A4"/>
    <w:rsid w:val="00E441A2"/>
    <w:rsid w:val="00E4464A"/>
    <w:rsid w:val="00E77CFB"/>
    <w:rsid w:val="00E807D2"/>
    <w:rsid w:val="00E9043E"/>
    <w:rsid w:val="00E91C62"/>
    <w:rsid w:val="00E92276"/>
    <w:rsid w:val="00EA3173"/>
    <w:rsid w:val="00EA538E"/>
    <w:rsid w:val="00EA6AED"/>
    <w:rsid w:val="00EA75EB"/>
    <w:rsid w:val="00EA795B"/>
    <w:rsid w:val="00EB0F83"/>
    <w:rsid w:val="00EB3B26"/>
    <w:rsid w:val="00EB62A8"/>
    <w:rsid w:val="00EC2566"/>
    <w:rsid w:val="00ED5039"/>
    <w:rsid w:val="00ED5C53"/>
    <w:rsid w:val="00EF025D"/>
    <w:rsid w:val="00F07666"/>
    <w:rsid w:val="00F13CD4"/>
    <w:rsid w:val="00F1687E"/>
    <w:rsid w:val="00F322DE"/>
    <w:rsid w:val="00F33AA9"/>
    <w:rsid w:val="00F418F1"/>
    <w:rsid w:val="00F43DFA"/>
    <w:rsid w:val="00F44D58"/>
    <w:rsid w:val="00F52F65"/>
    <w:rsid w:val="00F543A8"/>
    <w:rsid w:val="00F54B2B"/>
    <w:rsid w:val="00F55DFB"/>
    <w:rsid w:val="00F7774E"/>
    <w:rsid w:val="00F84381"/>
    <w:rsid w:val="00F86EAD"/>
    <w:rsid w:val="00F91EC8"/>
    <w:rsid w:val="00F96D9A"/>
    <w:rsid w:val="00FA1DD2"/>
    <w:rsid w:val="00FB207B"/>
    <w:rsid w:val="00FC0A41"/>
    <w:rsid w:val="00FC322E"/>
    <w:rsid w:val="00FC7B8A"/>
    <w:rsid w:val="00FD0626"/>
    <w:rsid w:val="00FD1361"/>
    <w:rsid w:val="00FD564F"/>
    <w:rsid w:val="00FE1300"/>
    <w:rsid w:val="00FE147E"/>
    <w:rsid w:val="00FF7B6B"/>
    <w:rsid w:val="010349DF"/>
    <w:rsid w:val="014031A5"/>
    <w:rsid w:val="018B650C"/>
    <w:rsid w:val="01B9692A"/>
    <w:rsid w:val="01DB7ED5"/>
    <w:rsid w:val="0270173E"/>
    <w:rsid w:val="038D087F"/>
    <w:rsid w:val="03AB416A"/>
    <w:rsid w:val="03BE46CA"/>
    <w:rsid w:val="03E57087"/>
    <w:rsid w:val="03EE3E2C"/>
    <w:rsid w:val="042452CB"/>
    <w:rsid w:val="047441A4"/>
    <w:rsid w:val="048A2E85"/>
    <w:rsid w:val="049C6FD8"/>
    <w:rsid w:val="04DB761E"/>
    <w:rsid w:val="051B1818"/>
    <w:rsid w:val="055C4173"/>
    <w:rsid w:val="057263EE"/>
    <w:rsid w:val="05AE6429"/>
    <w:rsid w:val="062D752E"/>
    <w:rsid w:val="064448F4"/>
    <w:rsid w:val="06447998"/>
    <w:rsid w:val="06614333"/>
    <w:rsid w:val="068E120E"/>
    <w:rsid w:val="06B6547B"/>
    <w:rsid w:val="06ED14B9"/>
    <w:rsid w:val="070829BA"/>
    <w:rsid w:val="074E1E7A"/>
    <w:rsid w:val="077C4468"/>
    <w:rsid w:val="08004EB1"/>
    <w:rsid w:val="080619CA"/>
    <w:rsid w:val="081C3B52"/>
    <w:rsid w:val="08796D38"/>
    <w:rsid w:val="087C1626"/>
    <w:rsid w:val="08917DB2"/>
    <w:rsid w:val="08934B1B"/>
    <w:rsid w:val="09032AEB"/>
    <w:rsid w:val="09093863"/>
    <w:rsid w:val="092A47A1"/>
    <w:rsid w:val="092F6D8F"/>
    <w:rsid w:val="09373ABB"/>
    <w:rsid w:val="094E0124"/>
    <w:rsid w:val="09532A1B"/>
    <w:rsid w:val="09C33652"/>
    <w:rsid w:val="09EC7201"/>
    <w:rsid w:val="0A43737F"/>
    <w:rsid w:val="0A8628A6"/>
    <w:rsid w:val="0AA408D3"/>
    <w:rsid w:val="0AC95B7A"/>
    <w:rsid w:val="0AF22F92"/>
    <w:rsid w:val="0AF93815"/>
    <w:rsid w:val="0B110C73"/>
    <w:rsid w:val="0B192960"/>
    <w:rsid w:val="0B426E07"/>
    <w:rsid w:val="0B493D92"/>
    <w:rsid w:val="0B4F2F67"/>
    <w:rsid w:val="0B662EBD"/>
    <w:rsid w:val="0B7F0C20"/>
    <w:rsid w:val="0BE27F6E"/>
    <w:rsid w:val="0BF45FAE"/>
    <w:rsid w:val="0CAF76CC"/>
    <w:rsid w:val="0CD3181F"/>
    <w:rsid w:val="0CF81FF6"/>
    <w:rsid w:val="0D1B516E"/>
    <w:rsid w:val="0D3F1C52"/>
    <w:rsid w:val="0D651279"/>
    <w:rsid w:val="0D680F35"/>
    <w:rsid w:val="0D8A168A"/>
    <w:rsid w:val="0DAC7D6C"/>
    <w:rsid w:val="0DF83FFE"/>
    <w:rsid w:val="0E1A7037"/>
    <w:rsid w:val="0E72396F"/>
    <w:rsid w:val="0EA37FCC"/>
    <w:rsid w:val="0EBF06D0"/>
    <w:rsid w:val="0F0F7DA6"/>
    <w:rsid w:val="0F3827E4"/>
    <w:rsid w:val="0F474907"/>
    <w:rsid w:val="0F476ECA"/>
    <w:rsid w:val="0F672722"/>
    <w:rsid w:val="0F8B2F3A"/>
    <w:rsid w:val="0FC21136"/>
    <w:rsid w:val="0FF265C7"/>
    <w:rsid w:val="10B0281A"/>
    <w:rsid w:val="10EF192C"/>
    <w:rsid w:val="114A2981"/>
    <w:rsid w:val="114D02C5"/>
    <w:rsid w:val="11F00DDE"/>
    <w:rsid w:val="120F17F8"/>
    <w:rsid w:val="12423B22"/>
    <w:rsid w:val="12CD7C1F"/>
    <w:rsid w:val="12D23DE0"/>
    <w:rsid w:val="13346096"/>
    <w:rsid w:val="134C25F2"/>
    <w:rsid w:val="134C604F"/>
    <w:rsid w:val="13A04ACF"/>
    <w:rsid w:val="13D77CAA"/>
    <w:rsid w:val="13DD53B6"/>
    <w:rsid w:val="14301601"/>
    <w:rsid w:val="147E306D"/>
    <w:rsid w:val="14CE4783"/>
    <w:rsid w:val="14F25E69"/>
    <w:rsid w:val="154D47EE"/>
    <w:rsid w:val="1555064C"/>
    <w:rsid w:val="15683991"/>
    <w:rsid w:val="156C48AB"/>
    <w:rsid w:val="15906BFA"/>
    <w:rsid w:val="15C72AF2"/>
    <w:rsid w:val="15F55470"/>
    <w:rsid w:val="163F39AB"/>
    <w:rsid w:val="169E391C"/>
    <w:rsid w:val="16B71A4C"/>
    <w:rsid w:val="16DC6493"/>
    <w:rsid w:val="1747796A"/>
    <w:rsid w:val="17503129"/>
    <w:rsid w:val="17513478"/>
    <w:rsid w:val="181F0894"/>
    <w:rsid w:val="18280B19"/>
    <w:rsid w:val="182F1F90"/>
    <w:rsid w:val="18433254"/>
    <w:rsid w:val="18617D4C"/>
    <w:rsid w:val="18656EC7"/>
    <w:rsid w:val="18707171"/>
    <w:rsid w:val="18A72C2A"/>
    <w:rsid w:val="18B8162D"/>
    <w:rsid w:val="18BE5EEE"/>
    <w:rsid w:val="18E46FF4"/>
    <w:rsid w:val="194A0503"/>
    <w:rsid w:val="194E4DB3"/>
    <w:rsid w:val="196263CF"/>
    <w:rsid w:val="19B11859"/>
    <w:rsid w:val="19CF4C2B"/>
    <w:rsid w:val="19D03A32"/>
    <w:rsid w:val="1A4D3A11"/>
    <w:rsid w:val="1A641CC7"/>
    <w:rsid w:val="1AC136F4"/>
    <w:rsid w:val="1ACC7AF6"/>
    <w:rsid w:val="1AEE692F"/>
    <w:rsid w:val="1AEF08EF"/>
    <w:rsid w:val="1B675CAC"/>
    <w:rsid w:val="1B836635"/>
    <w:rsid w:val="1B883BF4"/>
    <w:rsid w:val="1BA16848"/>
    <w:rsid w:val="1BC718D6"/>
    <w:rsid w:val="1BD607F0"/>
    <w:rsid w:val="1BD6190C"/>
    <w:rsid w:val="1BD84F7E"/>
    <w:rsid w:val="1BFE4A94"/>
    <w:rsid w:val="1C0302FC"/>
    <w:rsid w:val="1C27522B"/>
    <w:rsid w:val="1C2A1151"/>
    <w:rsid w:val="1C3C4688"/>
    <w:rsid w:val="1CB20611"/>
    <w:rsid w:val="1CFB2EF1"/>
    <w:rsid w:val="1DA3784F"/>
    <w:rsid w:val="1DE60DE1"/>
    <w:rsid w:val="1DF26E88"/>
    <w:rsid w:val="1E067F71"/>
    <w:rsid w:val="1E222749"/>
    <w:rsid w:val="1E5C2AAF"/>
    <w:rsid w:val="1E735A54"/>
    <w:rsid w:val="1E9A7F2E"/>
    <w:rsid w:val="1EAB5036"/>
    <w:rsid w:val="1EC86614"/>
    <w:rsid w:val="1EF108F4"/>
    <w:rsid w:val="1FF253A9"/>
    <w:rsid w:val="204A3066"/>
    <w:rsid w:val="207042D8"/>
    <w:rsid w:val="20893556"/>
    <w:rsid w:val="208F11C4"/>
    <w:rsid w:val="20A756FA"/>
    <w:rsid w:val="20AF00A4"/>
    <w:rsid w:val="20CB3162"/>
    <w:rsid w:val="20F142BF"/>
    <w:rsid w:val="21031CC3"/>
    <w:rsid w:val="210C618E"/>
    <w:rsid w:val="21132784"/>
    <w:rsid w:val="2122788E"/>
    <w:rsid w:val="21351C56"/>
    <w:rsid w:val="21DF490D"/>
    <w:rsid w:val="21FB4CBE"/>
    <w:rsid w:val="2218088A"/>
    <w:rsid w:val="224A19EC"/>
    <w:rsid w:val="22A04D6A"/>
    <w:rsid w:val="22F1156A"/>
    <w:rsid w:val="230B280E"/>
    <w:rsid w:val="2317067B"/>
    <w:rsid w:val="23524D3A"/>
    <w:rsid w:val="237B6E44"/>
    <w:rsid w:val="23B77DA4"/>
    <w:rsid w:val="23E23CEB"/>
    <w:rsid w:val="240C79A8"/>
    <w:rsid w:val="24394341"/>
    <w:rsid w:val="247F027B"/>
    <w:rsid w:val="24920B3C"/>
    <w:rsid w:val="24CB6172"/>
    <w:rsid w:val="251C0EA0"/>
    <w:rsid w:val="251D5D33"/>
    <w:rsid w:val="251F059C"/>
    <w:rsid w:val="265F1D2D"/>
    <w:rsid w:val="2682270E"/>
    <w:rsid w:val="26AA620F"/>
    <w:rsid w:val="26AD1590"/>
    <w:rsid w:val="26C87AB5"/>
    <w:rsid w:val="27421D8D"/>
    <w:rsid w:val="27B35276"/>
    <w:rsid w:val="27EF429E"/>
    <w:rsid w:val="281713B7"/>
    <w:rsid w:val="281E1E69"/>
    <w:rsid w:val="28556425"/>
    <w:rsid w:val="285B7282"/>
    <w:rsid w:val="28640A4B"/>
    <w:rsid w:val="28B14E43"/>
    <w:rsid w:val="28CD5F1A"/>
    <w:rsid w:val="28EE6A44"/>
    <w:rsid w:val="291D0921"/>
    <w:rsid w:val="293E6A9B"/>
    <w:rsid w:val="295121B2"/>
    <w:rsid w:val="297222B3"/>
    <w:rsid w:val="29DB4D10"/>
    <w:rsid w:val="2A152DA2"/>
    <w:rsid w:val="2A3279B1"/>
    <w:rsid w:val="2A735909"/>
    <w:rsid w:val="2A9123F1"/>
    <w:rsid w:val="2AD2095B"/>
    <w:rsid w:val="2AE651B3"/>
    <w:rsid w:val="2AF809D6"/>
    <w:rsid w:val="2B1F0B69"/>
    <w:rsid w:val="2B6909E2"/>
    <w:rsid w:val="2B9273B1"/>
    <w:rsid w:val="2BA9021E"/>
    <w:rsid w:val="2BB57504"/>
    <w:rsid w:val="2C680433"/>
    <w:rsid w:val="2D83304B"/>
    <w:rsid w:val="2D9548F7"/>
    <w:rsid w:val="2DB143C1"/>
    <w:rsid w:val="2DC13DBD"/>
    <w:rsid w:val="2DD41AF8"/>
    <w:rsid w:val="2DDA7371"/>
    <w:rsid w:val="2DDB23FF"/>
    <w:rsid w:val="2E9F144E"/>
    <w:rsid w:val="2EC27BA3"/>
    <w:rsid w:val="2F122D37"/>
    <w:rsid w:val="2F931ACF"/>
    <w:rsid w:val="2FCD65D5"/>
    <w:rsid w:val="30166922"/>
    <w:rsid w:val="30370B04"/>
    <w:rsid w:val="30384E79"/>
    <w:rsid w:val="30684CE5"/>
    <w:rsid w:val="30CE0A5D"/>
    <w:rsid w:val="30E771A6"/>
    <w:rsid w:val="30EB33E1"/>
    <w:rsid w:val="31304EEA"/>
    <w:rsid w:val="31453F03"/>
    <w:rsid w:val="318D4FA4"/>
    <w:rsid w:val="31B020CA"/>
    <w:rsid w:val="32077A89"/>
    <w:rsid w:val="325B13A2"/>
    <w:rsid w:val="327026F1"/>
    <w:rsid w:val="32B70AF0"/>
    <w:rsid w:val="32CD29CF"/>
    <w:rsid w:val="331B7646"/>
    <w:rsid w:val="3377155E"/>
    <w:rsid w:val="33CB02DA"/>
    <w:rsid w:val="345C52FA"/>
    <w:rsid w:val="347137EE"/>
    <w:rsid w:val="348C28B5"/>
    <w:rsid w:val="34DF503E"/>
    <w:rsid w:val="35467A10"/>
    <w:rsid w:val="355404E7"/>
    <w:rsid w:val="35761F18"/>
    <w:rsid w:val="357F059C"/>
    <w:rsid w:val="358919F9"/>
    <w:rsid w:val="359236A6"/>
    <w:rsid w:val="3592688C"/>
    <w:rsid w:val="3595067A"/>
    <w:rsid w:val="359E1B8A"/>
    <w:rsid w:val="359F6AB6"/>
    <w:rsid w:val="35B43DB3"/>
    <w:rsid w:val="35C36951"/>
    <w:rsid w:val="35E77436"/>
    <w:rsid w:val="363E4C2D"/>
    <w:rsid w:val="36425B03"/>
    <w:rsid w:val="364D7C81"/>
    <w:rsid w:val="366327CA"/>
    <w:rsid w:val="36681510"/>
    <w:rsid w:val="367F17FC"/>
    <w:rsid w:val="36980C9C"/>
    <w:rsid w:val="36CB0F18"/>
    <w:rsid w:val="36CE6D96"/>
    <w:rsid w:val="36D040A7"/>
    <w:rsid w:val="36F23585"/>
    <w:rsid w:val="37092171"/>
    <w:rsid w:val="37380378"/>
    <w:rsid w:val="37570E79"/>
    <w:rsid w:val="376F689E"/>
    <w:rsid w:val="3775316E"/>
    <w:rsid w:val="377E671C"/>
    <w:rsid w:val="37B2586C"/>
    <w:rsid w:val="37DA19C9"/>
    <w:rsid w:val="38111487"/>
    <w:rsid w:val="38190834"/>
    <w:rsid w:val="386F7FEE"/>
    <w:rsid w:val="38A77071"/>
    <w:rsid w:val="38C6092B"/>
    <w:rsid w:val="39431D2B"/>
    <w:rsid w:val="39446ABE"/>
    <w:rsid w:val="39917372"/>
    <w:rsid w:val="39A06C31"/>
    <w:rsid w:val="39F76CC0"/>
    <w:rsid w:val="3A0D0F54"/>
    <w:rsid w:val="3A1C1785"/>
    <w:rsid w:val="3A465194"/>
    <w:rsid w:val="3A8D4EA1"/>
    <w:rsid w:val="3AFD3BF0"/>
    <w:rsid w:val="3B323E56"/>
    <w:rsid w:val="3B38343F"/>
    <w:rsid w:val="3B472A28"/>
    <w:rsid w:val="3B5F6F33"/>
    <w:rsid w:val="3B760ACB"/>
    <w:rsid w:val="3B971BEE"/>
    <w:rsid w:val="3BD20212"/>
    <w:rsid w:val="3BFE20CD"/>
    <w:rsid w:val="3C152230"/>
    <w:rsid w:val="3C3A46E7"/>
    <w:rsid w:val="3C3E5C5C"/>
    <w:rsid w:val="3C8816E5"/>
    <w:rsid w:val="3C962020"/>
    <w:rsid w:val="3CE533DA"/>
    <w:rsid w:val="3CFE2BA9"/>
    <w:rsid w:val="3CFE6761"/>
    <w:rsid w:val="3D663488"/>
    <w:rsid w:val="3D761F79"/>
    <w:rsid w:val="3DAA7FDC"/>
    <w:rsid w:val="3DAF06B3"/>
    <w:rsid w:val="3DB82A32"/>
    <w:rsid w:val="3DCF35B1"/>
    <w:rsid w:val="3DD21743"/>
    <w:rsid w:val="3DD77C4F"/>
    <w:rsid w:val="3DFE1D6D"/>
    <w:rsid w:val="3E0C2BE9"/>
    <w:rsid w:val="3E2658C2"/>
    <w:rsid w:val="3E3216C8"/>
    <w:rsid w:val="3E7B778D"/>
    <w:rsid w:val="3E861555"/>
    <w:rsid w:val="3E8912B9"/>
    <w:rsid w:val="3F253A6A"/>
    <w:rsid w:val="3F5D1332"/>
    <w:rsid w:val="3F5F13C6"/>
    <w:rsid w:val="3F6D4D17"/>
    <w:rsid w:val="3FB579A2"/>
    <w:rsid w:val="3FBD23EC"/>
    <w:rsid w:val="3FCD7D52"/>
    <w:rsid w:val="40113795"/>
    <w:rsid w:val="409C7062"/>
    <w:rsid w:val="40A22424"/>
    <w:rsid w:val="40CD2069"/>
    <w:rsid w:val="411E33DB"/>
    <w:rsid w:val="411F1CBC"/>
    <w:rsid w:val="41596681"/>
    <w:rsid w:val="41C71F2D"/>
    <w:rsid w:val="41C84714"/>
    <w:rsid w:val="41C930DD"/>
    <w:rsid w:val="41F81F6C"/>
    <w:rsid w:val="422F3285"/>
    <w:rsid w:val="4278048C"/>
    <w:rsid w:val="42A95AE9"/>
    <w:rsid w:val="42B42080"/>
    <w:rsid w:val="433543AC"/>
    <w:rsid w:val="43805B72"/>
    <w:rsid w:val="43F27FFB"/>
    <w:rsid w:val="442B30AD"/>
    <w:rsid w:val="44500BF3"/>
    <w:rsid w:val="4464696D"/>
    <w:rsid w:val="44C3298D"/>
    <w:rsid w:val="44CD7990"/>
    <w:rsid w:val="45150520"/>
    <w:rsid w:val="451A029F"/>
    <w:rsid w:val="45305838"/>
    <w:rsid w:val="45846855"/>
    <w:rsid w:val="460C7C2A"/>
    <w:rsid w:val="46365120"/>
    <w:rsid w:val="46422BF3"/>
    <w:rsid w:val="465C42EA"/>
    <w:rsid w:val="46945A6B"/>
    <w:rsid w:val="46A0311D"/>
    <w:rsid w:val="46FD5F82"/>
    <w:rsid w:val="46FE62B7"/>
    <w:rsid w:val="475714AB"/>
    <w:rsid w:val="478F3DE5"/>
    <w:rsid w:val="485C70DD"/>
    <w:rsid w:val="489B5295"/>
    <w:rsid w:val="49086B40"/>
    <w:rsid w:val="497B03A6"/>
    <w:rsid w:val="49C278F0"/>
    <w:rsid w:val="49C31961"/>
    <w:rsid w:val="49E451F0"/>
    <w:rsid w:val="4A4803E9"/>
    <w:rsid w:val="4A672695"/>
    <w:rsid w:val="4ACE4B27"/>
    <w:rsid w:val="4B357B58"/>
    <w:rsid w:val="4B4C0A4C"/>
    <w:rsid w:val="4B6678AA"/>
    <w:rsid w:val="4B7D5858"/>
    <w:rsid w:val="4BCA6B4F"/>
    <w:rsid w:val="4C004433"/>
    <w:rsid w:val="4C342A4B"/>
    <w:rsid w:val="4CA566E2"/>
    <w:rsid w:val="4CAE763A"/>
    <w:rsid w:val="4CB66AAB"/>
    <w:rsid w:val="4CB82DDD"/>
    <w:rsid w:val="4D464F38"/>
    <w:rsid w:val="4D8E73E4"/>
    <w:rsid w:val="4DA155F6"/>
    <w:rsid w:val="4DF85CD2"/>
    <w:rsid w:val="4E3E0071"/>
    <w:rsid w:val="4E78455C"/>
    <w:rsid w:val="4E9A1F07"/>
    <w:rsid w:val="4EC21420"/>
    <w:rsid w:val="4F1F277C"/>
    <w:rsid w:val="4F2279D9"/>
    <w:rsid w:val="4F3C566E"/>
    <w:rsid w:val="4F9D5515"/>
    <w:rsid w:val="4FDD3080"/>
    <w:rsid w:val="4FFA1385"/>
    <w:rsid w:val="4FFC2432"/>
    <w:rsid w:val="50565F9A"/>
    <w:rsid w:val="505954A6"/>
    <w:rsid w:val="506D63B7"/>
    <w:rsid w:val="507D3AA3"/>
    <w:rsid w:val="50975AF5"/>
    <w:rsid w:val="50987876"/>
    <w:rsid w:val="50AA2519"/>
    <w:rsid w:val="50E35A2B"/>
    <w:rsid w:val="50F97CBF"/>
    <w:rsid w:val="51080A80"/>
    <w:rsid w:val="51595CED"/>
    <w:rsid w:val="5165256A"/>
    <w:rsid w:val="51AB2BEE"/>
    <w:rsid w:val="51D35482"/>
    <w:rsid w:val="51F64BDB"/>
    <w:rsid w:val="52700ACF"/>
    <w:rsid w:val="52736134"/>
    <w:rsid w:val="527B1904"/>
    <w:rsid w:val="52B73CB1"/>
    <w:rsid w:val="530D6723"/>
    <w:rsid w:val="531A65BE"/>
    <w:rsid w:val="532367C2"/>
    <w:rsid w:val="53635ADA"/>
    <w:rsid w:val="539F3DB1"/>
    <w:rsid w:val="53A7714E"/>
    <w:rsid w:val="53D17ADB"/>
    <w:rsid w:val="5421005B"/>
    <w:rsid w:val="54324CFF"/>
    <w:rsid w:val="54555CF4"/>
    <w:rsid w:val="54581BBB"/>
    <w:rsid w:val="547956C2"/>
    <w:rsid w:val="549C728F"/>
    <w:rsid w:val="54AE1829"/>
    <w:rsid w:val="54AE23A9"/>
    <w:rsid w:val="54B56F69"/>
    <w:rsid w:val="54C2569E"/>
    <w:rsid w:val="54C53E75"/>
    <w:rsid w:val="54D36BBC"/>
    <w:rsid w:val="54EB1352"/>
    <w:rsid w:val="55030305"/>
    <w:rsid w:val="552A5E19"/>
    <w:rsid w:val="5538224D"/>
    <w:rsid w:val="555E5D82"/>
    <w:rsid w:val="556C36E1"/>
    <w:rsid w:val="557843E8"/>
    <w:rsid w:val="56457CB7"/>
    <w:rsid w:val="564B02FA"/>
    <w:rsid w:val="565E7162"/>
    <w:rsid w:val="56C0771E"/>
    <w:rsid w:val="56E5744D"/>
    <w:rsid w:val="572F7AC2"/>
    <w:rsid w:val="574234AB"/>
    <w:rsid w:val="574E0E36"/>
    <w:rsid w:val="57A77E45"/>
    <w:rsid w:val="58011E3C"/>
    <w:rsid w:val="581F44F3"/>
    <w:rsid w:val="583402FA"/>
    <w:rsid w:val="584E270A"/>
    <w:rsid w:val="584F1C4F"/>
    <w:rsid w:val="591C3AD3"/>
    <w:rsid w:val="592E346A"/>
    <w:rsid w:val="59467686"/>
    <w:rsid w:val="59551880"/>
    <w:rsid w:val="59981DF0"/>
    <w:rsid w:val="59A41928"/>
    <w:rsid w:val="59AC3A01"/>
    <w:rsid w:val="59FE09B0"/>
    <w:rsid w:val="5A544F63"/>
    <w:rsid w:val="5A946D59"/>
    <w:rsid w:val="5A9A5B3A"/>
    <w:rsid w:val="5AE742D8"/>
    <w:rsid w:val="5B0332A7"/>
    <w:rsid w:val="5B563A0D"/>
    <w:rsid w:val="5B58020F"/>
    <w:rsid w:val="5B6468DE"/>
    <w:rsid w:val="5B6F5976"/>
    <w:rsid w:val="5B7140B5"/>
    <w:rsid w:val="5B7D540C"/>
    <w:rsid w:val="5B7E4ECC"/>
    <w:rsid w:val="5B9067AF"/>
    <w:rsid w:val="5B9812B3"/>
    <w:rsid w:val="5C084CEC"/>
    <w:rsid w:val="5CC42B95"/>
    <w:rsid w:val="5D5040A7"/>
    <w:rsid w:val="5D6B2F2E"/>
    <w:rsid w:val="5D7F4759"/>
    <w:rsid w:val="5D9F0C49"/>
    <w:rsid w:val="5E002EE9"/>
    <w:rsid w:val="5E5D0916"/>
    <w:rsid w:val="5E872437"/>
    <w:rsid w:val="5E8811DA"/>
    <w:rsid w:val="5E93297D"/>
    <w:rsid w:val="5F117B1E"/>
    <w:rsid w:val="5F13068D"/>
    <w:rsid w:val="5F2B57B8"/>
    <w:rsid w:val="5F6252D4"/>
    <w:rsid w:val="5F685570"/>
    <w:rsid w:val="5F8B68A7"/>
    <w:rsid w:val="5FA840E1"/>
    <w:rsid w:val="5FD55C0F"/>
    <w:rsid w:val="601F645B"/>
    <w:rsid w:val="603F4081"/>
    <w:rsid w:val="6044513C"/>
    <w:rsid w:val="604E254F"/>
    <w:rsid w:val="607E5533"/>
    <w:rsid w:val="609C08BE"/>
    <w:rsid w:val="60E71594"/>
    <w:rsid w:val="61243443"/>
    <w:rsid w:val="613A4296"/>
    <w:rsid w:val="61571082"/>
    <w:rsid w:val="61684F2B"/>
    <w:rsid w:val="61BC013B"/>
    <w:rsid w:val="61D313A2"/>
    <w:rsid w:val="62A81C63"/>
    <w:rsid w:val="62CE4C3F"/>
    <w:rsid w:val="62D639F7"/>
    <w:rsid w:val="62F162C9"/>
    <w:rsid w:val="634147D0"/>
    <w:rsid w:val="63414D1C"/>
    <w:rsid w:val="635255D6"/>
    <w:rsid w:val="63681D63"/>
    <w:rsid w:val="639808F7"/>
    <w:rsid w:val="63CE7E76"/>
    <w:rsid w:val="64871138"/>
    <w:rsid w:val="64AB411D"/>
    <w:rsid w:val="650C759F"/>
    <w:rsid w:val="651D103A"/>
    <w:rsid w:val="65692B22"/>
    <w:rsid w:val="656A2655"/>
    <w:rsid w:val="6601543A"/>
    <w:rsid w:val="663811B0"/>
    <w:rsid w:val="6689725B"/>
    <w:rsid w:val="66A4479D"/>
    <w:rsid w:val="67276747"/>
    <w:rsid w:val="673E6FBB"/>
    <w:rsid w:val="68267A2F"/>
    <w:rsid w:val="684E4434"/>
    <w:rsid w:val="68C031E1"/>
    <w:rsid w:val="68E44E04"/>
    <w:rsid w:val="695A5409"/>
    <w:rsid w:val="69683ABC"/>
    <w:rsid w:val="6979066C"/>
    <w:rsid w:val="69B3729C"/>
    <w:rsid w:val="6A9670CF"/>
    <w:rsid w:val="6AC63AFC"/>
    <w:rsid w:val="6B325FAE"/>
    <w:rsid w:val="6B41572D"/>
    <w:rsid w:val="6B4F5672"/>
    <w:rsid w:val="6B7C77F1"/>
    <w:rsid w:val="6B9A5B3E"/>
    <w:rsid w:val="6BA65286"/>
    <w:rsid w:val="6BDC2110"/>
    <w:rsid w:val="6BFB13F3"/>
    <w:rsid w:val="6C6E545A"/>
    <w:rsid w:val="6C8E751D"/>
    <w:rsid w:val="6C9E3613"/>
    <w:rsid w:val="6CA439CF"/>
    <w:rsid w:val="6D072DF8"/>
    <w:rsid w:val="6D3B7E6B"/>
    <w:rsid w:val="6D522397"/>
    <w:rsid w:val="6DAD3E41"/>
    <w:rsid w:val="6DCC0305"/>
    <w:rsid w:val="6DD16EDF"/>
    <w:rsid w:val="6DEF5576"/>
    <w:rsid w:val="6DF669E1"/>
    <w:rsid w:val="6E403382"/>
    <w:rsid w:val="6E6D3F5C"/>
    <w:rsid w:val="6E7B69E6"/>
    <w:rsid w:val="6EC54500"/>
    <w:rsid w:val="6EFA6785"/>
    <w:rsid w:val="6F2048B9"/>
    <w:rsid w:val="6F2D7770"/>
    <w:rsid w:val="6F303756"/>
    <w:rsid w:val="6F607BF4"/>
    <w:rsid w:val="6F864B9E"/>
    <w:rsid w:val="6FCB302C"/>
    <w:rsid w:val="6FE05DB4"/>
    <w:rsid w:val="702A3ACE"/>
    <w:rsid w:val="707C133A"/>
    <w:rsid w:val="70AB65F0"/>
    <w:rsid w:val="71337463"/>
    <w:rsid w:val="716F4873"/>
    <w:rsid w:val="71A30C87"/>
    <w:rsid w:val="72000DFE"/>
    <w:rsid w:val="7230375D"/>
    <w:rsid w:val="72500F43"/>
    <w:rsid w:val="725504B6"/>
    <w:rsid w:val="72836EE5"/>
    <w:rsid w:val="730220BE"/>
    <w:rsid w:val="73593BFF"/>
    <w:rsid w:val="736F0F8F"/>
    <w:rsid w:val="73773D4F"/>
    <w:rsid w:val="73A06665"/>
    <w:rsid w:val="73BA1001"/>
    <w:rsid w:val="73DC65DE"/>
    <w:rsid w:val="73DE4104"/>
    <w:rsid w:val="73DF2283"/>
    <w:rsid w:val="74035EF1"/>
    <w:rsid w:val="740744B7"/>
    <w:rsid w:val="742224B4"/>
    <w:rsid w:val="742F6EA1"/>
    <w:rsid w:val="743662C4"/>
    <w:rsid w:val="747F6DA9"/>
    <w:rsid w:val="75160436"/>
    <w:rsid w:val="751D624D"/>
    <w:rsid w:val="75503CF7"/>
    <w:rsid w:val="755662AC"/>
    <w:rsid w:val="755D231D"/>
    <w:rsid w:val="756F3A0A"/>
    <w:rsid w:val="7578381D"/>
    <w:rsid w:val="75BC3646"/>
    <w:rsid w:val="76575B8F"/>
    <w:rsid w:val="766E44DB"/>
    <w:rsid w:val="76901DB2"/>
    <w:rsid w:val="769B1404"/>
    <w:rsid w:val="76B279BE"/>
    <w:rsid w:val="77316C41"/>
    <w:rsid w:val="77405723"/>
    <w:rsid w:val="7779642C"/>
    <w:rsid w:val="7799235E"/>
    <w:rsid w:val="77A750FA"/>
    <w:rsid w:val="77F350C7"/>
    <w:rsid w:val="780808C7"/>
    <w:rsid w:val="78C53AE7"/>
    <w:rsid w:val="78E85D15"/>
    <w:rsid w:val="79077FCC"/>
    <w:rsid w:val="793E2865"/>
    <w:rsid w:val="7A2D428B"/>
    <w:rsid w:val="7A30713D"/>
    <w:rsid w:val="7A3765F2"/>
    <w:rsid w:val="7A752201"/>
    <w:rsid w:val="7B163C91"/>
    <w:rsid w:val="7B2D61FE"/>
    <w:rsid w:val="7B4339F3"/>
    <w:rsid w:val="7B6D4A26"/>
    <w:rsid w:val="7B71585E"/>
    <w:rsid w:val="7B7C7D1D"/>
    <w:rsid w:val="7B9F31D6"/>
    <w:rsid w:val="7BC04AA1"/>
    <w:rsid w:val="7BEE5BC4"/>
    <w:rsid w:val="7C2B64D6"/>
    <w:rsid w:val="7C2D4B70"/>
    <w:rsid w:val="7C336E0A"/>
    <w:rsid w:val="7C37023A"/>
    <w:rsid w:val="7CCE7194"/>
    <w:rsid w:val="7CE95DDA"/>
    <w:rsid w:val="7DEF61E8"/>
    <w:rsid w:val="7E04681D"/>
    <w:rsid w:val="7EF26A1F"/>
    <w:rsid w:val="7F11526A"/>
    <w:rsid w:val="7F363046"/>
    <w:rsid w:val="7F3746F1"/>
    <w:rsid w:val="7F5E6EBF"/>
    <w:rsid w:val="7F6F289D"/>
    <w:rsid w:val="7F724D08"/>
    <w:rsid w:val="7FAD1F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9"/>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link w:val="23"/>
    <w:qFormat/>
    <w:uiPriority w:val="0"/>
    <w:pPr>
      <w:keepNext/>
      <w:keepLines/>
      <w:spacing w:before="260" w:after="260" w:line="413" w:lineRule="auto"/>
      <w:outlineLvl w:val="2"/>
    </w:pPr>
    <w:rPr>
      <w:rFonts w:eastAsia="‹ÎSå"/>
      <w:b/>
      <w:sz w:val="32"/>
      <w:szCs w:val="32"/>
      <w:lang w:val="zh-CN"/>
    </w:rPr>
  </w:style>
  <w:style w:type="character" w:default="1" w:styleId="12">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szCs w:val="20"/>
    </w:rPr>
  </w:style>
  <w:style w:type="paragraph" w:styleId="7">
    <w:name w:val="Balloon Text"/>
    <w:basedOn w:val="1"/>
    <w:link w:val="20"/>
    <w:unhideWhenUsed/>
    <w:qFormat/>
    <w:uiPriority w:val="99"/>
    <w:rPr>
      <w:sz w:val="18"/>
      <w:szCs w:val="18"/>
    </w:rPr>
  </w:style>
  <w:style w:type="paragraph" w:styleId="8">
    <w:name w:val="footer"/>
    <w:basedOn w:val="1"/>
    <w:link w:val="15"/>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unhideWhenUsed/>
    <w:qFormat/>
    <w:uiPriority w:val="99"/>
    <w:rPr>
      <w:color w:val="0000FF"/>
      <w:u w:val="single"/>
    </w:rPr>
  </w:style>
  <w:style w:type="character" w:customStyle="1" w:styleId="15">
    <w:name w:val="页脚 字符"/>
    <w:link w:val="8"/>
    <w:qFormat/>
    <w:uiPriority w:val="0"/>
    <w:rPr>
      <w:sz w:val="18"/>
      <w:szCs w:val="18"/>
    </w:rPr>
  </w:style>
  <w:style w:type="character" w:customStyle="1" w:styleId="16">
    <w:name w:val="font51"/>
    <w:qFormat/>
    <w:uiPriority w:val="0"/>
    <w:rPr>
      <w:rFonts w:hint="eastAsia" w:ascii="宋体" w:hAnsi="宋体" w:eastAsia="宋体" w:cs="宋体"/>
      <w:color w:val="000000"/>
      <w:sz w:val="18"/>
      <w:szCs w:val="18"/>
      <w:u w:val="none"/>
    </w:rPr>
  </w:style>
  <w:style w:type="character" w:customStyle="1" w:styleId="17">
    <w:name w:val="标题 1 字符"/>
    <w:link w:val="3"/>
    <w:qFormat/>
    <w:uiPriority w:val="9"/>
    <w:rPr>
      <w:b/>
      <w:bCs/>
      <w:color w:val="000000"/>
      <w:kern w:val="44"/>
      <w:sz w:val="44"/>
      <w:szCs w:val="44"/>
    </w:rPr>
  </w:style>
  <w:style w:type="character" w:customStyle="1" w:styleId="18">
    <w:name w:val="font11"/>
    <w:qFormat/>
    <w:uiPriority w:val="0"/>
    <w:rPr>
      <w:rFonts w:hint="eastAsia" w:ascii="宋体" w:hAnsi="宋体" w:eastAsia="宋体" w:cs="宋体"/>
      <w:color w:val="000000"/>
      <w:sz w:val="18"/>
      <w:szCs w:val="18"/>
      <w:u w:val="none"/>
    </w:rPr>
  </w:style>
  <w:style w:type="character" w:customStyle="1" w:styleId="19">
    <w:name w:val="页眉 字符"/>
    <w:link w:val="9"/>
    <w:semiHidden/>
    <w:qFormat/>
    <w:uiPriority w:val="99"/>
    <w:rPr>
      <w:sz w:val="18"/>
      <w:szCs w:val="18"/>
    </w:rPr>
  </w:style>
  <w:style w:type="character" w:customStyle="1" w:styleId="20">
    <w:name w:val="批注框文本 字符"/>
    <w:link w:val="7"/>
    <w:semiHidden/>
    <w:qFormat/>
    <w:uiPriority w:val="99"/>
    <w:rPr>
      <w:rFonts w:ascii="Times New Roman" w:hAnsi="Times New Roman"/>
      <w:color w:val="000000"/>
      <w:sz w:val="18"/>
      <w:szCs w:val="18"/>
    </w:rPr>
  </w:style>
  <w:style w:type="character" w:customStyle="1" w:styleId="21">
    <w:name w:val="font91"/>
    <w:qFormat/>
    <w:uiPriority w:val="0"/>
    <w:rPr>
      <w:rFonts w:hint="default" w:ascii="Times New Roman" w:hAnsi="Times New Roman" w:cs="Times New Roman"/>
      <w:color w:val="000000"/>
      <w:sz w:val="18"/>
      <w:szCs w:val="18"/>
      <w:u w:val="none"/>
    </w:rPr>
  </w:style>
  <w:style w:type="character" w:customStyle="1" w:styleId="22">
    <w:name w:val="font41"/>
    <w:qFormat/>
    <w:uiPriority w:val="0"/>
    <w:rPr>
      <w:rFonts w:hint="default" w:ascii="Times New Roman" w:hAnsi="Times New Roman" w:cs="Times New Roman"/>
      <w:color w:val="000000"/>
      <w:sz w:val="18"/>
      <w:szCs w:val="18"/>
      <w:u w:val="none"/>
    </w:rPr>
  </w:style>
  <w:style w:type="character" w:customStyle="1" w:styleId="23">
    <w:name w:val="标题 3 字符"/>
    <w:link w:val="4"/>
    <w:qFormat/>
    <w:uiPriority w:val="0"/>
    <w:rPr>
      <w:rFonts w:ascii="Times New Roman" w:hAnsi="Times New Roman" w:eastAsia="‹ÎSå" w:cs="Times New Roman"/>
      <w:b/>
      <w:color w:val="000000"/>
      <w:kern w:val="0"/>
      <w:sz w:val="32"/>
      <w:szCs w:val="32"/>
      <w:lang w:val="zh-CN"/>
    </w:rPr>
  </w:style>
  <w:style w:type="character" w:customStyle="1" w:styleId="24">
    <w:name w:val="font01"/>
    <w:qFormat/>
    <w:uiPriority w:val="0"/>
    <w:rPr>
      <w:rFonts w:hint="eastAsia" w:ascii="宋体" w:hAnsi="宋体" w:eastAsia="宋体" w:cs="宋体"/>
      <w:color w:val="FF0000"/>
      <w:sz w:val="20"/>
      <w:szCs w:val="20"/>
      <w:u w:val="none"/>
    </w:rPr>
  </w:style>
  <w:style w:type="character" w:customStyle="1" w:styleId="25">
    <w:name w:val="font31"/>
    <w:qFormat/>
    <w:uiPriority w:val="0"/>
    <w:rPr>
      <w:rFonts w:hint="eastAsia" w:ascii="宋体" w:hAnsi="宋体" w:eastAsia="宋体" w:cs="宋体"/>
      <w:color w:val="000000"/>
      <w:sz w:val="18"/>
      <w:szCs w:val="18"/>
      <w:u w:val="none"/>
    </w:rPr>
  </w:style>
  <w:style w:type="character" w:customStyle="1" w:styleId="26">
    <w:name w:val="font21"/>
    <w:qFormat/>
    <w:uiPriority w:val="0"/>
    <w:rPr>
      <w:rFonts w:hint="eastAsia" w:ascii="宋体" w:hAnsi="宋体" w:eastAsia="宋体" w:cs="宋体"/>
      <w:color w:val="000000"/>
      <w:sz w:val="20"/>
      <w:szCs w:val="20"/>
      <w:u w:val="none"/>
    </w:rPr>
  </w:style>
  <w:style w:type="character" w:customStyle="1" w:styleId="27">
    <w:name w:val="font81"/>
    <w:qFormat/>
    <w:uiPriority w:val="0"/>
    <w:rPr>
      <w:rFonts w:hint="eastAsia" w:ascii="宋体" w:hAnsi="宋体" w:eastAsia="宋体" w:cs="宋体"/>
      <w:color w:val="000000"/>
      <w:sz w:val="18"/>
      <w:szCs w:val="18"/>
      <w:u w:val="none"/>
    </w:rPr>
  </w:style>
  <w:style w:type="character" w:customStyle="1" w:styleId="28">
    <w:name w:val="font61"/>
    <w:qFormat/>
    <w:uiPriority w:val="0"/>
    <w:rPr>
      <w:rFonts w:hint="eastAsia" w:ascii="宋体" w:hAnsi="宋体" w:eastAsia="宋体" w:cs="宋体"/>
      <w:color w:val="000000"/>
      <w:sz w:val="12"/>
      <w:szCs w:val="12"/>
      <w:u w:val="none"/>
    </w:rPr>
  </w:style>
  <w:style w:type="character" w:customStyle="1" w:styleId="29">
    <w:name w:val="font121"/>
    <w:qFormat/>
    <w:uiPriority w:val="0"/>
    <w:rPr>
      <w:rFonts w:hint="eastAsia" w:ascii="宋体" w:hAnsi="宋体" w:eastAsia="宋体" w:cs="宋体"/>
      <w:color w:val="000000"/>
      <w:sz w:val="18"/>
      <w:szCs w:val="18"/>
      <w:u w:val="none"/>
    </w:rPr>
  </w:style>
  <w:style w:type="paragraph" w:customStyle="1" w:styleId="30">
    <w:name w:val="reader-word-layer"/>
    <w:basedOn w:val="1"/>
    <w:qFormat/>
    <w:uiPriority w:val="0"/>
    <w:pPr>
      <w:widowControl/>
      <w:spacing w:before="100" w:beforeAutospacing="1" w:after="100" w:afterAutospacing="1"/>
      <w:jc w:val="left"/>
    </w:pPr>
    <w:rPr>
      <w:rFonts w:ascii="宋体" w:hAnsi="宋体" w:cs="宋体"/>
      <w:color w:val="auto"/>
      <w:sz w:val="24"/>
    </w:rPr>
  </w:style>
  <w:style w:type="paragraph" w:customStyle="1" w:styleId="31">
    <w:name w:val="列出段落1"/>
    <w:basedOn w:val="1"/>
    <w:qFormat/>
    <w:uiPriority w:val="34"/>
    <w:pPr>
      <w:ind w:firstLine="420" w:firstLineChars="200"/>
    </w:pPr>
  </w:style>
  <w:style w:type="character" w:customStyle="1" w:styleId="32">
    <w:name w:val="_Style 31"/>
    <w:semiHidden/>
    <w:unhideWhenUsed/>
    <w:qFormat/>
    <w:uiPriority w:val="99"/>
    <w:rPr>
      <w:color w:val="605E5C"/>
      <w:shd w:val="clear" w:color="auto" w:fill="E1DFDD"/>
    </w:rPr>
  </w:style>
  <w:style w:type="paragraph" w:customStyle="1" w:styleId="33">
    <w:name w:val="_Style 32"/>
    <w:hidden/>
    <w:unhideWhenUsed/>
    <w:qFormat/>
    <w:uiPriority w:val="99"/>
    <w:rPr>
      <w:rFonts w:ascii="Times New Roman" w:hAnsi="Times New Roman" w:eastAsia="宋体" w:cs="Times New Roman"/>
      <w:color w:val="00000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6229</Words>
  <Characters>6468</Characters>
  <Lines>48</Lines>
  <Paragraphs>13</Paragraphs>
  <TotalTime>6</TotalTime>
  <ScaleCrop>false</ScaleCrop>
  <LinksUpToDate>false</LinksUpToDate>
  <CharactersWithSpaces>7003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2019-09-10T05:01:00Z</dcterms:created>
  <dc:creator>胡彪</dc:creator>
  <cp:lastModifiedBy>海风</cp:lastModifiedBy>
  <cp:lastPrinted>2024-07-29T08:41:00Z</cp:lastPrinted>
  <dcterms:modified xsi:type="dcterms:W3CDTF">2024-08-19T02:56:19Z</dcterms:modified>
  <dc:title>江苏索普（集团）有限公司</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AF03504754C14AF99F49D572F81DE602_13</vt:lpwstr>
  </property>
</Properties>
</file>