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AE4BB">
      <w:pPr>
        <w:adjustRightInd w:val="0"/>
        <w:snapToGrid w:val="0"/>
        <w:spacing w:line="600" w:lineRule="exact"/>
        <w:ind w:firstLine="880"/>
        <w:jc w:val="left"/>
        <w:rPr>
          <w:rFonts w:ascii="方正小标宋简体" w:hAnsi="方正小标宋简体" w:eastAsia="方正小标宋简体" w:cs="方正小标宋简体"/>
          <w:bCs/>
          <w:kern w:val="1"/>
          <w:sz w:val="44"/>
          <w:szCs w:val="44"/>
        </w:rPr>
      </w:pPr>
      <w:r>
        <w:rPr>
          <w:rFonts w:hint="eastAsia" w:ascii="方正小标宋简体" w:hAnsi="方正小标宋简体" w:eastAsia="方正小标宋简体" w:cs="方正小标宋简体"/>
          <w:bCs/>
          <w:kern w:val="1"/>
          <w:sz w:val="44"/>
          <w:szCs w:val="44"/>
        </w:rPr>
        <w:t>江苏索普（集团）有限公司招标文件</w:t>
      </w:r>
    </w:p>
    <w:p w14:paraId="56520940">
      <w:pPr>
        <w:pStyle w:val="2"/>
      </w:pPr>
    </w:p>
    <w:p w14:paraId="1C25AB60">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我公司现需对</w:t>
      </w:r>
      <w:r>
        <w:rPr>
          <w:rFonts w:hint="eastAsia" w:ascii="仿宋" w:hAnsi="仿宋" w:cs="仿宋"/>
          <w:bCs/>
          <w:kern w:val="1"/>
          <w:sz w:val="30"/>
          <w:szCs w:val="30"/>
          <w:u w:val="single"/>
        </w:rPr>
        <w:t>索普集团绿化工程项目</w:t>
      </w:r>
      <w:r>
        <w:rPr>
          <w:rFonts w:hint="eastAsia" w:ascii="仿宋" w:hAnsi="仿宋" w:cs="仿宋"/>
          <w:bCs/>
          <w:kern w:val="1"/>
          <w:sz w:val="30"/>
          <w:szCs w:val="30"/>
        </w:rPr>
        <w:t>招标 ，</w:t>
      </w:r>
      <w:r>
        <w:rPr>
          <w:rFonts w:hint="eastAsia" w:ascii="仿宋" w:hAnsi="仿宋" w:cs="仿宋"/>
          <w:bCs/>
          <w:kern w:val="1"/>
          <w:sz w:val="30"/>
          <w:szCs w:val="30"/>
          <w:lang w:val="zh-CN"/>
        </w:rPr>
        <w:t>采用自主公开招标的方式选定供应商</w:t>
      </w:r>
      <w:r>
        <w:rPr>
          <w:rFonts w:hint="eastAsia" w:ascii="仿宋" w:hAnsi="仿宋" w:cs="仿宋"/>
          <w:bCs/>
          <w:kern w:val="1"/>
          <w:sz w:val="30"/>
          <w:szCs w:val="30"/>
        </w:rPr>
        <w:t>。</w:t>
      </w:r>
    </w:p>
    <w:p w14:paraId="3408E47D">
      <w:pPr>
        <w:pStyle w:val="9"/>
        <w:spacing w:beforeLines="0" w:afterLines="30"/>
        <w:ind w:firstLine="561" w:firstLineChars="0"/>
        <w:rPr>
          <w:rFonts w:ascii="黑体" w:hAnsi="黑体" w:eastAsia="黑体" w:cs="黑体"/>
          <w:sz w:val="28"/>
        </w:rPr>
      </w:pPr>
      <w:r>
        <w:rPr>
          <w:rFonts w:hint="eastAsia" w:ascii="黑体" w:hAnsi="黑体" w:eastAsia="黑体" w:cs="黑体"/>
          <w:sz w:val="28"/>
        </w:rPr>
        <w:t>一、招标概况</w:t>
      </w:r>
    </w:p>
    <w:p w14:paraId="4A88F161">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（一）项目名称：</w:t>
      </w:r>
      <w:r>
        <w:rPr>
          <w:rFonts w:hint="eastAsia" w:ascii="仿宋" w:hAnsi="仿宋" w:cs="仿宋"/>
          <w:bCs/>
          <w:kern w:val="1"/>
          <w:sz w:val="30"/>
          <w:szCs w:val="30"/>
          <w:u w:val="single"/>
        </w:rPr>
        <w:t>索普集团绿化工程项目；</w:t>
      </w:r>
      <w:r>
        <w:rPr>
          <w:rFonts w:hint="eastAsia" w:ascii="仿宋" w:hAnsi="仿宋" w:cs="仿宋"/>
          <w:bCs/>
          <w:kern w:val="1"/>
          <w:sz w:val="30"/>
          <w:szCs w:val="30"/>
        </w:rPr>
        <w:t xml:space="preserve">                      </w:t>
      </w:r>
    </w:p>
    <w:p w14:paraId="0B775248">
      <w:pPr>
        <w:adjustRightInd w:val="0"/>
        <w:snapToGrid w:val="0"/>
        <w:spacing w:line="600" w:lineRule="exact"/>
        <w:ind w:firstLine="640"/>
        <w:jc w:val="left"/>
        <w:rPr>
          <w:rFonts w:ascii="仿宋" w:hAnsi="仿宋" w:cs="仿宋"/>
          <w:bCs/>
          <w:sz w:val="32"/>
          <w:szCs w:val="32"/>
        </w:rPr>
      </w:pPr>
      <w:r>
        <w:rPr>
          <w:rFonts w:hint="eastAsia" w:ascii="仿宋" w:hAnsi="仿宋" w:cs="仿宋"/>
          <w:bCs/>
          <w:kern w:val="1"/>
          <w:sz w:val="32"/>
          <w:szCs w:val="32"/>
        </w:rPr>
        <w:t>（二）</w:t>
      </w:r>
      <w:r>
        <w:rPr>
          <w:rFonts w:hint="eastAsia" w:ascii="仿宋" w:hAnsi="仿宋" w:cs="仿宋"/>
          <w:bCs/>
          <w:sz w:val="32"/>
          <w:szCs w:val="32"/>
        </w:rPr>
        <w:t>投标截止时间：2024年</w:t>
      </w:r>
      <w:r>
        <w:rPr>
          <w:rFonts w:hint="eastAsia" w:ascii="仿宋" w:hAnsi="仿宋" w:cs="仿宋"/>
          <w:bCs/>
          <w:sz w:val="32"/>
          <w:szCs w:val="32"/>
          <w:u w:val="single"/>
        </w:rPr>
        <w:t xml:space="preserve"> 8 </w:t>
      </w:r>
      <w:r>
        <w:rPr>
          <w:rFonts w:hint="eastAsia" w:ascii="仿宋" w:hAnsi="仿宋" w:cs="仿宋"/>
          <w:bCs/>
          <w:sz w:val="32"/>
          <w:szCs w:val="32"/>
        </w:rPr>
        <w:t>月</w:t>
      </w:r>
      <w:r>
        <w:rPr>
          <w:rFonts w:hint="eastAsia" w:ascii="仿宋" w:hAnsi="仿宋" w:cs="仿宋"/>
          <w:bCs/>
          <w:sz w:val="32"/>
          <w:szCs w:val="32"/>
          <w:u w:val="single"/>
        </w:rPr>
        <w:t xml:space="preserve"> 2</w:t>
      </w:r>
      <w:r>
        <w:rPr>
          <w:rFonts w:hint="eastAsia" w:ascii="仿宋" w:hAnsi="仿宋" w:cs="仿宋"/>
          <w:bCs/>
          <w:sz w:val="32"/>
          <w:szCs w:val="32"/>
          <w:u w:val="single"/>
          <w:lang w:val="en-US" w:eastAsia="zh-CN"/>
        </w:rPr>
        <w:t>7</w:t>
      </w:r>
      <w:r>
        <w:rPr>
          <w:rFonts w:hint="eastAsia" w:ascii="仿宋" w:hAnsi="仿宋" w:cs="仿宋"/>
          <w:bCs/>
          <w:sz w:val="32"/>
          <w:szCs w:val="32"/>
        </w:rPr>
        <w:t>日</w:t>
      </w:r>
      <w:r>
        <w:rPr>
          <w:rFonts w:hint="eastAsia" w:ascii="仿宋" w:hAnsi="仿宋" w:cs="仿宋"/>
          <w:bCs/>
          <w:sz w:val="32"/>
          <w:szCs w:val="32"/>
          <w:u w:val="single"/>
        </w:rPr>
        <w:t xml:space="preserve"> 1</w:t>
      </w:r>
      <w:r>
        <w:rPr>
          <w:rFonts w:hint="eastAsia" w:ascii="仿宋" w:hAnsi="仿宋" w:cs="仿宋"/>
          <w:bCs/>
          <w:sz w:val="32"/>
          <w:szCs w:val="32"/>
          <w:u w:val="single"/>
          <w:lang w:val="en-US" w:eastAsia="zh-CN"/>
        </w:rPr>
        <w:t>4：</w:t>
      </w:r>
      <w:r>
        <w:rPr>
          <w:rFonts w:hint="eastAsia" w:ascii="仿宋" w:hAnsi="仿宋" w:cs="仿宋"/>
          <w:bCs/>
          <w:sz w:val="32"/>
          <w:szCs w:val="32"/>
          <w:u w:val="single"/>
        </w:rPr>
        <w:t xml:space="preserve">00 </w:t>
      </w:r>
      <w:r>
        <w:rPr>
          <w:rFonts w:hint="eastAsia" w:ascii="仿宋" w:hAnsi="仿宋" w:cs="仿宋"/>
          <w:bCs/>
          <w:sz w:val="32"/>
          <w:szCs w:val="32"/>
        </w:rPr>
        <w:t>时（北京时间）；</w:t>
      </w:r>
    </w:p>
    <w:p w14:paraId="7D851F91">
      <w:pPr>
        <w:adjustRightInd w:val="0"/>
        <w:snapToGrid w:val="0"/>
        <w:spacing w:line="600" w:lineRule="exact"/>
        <w:ind w:firstLine="640"/>
        <w:jc w:val="left"/>
      </w:pPr>
      <w:r>
        <w:rPr>
          <w:rFonts w:hint="eastAsia" w:ascii="仿宋" w:hAnsi="仿宋" w:cs="仿宋"/>
          <w:bCs/>
          <w:kern w:val="1"/>
          <w:sz w:val="32"/>
          <w:szCs w:val="32"/>
        </w:rPr>
        <w:t>（三）开标时间：</w:t>
      </w:r>
      <w:r>
        <w:rPr>
          <w:rFonts w:hint="eastAsia" w:ascii="仿宋" w:hAnsi="仿宋" w:cs="仿宋"/>
          <w:bCs/>
          <w:sz w:val="32"/>
          <w:szCs w:val="32"/>
        </w:rPr>
        <w:t>2024年</w:t>
      </w:r>
      <w:r>
        <w:rPr>
          <w:rFonts w:hint="eastAsia" w:ascii="仿宋" w:hAnsi="仿宋" w:cs="仿宋"/>
          <w:bCs/>
          <w:sz w:val="32"/>
          <w:szCs w:val="32"/>
          <w:u w:val="single"/>
        </w:rPr>
        <w:t xml:space="preserve"> 8 </w:t>
      </w:r>
      <w:r>
        <w:rPr>
          <w:rFonts w:hint="eastAsia" w:ascii="仿宋" w:hAnsi="仿宋" w:cs="仿宋"/>
          <w:bCs/>
          <w:sz w:val="32"/>
          <w:szCs w:val="32"/>
        </w:rPr>
        <w:t>月</w:t>
      </w:r>
      <w:r>
        <w:rPr>
          <w:rFonts w:hint="eastAsia" w:ascii="仿宋" w:hAnsi="仿宋" w:cs="仿宋"/>
          <w:bCs/>
          <w:sz w:val="32"/>
          <w:szCs w:val="32"/>
          <w:u w:val="single"/>
        </w:rPr>
        <w:t xml:space="preserve"> 2</w:t>
      </w:r>
      <w:r>
        <w:rPr>
          <w:rFonts w:hint="eastAsia" w:ascii="仿宋" w:hAnsi="仿宋" w:cs="仿宋"/>
          <w:bCs/>
          <w:sz w:val="32"/>
          <w:szCs w:val="32"/>
          <w:u w:val="single"/>
          <w:lang w:val="en-US" w:eastAsia="zh-CN"/>
        </w:rPr>
        <w:t>7</w:t>
      </w:r>
      <w:r>
        <w:rPr>
          <w:rFonts w:hint="eastAsia" w:ascii="仿宋" w:hAnsi="仿宋" w:cs="仿宋"/>
          <w:bCs/>
          <w:sz w:val="32"/>
          <w:szCs w:val="32"/>
          <w:u w:val="single"/>
        </w:rPr>
        <w:t xml:space="preserve"> </w:t>
      </w:r>
      <w:r>
        <w:rPr>
          <w:rFonts w:hint="eastAsia" w:ascii="仿宋" w:hAnsi="仿宋" w:cs="仿宋"/>
          <w:bCs/>
          <w:sz w:val="32"/>
          <w:szCs w:val="32"/>
        </w:rPr>
        <w:t>日</w:t>
      </w:r>
      <w:r>
        <w:rPr>
          <w:rFonts w:hint="eastAsia" w:ascii="仿宋" w:hAnsi="仿宋" w:cs="仿宋"/>
          <w:bCs/>
          <w:sz w:val="32"/>
          <w:szCs w:val="32"/>
          <w:u w:val="single"/>
        </w:rPr>
        <w:t xml:space="preserve"> 14</w:t>
      </w:r>
      <w:r>
        <w:rPr>
          <w:rFonts w:hint="eastAsia" w:ascii="仿宋" w:hAnsi="仿宋" w:cs="仿宋"/>
          <w:bCs/>
          <w:sz w:val="32"/>
          <w:szCs w:val="32"/>
          <w:u w:val="single"/>
          <w:lang w:eastAsia="zh-CN"/>
        </w:rPr>
        <w:t>：</w:t>
      </w:r>
      <w:r>
        <w:rPr>
          <w:rFonts w:hint="eastAsia" w:ascii="仿宋" w:hAnsi="仿宋" w:cs="仿宋"/>
          <w:bCs/>
          <w:sz w:val="32"/>
          <w:szCs w:val="32"/>
          <w:u w:val="single"/>
        </w:rPr>
        <w:t xml:space="preserve">00 </w:t>
      </w:r>
      <w:r>
        <w:rPr>
          <w:rFonts w:hint="eastAsia" w:ascii="仿宋" w:hAnsi="仿宋" w:cs="仿宋"/>
          <w:bCs/>
          <w:sz w:val="32"/>
          <w:szCs w:val="32"/>
        </w:rPr>
        <w:t>时（北京时间）</w:t>
      </w:r>
      <w:r>
        <w:rPr>
          <w:rFonts w:hint="eastAsia" w:ascii="仿宋" w:hAnsi="仿宋" w:cs="仿宋"/>
          <w:bCs/>
          <w:kern w:val="1"/>
          <w:sz w:val="32"/>
          <w:szCs w:val="32"/>
        </w:rPr>
        <w:t>；</w:t>
      </w:r>
    </w:p>
    <w:p w14:paraId="2AE2146A">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（四）开标地点：江苏索普(集团)有限公司招标中心；</w:t>
      </w:r>
    </w:p>
    <w:p w14:paraId="4ACEADE3">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（五）投标单位投标前应安排人员深入了解本项目具体情况和工作要求，公司安排现场交流时间为</w:t>
      </w:r>
      <w:r>
        <w:rPr>
          <w:rFonts w:hint="eastAsia" w:ascii="仿宋" w:hAnsi="仿宋" w:cs="仿宋"/>
          <w:bCs/>
          <w:kern w:val="1"/>
          <w:sz w:val="30"/>
          <w:szCs w:val="30"/>
          <w:u w:val="single"/>
        </w:rPr>
        <w:t>2024年8月1</w:t>
      </w:r>
      <w:r>
        <w:rPr>
          <w:rFonts w:hint="eastAsia" w:ascii="仿宋" w:hAnsi="仿宋" w:cs="仿宋"/>
          <w:bCs/>
          <w:kern w:val="1"/>
          <w:sz w:val="30"/>
          <w:szCs w:val="30"/>
          <w:u w:val="single"/>
          <w:lang w:val="en-US" w:eastAsia="zh-CN"/>
        </w:rPr>
        <w:t>9</w:t>
      </w:r>
      <w:r>
        <w:rPr>
          <w:rFonts w:hint="eastAsia" w:ascii="仿宋" w:hAnsi="仿宋" w:cs="仿宋"/>
          <w:bCs/>
          <w:kern w:val="1"/>
          <w:sz w:val="30"/>
          <w:szCs w:val="30"/>
          <w:u w:val="single"/>
        </w:rPr>
        <w:t xml:space="preserve"> 日--8月2</w:t>
      </w:r>
      <w:bookmarkStart w:id="1" w:name="_GoBack"/>
      <w:bookmarkEnd w:id="1"/>
      <w:r>
        <w:rPr>
          <w:rFonts w:hint="eastAsia" w:ascii="仿宋" w:hAnsi="仿宋" w:cs="仿宋"/>
          <w:bCs/>
          <w:kern w:val="1"/>
          <w:sz w:val="30"/>
          <w:szCs w:val="30"/>
          <w:u w:val="single"/>
          <w:lang w:val="en-US" w:eastAsia="zh-CN"/>
        </w:rPr>
        <w:t>3</w:t>
      </w:r>
      <w:r>
        <w:rPr>
          <w:rFonts w:hint="eastAsia" w:ascii="仿宋" w:hAnsi="仿宋" w:cs="仿宋"/>
          <w:bCs/>
          <w:kern w:val="1"/>
          <w:sz w:val="30"/>
          <w:szCs w:val="30"/>
          <w:u w:val="single"/>
        </w:rPr>
        <w:t>日</w:t>
      </w:r>
      <w:r>
        <w:rPr>
          <w:rFonts w:hint="eastAsia" w:ascii="仿宋" w:hAnsi="仿宋" w:cs="仿宋"/>
          <w:bCs/>
          <w:kern w:val="1"/>
          <w:sz w:val="30"/>
          <w:szCs w:val="30"/>
        </w:rPr>
        <w:t>。不到现场技术交流的单位，无投标资格。</w:t>
      </w:r>
    </w:p>
    <w:p w14:paraId="4C8AA093">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（六）中标公示：中标信息将于开标后在索普集团官网公示，请各投标人登录http://www.sopo.com.cn查询。</w:t>
      </w:r>
    </w:p>
    <w:p w14:paraId="4D28CD06">
      <w:pPr>
        <w:pStyle w:val="9"/>
        <w:spacing w:beforeLines="0" w:afterLines="30"/>
        <w:ind w:firstLine="561" w:firstLineChars="0"/>
        <w:rPr>
          <w:rFonts w:ascii="黑体" w:hAnsi="黑体" w:eastAsia="黑体" w:cs="黑体"/>
          <w:sz w:val="28"/>
        </w:rPr>
      </w:pPr>
      <w:r>
        <w:rPr>
          <w:rFonts w:hint="eastAsia" w:ascii="黑体" w:hAnsi="黑体" w:eastAsia="黑体" w:cs="黑体"/>
          <w:sz w:val="28"/>
        </w:rPr>
        <w:t>二、招标内容</w:t>
      </w:r>
    </w:p>
    <w:p w14:paraId="4747B6B5">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一）项目基本情况：根据镇江市京口区政府下发了《关于印发京口区路域环境综合整治提升行动方案的通知》，江苏索普（集团）有限公司作为一家具有高度社会责任感的市属国有企业，为积极响应市政府关于环境综合整治的政策要求，拟启动求索路沿线环境综合整治提升项目，拟对索普公园、求索路沿线、海达克沿线、赛瑞周边周边绿化区域进行修剪清杂整治，优化周边环境，树立企业良好社会形象。</w:t>
      </w:r>
    </w:p>
    <w:p w14:paraId="20B75B6E">
      <w:pPr>
        <w:pStyle w:val="5"/>
        <w:ind w:firstLine="600"/>
        <w:rPr>
          <w:rFonts w:ascii="仿宋" w:hAnsi="仿宋" w:cs="仿宋"/>
          <w:bCs/>
          <w:kern w:val="1"/>
          <w:sz w:val="30"/>
          <w:szCs w:val="30"/>
        </w:rPr>
      </w:pPr>
      <w:r>
        <w:rPr>
          <w:rFonts w:hint="eastAsia" w:ascii="仿宋" w:hAnsi="仿宋" w:cs="仿宋"/>
          <w:bCs/>
          <w:kern w:val="1"/>
          <w:sz w:val="30"/>
          <w:szCs w:val="30"/>
        </w:rPr>
        <w:t>（二）技术要求：</w:t>
      </w:r>
    </w:p>
    <w:p w14:paraId="63D6F50F">
      <w:pPr>
        <w:pStyle w:val="5"/>
        <w:ind w:firstLine="900" w:firstLineChars="300"/>
        <w:rPr>
          <w:rFonts w:ascii="仿宋" w:hAnsi="仿宋" w:cs="仿宋"/>
          <w:bCs/>
          <w:kern w:val="1"/>
          <w:sz w:val="30"/>
          <w:szCs w:val="30"/>
        </w:rPr>
      </w:pPr>
      <w:r>
        <w:rPr>
          <w:rFonts w:hint="eastAsia" w:ascii="仿宋" w:hAnsi="仿宋" w:cs="仿宋"/>
          <w:bCs/>
          <w:kern w:val="1"/>
          <w:sz w:val="30"/>
          <w:szCs w:val="30"/>
        </w:rPr>
        <w:t>1.树木修剪：因大部分树木长势过高过旺，公司修剪人员需取得登高作业证、配备登高作业机、做好相关安全防护方可施工作业，树木修剪要求为精修剪，做到瘦漏透，修剪后符合园林相关行业标准。</w:t>
      </w:r>
    </w:p>
    <w:p w14:paraId="64509703">
      <w:pPr>
        <w:ind w:firstLine="900" w:firstLineChars="300"/>
        <w:rPr>
          <w:rFonts w:ascii="仿宋" w:hAnsi="仿宋"/>
          <w:sz w:val="30"/>
          <w:szCs w:val="30"/>
        </w:rPr>
      </w:pPr>
      <w:r>
        <w:rPr>
          <w:rFonts w:hint="eastAsia" w:ascii="仿宋" w:hAnsi="仿宋" w:cs="仿宋"/>
          <w:bCs/>
          <w:kern w:val="1"/>
          <w:sz w:val="30"/>
          <w:szCs w:val="30"/>
        </w:rPr>
        <w:t>2.绿篱修剪：按照甲方要求修剪至一定高度，修齐修平，并对修剪下来的枝条进行外运清理，确保</w:t>
      </w:r>
      <w:r>
        <w:rPr>
          <w:rFonts w:hint="eastAsia" w:ascii="仿宋" w:hAnsi="仿宋"/>
          <w:sz w:val="30"/>
          <w:szCs w:val="30"/>
        </w:rPr>
        <w:t xml:space="preserve">我公司范围内干净整洁，做到文明施工。     </w:t>
      </w:r>
    </w:p>
    <w:p w14:paraId="18D7DF5B">
      <w:pPr>
        <w:ind w:firstLine="900" w:firstLineChars="300"/>
        <w:rPr>
          <w:rFonts w:ascii="仿宋" w:hAnsi="仿宋"/>
          <w:sz w:val="30"/>
          <w:szCs w:val="30"/>
        </w:rPr>
      </w:pPr>
      <w:r>
        <w:rPr>
          <w:rFonts w:hint="eastAsia" w:ascii="仿宋" w:hAnsi="仿宋"/>
          <w:sz w:val="30"/>
          <w:szCs w:val="30"/>
        </w:rPr>
        <w:t>3.草坪修剪：草坪修剪后保留高度3</w:t>
      </w:r>
      <w:r>
        <w:rPr>
          <w:rFonts w:ascii="仿宋" w:hAnsi="仿宋"/>
          <w:sz w:val="30"/>
          <w:szCs w:val="30"/>
        </w:rPr>
        <w:t>—</w:t>
      </w:r>
      <w:r>
        <w:rPr>
          <w:rFonts w:hint="eastAsia" w:ascii="仿宋" w:hAnsi="仿宋"/>
          <w:sz w:val="30"/>
          <w:szCs w:val="30"/>
        </w:rPr>
        <w:t>5cm,</w:t>
      </w:r>
      <w:r>
        <w:rPr>
          <w:rFonts w:hint="eastAsia" w:ascii="仿宋" w:hAnsi="仿宋" w:cs="仿宋"/>
          <w:bCs/>
          <w:kern w:val="1"/>
          <w:sz w:val="30"/>
          <w:szCs w:val="30"/>
        </w:rPr>
        <w:t xml:space="preserve"> 修齐修平，</w:t>
      </w:r>
      <w:r>
        <w:rPr>
          <w:rFonts w:hint="eastAsia" w:ascii="仿宋" w:hAnsi="仿宋"/>
          <w:sz w:val="30"/>
          <w:szCs w:val="30"/>
        </w:rPr>
        <w:t>及时划干净修剪下来的草坪并</w:t>
      </w:r>
      <w:r>
        <w:rPr>
          <w:rFonts w:hint="eastAsia" w:ascii="仿宋" w:hAnsi="仿宋" w:cs="仿宋"/>
          <w:bCs/>
          <w:kern w:val="1"/>
          <w:sz w:val="30"/>
          <w:szCs w:val="30"/>
        </w:rPr>
        <w:t>进行外运清理，确保</w:t>
      </w:r>
      <w:r>
        <w:rPr>
          <w:rFonts w:hint="eastAsia" w:ascii="仿宋" w:hAnsi="仿宋"/>
          <w:sz w:val="30"/>
          <w:szCs w:val="30"/>
        </w:rPr>
        <w:t xml:space="preserve">我公司范围内干净整洁，做到文明施工。      </w:t>
      </w:r>
    </w:p>
    <w:p w14:paraId="458EF806">
      <w:pPr>
        <w:ind w:firstLine="900" w:firstLineChars="300"/>
        <w:rPr>
          <w:rFonts w:ascii="仿宋" w:hAnsi="仿宋"/>
          <w:sz w:val="30"/>
          <w:szCs w:val="30"/>
        </w:rPr>
      </w:pPr>
      <w:r>
        <w:rPr>
          <w:rFonts w:hint="eastAsia" w:ascii="仿宋" w:hAnsi="仿宋"/>
          <w:sz w:val="30"/>
          <w:szCs w:val="30"/>
        </w:rPr>
        <w:t>4.杂树清理：</w:t>
      </w:r>
      <w:r>
        <w:rPr>
          <w:rFonts w:hint="eastAsia" w:ascii="仿宋" w:hAnsi="仿宋" w:cs="仿宋"/>
          <w:bCs/>
          <w:kern w:val="1"/>
          <w:sz w:val="30"/>
          <w:szCs w:val="30"/>
        </w:rPr>
        <w:t>施工过程中需连根清除杂树、清除完需对根部作出后续药物防治，确保当年不再有小杂树冒出，并对</w:t>
      </w:r>
      <w:r>
        <w:rPr>
          <w:rFonts w:hint="eastAsia" w:ascii="仿宋" w:hAnsi="仿宋"/>
          <w:sz w:val="30"/>
          <w:szCs w:val="30"/>
        </w:rPr>
        <w:t>修剪产生的杂物杂枝、垃圾等三个工作日内及时外运清理，</w:t>
      </w:r>
      <w:r>
        <w:rPr>
          <w:rFonts w:hint="eastAsia" w:ascii="仿宋" w:hAnsi="仿宋" w:cs="仿宋"/>
          <w:bCs/>
          <w:kern w:val="1"/>
          <w:sz w:val="30"/>
          <w:szCs w:val="30"/>
        </w:rPr>
        <w:t>确保</w:t>
      </w:r>
      <w:r>
        <w:rPr>
          <w:rFonts w:hint="eastAsia" w:ascii="仿宋" w:hAnsi="仿宋"/>
          <w:sz w:val="30"/>
          <w:szCs w:val="30"/>
        </w:rPr>
        <w:t xml:space="preserve">我公司范围内干净整洁，做到文明施工。       </w:t>
      </w:r>
    </w:p>
    <w:p w14:paraId="32DD6B9E">
      <w:pPr>
        <w:ind w:firstLine="900" w:firstLineChars="300"/>
        <w:rPr>
          <w:rFonts w:ascii="仿宋" w:hAnsi="仿宋"/>
          <w:sz w:val="30"/>
          <w:szCs w:val="30"/>
        </w:rPr>
      </w:pPr>
      <w:r>
        <w:rPr>
          <w:rFonts w:hint="eastAsia" w:ascii="仿宋" w:hAnsi="仿宋"/>
          <w:sz w:val="30"/>
          <w:szCs w:val="30"/>
        </w:rPr>
        <w:t>5.工期要求：中标单位签订合同并完成相关安全学习培训后于三至五个工作日进场施工，工期为60个工作日，做到安全施工、文明施工，若逾期扣除单次工程款1%/日，达到三次逾期将自动解除合约。</w:t>
      </w:r>
    </w:p>
    <w:p w14:paraId="52DF1066">
      <w:pPr>
        <w:ind w:firstLine="900" w:firstLineChars="300"/>
        <w:rPr>
          <w:rFonts w:ascii="仿宋" w:hAnsi="仿宋"/>
          <w:sz w:val="30"/>
          <w:szCs w:val="30"/>
        </w:rPr>
      </w:pPr>
      <w:r>
        <w:rPr>
          <w:rFonts w:hint="eastAsia" w:ascii="仿宋" w:hAnsi="仿宋"/>
          <w:sz w:val="30"/>
          <w:szCs w:val="30"/>
        </w:rPr>
        <w:t>6. 投标方安排好相应资质的机械设备、车辆运输，单价包含机械费、运费、垃圾清运、辅材及增值税等，招标单位不再支付其它费用。在施工作业过程中，项目负责人不得离开现场，确保现场安全文明施工，违者考核300元一次。</w:t>
      </w:r>
    </w:p>
    <w:p w14:paraId="723922C3">
      <w:pPr>
        <w:ind w:firstLine="900" w:firstLineChars="300"/>
        <w:rPr>
          <w:rFonts w:ascii="仿宋" w:hAnsi="仿宋"/>
          <w:sz w:val="30"/>
          <w:szCs w:val="30"/>
        </w:rPr>
      </w:pPr>
      <w:r>
        <w:rPr>
          <w:rFonts w:hint="eastAsia" w:ascii="仿宋" w:hAnsi="仿宋"/>
          <w:sz w:val="30"/>
          <w:szCs w:val="30"/>
        </w:rPr>
        <w:t xml:space="preserve">7. 投标方除了完成本次绿化工程项目外，还需对辖区内树木、绿篱、草坪等进行为期两年的养护管理，每年的养护费用按照中标价的20% 进行年结，养护管理期以绿化工程项目完工验收合格后次日为开始。  </w:t>
      </w:r>
    </w:p>
    <w:p w14:paraId="5A55E5F6">
      <w:pPr>
        <w:ind w:firstLine="900" w:firstLineChars="300"/>
        <w:rPr>
          <w:rFonts w:ascii="仿宋" w:hAnsi="仿宋"/>
          <w:sz w:val="30"/>
          <w:szCs w:val="30"/>
        </w:rPr>
      </w:pPr>
      <w:r>
        <w:rPr>
          <w:rFonts w:hint="eastAsia" w:ascii="仿宋" w:hAnsi="仿宋"/>
          <w:sz w:val="30"/>
          <w:szCs w:val="30"/>
        </w:rPr>
        <w:t>工程结算总价=工作量*对应项目单价（按实际发生验收结算）</w:t>
      </w:r>
    </w:p>
    <w:p w14:paraId="600E0400">
      <w:pPr>
        <w:ind w:firstLine="900" w:firstLineChars="300"/>
        <w:rPr>
          <w:rFonts w:ascii="仿宋" w:hAnsi="仿宋"/>
          <w:sz w:val="30"/>
          <w:szCs w:val="30"/>
        </w:rPr>
      </w:pPr>
      <w:r>
        <w:rPr>
          <w:rFonts w:hint="eastAsia" w:ascii="仿宋" w:hAnsi="仿宋"/>
          <w:sz w:val="30"/>
          <w:szCs w:val="30"/>
        </w:rPr>
        <w:t>养护费用=工程结算总价*20%/年*2年（每年验收合格后结算一次）</w:t>
      </w:r>
    </w:p>
    <w:p w14:paraId="5D138CBC">
      <w:pPr>
        <w:ind w:firstLine="900" w:firstLineChars="300"/>
        <w:rPr>
          <w:rFonts w:ascii="仿宋" w:hAnsi="仿宋"/>
          <w:sz w:val="30"/>
          <w:szCs w:val="30"/>
        </w:rPr>
      </w:pPr>
      <w:r>
        <w:rPr>
          <w:rFonts w:hint="eastAsia" w:ascii="仿宋" w:hAnsi="仿宋"/>
          <w:sz w:val="30"/>
          <w:szCs w:val="30"/>
        </w:rPr>
        <w:t>8.索普集团绿化工程项目清单（见附件）</w:t>
      </w:r>
    </w:p>
    <w:p w14:paraId="304AC5BE">
      <w:pPr>
        <w:pStyle w:val="2"/>
      </w:pPr>
      <w:r>
        <w:rPr>
          <w:rFonts w:hint="eastAsia"/>
        </w:rPr>
        <w:t xml:space="preserve">       </w:t>
      </w:r>
    </w:p>
    <w:p w14:paraId="2E6826BB">
      <w:pPr>
        <w:pStyle w:val="9"/>
        <w:spacing w:beforeLines="0" w:afterLines="30"/>
        <w:ind w:firstLine="561" w:firstLineChars="0"/>
        <w:rPr>
          <w:rFonts w:ascii="仿宋" w:hAnsi="仿宋" w:eastAsia="仿宋" w:cs="仿宋"/>
          <w:b/>
          <w:sz w:val="30"/>
          <w:szCs w:val="30"/>
        </w:rPr>
      </w:pPr>
      <w:bookmarkStart w:id="0" w:name="_Hlk74154727"/>
      <w:r>
        <w:rPr>
          <w:rFonts w:hint="eastAsia" w:ascii="黑体" w:hAnsi="黑体" w:eastAsia="黑体" w:cs="黑体"/>
          <w:sz w:val="28"/>
        </w:rPr>
        <w:t>三、</w:t>
      </w:r>
      <w:bookmarkEnd w:id="0"/>
      <w:r>
        <w:rPr>
          <w:rFonts w:hint="eastAsia" w:ascii="仿宋" w:hAnsi="仿宋" w:eastAsia="仿宋" w:cs="仿宋"/>
          <w:b/>
          <w:sz w:val="30"/>
          <w:szCs w:val="30"/>
        </w:rPr>
        <w:t xml:space="preserve">  投标人资质与要求：</w:t>
      </w:r>
    </w:p>
    <w:p w14:paraId="2E9EAF1E">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（一）投标人必须具备中华人民共和国境内生产或经营应具备的合法资质；</w:t>
      </w:r>
    </w:p>
    <w:p w14:paraId="50312BCC">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（二）不接受被列入失信被执行人、重大违法案件当事人投标；</w:t>
      </w:r>
    </w:p>
    <w:p w14:paraId="21E03298">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（三）不接受被列入索普集团供应商负面清单中的单位投标；</w:t>
      </w:r>
    </w:p>
    <w:p w14:paraId="05146AF5">
      <w:pPr>
        <w:adjustRightInd w:val="0"/>
        <w:snapToGrid w:val="0"/>
        <w:spacing w:line="600" w:lineRule="exact"/>
        <w:ind w:firstLine="600"/>
        <w:jc w:val="left"/>
        <w:rPr>
          <w:rFonts w:ascii="仿宋" w:hAnsi="仿宋" w:cs="仿宋"/>
          <w:bCs/>
          <w:sz w:val="30"/>
          <w:szCs w:val="30"/>
          <w:lang w:val="zh-CN"/>
        </w:rPr>
      </w:pPr>
      <w:r>
        <w:rPr>
          <w:rFonts w:hint="eastAsia" w:ascii="仿宋" w:hAnsi="仿宋" w:cs="仿宋"/>
          <w:bCs/>
          <w:sz w:val="30"/>
          <w:szCs w:val="30"/>
        </w:rPr>
        <w:t>（四）</w:t>
      </w:r>
      <w:r>
        <w:rPr>
          <w:rFonts w:hint="eastAsia" w:ascii="仿宋" w:hAnsi="仿宋" w:cs="仿宋"/>
          <w:bCs/>
          <w:sz w:val="30"/>
          <w:szCs w:val="30"/>
          <w:lang w:val="zh-CN"/>
        </w:rPr>
        <w:t>投标方必须为</w:t>
      </w:r>
      <w:r>
        <w:rPr>
          <w:rFonts w:hint="eastAsia" w:ascii="仿宋" w:hAnsi="仿宋" w:cs="仿宋"/>
          <w:bCs/>
          <w:sz w:val="30"/>
          <w:szCs w:val="30"/>
        </w:rPr>
        <w:t>江苏省内</w:t>
      </w:r>
      <w:r>
        <w:rPr>
          <w:rFonts w:hint="eastAsia" w:ascii="仿宋" w:hAnsi="仿宋" w:cs="仿宋"/>
          <w:bCs/>
          <w:sz w:val="30"/>
          <w:szCs w:val="30"/>
          <w:lang w:val="zh-CN"/>
        </w:rPr>
        <w:t>注册的法人，具有合法的营业执照，注册资金</w:t>
      </w:r>
      <w:r>
        <w:rPr>
          <w:rFonts w:hint="eastAsia" w:ascii="仿宋" w:hAnsi="仿宋" w:cs="仿宋"/>
          <w:bCs/>
          <w:color w:val="FF0000"/>
          <w:sz w:val="30"/>
          <w:szCs w:val="30"/>
          <w:lang w:val="zh-CN"/>
        </w:rPr>
        <w:t>（</w:t>
      </w:r>
      <w:r>
        <w:rPr>
          <w:rFonts w:hint="eastAsia" w:ascii="仿宋" w:hAnsi="仿宋" w:cs="仿宋"/>
          <w:b/>
          <w:color w:val="FF0000"/>
          <w:sz w:val="30"/>
          <w:szCs w:val="30"/>
          <w:lang w:val="zh-CN"/>
        </w:rPr>
        <w:t>实缴</w:t>
      </w:r>
      <w:r>
        <w:rPr>
          <w:rFonts w:hint="eastAsia" w:ascii="仿宋" w:hAnsi="仿宋" w:cs="仿宋"/>
          <w:bCs/>
          <w:color w:val="FF0000"/>
          <w:sz w:val="30"/>
          <w:szCs w:val="30"/>
          <w:lang w:val="zh-CN"/>
        </w:rPr>
        <w:t>）</w:t>
      </w:r>
      <w:r>
        <w:rPr>
          <w:rFonts w:hint="eastAsia" w:ascii="仿宋" w:hAnsi="仿宋" w:cs="仿宋"/>
          <w:bCs/>
          <w:sz w:val="30"/>
          <w:szCs w:val="30"/>
        </w:rPr>
        <w:t>不低于</w:t>
      </w:r>
      <w:r>
        <w:rPr>
          <w:rFonts w:hint="eastAsia" w:ascii="仿宋" w:hAnsi="仿宋" w:cs="仿宋"/>
          <w:bCs/>
          <w:sz w:val="30"/>
          <w:szCs w:val="30"/>
          <w:u w:val="single"/>
        </w:rPr>
        <w:t>200</w:t>
      </w:r>
      <w:r>
        <w:rPr>
          <w:rFonts w:hint="eastAsia" w:ascii="仿宋" w:hAnsi="仿宋" w:cs="仿宋"/>
          <w:bCs/>
          <w:sz w:val="30"/>
          <w:szCs w:val="30"/>
        </w:rPr>
        <w:t>万元（需提供银行证明或审计报告），经营业务</w:t>
      </w:r>
      <w:r>
        <w:rPr>
          <w:rFonts w:hint="eastAsia" w:ascii="仿宋" w:hAnsi="仿宋" w:cs="仿宋"/>
          <w:bCs/>
          <w:sz w:val="30"/>
          <w:szCs w:val="30"/>
          <w:lang w:val="zh-CN"/>
        </w:rPr>
        <w:t>范围</w:t>
      </w:r>
      <w:r>
        <w:rPr>
          <w:rFonts w:hint="eastAsia" w:ascii="仿宋" w:hAnsi="仿宋" w:cs="仿宋"/>
          <w:bCs/>
          <w:sz w:val="30"/>
          <w:szCs w:val="30"/>
        </w:rPr>
        <w:t>必</w:t>
      </w:r>
      <w:r>
        <w:rPr>
          <w:rFonts w:hint="eastAsia" w:ascii="仿宋" w:hAnsi="仿宋" w:cs="仿宋"/>
          <w:bCs/>
          <w:sz w:val="30"/>
          <w:szCs w:val="30"/>
          <w:lang w:val="zh-CN"/>
        </w:rPr>
        <w:t>须</w:t>
      </w:r>
      <w:r>
        <w:rPr>
          <w:rFonts w:hint="eastAsia" w:ascii="仿宋" w:hAnsi="仿宋" w:cs="仿宋"/>
          <w:bCs/>
          <w:sz w:val="30"/>
          <w:szCs w:val="30"/>
        </w:rPr>
        <w:t>含园林资质等相关行业领域</w:t>
      </w:r>
      <w:r>
        <w:rPr>
          <w:rFonts w:hint="eastAsia" w:ascii="仿宋" w:hAnsi="仿宋" w:cs="仿宋"/>
          <w:bCs/>
          <w:sz w:val="30"/>
          <w:szCs w:val="30"/>
          <w:lang w:val="zh-CN"/>
        </w:rPr>
        <w:t>。</w:t>
      </w:r>
    </w:p>
    <w:p w14:paraId="5B9CED8A">
      <w:pPr>
        <w:spacing w:line="500" w:lineRule="exact"/>
        <w:ind w:firstLine="600"/>
        <w:jc w:val="left"/>
        <w:rPr>
          <w:rFonts w:ascii="仿宋" w:hAnsi="仿宋" w:cs="仿宋"/>
          <w:sz w:val="30"/>
          <w:szCs w:val="30"/>
        </w:rPr>
      </w:pPr>
      <w:r>
        <w:rPr>
          <w:rFonts w:hint="eastAsia" w:ascii="仿宋" w:hAnsi="仿宋" w:cs="仿宋"/>
          <w:bCs/>
          <w:sz w:val="30"/>
          <w:szCs w:val="30"/>
        </w:rPr>
        <w:t>（五）本项目负责人、现场带队人员、必须取得园林相关资质证书，其</w:t>
      </w:r>
      <w:r>
        <w:rPr>
          <w:rFonts w:hint="eastAsia" w:ascii="仿宋" w:hAnsi="仿宋" w:cs="仿宋"/>
          <w:sz w:val="30"/>
          <w:szCs w:val="30"/>
        </w:rPr>
        <w:t>专业能力应满足本项目</w:t>
      </w:r>
      <w:r>
        <w:rPr>
          <w:rFonts w:hint="eastAsia" w:ascii="仿宋" w:hAnsi="仿宋" w:cs="仿宋"/>
          <w:kern w:val="0"/>
          <w:sz w:val="30"/>
          <w:szCs w:val="30"/>
          <w:shd w:val="clear" w:color="auto" w:fill="FFFFFF"/>
        </w:rPr>
        <w:t>施工</w:t>
      </w:r>
      <w:r>
        <w:rPr>
          <w:rFonts w:hint="eastAsia" w:ascii="仿宋" w:hAnsi="仿宋" w:cs="仿宋"/>
          <w:sz w:val="30"/>
          <w:szCs w:val="30"/>
        </w:rPr>
        <w:t>需要。在项目工作开展过程中，应为标书中安排的组员。在未得到甲方的同意下，不得更换负责人或者成员。经甲方同意后，更换人员的能力应与原成员相当。</w:t>
      </w:r>
      <w:r>
        <w:rPr>
          <w:rFonts w:hint="eastAsia" w:ascii="仿宋" w:hAnsi="仿宋" w:cs="仿宋"/>
          <w:bCs/>
          <w:color w:val="FF0000"/>
          <w:sz w:val="30"/>
          <w:szCs w:val="30"/>
        </w:rPr>
        <w:t>本项目负责人、作业人员的社保缴纳单位必须与投标单位一致。</w:t>
      </w:r>
    </w:p>
    <w:p w14:paraId="63FD67F8">
      <w:pPr>
        <w:widowControl/>
        <w:spacing w:line="500" w:lineRule="exact"/>
        <w:ind w:firstLine="600"/>
        <w:jc w:val="left"/>
        <w:rPr>
          <w:rFonts w:ascii="仿宋" w:hAnsi="仿宋" w:cs="仿宋"/>
          <w:bCs/>
          <w:sz w:val="30"/>
          <w:szCs w:val="30"/>
          <w:lang w:val="zh-CN"/>
        </w:rPr>
      </w:pPr>
      <w:r>
        <w:rPr>
          <w:rFonts w:hint="eastAsia" w:ascii="仿宋" w:hAnsi="仿宋" w:cs="仿宋"/>
          <w:bCs/>
          <w:sz w:val="30"/>
          <w:szCs w:val="30"/>
        </w:rPr>
        <w:t>（六）</w:t>
      </w:r>
      <w:r>
        <w:rPr>
          <w:rFonts w:hint="eastAsia" w:ascii="仿宋" w:hAnsi="仿宋" w:cs="仿宋"/>
          <w:bCs/>
          <w:sz w:val="30"/>
          <w:szCs w:val="30"/>
          <w:lang w:val="zh-CN"/>
        </w:rPr>
        <w:t>本项目不接受联合体投标。</w:t>
      </w:r>
    </w:p>
    <w:p w14:paraId="53F0C3EA">
      <w:pPr>
        <w:pStyle w:val="9"/>
        <w:spacing w:beforeLines="0" w:afterLines="30"/>
        <w:ind w:firstLine="561" w:firstLineChars="0"/>
        <w:rPr>
          <w:rFonts w:ascii="黑体" w:hAnsi="黑体" w:eastAsia="黑体" w:cs="黑体"/>
          <w:sz w:val="28"/>
        </w:rPr>
      </w:pPr>
      <w:r>
        <w:rPr>
          <w:rFonts w:hint="eastAsia" w:ascii="黑体" w:hAnsi="黑体" w:eastAsia="黑体" w:cs="黑体"/>
          <w:sz w:val="28"/>
        </w:rPr>
        <w:t>四、投标文件的组成及要求</w:t>
      </w:r>
    </w:p>
    <w:p w14:paraId="43861F77">
      <w:pPr>
        <w:adjustRightInd w:val="0"/>
        <w:snapToGrid w:val="0"/>
        <w:spacing w:line="600" w:lineRule="exact"/>
        <w:ind w:firstLine="560"/>
        <w:jc w:val="left"/>
        <w:rPr>
          <w:rFonts w:ascii="仿宋" w:hAnsi="仿宋" w:cs="仿宋"/>
          <w:bCs/>
          <w:kern w:val="1"/>
          <w:sz w:val="30"/>
          <w:szCs w:val="30"/>
        </w:rPr>
      </w:pPr>
      <w:r>
        <w:rPr>
          <w:rFonts w:hint="eastAsia" w:eastAsia="宋体"/>
          <w:sz w:val="28"/>
        </w:rPr>
        <w:t>（一）</w:t>
      </w:r>
      <w:r>
        <w:rPr>
          <w:rFonts w:hint="eastAsia" w:ascii="仿宋" w:hAnsi="仿宋" w:cs="仿宋"/>
          <w:bCs/>
          <w:kern w:val="1"/>
          <w:sz w:val="30"/>
          <w:szCs w:val="30"/>
        </w:rPr>
        <w:t>公司营业执照复印件、投标授权人证明、工程师职称（提供项目负责人园林工程师职称证书、法定的社保收缴部门出具由供应商本企业为项目负责人依法缴纳的近3月的社会保障资金的相关材料复印件）等。</w:t>
      </w:r>
    </w:p>
    <w:p w14:paraId="159B1E13">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（二）报价方式：报价为含增值税价。如国家税率调整，按合同含税价格/（1+合同约定税率）*（1+国家规定的新税率）调整合同价格开具发票；</w:t>
      </w:r>
    </w:p>
    <w:p w14:paraId="3D7DD355">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付款方式：工程完工验收合格提交书面验收单后，凭增值税专用发票于</w:t>
      </w:r>
      <w:r>
        <w:rPr>
          <w:rFonts w:hint="eastAsia" w:ascii="仿宋" w:hAnsi="仿宋" w:cs="仿宋"/>
          <w:bCs/>
          <w:kern w:val="1"/>
          <w:sz w:val="30"/>
          <w:szCs w:val="30"/>
          <w:u w:val="single"/>
        </w:rPr>
        <w:t>次月</w:t>
      </w:r>
      <w:r>
        <w:rPr>
          <w:rFonts w:hint="eastAsia" w:ascii="仿宋" w:hAnsi="仿宋" w:cs="仿宋"/>
          <w:bCs/>
          <w:kern w:val="1"/>
          <w:sz w:val="30"/>
          <w:szCs w:val="30"/>
        </w:rPr>
        <w:t>付款，付款方式为</w:t>
      </w:r>
      <w:r>
        <w:rPr>
          <w:rFonts w:hint="eastAsia" w:ascii="仿宋" w:hAnsi="仿宋" w:cs="仿宋"/>
          <w:bCs/>
          <w:kern w:val="1"/>
          <w:sz w:val="30"/>
          <w:szCs w:val="30"/>
          <w:u w:val="single"/>
        </w:rPr>
        <w:t>电子承兑</w:t>
      </w:r>
      <w:r>
        <w:rPr>
          <w:rFonts w:hint="eastAsia" w:ascii="仿宋" w:hAnsi="仿宋" w:cs="仿宋"/>
          <w:bCs/>
          <w:kern w:val="1"/>
          <w:sz w:val="30"/>
          <w:szCs w:val="30"/>
        </w:rPr>
        <w:t xml:space="preserve"> 。如投标人不接受招标人提出的付款方式，可在报价书中明确能够接受的付款方式及付款时间，评标时作为参考。报价为含税价，如有不同请注明。</w:t>
      </w:r>
    </w:p>
    <w:p w14:paraId="449A22F3">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（三）法定代表人授权委托书、法定代表人身份证复印件、委托代理人身份证复印件（如为委托）；</w:t>
      </w:r>
    </w:p>
    <w:p w14:paraId="59A6531D">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（四）资格条件证明材料；</w:t>
      </w:r>
    </w:p>
    <w:p w14:paraId="66DD3F9F">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（五）信用查询证明：信用中国（www.creditchina.gov.cn）和国家企业信用信息公示系统”网（www.gsxt.gov.cn）的查询结果截图（盖章）。</w:t>
      </w:r>
    </w:p>
    <w:p w14:paraId="3FEE34ED">
      <w:pPr>
        <w:pStyle w:val="2"/>
      </w:pPr>
      <w:r>
        <w:rPr>
          <w:rFonts w:hint="eastAsia" w:ascii="仿宋" w:hAnsi="仿宋" w:cs="仿宋"/>
          <w:kern w:val="1"/>
          <w:sz w:val="30"/>
          <w:szCs w:val="30"/>
        </w:rPr>
        <w:t xml:space="preserve">   </w:t>
      </w:r>
      <w:r>
        <w:rPr>
          <w:rFonts w:hint="eastAsia" w:ascii="仿宋" w:hAnsi="仿宋" w:cs="仿宋"/>
          <w:b w:val="0"/>
          <w:bCs w:val="0"/>
          <w:kern w:val="1"/>
          <w:sz w:val="30"/>
          <w:szCs w:val="30"/>
        </w:rPr>
        <w:t xml:space="preserve"> （六）投标文件格式见附录1。</w:t>
      </w:r>
    </w:p>
    <w:p w14:paraId="2D0BA8C9">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七）投标人应准备投标文件正本一份、副本一份，每套投标文件须清楚地标明“正本”或“副本”。若正本和副本不符，以正本为准；不能区分正、副本的投标文件，按废标处理。投标文件的正本应打印或用不褪色墨水书写，并由投标人的法定代表人或经正式授权的代表签字，如为授权代表签字的应附“法定代表人授权委托书”（原件），正本必须为原件，但投标人的相关资格证明文件可采用复印件。投标文件的副本可打印或用不褪色墨水书写，也可采用正本的复印件。投标文件不应有涂改、增删之处，但如有错误必须修改时，修改处必须由投标文件签字人在旁边签字才有效。</w:t>
      </w:r>
    </w:p>
    <w:p w14:paraId="4ADA4B6D">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八）采用线下投标应将报价书及相关资料以标袋形式送达，标袋外包装必须用“封条”密封，封条“格式自定”，另需加盖公章、法人章，填写密封日期；在标袋封面上需注明“投标项目名称，投标方名称、地址、联系人、联系电话”等；投标文件还应包括正副本各</w:t>
      </w:r>
      <w:r>
        <w:rPr>
          <w:rFonts w:hint="eastAsia" w:ascii="仿宋" w:hAnsi="仿宋" w:cs="仿宋"/>
          <w:bCs/>
          <w:kern w:val="1"/>
          <w:sz w:val="30"/>
          <w:szCs w:val="30"/>
          <w:u w:val="single"/>
        </w:rPr>
        <w:t xml:space="preserve">   1  </w:t>
      </w:r>
      <w:r>
        <w:rPr>
          <w:rFonts w:hint="eastAsia" w:ascii="仿宋" w:hAnsi="仿宋" w:cs="仿宋"/>
          <w:bCs/>
          <w:kern w:val="1"/>
          <w:sz w:val="30"/>
          <w:szCs w:val="30"/>
        </w:rPr>
        <w:t>份，并要求在投标截止日之前送达，逾期将作为作废标处理。</w:t>
      </w:r>
    </w:p>
    <w:p w14:paraId="73FF8081">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（九）与本投标有关的一切往来通讯请密封寄：</w:t>
      </w:r>
    </w:p>
    <w:p w14:paraId="18BEE32B">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公司：江苏索普（集团）有限公司</w:t>
      </w:r>
    </w:p>
    <w:p w14:paraId="27B7B036">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地址：江苏省镇江市京口区求索路101号</w:t>
      </w:r>
    </w:p>
    <w:p w14:paraId="610B5FDF">
      <w:pPr>
        <w:wordWrap w:val="0"/>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邮编：212006</w:t>
      </w:r>
    </w:p>
    <w:p w14:paraId="04AB2180">
      <w:pPr>
        <w:wordWrap w:val="0"/>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联系人：朱丹</w:t>
      </w:r>
    </w:p>
    <w:p w14:paraId="7D49D0CC">
      <w:pPr>
        <w:wordWrap w:val="0"/>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联系电话：13952891299</w:t>
      </w:r>
    </w:p>
    <w:p w14:paraId="42D9848C">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（十）凡对招标文件条款有疑义的，请在开标前按以下方式联系：</w:t>
      </w:r>
    </w:p>
    <w:p w14:paraId="66905768">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 xml:space="preserve"> 联系单位：江苏索普集团有限公司集团办公室</w:t>
      </w:r>
    </w:p>
    <w:p w14:paraId="322E81FB">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 xml:space="preserve"> 地址：江苏省镇江市京口区求索路101号，邮编：212006</w:t>
      </w:r>
    </w:p>
    <w:p w14:paraId="434A84D5">
      <w:pPr>
        <w:adjustRightInd w:val="0"/>
        <w:snapToGrid w:val="0"/>
        <w:spacing w:line="600" w:lineRule="exact"/>
        <w:ind w:firstLine="900" w:firstLineChars="300"/>
        <w:jc w:val="left"/>
        <w:rPr>
          <w:rFonts w:ascii="仿宋" w:hAnsi="仿宋" w:cs="仿宋"/>
          <w:bCs/>
          <w:kern w:val="1"/>
          <w:sz w:val="30"/>
          <w:szCs w:val="30"/>
        </w:rPr>
      </w:pPr>
      <w:r>
        <w:rPr>
          <w:rFonts w:hint="eastAsia" w:ascii="仿宋" w:hAnsi="仿宋" w:cs="仿宋"/>
          <w:bCs/>
          <w:kern w:val="1"/>
          <w:sz w:val="30"/>
          <w:szCs w:val="30"/>
        </w:rPr>
        <w:t>联系人：朱丹   13952891299</w:t>
      </w:r>
    </w:p>
    <w:p w14:paraId="4078CE5B">
      <w:pPr>
        <w:adjustRightInd w:val="0"/>
        <w:snapToGrid w:val="0"/>
        <w:spacing w:line="600" w:lineRule="exact"/>
        <w:ind w:firstLine="900" w:firstLineChars="300"/>
        <w:jc w:val="left"/>
        <w:rPr>
          <w:rFonts w:ascii="仿宋" w:hAnsi="仿宋" w:cs="仿宋"/>
          <w:bCs/>
          <w:kern w:val="1"/>
          <w:sz w:val="30"/>
          <w:szCs w:val="30"/>
        </w:rPr>
      </w:pPr>
      <w:r>
        <w:rPr>
          <w:rFonts w:hint="eastAsia" w:ascii="仿宋" w:hAnsi="仿宋" w:cs="仿宋"/>
          <w:bCs/>
          <w:kern w:val="1"/>
          <w:sz w:val="30"/>
          <w:szCs w:val="30"/>
        </w:rPr>
        <w:t xml:space="preserve">负责人：邓少杰  13852941185            </w:t>
      </w:r>
    </w:p>
    <w:p w14:paraId="784B0546">
      <w:pPr>
        <w:adjustRightInd w:val="0"/>
        <w:snapToGrid w:val="0"/>
        <w:spacing w:line="600" w:lineRule="exact"/>
        <w:ind w:firstLine="900" w:firstLineChars="300"/>
        <w:jc w:val="left"/>
        <w:rPr>
          <w:rFonts w:ascii="仿宋" w:hAnsi="仿宋" w:cs="仿宋"/>
          <w:bCs/>
          <w:kern w:val="1"/>
          <w:sz w:val="30"/>
          <w:szCs w:val="30"/>
        </w:rPr>
      </w:pPr>
      <w:r>
        <w:rPr>
          <w:rFonts w:hint="eastAsia" w:ascii="仿宋" w:hAnsi="仿宋" w:cs="仿宋"/>
          <w:bCs/>
          <w:kern w:val="1"/>
          <w:sz w:val="30"/>
          <w:szCs w:val="30"/>
        </w:rPr>
        <w:t>（工作时间：9:00-17:00）</w:t>
      </w:r>
    </w:p>
    <w:p w14:paraId="3BD701AB">
      <w:pPr>
        <w:pStyle w:val="9"/>
        <w:spacing w:beforeLines="0" w:afterLines="30"/>
        <w:ind w:firstLine="0" w:firstLineChars="0"/>
        <w:rPr>
          <w:rFonts w:ascii="黑体" w:hAnsi="黑体" w:eastAsia="黑体" w:cs="黑体"/>
          <w:b/>
          <w:kern w:val="1"/>
          <w:sz w:val="30"/>
          <w:szCs w:val="30"/>
        </w:rPr>
      </w:pPr>
      <w:r>
        <w:rPr>
          <w:rFonts w:hint="eastAsia" w:ascii="黑体" w:hAnsi="黑体" w:eastAsia="黑体" w:cs="黑体"/>
          <w:sz w:val="28"/>
        </w:rPr>
        <w:t>五、</w:t>
      </w:r>
      <w:r>
        <w:rPr>
          <w:rFonts w:hint="eastAsia" w:ascii="黑体" w:hAnsi="黑体" w:eastAsia="黑体" w:cs="黑体"/>
          <w:bCs w:val="0"/>
          <w:kern w:val="1"/>
          <w:sz w:val="30"/>
          <w:szCs w:val="30"/>
        </w:rPr>
        <w:t>开标、评标、流标及废标：</w:t>
      </w:r>
    </w:p>
    <w:p w14:paraId="7826401B">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（一）开标</w:t>
      </w:r>
    </w:p>
    <w:p w14:paraId="0A8060CE">
      <w:pPr>
        <w:adjustRightInd w:val="0"/>
        <w:snapToGrid w:val="0"/>
        <w:spacing w:line="600" w:lineRule="exact"/>
        <w:ind w:firstLine="640"/>
        <w:jc w:val="left"/>
        <w:rPr>
          <w:rFonts w:ascii="仿宋" w:hAnsi="仿宋" w:cs="仿宋"/>
          <w:bCs/>
          <w:kern w:val="1"/>
          <w:sz w:val="32"/>
          <w:szCs w:val="32"/>
        </w:rPr>
      </w:pPr>
      <w:r>
        <w:rPr>
          <w:rFonts w:hint="eastAsia" w:ascii="仿宋" w:hAnsi="仿宋" w:cs="仿宋"/>
          <w:bCs/>
          <w:kern w:val="1"/>
          <w:sz w:val="32"/>
          <w:szCs w:val="32"/>
        </w:rPr>
        <w:t>本项目由招标人组织评标小组负责开标工作，对各投标人报价进行评标，确定最终中标人。</w:t>
      </w:r>
    </w:p>
    <w:p w14:paraId="1A2E29E8">
      <w:pPr>
        <w:adjustRightInd w:val="0"/>
        <w:snapToGrid w:val="0"/>
        <w:spacing w:line="600" w:lineRule="exact"/>
        <w:ind w:firstLine="640"/>
        <w:jc w:val="left"/>
        <w:rPr>
          <w:rFonts w:ascii="仿宋" w:hAnsi="仿宋" w:cs="仿宋"/>
          <w:bCs/>
          <w:kern w:val="1"/>
          <w:sz w:val="32"/>
          <w:szCs w:val="32"/>
        </w:rPr>
      </w:pPr>
      <w:r>
        <w:rPr>
          <w:rFonts w:hint="eastAsia" w:ascii="仿宋" w:hAnsi="仿宋" w:cs="仿宋"/>
          <w:bCs/>
          <w:kern w:val="1"/>
          <w:sz w:val="32"/>
          <w:szCs w:val="32"/>
        </w:rPr>
        <w:t>1.请各投标人保持通讯畅通，便于</w:t>
      </w:r>
      <w:r>
        <w:rPr>
          <w:rFonts w:hint="eastAsia" w:ascii="仿宋_GB2312" w:hAnsi="宋体" w:eastAsia="仿宋_GB2312" w:cs="‹ÎSå"/>
          <w:kern w:val="1"/>
          <w:sz w:val="32"/>
          <w:szCs w:val="32"/>
        </w:rPr>
        <w:t>评标小组在开标现场电话联系</w:t>
      </w:r>
      <w:r>
        <w:rPr>
          <w:rFonts w:hint="eastAsia" w:ascii="仿宋" w:hAnsi="仿宋" w:cs="仿宋"/>
          <w:bCs/>
          <w:kern w:val="1"/>
          <w:sz w:val="32"/>
          <w:szCs w:val="32"/>
        </w:rPr>
        <w:t>。</w:t>
      </w:r>
    </w:p>
    <w:p w14:paraId="6F29961B">
      <w:pPr>
        <w:pStyle w:val="5"/>
        <w:spacing w:line="600" w:lineRule="exact"/>
        <w:ind w:firstLine="640"/>
        <w:rPr>
          <w:sz w:val="32"/>
          <w:szCs w:val="32"/>
        </w:rPr>
      </w:pPr>
      <w:r>
        <w:rPr>
          <w:rFonts w:hint="eastAsia" w:ascii="仿宋" w:hAnsi="仿宋" w:cs="仿宋"/>
          <w:bCs/>
          <w:kern w:val="1"/>
          <w:sz w:val="32"/>
          <w:szCs w:val="32"/>
        </w:rPr>
        <w:t xml:space="preserve">2.评标小组不得泄露各投标人的报价。  </w:t>
      </w:r>
    </w:p>
    <w:p w14:paraId="5D371784">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（二）评标</w:t>
      </w:r>
    </w:p>
    <w:p w14:paraId="4A9A5A54">
      <w:pPr>
        <w:adjustRightInd w:val="0"/>
        <w:snapToGrid w:val="0"/>
        <w:spacing w:line="600" w:lineRule="exact"/>
        <w:ind w:firstLine="640"/>
        <w:jc w:val="left"/>
        <w:rPr>
          <w:rFonts w:ascii="仿宋" w:hAnsi="仿宋" w:cs="仿宋"/>
          <w:bCs/>
          <w:kern w:val="1"/>
          <w:sz w:val="30"/>
          <w:szCs w:val="30"/>
        </w:rPr>
      </w:pPr>
      <w:r>
        <w:rPr>
          <w:rFonts w:hint="eastAsia" w:ascii="仿宋" w:hAnsi="仿宋" w:cs="仿宋"/>
          <w:bCs/>
          <w:kern w:val="1"/>
          <w:sz w:val="32"/>
          <w:szCs w:val="32"/>
        </w:rPr>
        <w:t>在能够满足招标人技术要求的投标人中选择合计总价最低的一家投标人作为中标候选人。</w:t>
      </w:r>
      <w:r>
        <w:rPr>
          <w:rFonts w:hint="eastAsia" w:ascii="仿宋" w:hAnsi="仿宋" w:cs="仿宋"/>
          <w:bCs/>
          <w:kern w:val="1"/>
          <w:sz w:val="30"/>
          <w:szCs w:val="30"/>
        </w:rPr>
        <w:t xml:space="preserve">                                 </w:t>
      </w:r>
    </w:p>
    <w:p w14:paraId="68CAB5BD">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（三）流标</w:t>
      </w:r>
    </w:p>
    <w:p w14:paraId="147A60CC">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招标人如发现招标过程中有串标、陪标等扰乱招标人经营秩序的恶劣情况，经招标人评标小组评定可作流标处理，并可将相关投标方列入供应商负面清单，一年内不再接受参与投标工作。</w:t>
      </w:r>
    </w:p>
    <w:p w14:paraId="7DD567A6">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（四）废标</w:t>
      </w:r>
    </w:p>
    <w:p w14:paraId="19CE3DAB">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1、凡投标人不具备招标人明确要求资质的，或投标文件填写不完整、报价有空项的，或不符合技术要求条款的，或者存在其他不符合招标人有关要求的问题，经招标人评标小组评定，可作废标处理。</w:t>
      </w:r>
    </w:p>
    <w:p w14:paraId="57BD14B4">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color w:val="FF0000"/>
          <w:kern w:val="1"/>
          <w:sz w:val="30"/>
          <w:szCs w:val="30"/>
        </w:rPr>
        <w:t xml:space="preserve"> </w:t>
      </w:r>
      <w:r>
        <w:rPr>
          <w:rFonts w:hint="eastAsia" w:ascii="仿宋" w:hAnsi="仿宋" w:cs="仿宋"/>
          <w:bCs/>
          <w:kern w:val="1"/>
          <w:sz w:val="30"/>
          <w:szCs w:val="30"/>
        </w:rPr>
        <w:t>2、投标人应如实提供符合市场规律和自身成本的合理报价。如果投标人的报价与市场价格明显偏离并因此影响了招标活动的公正合理性，损害了招标人的正当利益，经招标人评标小组评定，可作废标处理。</w:t>
      </w:r>
    </w:p>
    <w:p w14:paraId="0019BCE5">
      <w:pPr>
        <w:adjustRightInd w:val="0"/>
        <w:snapToGrid w:val="0"/>
        <w:spacing w:line="600" w:lineRule="exact"/>
        <w:ind w:left="480" w:firstLine="0" w:firstLineChars="0"/>
        <w:jc w:val="left"/>
        <w:rPr>
          <w:sz w:val="30"/>
          <w:szCs w:val="30"/>
        </w:rPr>
      </w:pPr>
      <w:r>
        <w:rPr>
          <w:rFonts w:hint="eastAsia" w:ascii="黑体" w:hAnsi="黑体" w:eastAsia="黑体" w:cs="黑体"/>
          <w:bCs/>
          <w:kern w:val="1"/>
          <w:sz w:val="30"/>
          <w:szCs w:val="30"/>
        </w:rPr>
        <w:t>六、其他注意事项：</w:t>
      </w:r>
      <w:r>
        <w:rPr>
          <w:rFonts w:hint="eastAsia"/>
          <w:sz w:val="30"/>
          <w:szCs w:val="30"/>
        </w:rPr>
        <w:t>　　</w:t>
      </w:r>
    </w:p>
    <w:p w14:paraId="77A89A0D">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（一）违约责任：</w:t>
      </w:r>
    </w:p>
    <w:p w14:paraId="13E72545">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1.如出卖人没有按照规定的时间交货或提供服务，出卖人须支付违约金，违约金从货款中扣除，迟交货物或未提供服务的违约金逾期每日按合同总金额的1%计收。迟交货物或未提供服务超过20日，买受人有权解除合同,买受人可要求出卖人于五个工作日内返还买受人合同货款并按合同总额的20%承担违约责任。</w:t>
      </w:r>
    </w:p>
    <w:p w14:paraId="1B9E12FA">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2.出卖人交货后，如果货物经检验不合格的，买受人可选择以下处理方式：</w:t>
      </w:r>
    </w:p>
    <w:p w14:paraId="53366FF4">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14:paraId="09317D42">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14:paraId="22BA9358">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（二）中标人中标以后应严格按照标书约定与招标方签定供需合同，并按合同约定做好物资供应和服务工作。对中标人所有违背标书及合同约定的行为，招标人均可持续保留与中标方中止合作的一切权利。　</w:t>
      </w:r>
    </w:p>
    <w:p w14:paraId="27B7A4C6">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三）对需检验的品种，经招标人检验部门检验合格后方能收货，否则做退、换货处理；长期合约的中标人如出现三次产品质量不合格的情况，视为中标人无能力保障产品质量，招标人有权终止此次招标合同的执行。</w:t>
      </w:r>
    </w:p>
    <w:p w14:paraId="34585B8B">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四）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14:paraId="224B7707">
      <w:pPr>
        <w:adjustRightInd w:val="0"/>
        <w:snapToGrid w:val="0"/>
        <w:spacing w:line="600" w:lineRule="exact"/>
        <w:ind w:firstLine="600"/>
        <w:rPr>
          <w:rFonts w:ascii="仿宋" w:hAnsi="仿宋" w:cs="仿宋"/>
          <w:bCs/>
          <w:kern w:val="1"/>
          <w:sz w:val="30"/>
          <w:szCs w:val="30"/>
        </w:rPr>
      </w:pPr>
      <w:r>
        <w:rPr>
          <w:rFonts w:hint="eastAsia" w:ascii="仿宋" w:hAnsi="仿宋" w:cs="仿宋"/>
          <w:bCs/>
          <w:kern w:val="1"/>
          <w:sz w:val="30"/>
          <w:szCs w:val="30"/>
        </w:rPr>
        <w:t>（五）如投标人不能正常履约，对招标人生产经营活动造成影响的，根据《索普集团供应商负面清单管理规定(2023年修订版)》（详见附件1），招标人有权对违反规定的投标人进行考核扣分，对列入负面清单的供应商，索普集团本部及各分子公司将不接受其投标，产生严重影响的，招标人将依法追究投标人法律责任。索普集团供应商负面清单的公示地址为：www.sopo.com.cn。</w:t>
      </w:r>
    </w:p>
    <w:p w14:paraId="6E382BBE">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sz w:val="30"/>
          <w:szCs w:val="30"/>
        </w:rPr>
        <w:t>（六）投标人对所供产品所引起的知识产权方面的纠纷，由投标人承担一切后果，招标人不承担任何责任。</w:t>
      </w:r>
    </w:p>
    <w:p w14:paraId="04F4424A">
      <w:pPr>
        <w:adjustRightInd w:val="0"/>
        <w:snapToGrid w:val="0"/>
        <w:spacing w:line="600" w:lineRule="exact"/>
        <w:ind w:firstLine="600"/>
        <w:rPr>
          <w:rFonts w:ascii="仿宋" w:hAnsi="仿宋" w:cs="仿宋"/>
          <w:bCs/>
          <w:kern w:val="1"/>
          <w:sz w:val="30"/>
          <w:szCs w:val="30"/>
        </w:rPr>
      </w:pPr>
      <w:r>
        <w:rPr>
          <w:rFonts w:hint="eastAsia" w:ascii="仿宋" w:hAnsi="仿宋" w:cs="仿宋"/>
          <w:bCs/>
          <w:kern w:val="1"/>
          <w:sz w:val="30"/>
          <w:szCs w:val="30"/>
        </w:rPr>
        <w:t>（七）投标人应详细阅读本招标书，参与报价投标即视为对本招标书所列之条款均表示接受。</w:t>
      </w:r>
    </w:p>
    <w:p w14:paraId="6D41BD0C">
      <w:pPr>
        <w:adjustRightInd w:val="0"/>
        <w:snapToGrid w:val="0"/>
        <w:spacing w:line="600" w:lineRule="exact"/>
        <w:ind w:firstLine="600"/>
        <w:rPr>
          <w:rFonts w:ascii="仿宋" w:hAnsi="仿宋" w:cs="仿宋"/>
          <w:bCs/>
          <w:kern w:val="1"/>
          <w:sz w:val="30"/>
          <w:szCs w:val="30"/>
        </w:rPr>
      </w:pPr>
      <w:r>
        <w:rPr>
          <w:rFonts w:hint="eastAsia" w:ascii="仿宋" w:hAnsi="仿宋" w:cs="仿宋"/>
          <w:bCs/>
          <w:kern w:val="1"/>
          <w:sz w:val="30"/>
          <w:szCs w:val="30"/>
        </w:rPr>
        <w:t>（八）本次招标解释权归江苏索普（集团）有限公司商务合作部所有</w:t>
      </w:r>
      <w:r>
        <w:rPr>
          <w:rFonts w:hint="eastAsia" w:ascii="仿宋" w:hAnsi="仿宋" w:cs="仿宋"/>
          <w:bCs/>
          <w:sz w:val="30"/>
          <w:szCs w:val="30"/>
        </w:rPr>
        <w:t>。</w:t>
      </w:r>
    </w:p>
    <w:p w14:paraId="456DE8DA">
      <w:pPr>
        <w:adjustRightInd w:val="0"/>
        <w:snapToGrid w:val="0"/>
        <w:spacing w:line="600" w:lineRule="exact"/>
        <w:ind w:firstLine="600"/>
        <w:rPr>
          <w:rFonts w:ascii="仿宋" w:hAnsi="仿宋" w:cs="仿宋"/>
          <w:bCs/>
          <w:kern w:val="1"/>
          <w:sz w:val="30"/>
          <w:szCs w:val="30"/>
        </w:rPr>
      </w:pPr>
      <w:r>
        <w:rPr>
          <w:rFonts w:hint="eastAsia" w:ascii="仿宋" w:hAnsi="仿宋" w:cs="仿宋"/>
          <w:bCs/>
          <w:kern w:val="1"/>
          <w:sz w:val="30"/>
          <w:szCs w:val="30"/>
        </w:rPr>
        <w:t>（九）本次招标中标信息公示网址：</w:t>
      </w:r>
      <w:r>
        <w:fldChar w:fldCharType="begin"/>
      </w:r>
      <w:r>
        <w:instrText xml:space="preserve"> HYPERLINK "http://www.sopo.com.cn/list/91-93.html。" </w:instrText>
      </w:r>
      <w:r>
        <w:fldChar w:fldCharType="separate"/>
      </w:r>
      <w:r>
        <w:rPr>
          <w:rStyle w:val="15"/>
          <w:rFonts w:ascii="仿宋" w:hAnsi="仿宋" w:cs="仿宋"/>
          <w:bCs/>
          <w:color w:val="auto"/>
          <w:kern w:val="1"/>
          <w:sz w:val="30"/>
          <w:szCs w:val="30"/>
          <w:u w:val="none"/>
        </w:rPr>
        <w:t>http://www.sopo.com.cn/list/91-93.html</w:t>
      </w:r>
      <w:r>
        <w:rPr>
          <w:rStyle w:val="15"/>
          <w:rFonts w:hint="eastAsia" w:ascii="仿宋" w:hAnsi="仿宋" w:cs="仿宋"/>
          <w:bCs/>
          <w:color w:val="auto"/>
          <w:kern w:val="1"/>
          <w:sz w:val="30"/>
          <w:szCs w:val="30"/>
          <w:u w:val="none"/>
        </w:rPr>
        <w:t>。</w:t>
      </w:r>
      <w:r>
        <w:rPr>
          <w:rStyle w:val="15"/>
          <w:rFonts w:hint="eastAsia" w:ascii="仿宋" w:hAnsi="仿宋" w:cs="仿宋"/>
          <w:bCs/>
          <w:color w:val="auto"/>
          <w:kern w:val="1"/>
          <w:sz w:val="30"/>
          <w:szCs w:val="30"/>
          <w:u w:val="none"/>
        </w:rPr>
        <w:fldChar w:fldCharType="end"/>
      </w:r>
    </w:p>
    <w:p w14:paraId="616EEEC4">
      <w:pPr>
        <w:ind w:firstLine="480"/>
      </w:pPr>
    </w:p>
    <w:p w14:paraId="3A983268">
      <w:pPr>
        <w:ind w:firstLine="680"/>
        <w:rPr>
          <w:rFonts w:ascii="黑体" w:hAnsi="黑体" w:eastAsia="黑体" w:cs="黑体"/>
          <w:bCs/>
          <w:kern w:val="0"/>
          <w:sz w:val="34"/>
          <w:szCs w:val="34"/>
        </w:rPr>
      </w:pPr>
      <w:r>
        <w:rPr>
          <w:rFonts w:hint="eastAsia" w:ascii="黑体" w:hAnsi="黑体" w:eastAsia="黑体" w:cs="黑体"/>
          <w:bCs/>
          <w:kern w:val="0"/>
          <w:sz w:val="34"/>
          <w:szCs w:val="34"/>
        </w:rPr>
        <w:br w:type="page"/>
      </w:r>
    </w:p>
    <w:p w14:paraId="06C4AE82">
      <w:pPr>
        <w:tabs>
          <w:tab w:val="left" w:pos="180"/>
        </w:tabs>
        <w:wordWrap w:val="0"/>
        <w:adjustRightInd w:val="0"/>
        <w:snapToGrid w:val="0"/>
        <w:spacing w:line="540" w:lineRule="exact"/>
        <w:ind w:firstLine="880"/>
        <w:jc w:val="center"/>
        <w:rPr>
          <w:rFonts w:ascii="黑体" w:hAnsi="黑体" w:eastAsia="黑体" w:cs="黑体"/>
          <w:kern w:val="1"/>
          <w:sz w:val="44"/>
          <w:szCs w:val="44"/>
        </w:rPr>
      </w:pPr>
      <w:r>
        <w:rPr>
          <w:rFonts w:hint="eastAsia" w:ascii="黑体" w:hAnsi="黑体" w:eastAsia="黑体" w:cs="黑体"/>
          <w:kern w:val="1"/>
          <w:sz w:val="44"/>
          <w:szCs w:val="44"/>
        </w:rPr>
        <w:t>报价函</w:t>
      </w:r>
    </w:p>
    <w:p w14:paraId="3382C8AB">
      <w:pPr>
        <w:pStyle w:val="2"/>
      </w:pPr>
    </w:p>
    <w:p w14:paraId="0217E1C3">
      <w:pPr>
        <w:tabs>
          <w:tab w:val="left" w:pos="180"/>
        </w:tabs>
        <w:wordWrap w:val="0"/>
        <w:adjustRightInd w:val="0"/>
        <w:snapToGrid w:val="0"/>
        <w:spacing w:line="540" w:lineRule="exact"/>
        <w:ind w:firstLine="0" w:firstLineChars="0"/>
        <w:rPr>
          <w:rFonts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江苏索普（集团）有限公司：</w:t>
      </w:r>
    </w:p>
    <w:p w14:paraId="57AAC643">
      <w:pPr>
        <w:wordWrap w:val="0"/>
        <w:adjustRightInd w:val="0"/>
        <w:snapToGrid w:val="0"/>
        <w:spacing w:line="540" w:lineRule="exact"/>
        <w:ind w:firstLine="600"/>
        <w:jc w:val="left"/>
        <w:rPr>
          <w:rFonts w:ascii="仿宋_GB2312" w:hAnsi="仿宋_GB2312" w:eastAsia="仿宋_GB2312" w:cs="仿宋_GB2312"/>
          <w:kern w:val="1"/>
          <w:sz w:val="30"/>
          <w:szCs w:val="30"/>
        </w:rPr>
      </w:pPr>
      <w:r>
        <w:rPr>
          <w:rFonts w:hint="eastAsia" w:ascii="仿宋_GB2312" w:hAnsi="仿宋_GB2312" w:eastAsia="仿宋_GB2312" w:cs="仿宋_GB2312"/>
          <w:kern w:val="1"/>
          <w:sz w:val="30"/>
          <w:szCs w:val="30"/>
          <w:u w:val="single"/>
        </w:rPr>
        <w:t>(投标单位全称)</w:t>
      </w:r>
      <w:r>
        <w:rPr>
          <w:rFonts w:hint="eastAsia" w:ascii="仿宋_GB2312" w:hAnsi="仿宋_GB2312" w:eastAsia="仿宋_GB2312" w:cs="仿宋_GB2312"/>
          <w:kern w:val="1"/>
          <w:sz w:val="30"/>
          <w:szCs w:val="30"/>
        </w:rPr>
        <w:t>授权</w:t>
      </w:r>
      <w:r>
        <w:rPr>
          <w:rFonts w:hint="eastAsia" w:ascii="仿宋_GB2312" w:hAnsi="仿宋_GB2312" w:eastAsia="仿宋_GB2312" w:cs="仿宋_GB2312"/>
          <w:kern w:val="1"/>
          <w:sz w:val="30"/>
          <w:szCs w:val="30"/>
          <w:u w:val="single"/>
        </w:rPr>
        <w:t>(全权代表姓名)(职务、职称)</w:t>
      </w:r>
      <w:r>
        <w:rPr>
          <w:rFonts w:hint="eastAsia" w:ascii="仿宋_GB2312" w:hAnsi="仿宋_GB2312" w:eastAsia="仿宋_GB2312" w:cs="仿宋_GB2312"/>
          <w:kern w:val="1"/>
          <w:sz w:val="30"/>
          <w:szCs w:val="30"/>
        </w:rPr>
        <w:t>为全权代表，参加贵方组织的招标有关活动，并对该项目进行投标。</w:t>
      </w:r>
    </w:p>
    <w:p w14:paraId="2C9C26A2">
      <w:pPr>
        <w:wordWrap w:val="0"/>
        <w:adjustRightInd w:val="0"/>
        <w:snapToGrid w:val="0"/>
        <w:spacing w:line="540" w:lineRule="exact"/>
        <w:ind w:firstLine="600"/>
        <w:jc w:val="left"/>
        <w:rPr>
          <w:rFonts w:ascii="仿宋_GB2312" w:hAnsi="仿宋_GB2312" w:eastAsia="仿宋_GB2312" w:cs="仿宋_GB2312"/>
          <w:b/>
          <w:kern w:val="1"/>
          <w:sz w:val="30"/>
          <w:szCs w:val="30"/>
        </w:rPr>
      </w:pPr>
      <w:r>
        <w:rPr>
          <w:rFonts w:hint="eastAsia" w:ascii="仿宋_GB2312" w:hAnsi="仿宋_GB2312" w:eastAsia="仿宋_GB2312" w:cs="仿宋_GB2312"/>
          <w:kern w:val="1"/>
          <w:sz w:val="30"/>
          <w:szCs w:val="30"/>
        </w:rPr>
        <w:t>1、投标项目的总投标价（含税）为</w:t>
      </w:r>
      <w:r>
        <w:rPr>
          <w:rFonts w:ascii="仿宋_GB2312" w:hAnsi="仿宋_GB2312" w:eastAsia="仿宋_GB2312" w:cs="仿宋_GB2312"/>
          <w:kern w:val="1"/>
          <w:sz w:val="30"/>
          <w:szCs w:val="30"/>
          <w:u w:val="single"/>
        </w:rPr>
        <w:softHyphen/>
      </w:r>
      <w:r>
        <w:rPr>
          <w:rFonts w:hint="eastAsia" w:ascii="仿宋_GB2312" w:hAnsi="仿宋_GB2312" w:eastAsia="仿宋_GB2312" w:cs="仿宋_GB2312"/>
          <w:kern w:val="1"/>
          <w:sz w:val="30"/>
          <w:szCs w:val="30"/>
          <w:u w:val="single"/>
        </w:rPr>
        <w:t xml:space="preserve">       </w:t>
      </w:r>
      <w:r>
        <w:rPr>
          <w:rFonts w:hint="eastAsia" w:ascii="仿宋_GB2312" w:hAnsi="仿宋_GB2312" w:eastAsia="仿宋_GB2312" w:cs="仿宋_GB2312"/>
          <w:kern w:val="1"/>
          <w:sz w:val="30"/>
          <w:szCs w:val="30"/>
        </w:rPr>
        <w:t>(大写)：</w:t>
      </w:r>
      <w:r>
        <w:rPr>
          <w:rFonts w:hint="eastAsia" w:ascii="仿宋_GB2312" w:hAnsi="仿宋_GB2312" w:eastAsia="仿宋_GB2312" w:cs="仿宋_GB2312"/>
          <w:kern w:val="1"/>
          <w:sz w:val="30"/>
          <w:szCs w:val="30"/>
          <w:u w:val="single"/>
        </w:rPr>
        <w:t xml:space="preserve">      </w:t>
      </w:r>
      <w:r>
        <w:rPr>
          <w:rFonts w:hint="eastAsia" w:ascii="仿宋_GB2312" w:hAnsi="仿宋_GB2312" w:eastAsia="仿宋_GB2312" w:cs="仿宋_GB2312"/>
          <w:kern w:val="1"/>
          <w:sz w:val="30"/>
          <w:szCs w:val="30"/>
        </w:rPr>
        <w:t>元人民币；税率</w:t>
      </w:r>
      <w:r>
        <w:rPr>
          <w:rFonts w:hint="eastAsia" w:ascii="仿宋_GB2312" w:hAnsi="仿宋_GB2312" w:eastAsia="仿宋_GB2312" w:cs="仿宋_GB2312"/>
          <w:kern w:val="1"/>
          <w:sz w:val="30"/>
          <w:szCs w:val="30"/>
          <w:u w:val="single"/>
        </w:rPr>
        <w:t xml:space="preserve">       </w:t>
      </w:r>
      <w:r>
        <w:rPr>
          <w:rFonts w:hint="eastAsia" w:ascii="仿宋_GB2312" w:hAnsi="仿宋_GB2312" w:eastAsia="仿宋_GB2312" w:cs="仿宋_GB2312"/>
          <w:kern w:val="1"/>
          <w:sz w:val="30"/>
          <w:szCs w:val="30"/>
        </w:rPr>
        <w:t>%，如有分项报价，请另附分项报价清单；</w:t>
      </w:r>
    </w:p>
    <w:p w14:paraId="0575130E">
      <w:pPr>
        <w:wordWrap w:val="0"/>
        <w:adjustRightInd w:val="0"/>
        <w:snapToGrid w:val="0"/>
        <w:spacing w:line="540" w:lineRule="exact"/>
        <w:ind w:firstLine="600"/>
        <w:jc w:val="left"/>
        <w:rPr>
          <w:rFonts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2、我方保证遵守招标文件中的全部规定；</w:t>
      </w:r>
    </w:p>
    <w:p w14:paraId="373C256A">
      <w:pPr>
        <w:wordWrap w:val="0"/>
        <w:adjustRightInd w:val="0"/>
        <w:snapToGrid w:val="0"/>
        <w:spacing w:line="540" w:lineRule="exact"/>
        <w:ind w:firstLine="600"/>
        <w:jc w:val="left"/>
        <w:rPr>
          <w:rFonts w:ascii="仿宋_GB2312" w:hAnsi="仿宋_GB2312" w:eastAsia="仿宋_GB2312" w:cs="仿宋_GB2312"/>
          <w:bCs/>
          <w:kern w:val="1"/>
          <w:sz w:val="30"/>
          <w:szCs w:val="30"/>
        </w:rPr>
      </w:pPr>
      <w:r>
        <w:rPr>
          <w:rFonts w:hint="eastAsia" w:ascii="仿宋_GB2312" w:hAnsi="仿宋_GB2312" w:eastAsia="仿宋_GB2312" w:cs="仿宋_GB2312"/>
          <w:bCs/>
          <w:kern w:val="1"/>
          <w:sz w:val="30"/>
          <w:szCs w:val="30"/>
        </w:rPr>
        <w:t>3、我方保证忠实地执行双方签订的合同,并承担合同规定的责任义务；</w:t>
      </w:r>
    </w:p>
    <w:p w14:paraId="0FFA17D5">
      <w:pPr>
        <w:wordWrap w:val="0"/>
        <w:adjustRightInd w:val="0"/>
        <w:snapToGrid w:val="0"/>
        <w:spacing w:line="540" w:lineRule="exact"/>
        <w:ind w:firstLine="600"/>
        <w:jc w:val="left"/>
        <w:rPr>
          <w:rFonts w:ascii="仿宋_GB2312" w:hAnsi="仿宋_GB2312" w:eastAsia="仿宋_GB2312" w:cs="仿宋_GB2312"/>
          <w:bCs/>
          <w:kern w:val="1"/>
          <w:sz w:val="30"/>
          <w:szCs w:val="30"/>
        </w:rPr>
      </w:pPr>
      <w:r>
        <w:rPr>
          <w:rFonts w:hint="eastAsia" w:ascii="仿宋_GB2312" w:hAnsi="仿宋_GB2312" w:eastAsia="仿宋_GB2312" w:cs="仿宋_GB2312"/>
          <w:sz w:val="30"/>
          <w:szCs w:val="30"/>
          <w:shd w:val="clear" w:color="auto" w:fill="FFFFFF"/>
        </w:rPr>
        <w:t>4、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295E98F4">
      <w:pPr>
        <w:wordWrap w:val="0"/>
        <w:adjustRightInd w:val="0"/>
        <w:snapToGrid w:val="0"/>
        <w:spacing w:line="540" w:lineRule="exact"/>
        <w:ind w:firstLine="600"/>
        <w:jc w:val="left"/>
        <w:rPr>
          <w:rFonts w:ascii="仿宋_GB2312" w:hAnsi="仿宋_GB2312" w:eastAsia="仿宋_GB2312" w:cs="仿宋_GB2312"/>
          <w:sz w:val="30"/>
          <w:szCs w:val="30"/>
          <w:shd w:val="clear" w:color="auto" w:fill="FFFFFF"/>
        </w:rPr>
      </w:pPr>
      <w:r>
        <w:rPr>
          <w:rFonts w:hint="eastAsia" w:ascii="仿宋_GB2312" w:hAnsi="仿宋_GB2312" w:eastAsia="仿宋_GB2312" w:cs="仿宋_GB2312"/>
          <w:bCs/>
          <w:kern w:val="1"/>
          <w:sz w:val="30"/>
          <w:szCs w:val="30"/>
        </w:rPr>
        <w:t>5、愿意向贵方提供任何与该项投标有关的数据、情况和技术资料，</w:t>
      </w:r>
      <w:r>
        <w:rPr>
          <w:rFonts w:hint="eastAsia" w:ascii="仿宋_GB2312" w:hAnsi="仿宋_GB2312" w:eastAsia="仿宋_GB2312" w:cs="仿宋_GB2312"/>
          <w:sz w:val="30"/>
          <w:szCs w:val="30"/>
          <w:shd w:val="clear" w:color="auto" w:fill="FFFFFF"/>
        </w:rPr>
        <w:t>完全理解贵方不一定接受最低价的报价或收到的任何报价。</w:t>
      </w:r>
    </w:p>
    <w:p w14:paraId="4CF8955A">
      <w:pPr>
        <w:pStyle w:val="5"/>
        <w:adjustRightInd w:val="0"/>
        <w:snapToGrid w:val="0"/>
        <w:spacing w:after="0" w:line="540" w:lineRule="exact"/>
        <w:ind w:firstLine="600"/>
        <w:rPr>
          <w:rFonts w:ascii="仿宋_GB2312" w:hAnsi="仿宋_GB2312" w:eastAsia="仿宋_GB2312" w:cs="仿宋_GB2312"/>
          <w:kern w:val="1"/>
          <w:sz w:val="30"/>
          <w:szCs w:val="30"/>
          <w:u w:val="single"/>
        </w:rPr>
      </w:pPr>
      <w:r>
        <w:rPr>
          <w:rFonts w:hint="eastAsia" w:ascii="仿宋_GB2312" w:hAnsi="仿宋_GB2312" w:eastAsia="仿宋_GB2312" w:cs="仿宋_GB2312"/>
          <w:sz w:val="30"/>
          <w:szCs w:val="30"/>
          <w:shd w:val="clear" w:color="auto" w:fill="FFFFFF"/>
        </w:rPr>
        <w:t>6、</w:t>
      </w:r>
      <w:r>
        <w:rPr>
          <w:rFonts w:hint="eastAsia" w:ascii="仿宋_GB2312" w:hAnsi="仿宋_GB2312" w:eastAsia="仿宋_GB2312" w:cs="仿宋_GB2312"/>
          <w:bCs/>
          <w:kern w:val="1"/>
          <w:sz w:val="30"/>
          <w:szCs w:val="30"/>
        </w:rPr>
        <w:t>对</w:t>
      </w:r>
      <w:r>
        <w:rPr>
          <w:rFonts w:hint="eastAsia" w:ascii="仿宋_GB2312" w:hAnsi="仿宋_GB2312" w:eastAsia="仿宋_GB2312" w:cs="仿宋_GB2312"/>
          <w:sz w:val="30"/>
          <w:szCs w:val="30"/>
          <w:shd w:val="clear" w:color="auto" w:fill="FFFFFF"/>
        </w:rPr>
        <w:t>自主公开招标文件</w:t>
      </w:r>
      <w:r>
        <w:rPr>
          <w:rFonts w:hint="eastAsia" w:ascii="仿宋_GB2312" w:hAnsi="仿宋_GB2312" w:eastAsia="仿宋_GB2312" w:cs="仿宋_GB2312"/>
          <w:bCs/>
          <w:kern w:val="1"/>
          <w:sz w:val="30"/>
          <w:szCs w:val="30"/>
        </w:rPr>
        <w:t>的不接受项：</w:t>
      </w:r>
      <w:r>
        <w:rPr>
          <w:rFonts w:hint="eastAsia" w:ascii="仿宋_GB2312" w:hAnsi="仿宋_GB2312" w:eastAsia="仿宋_GB2312" w:cs="仿宋_GB2312"/>
          <w:kern w:val="1"/>
          <w:sz w:val="30"/>
          <w:szCs w:val="30"/>
          <w:u w:val="single"/>
        </w:rPr>
        <w:t xml:space="preserve">                                              </w:t>
      </w:r>
    </w:p>
    <w:p w14:paraId="5E785408">
      <w:pPr>
        <w:pStyle w:val="5"/>
        <w:adjustRightInd w:val="0"/>
        <w:snapToGrid w:val="0"/>
        <w:spacing w:after="0" w:line="540" w:lineRule="exact"/>
        <w:ind w:firstLine="600"/>
        <w:rPr>
          <w:rFonts w:eastAsia="仿宋_GB2312"/>
        </w:rPr>
      </w:pPr>
      <w:r>
        <w:rPr>
          <w:rFonts w:hint="eastAsia" w:ascii="仿宋_GB2312" w:hAnsi="仿宋_GB2312" w:eastAsia="仿宋_GB2312" w:cs="仿宋_GB2312"/>
          <w:kern w:val="1"/>
          <w:sz w:val="30"/>
          <w:szCs w:val="30"/>
          <w:u w:val="single"/>
        </w:rPr>
        <w:t xml:space="preserve">                                                              </w:t>
      </w:r>
    </w:p>
    <w:p w14:paraId="7D51399D">
      <w:pPr>
        <w:wordWrap w:val="0"/>
        <w:adjustRightInd w:val="0"/>
        <w:snapToGrid w:val="0"/>
        <w:spacing w:beforeLines="50" w:line="540" w:lineRule="exact"/>
        <w:ind w:firstLine="600"/>
        <w:jc w:val="left"/>
        <w:rPr>
          <w:rFonts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全权代表（签字）：</w:t>
      </w:r>
    </w:p>
    <w:p w14:paraId="212C93CB">
      <w:pPr>
        <w:wordWrap w:val="0"/>
        <w:adjustRightInd w:val="0"/>
        <w:snapToGrid w:val="0"/>
        <w:spacing w:beforeLines="50" w:line="540" w:lineRule="exact"/>
        <w:ind w:firstLine="600"/>
        <w:jc w:val="left"/>
        <w:rPr>
          <w:rFonts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联系电话：</w:t>
      </w:r>
    </w:p>
    <w:p w14:paraId="07497E8F">
      <w:pPr>
        <w:wordWrap w:val="0"/>
        <w:adjustRightInd w:val="0"/>
        <w:snapToGrid w:val="0"/>
        <w:spacing w:beforeLines="50" w:line="540" w:lineRule="exact"/>
        <w:ind w:firstLine="600"/>
        <w:jc w:val="left"/>
        <w:rPr>
          <w:rFonts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投标单位（盖章）：</w:t>
      </w:r>
    </w:p>
    <w:p w14:paraId="35ABA07A">
      <w:pPr>
        <w:wordWrap w:val="0"/>
        <w:adjustRightInd w:val="0"/>
        <w:snapToGrid w:val="0"/>
        <w:spacing w:beforeLines="50" w:line="540" w:lineRule="exact"/>
        <w:ind w:firstLine="600"/>
        <w:jc w:val="left"/>
        <w:rPr>
          <w:rFonts w:ascii="仿宋_GB2312" w:hAnsi="仿宋_GB2312" w:eastAsia="仿宋_GB2312" w:cs="仿宋_GB2312"/>
          <w:bCs/>
          <w:kern w:val="1"/>
          <w:sz w:val="30"/>
          <w:szCs w:val="30"/>
        </w:rPr>
      </w:pPr>
      <w:r>
        <w:rPr>
          <w:rFonts w:hint="eastAsia" w:ascii="仿宋_GB2312" w:hAnsi="仿宋_GB2312" w:eastAsia="仿宋_GB2312" w:cs="仿宋_GB2312"/>
          <w:kern w:val="1"/>
          <w:sz w:val="30"/>
          <w:szCs w:val="30"/>
        </w:rPr>
        <w:t>日期：</w:t>
      </w:r>
    </w:p>
    <w:p w14:paraId="691D9C7E">
      <w:pPr>
        <w:ind w:firstLine="480"/>
      </w:pPr>
      <w:r>
        <w:br w:type="page"/>
      </w:r>
    </w:p>
    <w:p w14:paraId="70C5FD09">
      <w:pPr>
        <w:ind w:firstLine="0" w:firstLineChars="0"/>
        <w:rPr>
          <w:rFonts w:ascii="黑体" w:hAnsi="黑体" w:eastAsia="黑体" w:cs="黑体"/>
          <w:bCs/>
          <w:sz w:val="34"/>
          <w:szCs w:val="44"/>
        </w:rPr>
      </w:pPr>
      <w:r>
        <w:rPr>
          <w:rFonts w:hint="eastAsia" w:ascii="黑体" w:hAnsi="黑体" w:eastAsia="黑体" w:cs="黑体"/>
          <w:bCs/>
          <w:sz w:val="34"/>
          <w:szCs w:val="44"/>
        </w:rPr>
        <w:t>附件1</w:t>
      </w:r>
    </w:p>
    <w:p w14:paraId="72EADAF8">
      <w:pPr>
        <w:pStyle w:val="2"/>
      </w:pPr>
    </w:p>
    <w:p w14:paraId="366560CF">
      <w:pPr>
        <w:ind w:firstLine="0" w:firstLineChars="0"/>
        <w:jc w:val="center"/>
        <w:rPr>
          <w:rFonts w:ascii="黑体" w:hAnsi="黑体" w:eastAsia="黑体" w:cs="黑体"/>
          <w:bCs/>
          <w:sz w:val="44"/>
          <w:szCs w:val="44"/>
        </w:rPr>
      </w:pPr>
      <w:r>
        <w:rPr>
          <w:rFonts w:hint="eastAsia" w:ascii="黑体" w:hAnsi="黑体" w:eastAsia="黑体" w:cs="黑体"/>
          <w:bCs/>
          <w:sz w:val="44"/>
          <w:szCs w:val="44"/>
        </w:rPr>
        <w:t>1.人员配备一览表</w:t>
      </w:r>
    </w:p>
    <w:tbl>
      <w:tblPr>
        <w:tblStyle w:val="12"/>
        <w:tblW w:w="93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1"/>
        <w:gridCol w:w="1255"/>
        <w:gridCol w:w="753"/>
        <w:gridCol w:w="1350"/>
        <w:gridCol w:w="1411"/>
        <w:gridCol w:w="2259"/>
        <w:gridCol w:w="1506"/>
      </w:tblGrid>
      <w:tr w14:paraId="484A5D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861" w:type="dxa"/>
            <w:tcBorders>
              <w:top w:val="single" w:color="auto" w:sz="4" w:space="0"/>
              <w:left w:val="single" w:color="auto" w:sz="4" w:space="0"/>
              <w:bottom w:val="single" w:color="auto" w:sz="4" w:space="0"/>
              <w:right w:val="single" w:color="auto" w:sz="4" w:space="0"/>
            </w:tcBorders>
            <w:vAlign w:val="center"/>
          </w:tcPr>
          <w:p w14:paraId="514B0AA0">
            <w:pPr>
              <w:ind w:firstLine="0" w:firstLineChars="0"/>
              <w:jc w:val="center"/>
              <w:rPr>
                <w:rFonts w:ascii="宋体" w:hAnsi="宋体" w:eastAsia="宋体"/>
                <w:bCs/>
              </w:rPr>
            </w:pPr>
            <w:r>
              <w:rPr>
                <w:rFonts w:hint="eastAsia" w:ascii="宋体" w:hAnsi="宋体" w:eastAsia="宋体"/>
                <w:bCs/>
              </w:rPr>
              <w:t>序号</w:t>
            </w:r>
          </w:p>
        </w:tc>
        <w:tc>
          <w:tcPr>
            <w:tcW w:w="1255" w:type="dxa"/>
            <w:tcBorders>
              <w:top w:val="single" w:color="auto" w:sz="4" w:space="0"/>
              <w:left w:val="single" w:color="auto" w:sz="4" w:space="0"/>
              <w:bottom w:val="single" w:color="auto" w:sz="4" w:space="0"/>
              <w:right w:val="single" w:color="auto" w:sz="4" w:space="0"/>
            </w:tcBorders>
            <w:vAlign w:val="center"/>
          </w:tcPr>
          <w:p w14:paraId="36C10263">
            <w:pPr>
              <w:ind w:firstLine="0" w:firstLineChars="0"/>
              <w:jc w:val="center"/>
              <w:rPr>
                <w:rFonts w:ascii="宋体" w:hAnsi="宋体" w:eastAsia="宋体"/>
                <w:bCs/>
              </w:rPr>
            </w:pPr>
            <w:r>
              <w:rPr>
                <w:rFonts w:hint="eastAsia" w:ascii="宋体" w:hAnsi="宋体" w:eastAsia="宋体"/>
                <w:bCs/>
              </w:rPr>
              <w:t>岗位</w:t>
            </w:r>
          </w:p>
        </w:tc>
        <w:tc>
          <w:tcPr>
            <w:tcW w:w="753" w:type="dxa"/>
            <w:tcBorders>
              <w:top w:val="single" w:color="auto" w:sz="4" w:space="0"/>
              <w:left w:val="single" w:color="auto" w:sz="4" w:space="0"/>
              <w:bottom w:val="single" w:color="auto" w:sz="4" w:space="0"/>
              <w:right w:val="single" w:color="auto" w:sz="4" w:space="0"/>
            </w:tcBorders>
            <w:vAlign w:val="center"/>
          </w:tcPr>
          <w:p w14:paraId="11D1369B">
            <w:pPr>
              <w:ind w:firstLine="0" w:firstLineChars="0"/>
              <w:jc w:val="center"/>
              <w:rPr>
                <w:rFonts w:ascii="宋体" w:hAnsi="宋体" w:eastAsia="宋体"/>
                <w:bCs/>
              </w:rPr>
            </w:pPr>
            <w:r>
              <w:rPr>
                <w:rFonts w:hint="eastAsia" w:ascii="宋体" w:hAnsi="宋体" w:eastAsia="宋体"/>
                <w:bCs/>
              </w:rPr>
              <w:t>数量</w:t>
            </w:r>
          </w:p>
        </w:tc>
        <w:tc>
          <w:tcPr>
            <w:tcW w:w="1350" w:type="dxa"/>
            <w:tcBorders>
              <w:top w:val="single" w:color="auto" w:sz="4" w:space="0"/>
              <w:left w:val="single" w:color="auto" w:sz="4" w:space="0"/>
              <w:bottom w:val="single" w:color="auto" w:sz="4" w:space="0"/>
              <w:right w:val="single" w:color="auto" w:sz="4" w:space="0"/>
            </w:tcBorders>
            <w:vAlign w:val="center"/>
          </w:tcPr>
          <w:p w14:paraId="140A3BDE">
            <w:pPr>
              <w:ind w:firstLine="0" w:firstLineChars="0"/>
              <w:jc w:val="center"/>
              <w:rPr>
                <w:rFonts w:ascii="宋体" w:hAnsi="宋体" w:eastAsia="宋体"/>
                <w:bCs/>
              </w:rPr>
            </w:pPr>
            <w:r>
              <w:rPr>
                <w:rFonts w:hint="eastAsia" w:ascii="宋体" w:hAnsi="宋体" w:eastAsia="宋体"/>
                <w:bCs/>
              </w:rPr>
              <w:t>年龄</w:t>
            </w:r>
          </w:p>
        </w:tc>
        <w:tc>
          <w:tcPr>
            <w:tcW w:w="1411" w:type="dxa"/>
            <w:tcBorders>
              <w:top w:val="single" w:color="auto" w:sz="4" w:space="0"/>
              <w:left w:val="single" w:color="auto" w:sz="4" w:space="0"/>
              <w:bottom w:val="single" w:color="auto" w:sz="4" w:space="0"/>
              <w:right w:val="single" w:color="auto" w:sz="4" w:space="0"/>
            </w:tcBorders>
            <w:vAlign w:val="center"/>
          </w:tcPr>
          <w:p w14:paraId="6D0E03AD">
            <w:pPr>
              <w:ind w:firstLine="0" w:firstLineChars="0"/>
              <w:jc w:val="center"/>
              <w:rPr>
                <w:rFonts w:ascii="宋体" w:hAnsi="宋体" w:eastAsia="宋体"/>
                <w:bCs/>
              </w:rPr>
            </w:pPr>
            <w:r>
              <w:rPr>
                <w:rFonts w:hint="eastAsia" w:ascii="宋体" w:hAnsi="宋体" w:eastAsia="宋体"/>
                <w:bCs/>
              </w:rPr>
              <w:t>性别</w:t>
            </w:r>
          </w:p>
        </w:tc>
        <w:tc>
          <w:tcPr>
            <w:tcW w:w="2259" w:type="dxa"/>
            <w:tcBorders>
              <w:top w:val="single" w:color="auto" w:sz="4" w:space="0"/>
              <w:left w:val="single" w:color="auto" w:sz="4" w:space="0"/>
              <w:bottom w:val="single" w:color="auto" w:sz="4" w:space="0"/>
              <w:right w:val="single" w:color="auto" w:sz="4" w:space="0"/>
            </w:tcBorders>
            <w:vAlign w:val="center"/>
          </w:tcPr>
          <w:p w14:paraId="121E7819">
            <w:pPr>
              <w:ind w:firstLine="0" w:firstLineChars="0"/>
              <w:jc w:val="center"/>
              <w:rPr>
                <w:rFonts w:ascii="宋体" w:hAnsi="宋体" w:eastAsia="宋体"/>
                <w:bCs/>
              </w:rPr>
            </w:pPr>
            <w:r>
              <w:rPr>
                <w:rFonts w:hint="eastAsia" w:ascii="宋体" w:hAnsi="宋体" w:eastAsia="宋体"/>
                <w:bCs/>
              </w:rPr>
              <w:t>基本要求</w:t>
            </w:r>
          </w:p>
        </w:tc>
        <w:tc>
          <w:tcPr>
            <w:tcW w:w="1506" w:type="dxa"/>
            <w:tcBorders>
              <w:top w:val="single" w:color="auto" w:sz="4" w:space="0"/>
              <w:left w:val="single" w:color="auto" w:sz="4" w:space="0"/>
              <w:bottom w:val="single" w:color="auto" w:sz="4" w:space="0"/>
              <w:right w:val="single" w:color="auto" w:sz="4" w:space="0"/>
            </w:tcBorders>
            <w:vAlign w:val="center"/>
          </w:tcPr>
          <w:p w14:paraId="62FC66A5">
            <w:pPr>
              <w:ind w:firstLine="0" w:firstLineChars="0"/>
              <w:jc w:val="center"/>
              <w:rPr>
                <w:rFonts w:ascii="宋体" w:hAnsi="宋体" w:eastAsia="宋体"/>
                <w:bCs/>
              </w:rPr>
            </w:pPr>
            <w:r>
              <w:rPr>
                <w:rFonts w:hint="eastAsia" w:ascii="宋体" w:hAnsi="宋体" w:eastAsia="宋体"/>
                <w:bCs/>
              </w:rPr>
              <w:t>备注</w:t>
            </w:r>
          </w:p>
        </w:tc>
      </w:tr>
      <w:tr w14:paraId="4BB42D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1" w:type="dxa"/>
            <w:tcBorders>
              <w:top w:val="single" w:color="auto" w:sz="4" w:space="0"/>
              <w:left w:val="single" w:color="auto" w:sz="4" w:space="0"/>
              <w:bottom w:val="single" w:color="auto" w:sz="4" w:space="0"/>
              <w:right w:val="single" w:color="auto" w:sz="4" w:space="0"/>
            </w:tcBorders>
            <w:vAlign w:val="center"/>
          </w:tcPr>
          <w:p w14:paraId="01BCBC3A">
            <w:pPr>
              <w:ind w:firstLine="0" w:firstLineChars="0"/>
              <w:jc w:val="center"/>
              <w:rPr>
                <w:rFonts w:ascii="宋体" w:hAnsi="宋体" w:eastAsia="宋体"/>
                <w:bCs/>
              </w:rPr>
            </w:pPr>
            <w:r>
              <w:rPr>
                <w:rFonts w:hint="eastAsia" w:ascii="宋体" w:hAnsi="宋体" w:eastAsia="宋体"/>
                <w:bCs/>
              </w:rPr>
              <w:t>1</w:t>
            </w:r>
          </w:p>
        </w:tc>
        <w:tc>
          <w:tcPr>
            <w:tcW w:w="1255" w:type="dxa"/>
            <w:tcBorders>
              <w:top w:val="single" w:color="auto" w:sz="4" w:space="0"/>
              <w:left w:val="single" w:color="auto" w:sz="4" w:space="0"/>
              <w:bottom w:val="single" w:color="auto" w:sz="4" w:space="0"/>
              <w:right w:val="single" w:color="auto" w:sz="4" w:space="0"/>
            </w:tcBorders>
            <w:vAlign w:val="center"/>
          </w:tcPr>
          <w:p w14:paraId="3895DE83">
            <w:pPr>
              <w:ind w:firstLine="0" w:firstLineChars="0"/>
              <w:jc w:val="center"/>
              <w:rPr>
                <w:rFonts w:ascii="宋体" w:hAnsi="宋体" w:eastAsia="宋体"/>
                <w:bCs/>
              </w:rPr>
            </w:pPr>
          </w:p>
        </w:tc>
        <w:tc>
          <w:tcPr>
            <w:tcW w:w="753" w:type="dxa"/>
            <w:tcBorders>
              <w:top w:val="single" w:color="auto" w:sz="4" w:space="0"/>
              <w:left w:val="single" w:color="auto" w:sz="4" w:space="0"/>
              <w:bottom w:val="single" w:color="auto" w:sz="4" w:space="0"/>
              <w:right w:val="single" w:color="auto" w:sz="4" w:space="0"/>
            </w:tcBorders>
            <w:vAlign w:val="center"/>
          </w:tcPr>
          <w:p w14:paraId="4EF874CA">
            <w:pPr>
              <w:ind w:firstLine="0" w:firstLineChars="0"/>
              <w:jc w:val="center"/>
              <w:rPr>
                <w:rFonts w:ascii="宋体" w:hAnsi="宋体" w:eastAsia="宋体"/>
                <w:bCs/>
              </w:rPr>
            </w:pPr>
          </w:p>
        </w:tc>
        <w:tc>
          <w:tcPr>
            <w:tcW w:w="1350" w:type="dxa"/>
            <w:tcBorders>
              <w:top w:val="single" w:color="auto" w:sz="4" w:space="0"/>
              <w:left w:val="single" w:color="auto" w:sz="4" w:space="0"/>
              <w:bottom w:val="single" w:color="auto" w:sz="4" w:space="0"/>
              <w:right w:val="single" w:color="auto" w:sz="4" w:space="0"/>
            </w:tcBorders>
            <w:vAlign w:val="center"/>
          </w:tcPr>
          <w:p w14:paraId="0DFD53C2">
            <w:pPr>
              <w:ind w:firstLine="0" w:firstLineChars="0"/>
              <w:jc w:val="center"/>
              <w:rPr>
                <w:rFonts w:ascii="宋体" w:hAnsi="宋体" w:eastAsia="宋体"/>
                <w:bCs/>
              </w:rPr>
            </w:pPr>
          </w:p>
        </w:tc>
        <w:tc>
          <w:tcPr>
            <w:tcW w:w="1411" w:type="dxa"/>
            <w:tcBorders>
              <w:top w:val="single" w:color="auto" w:sz="4" w:space="0"/>
              <w:left w:val="single" w:color="auto" w:sz="4" w:space="0"/>
              <w:bottom w:val="single" w:color="auto" w:sz="4" w:space="0"/>
              <w:right w:val="single" w:color="auto" w:sz="4" w:space="0"/>
            </w:tcBorders>
          </w:tcPr>
          <w:p w14:paraId="430A338D">
            <w:pPr>
              <w:ind w:firstLine="0" w:firstLineChars="0"/>
              <w:jc w:val="center"/>
              <w:rPr>
                <w:rFonts w:ascii="宋体" w:hAnsi="宋体" w:eastAsia="宋体"/>
                <w:bCs/>
              </w:rPr>
            </w:pPr>
          </w:p>
        </w:tc>
        <w:tc>
          <w:tcPr>
            <w:tcW w:w="2259" w:type="dxa"/>
            <w:tcBorders>
              <w:top w:val="single" w:color="auto" w:sz="4" w:space="0"/>
              <w:left w:val="single" w:color="auto" w:sz="4" w:space="0"/>
              <w:bottom w:val="single" w:color="auto" w:sz="4" w:space="0"/>
              <w:right w:val="single" w:color="auto" w:sz="4" w:space="0"/>
            </w:tcBorders>
            <w:vAlign w:val="center"/>
          </w:tcPr>
          <w:p w14:paraId="5D9D6371">
            <w:pPr>
              <w:ind w:firstLine="0" w:firstLineChars="0"/>
              <w:jc w:val="center"/>
              <w:rPr>
                <w:rFonts w:ascii="宋体" w:hAnsi="宋体" w:eastAsia="宋体"/>
                <w:bCs/>
              </w:rPr>
            </w:pPr>
          </w:p>
        </w:tc>
        <w:tc>
          <w:tcPr>
            <w:tcW w:w="1506" w:type="dxa"/>
            <w:tcBorders>
              <w:top w:val="single" w:color="auto" w:sz="4" w:space="0"/>
              <w:left w:val="single" w:color="auto" w:sz="4" w:space="0"/>
              <w:bottom w:val="single" w:color="auto" w:sz="4" w:space="0"/>
              <w:right w:val="single" w:color="auto" w:sz="4" w:space="0"/>
            </w:tcBorders>
            <w:vAlign w:val="center"/>
          </w:tcPr>
          <w:p w14:paraId="39598F2B">
            <w:pPr>
              <w:ind w:firstLine="0" w:firstLineChars="0"/>
              <w:jc w:val="center"/>
              <w:rPr>
                <w:rFonts w:ascii="宋体" w:hAnsi="宋体" w:eastAsia="宋体"/>
                <w:bCs/>
              </w:rPr>
            </w:pPr>
          </w:p>
        </w:tc>
      </w:tr>
      <w:tr w14:paraId="0F9154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1" w:type="dxa"/>
            <w:tcBorders>
              <w:top w:val="single" w:color="auto" w:sz="4" w:space="0"/>
              <w:left w:val="single" w:color="auto" w:sz="4" w:space="0"/>
              <w:bottom w:val="single" w:color="auto" w:sz="4" w:space="0"/>
              <w:right w:val="single" w:color="auto" w:sz="4" w:space="0"/>
            </w:tcBorders>
            <w:vAlign w:val="center"/>
          </w:tcPr>
          <w:p w14:paraId="6C7CEBFB">
            <w:pPr>
              <w:ind w:firstLine="0" w:firstLineChars="0"/>
              <w:jc w:val="center"/>
              <w:rPr>
                <w:rFonts w:ascii="宋体" w:hAnsi="宋体" w:eastAsia="宋体"/>
                <w:bCs/>
              </w:rPr>
            </w:pPr>
            <w:r>
              <w:rPr>
                <w:rFonts w:hint="eastAsia" w:ascii="宋体" w:hAnsi="宋体" w:eastAsia="宋体"/>
                <w:bCs/>
              </w:rPr>
              <w:t>2</w:t>
            </w:r>
          </w:p>
        </w:tc>
        <w:tc>
          <w:tcPr>
            <w:tcW w:w="1255" w:type="dxa"/>
            <w:tcBorders>
              <w:top w:val="single" w:color="auto" w:sz="4" w:space="0"/>
              <w:left w:val="single" w:color="auto" w:sz="4" w:space="0"/>
              <w:bottom w:val="single" w:color="auto" w:sz="4" w:space="0"/>
              <w:right w:val="single" w:color="auto" w:sz="4" w:space="0"/>
            </w:tcBorders>
            <w:vAlign w:val="center"/>
          </w:tcPr>
          <w:p w14:paraId="74EBCDA5">
            <w:pPr>
              <w:ind w:firstLine="0" w:firstLineChars="0"/>
              <w:jc w:val="center"/>
              <w:rPr>
                <w:rFonts w:ascii="宋体" w:hAnsi="宋体" w:eastAsia="宋体"/>
                <w:bCs/>
              </w:rPr>
            </w:pPr>
          </w:p>
        </w:tc>
        <w:tc>
          <w:tcPr>
            <w:tcW w:w="753" w:type="dxa"/>
            <w:tcBorders>
              <w:top w:val="single" w:color="auto" w:sz="4" w:space="0"/>
              <w:left w:val="single" w:color="auto" w:sz="4" w:space="0"/>
              <w:bottom w:val="single" w:color="auto" w:sz="4" w:space="0"/>
              <w:right w:val="single" w:color="auto" w:sz="4" w:space="0"/>
            </w:tcBorders>
            <w:vAlign w:val="center"/>
          </w:tcPr>
          <w:p w14:paraId="4C3C10FC">
            <w:pPr>
              <w:ind w:firstLine="0" w:firstLineChars="0"/>
              <w:jc w:val="center"/>
              <w:rPr>
                <w:rFonts w:ascii="宋体" w:hAnsi="宋体" w:eastAsia="宋体"/>
                <w:bCs/>
              </w:rPr>
            </w:pPr>
          </w:p>
        </w:tc>
        <w:tc>
          <w:tcPr>
            <w:tcW w:w="1350" w:type="dxa"/>
            <w:tcBorders>
              <w:top w:val="single" w:color="auto" w:sz="4" w:space="0"/>
              <w:left w:val="single" w:color="auto" w:sz="4" w:space="0"/>
              <w:bottom w:val="single" w:color="auto" w:sz="4" w:space="0"/>
              <w:right w:val="single" w:color="auto" w:sz="4" w:space="0"/>
            </w:tcBorders>
            <w:vAlign w:val="center"/>
          </w:tcPr>
          <w:p w14:paraId="74F2AC47">
            <w:pPr>
              <w:ind w:firstLine="0" w:firstLineChars="0"/>
              <w:jc w:val="center"/>
              <w:rPr>
                <w:rFonts w:ascii="宋体" w:hAnsi="宋体" w:eastAsia="宋体"/>
                <w:bCs/>
              </w:rPr>
            </w:pPr>
          </w:p>
        </w:tc>
        <w:tc>
          <w:tcPr>
            <w:tcW w:w="1411" w:type="dxa"/>
            <w:tcBorders>
              <w:top w:val="single" w:color="auto" w:sz="4" w:space="0"/>
              <w:left w:val="single" w:color="auto" w:sz="4" w:space="0"/>
              <w:bottom w:val="single" w:color="auto" w:sz="4" w:space="0"/>
              <w:right w:val="single" w:color="auto" w:sz="4" w:space="0"/>
            </w:tcBorders>
            <w:vAlign w:val="center"/>
          </w:tcPr>
          <w:p w14:paraId="6D1E6CA8">
            <w:pPr>
              <w:ind w:firstLine="0" w:firstLineChars="0"/>
              <w:jc w:val="center"/>
              <w:rPr>
                <w:rFonts w:ascii="宋体" w:hAnsi="宋体" w:eastAsia="宋体"/>
                <w:bCs/>
              </w:rPr>
            </w:pPr>
          </w:p>
        </w:tc>
        <w:tc>
          <w:tcPr>
            <w:tcW w:w="2259" w:type="dxa"/>
            <w:tcBorders>
              <w:top w:val="single" w:color="auto" w:sz="4" w:space="0"/>
              <w:left w:val="single" w:color="auto" w:sz="4" w:space="0"/>
              <w:bottom w:val="single" w:color="auto" w:sz="4" w:space="0"/>
              <w:right w:val="single" w:color="auto" w:sz="4" w:space="0"/>
            </w:tcBorders>
            <w:vAlign w:val="center"/>
          </w:tcPr>
          <w:p w14:paraId="3576B322">
            <w:pPr>
              <w:ind w:firstLine="0" w:firstLineChars="0"/>
              <w:jc w:val="center"/>
              <w:rPr>
                <w:rFonts w:ascii="宋体" w:hAnsi="宋体" w:eastAsia="宋体"/>
                <w:bCs/>
              </w:rPr>
            </w:pPr>
          </w:p>
        </w:tc>
        <w:tc>
          <w:tcPr>
            <w:tcW w:w="1506" w:type="dxa"/>
            <w:tcBorders>
              <w:top w:val="single" w:color="auto" w:sz="4" w:space="0"/>
              <w:left w:val="single" w:color="auto" w:sz="4" w:space="0"/>
              <w:bottom w:val="single" w:color="auto" w:sz="4" w:space="0"/>
              <w:right w:val="single" w:color="auto" w:sz="4" w:space="0"/>
            </w:tcBorders>
            <w:vAlign w:val="center"/>
          </w:tcPr>
          <w:p w14:paraId="74D959C0">
            <w:pPr>
              <w:ind w:firstLine="0" w:firstLineChars="0"/>
              <w:jc w:val="center"/>
              <w:rPr>
                <w:rFonts w:ascii="宋体" w:hAnsi="宋体" w:eastAsia="宋体"/>
                <w:bCs/>
              </w:rPr>
            </w:pPr>
          </w:p>
        </w:tc>
      </w:tr>
      <w:tr w14:paraId="0B71B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1" w:type="dxa"/>
            <w:tcBorders>
              <w:top w:val="single" w:color="auto" w:sz="4" w:space="0"/>
              <w:bottom w:val="single" w:color="auto" w:sz="4" w:space="0"/>
              <w:right w:val="single" w:color="auto" w:sz="4" w:space="0"/>
            </w:tcBorders>
          </w:tcPr>
          <w:p w14:paraId="2568050A">
            <w:pPr>
              <w:ind w:firstLine="0" w:firstLineChars="0"/>
              <w:jc w:val="center"/>
              <w:rPr>
                <w:rFonts w:ascii="宋体" w:hAnsi="宋体" w:eastAsia="宋体"/>
                <w:bCs/>
              </w:rPr>
            </w:pPr>
            <w:r>
              <w:rPr>
                <w:rFonts w:hint="eastAsia" w:ascii="宋体" w:hAnsi="宋体" w:eastAsia="宋体"/>
                <w:bCs/>
              </w:rPr>
              <w:t>3</w:t>
            </w:r>
          </w:p>
        </w:tc>
        <w:tc>
          <w:tcPr>
            <w:tcW w:w="1255" w:type="dxa"/>
            <w:tcBorders>
              <w:top w:val="single" w:color="auto" w:sz="4" w:space="0"/>
              <w:left w:val="single" w:color="auto" w:sz="4" w:space="0"/>
              <w:bottom w:val="single" w:color="auto" w:sz="4" w:space="0"/>
              <w:right w:val="single" w:color="auto" w:sz="4" w:space="0"/>
            </w:tcBorders>
          </w:tcPr>
          <w:p w14:paraId="1F3BE81A">
            <w:pPr>
              <w:ind w:firstLine="0" w:firstLineChars="0"/>
              <w:jc w:val="center"/>
              <w:rPr>
                <w:rFonts w:ascii="宋体" w:hAnsi="宋体" w:eastAsia="宋体"/>
                <w:bCs/>
              </w:rPr>
            </w:pPr>
          </w:p>
        </w:tc>
        <w:tc>
          <w:tcPr>
            <w:tcW w:w="753" w:type="dxa"/>
            <w:tcBorders>
              <w:top w:val="single" w:color="auto" w:sz="4" w:space="0"/>
              <w:left w:val="single" w:color="auto" w:sz="4" w:space="0"/>
              <w:bottom w:val="single" w:color="auto" w:sz="4" w:space="0"/>
              <w:right w:val="single" w:color="auto" w:sz="4" w:space="0"/>
            </w:tcBorders>
          </w:tcPr>
          <w:p w14:paraId="273E8CC7">
            <w:pPr>
              <w:ind w:firstLine="0" w:firstLineChars="0"/>
              <w:jc w:val="center"/>
              <w:rPr>
                <w:rFonts w:ascii="宋体" w:hAnsi="宋体" w:eastAsia="宋体"/>
                <w:bCs/>
              </w:rPr>
            </w:pPr>
          </w:p>
        </w:tc>
        <w:tc>
          <w:tcPr>
            <w:tcW w:w="1350" w:type="dxa"/>
            <w:tcBorders>
              <w:top w:val="single" w:color="auto" w:sz="4" w:space="0"/>
              <w:left w:val="single" w:color="auto" w:sz="4" w:space="0"/>
              <w:bottom w:val="single" w:color="auto" w:sz="4" w:space="0"/>
              <w:right w:val="single" w:color="auto" w:sz="4" w:space="0"/>
            </w:tcBorders>
          </w:tcPr>
          <w:p w14:paraId="4ABD2D4A">
            <w:pPr>
              <w:ind w:firstLine="0" w:firstLineChars="0"/>
              <w:jc w:val="center"/>
              <w:rPr>
                <w:rFonts w:ascii="宋体" w:hAnsi="宋体" w:eastAsia="宋体"/>
                <w:bCs/>
              </w:rPr>
            </w:pPr>
          </w:p>
        </w:tc>
        <w:tc>
          <w:tcPr>
            <w:tcW w:w="1411" w:type="dxa"/>
            <w:tcBorders>
              <w:top w:val="single" w:color="auto" w:sz="4" w:space="0"/>
              <w:left w:val="single" w:color="auto" w:sz="4" w:space="0"/>
              <w:bottom w:val="single" w:color="auto" w:sz="4" w:space="0"/>
              <w:right w:val="single" w:color="auto" w:sz="4" w:space="0"/>
            </w:tcBorders>
          </w:tcPr>
          <w:p w14:paraId="69D2B215">
            <w:pPr>
              <w:ind w:firstLine="0" w:firstLineChars="0"/>
              <w:jc w:val="center"/>
              <w:rPr>
                <w:rFonts w:ascii="宋体" w:hAnsi="宋体" w:eastAsia="宋体"/>
                <w:bCs/>
              </w:rPr>
            </w:pPr>
          </w:p>
        </w:tc>
        <w:tc>
          <w:tcPr>
            <w:tcW w:w="2259" w:type="dxa"/>
            <w:tcBorders>
              <w:top w:val="single" w:color="auto" w:sz="4" w:space="0"/>
              <w:left w:val="single" w:color="auto" w:sz="4" w:space="0"/>
              <w:bottom w:val="single" w:color="auto" w:sz="4" w:space="0"/>
              <w:right w:val="single" w:color="auto" w:sz="4" w:space="0"/>
            </w:tcBorders>
          </w:tcPr>
          <w:p w14:paraId="4C3CA03D">
            <w:pPr>
              <w:ind w:firstLine="0" w:firstLineChars="0"/>
              <w:jc w:val="center"/>
              <w:rPr>
                <w:rFonts w:ascii="宋体" w:hAnsi="宋体" w:eastAsia="宋体"/>
                <w:bCs/>
              </w:rPr>
            </w:pPr>
          </w:p>
        </w:tc>
        <w:tc>
          <w:tcPr>
            <w:tcW w:w="1506" w:type="dxa"/>
            <w:tcBorders>
              <w:top w:val="single" w:color="auto" w:sz="4" w:space="0"/>
              <w:left w:val="single" w:color="auto" w:sz="4" w:space="0"/>
              <w:bottom w:val="single" w:color="auto" w:sz="4" w:space="0"/>
            </w:tcBorders>
          </w:tcPr>
          <w:p w14:paraId="098B2769">
            <w:pPr>
              <w:ind w:firstLine="0" w:firstLineChars="0"/>
              <w:jc w:val="center"/>
              <w:rPr>
                <w:rFonts w:ascii="宋体" w:hAnsi="宋体" w:eastAsia="宋体"/>
                <w:bCs/>
              </w:rPr>
            </w:pPr>
          </w:p>
        </w:tc>
      </w:tr>
      <w:tr w14:paraId="7E031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61" w:type="dxa"/>
            <w:tcBorders>
              <w:top w:val="single" w:color="auto" w:sz="4" w:space="0"/>
              <w:bottom w:val="single" w:color="auto" w:sz="4" w:space="0"/>
              <w:right w:val="single" w:color="auto" w:sz="4" w:space="0"/>
            </w:tcBorders>
          </w:tcPr>
          <w:p w14:paraId="2CF52C86">
            <w:pPr>
              <w:ind w:firstLine="0" w:firstLineChars="0"/>
              <w:jc w:val="center"/>
              <w:rPr>
                <w:rFonts w:ascii="宋体" w:hAnsi="宋体" w:eastAsia="宋体"/>
                <w:bCs/>
              </w:rPr>
            </w:pPr>
            <w:r>
              <w:rPr>
                <w:rFonts w:hint="eastAsia" w:ascii="宋体" w:hAnsi="宋体" w:eastAsia="宋体"/>
                <w:bCs/>
              </w:rPr>
              <w:t>…</w:t>
            </w:r>
          </w:p>
        </w:tc>
        <w:tc>
          <w:tcPr>
            <w:tcW w:w="1255" w:type="dxa"/>
            <w:tcBorders>
              <w:top w:val="single" w:color="auto" w:sz="4" w:space="0"/>
              <w:left w:val="single" w:color="auto" w:sz="4" w:space="0"/>
              <w:bottom w:val="single" w:color="auto" w:sz="4" w:space="0"/>
              <w:right w:val="single" w:color="auto" w:sz="4" w:space="0"/>
            </w:tcBorders>
          </w:tcPr>
          <w:p w14:paraId="643DB61F">
            <w:pPr>
              <w:ind w:firstLine="0" w:firstLineChars="0"/>
              <w:jc w:val="center"/>
              <w:rPr>
                <w:rFonts w:ascii="宋体" w:hAnsi="宋体" w:eastAsia="宋体"/>
                <w:bCs/>
              </w:rPr>
            </w:pPr>
          </w:p>
        </w:tc>
        <w:tc>
          <w:tcPr>
            <w:tcW w:w="753" w:type="dxa"/>
            <w:tcBorders>
              <w:top w:val="single" w:color="auto" w:sz="4" w:space="0"/>
              <w:left w:val="single" w:color="auto" w:sz="4" w:space="0"/>
              <w:bottom w:val="single" w:color="auto" w:sz="4" w:space="0"/>
              <w:right w:val="single" w:color="auto" w:sz="4" w:space="0"/>
            </w:tcBorders>
          </w:tcPr>
          <w:p w14:paraId="28AEFC80">
            <w:pPr>
              <w:ind w:firstLine="0" w:firstLineChars="0"/>
              <w:jc w:val="center"/>
              <w:rPr>
                <w:rFonts w:ascii="宋体" w:hAnsi="宋体" w:eastAsia="宋体"/>
                <w:bCs/>
              </w:rPr>
            </w:pPr>
          </w:p>
        </w:tc>
        <w:tc>
          <w:tcPr>
            <w:tcW w:w="1350" w:type="dxa"/>
            <w:tcBorders>
              <w:top w:val="single" w:color="auto" w:sz="4" w:space="0"/>
              <w:left w:val="single" w:color="auto" w:sz="4" w:space="0"/>
              <w:bottom w:val="single" w:color="auto" w:sz="4" w:space="0"/>
              <w:right w:val="single" w:color="auto" w:sz="4" w:space="0"/>
            </w:tcBorders>
          </w:tcPr>
          <w:p w14:paraId="2B1BEF8A">
            <w:pPr>
              <w:ind w:firstLine="0" w:firstLineChars="0"/>
              <w:jc w:val="center"/>
              <w:rPr>
                <w:rFonts w:ascii="宋体" w:hAnsi="宋体" w:eastAsia="宋体"/>
                <w:bCs/>
              </w:rPr>
            </w:pPr>
          </w:p>
        </w:tc>
        <w:tc>
          <w:tcPr>
            <w:tcW w:w="1411" w:type="dxa"/>
            <w:tcBorders>
              <w:top w:val="single" w:color="auto" w:sz="4" w:space="0"/>
              <w:left w:val="single" w:color="auto" w:sz="4" w:space="0"/>
              <w:bottom w:val="single" w:color="auto" w:sz="4" w:space="0"/>
              <w:right w:val="single" w:color="auto" w:sz="4" w:space="0"/>
            </w:tcBorders>
          </w:tcPr>
          <w:p w14:paraId="271AEA00">
            <w:pPr>
              <w:ind w:firstLine="0" w:firstLineChars="0"/>
              <w:jc w:val="center"/>
              <w:rPr>
                <w:rFonts w:ascii="宋体" w:hAnsi="宋体" w:eastAsia="宋体"/>
                <w:bCs/>
              </w:rPr>
            </w:pPr>
          </w:p>
        </w:tc>
        <w:tc>
          <w:tcPr>
            <w:tcW w:w="2259" w:type="dxa"/>
            <w:tcBorders>
              <w:top w:val="single" w:color="auto" w:sz="4" w:space="0"/>
              <w:left w:val="single" w:color="auto" w:sz="4" w:space="0"/>
              <w:bottom w:val="single" w:color="auto" w:sz="4" w:space="0"/>
              <w:right w:val="single" w:color="auto" w:sz="4" w:space="0"/>
            </w:tcBorders>
          </w:tcPr>
          <w:p w14:paraId="63C0B0A2">
            <w:pPr>
              <w:ind w:firstLine="0" w:firstLineChars="0"/>
              <w:jc w:val="center"/>
              <w:rPr>
                <w:rFonts w:ascii="宋体" w:hAnsi="宋体" w:eastAsia="宋体"/>
                <w:bCs/>
              </w:rPr>
            </w:pPr>
          </w:p>
        </w:tc>
        <w:tc>
          <w:tcPr>
            <w:tcW w:w="1506" w:type="dxa"/>
            <w:tcBorders>
              <w:top w:val="single" w:color="auto" w:sz="4" w:space="0"/>
              <w:left w:val="single" w:color="auto" w:sz="4" w:space="0"/>
              <w:bottom w:val="single" w:color="auto" w:sz="4" w:space="0"/>
            </w:tcBorders>
          </w:tcPr>
          <w:p w14:paraId="6F643F83">
            <w:pPr>
              <w:ind w:firstLine="0" w:firstLineChars="0"/>
              <w:jc w:val="center"/>
              <w:rPr>
                <w:rFonts w:ascii="宋体" w:hAnsi="宋体" w:eastAsia="宋体"/>
                <w:bCs/>
              </w:rPr>
            </w:pPr>
          </w:p>
        </w:tc>
      </w:tr>
    </w:tbl>
    <w:p w14:paraId="5E0835B5">
      <w:pPr>
        <w:ind w:firstLine="0" w:firstLineChars="0"/>
        <w:rPr>
          <w:rFonts w:ascii="宋体" w:hAnsi="宋体" w:eastAsia="宋体"/>
          <w:bCs/>
        </w:rPr>
      </w:pPr>
    </w:p>
    <w:p w14:paraId="52EEF1E4">
      <w:pPr>
        <w:ind w:firstLine="0" w:firstLineChars="0"/>
        <w:rPr>
          <w:rFonts w:ascii="宋体" w:hAnsi="宋体" w:eastAsia="宋体"/>
          <w:bCs/>
        </w:rPr>
      </w:pPr>
    </w:p>
    <w:p w14:paraId="34DB60A2">
      <w:pPr>
        <w:tabs>
          <w:tab w:val="left" w:pos="9000"/>
        </w:tabs>
        <w:adjustRightInd w:val="0"/>
        <w:spacing w:line="400" w:lineRule="exact"/>
        <w:ind w:right="-331" w:rightChars="-138" w:firstLine="0" w:firstLineChars="0"/>
        <w:textAlignment w:val="baseline"/>
        <w:rPr>
          <w:rFonts w:ascii="宋体" w:hAnsi="宋体" w:eastAsia="宋体"/>
          <w:lang w:val="zh-CN"/>
        </w:rPr>
      </w:pPr>
      <w:r>
        <w:rPr>
          <w:rFonts w:ascii="宋体" w:hAnsi="宋体" w:eastAsia="宋体"/>
          <w:lang w:val="zh-CN"/>
        </w:rPr>
        <w:t>投标人：（单位盖章）</w:t>
      </w:r>
    </w:p>
    <w:p w14:paraId="24CD1BB5">
      <w:pPr>
        <w:tabs>
          <w:tab w:val="left" w:pos="9000"/>
        </w:tabs>
        <w:adjustRightInd w:val="0"/>
        <w:spacing w:line="400" w:lineRule="exact"/>
        <w:ind w:right="-331" w:rightChars="-138" w:firstLine="0" w:firstLineChars="0"/>
        <w:jc w:val="left"/>
        <w:textAlignment w:val="baseline"/>
        <w:rPr>
          <w:rFonts w:ascii="宋体" w:hAnsi="宋体" w:eastAsia="宋体"/>
          <w:lang w:val="zh-CN"/>
        </w:rPr>
      </w:pPr>
      <w:r>
        <w:rPr>
          <w:rFonts w:ascii="宋体" w:hAnsi="宋体" w:eastAsia="宋体"/>
          <w:lang w:val="zh-CN"/>
        </w:rPr>
        <w:t>法定代表人或被授权人：（签字或盖章）</w:t>
      </w:r>
    </w:p>
    <w:p w14:paraId="0F5AC3C4">
      <w:pPr>
        <w:tabs>
          <w:tab w:val="left" w:pos="9000"/>
        </w:tabs>
        <w:adjustRightInd w:val="0"/>
        <w:spacing w:line="400" w:lineRule="exact"/>
        <w:ind w:right="-331" w:rightChars="-138" w:firstLine="0" w:firstLineChars="0"/>
        <w:textAlignment w:val="baseline"/>
        <w:rPr>
          <w:rFonts w:ascii="宋体" w:hAnsi="宋体" w:eastAsia="宋体"/>
          <w:szCs w:val="20"/>
          <w:lang w:val="zh-CN"/>
        </w:rPr>
      </w:pPr>
      <w:r>
        <w:rPr>
          <w:rFonts w:hint="eastAsia" w:ascii="宋体" w:hAnsi="宋体" w:eastAsia="宋体"/>
          <w:lang w:val="zh-CN"/>
        </w:rPr>
        <w:t xml:space="preserve">日期：        </w:t>
      </w:r>
      <w:r>
        <w:rPr>
          <w:rFonts w:ascii="宋体" w:hAnsi="宋体" w:eastAsia="宋体"/>
          <w:lang w:val="zh-CN"/>
        </w:rPr>
        <w:t>年     月     日</w:t>
      </w:r>
    </w:p>
    <w:p w14:paraId="7F6300F0">
      <w:pPr>
        <w:ind w:firstLine="0" w:firstLineChars="0"/>
        <w:rPr>
          <w:rFonts w:ascii="宋体" w:hAnsi="宋体" w:eastAsia="宋体"/>
          <w:bCs/>
        </w:rPr>
      </w:pPr>
      <w:r>
        <w:rPr>
          <w:rFonts w:hint="eastAsia" w:ascii="宋体" w:hAnsi="宋体" w:eastAsia="宋体"/>
          <w:bCs/>
        </w:rPr>
        <w:t xml:space="preserve">                                      </w:t>
      </w:r>
    </w:p>
    <w:p w14:paraId="271B755A">
      <w:pPr>
        <w:pStyle w:val="22"/>
        <w:spacing w:before="156" w:after="156"/>
      </w:pPr>
    </w:p>
    <w:p w14:paraId="455B2E32">
      <w:pPr>
        <w:pStyle w:val="22"/>
        <w:spacing w:before="156" w:after="156"/>
      </w:pPr>
    </w:p>
    <w:p w14:paraId="45C4B247">
      <w:pPr>
        <w:pStyle w:val="22"/>
        <w:spacing w:before="156" w:after="156"/>
      </w:pPr>
    </w:p>
    <w:p w14:paraId="0757D5CD">
      <w:pPr>
        <w:ind w:firstLine="480"/>
      </w:pPr>
      <w:r>
        <w:rPr>
          <w:rFonts w:hint="eastAsia"/>
        </w:rPr>
        <w:br w:type="page"/>
      </w:r>
    </w:p>
    <w:p w14:paraId="624BA9B2">
      <w:pPr>
        <w:ind w:firstLine="0" w:firstLineChars="0"/>
        <w:jc w:val="center"/>
        <w:rPr>
          <w:rFonts w:ascii="黑体" w:hAnsi="黑体" w:eastAsia="黑体" w:cs="黑体"/>
          <w:bCs/>
          <w:sz w:val="44"/>
          <w:szCs w:val="44"/>
        </w:rPr>
      </w:pPr>
      <w:r>
        <w:rPr>
          <w:rFonts w:hint="eastAsia" w:ascii="黑体" w:hAnsi="黑体" w:eastAsia="黑体" w:cs="黑体"/>
          <w:bCs/>
          <w:sz w:val="44"/>
          <w:szCs w:val="44"/>
        </w:rPr>
        <w:t>2.项目业绩一览表</w:t>
      </w:r>
    </w:p>
    <w:tbl>
      <w:tblPr>
        <w:tblStyle w:val="12"/>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530"/>
        <w:gridCol w:w="1462"/>
        <w:gridCol w:w="1485"/>
        <w:gridCol w:w="2164"/>
        <w:gridCol w:w="1923"/>
      </w:tblGrid>
      <w:tr w14:paraId="280F9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4226CEE0">
            <w:pPr>
              <w:ind w:firstLine="0" w:firstLineChars="0"/>
              <w:jc w:val="center"/>
              <w:rPr>
                <w:rFonts w:ascii="宋体" w:hAnsi="宋体" w:eastAsia="宋体"/>
                <w:bCs/>
              </w:rPr>
            </w:pPr>
            <w:r>
              <w:rPr>
                <w:rFonts w:hint="eastAsia" w:ascii="宋体" w:hAnsi="宋体" w:eastAsia="宋体"/>
                <w:bCs/>
              </w:rPr>
              <w:t>序号</w:t>
            </w:r>
          </w:p>
        </w:tc>
        <w:tc>
          <w:tcPr>
            <w:tcW w:w="1530" w:type="dxa"/>
            <w:vAlign w:val="center"/>
          </w:tcPr>
          <w:p w14:paraId="588721B1">
            <w:pPr>
              <w:ind w:firstLine="0" w:firstLineChars="0"/>
              <w:jc w:val="center"/>
              <w:rPr>
                <w:rFonts w:ascii="宋体" w:hAnsi="宋体" w:eastAsia="宋体"/>
                <w:bCs/>
              </w:rPr>
            </w:pPr>
            <w:r>
              <w:rPr>
                <w:rFonts w:hint="eastAsia" w:ascii="宋体" w:hAnsi="宋体" w:eastAsia="宋体"/>
                <w:bCs/>
              </w:rPr>
              <w:t>项目名称</w:t>
            </w:r>
          </w:p>
        </w:tc>
        <w:tc>
          <w:tcPr>
            <w:tcW w:w="1462" w:type="dxa"/>
            <w:vAlign w:val="center"/>
          </w:tcPr>
          <w:p w14:paraId="7408FB9A">
            <w:pPr>
              <w:ind w:firstLine="0" w:firstLineChars="0"/>
              <w:jc w:val="center"/>
              <w:rPr>
                <w:rFonts w:ascii="宋体" w:hAnsi="宋体" w:eastAsia="宋体"/>
                <w:bCs/>
              </w:rPr>
            </w:pPr>
            <w:r>
              <w:rPr>
                <w:rFonts w:hint="eastAsia" w:ascii="宋体" w:hAnsi="宋体" w:eastAsia="宋体"/>
                <w:bCs/>
              </w:rPr>
              <w:t>项目时间</w:t>
            </w:r>
          </w:p>
        </w:tc>
        <w:tc>
          <w:tcPr>
            <w:tcW w:w="1485" w:type="dxa"/>
            <w:vAlign w:val="center"/>
          </w:tcPr>
          <w:p w14:paraId="03836629">
            <w:pPr>
              <w:ind w:firstLine="0" w:firstLineChars="0"/>
              <w:jc w:val="center"/>
              <w:rPr>
                <w:rFonts w:ascii="宋体" w:hAnsi="宋体" w:eastAsia="宋体"/>
                <w:bCs/>
              </w:rPr>
            </w:pPr>
            <w:r>
              <w:rPr>
                <w:rFonts w:hint="eastAsia" w:ascii="宋体" w:hAnsi="宋体" w:eastAsia="宋体"/>
                <w:bCs/>
              </w:rPr>
              <w:t>合同金额</w:t>
            </w:r>
          </w:p>
          <w:p w14:paraId="5873EC28">
            <w:pPr>
              <w:ind w:firstLine="0" w:firstLineChars="0"/>
              <w:jc w:val="center"/>
              <w:rPr>
                <w:rFonts w:ascii="宋体" w:hAnsi="宋体" w:eastAsia="宋体"/>
                <w:bCs/>
              </w:rPr>
            </w:pPr>
            <w:r>
              <w:rPr>
                <w:rFonts w:hint="eastAsia" w:ascii="宋体" w:hAnsi="宋体" w:eastAsia="宋体"/>
                <w:bCs/>
              </w:rPr>
              <w:t>（人民币）</w:t>
            </w:r>
          </w:p>
        </w:tc>
        <w:tc>
          <w:tcPr>
            <w:tcW w:w="2164" w:type="dxa"/>
            <w:vAlign w:val="center"/>
          </w:tcPr>
          <w:p w14:paraId="476A7E18">
            <w:pPr>
              <w:ind w:firstLine="0" w:firstLineChars="0"/>
              <w:jc w:val="center"/>
              <w:rPr>
                <w:rFonts w:ascii="宋体" w:hAnsi="宋体" w:eastAsia="宋体"/>
                <w:bCs/>
              </w:rPr>
            </w:pPr>
            <w:r>
              <w:rPr>
                <w:rFonts w:hint="eastAsia" w:ascii="宋体" w:hAnsi="宋体" w:eastAsia="宋体"/>
                <w:bCs/>
              </w:rPr>
              <w:t>业主单位</w:t>
            </w:r>
          </w:p>
        </w:tc>
        <w:tc>
          <w:tcPr>
            <w:tcW w:w="1923" w:type="dxa"/>
            <w:vAlign w:val="center"/>
          </w:tcPr>
          <w:p w14:paraId="1611031B">
            <w:pPr>
              <w:ind w:firstLine="0" w:firstLineChars="0"/>
              <w:jc w:val="center"/>
              <w:rPr>
                <w:rFonts w:ascii="宋体" w:hAnsi="宋体" w:eastAsia="宋体"/>
                <w:bCs/>
              </w:rPr>
            </w:pPr>
            <w:r>
              <w:rPr>
                <w:rFonts w:hint="eastAsia" w:ascii="宋体" w:hAnsi="宋体" w:eastAsia="宋体"/>
                <w:bCs/>
              </w:rPr>
              <w:t>备注</w:t>
            </w:r>
          </w:p>
        </w:tc>
      </w:tr>
      <w:tr w14:paraId="51F88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703819CD">
            <w:pPr>
              <w:ind w:firstLine="0" w:firstLineChars="0"/>
              <w:jc w:val="center"/>
              <w:rPr>
                <w:rFonts w:ascii="宋体" w:hAnsi="宋体" w:eastAsia="宋体"/>
                <w:bCs/>
              </w:rPr>
            </w:pPr>
            <w:r>
              <w:rPr>
                <w:rFonts w:hint="eastAsia" w:ascii="宋体" w:hAnsi="宋体" w:eastAsia="宋体"/>
                <w:bCs/>
              </w:rPr>
              <w:t>1</w:t>
            </w:r>
          </w:p>
        </w:tc>
        <w:tc>
          <w:tcPr>
            <w:tcW w:w="1530" w:type="dxa"/>
            <w:vAlign w:val="center"/>
          </w:tcPr>
          <w:p w14:paraId="72CCACD0">
            <w:pPr>
              <w:ind w:firstLine="0" w:firstLineChars="0"/>
              <w:rPr>
                <w:rFonts w:ascii="宋体" w:hAnsi="宋体" w:eastAsia="宋体"/>
                <w:bCs/>
              </w:rPr>
            </w:pPr>
          </w:p>
        </w:tc>
        <w:tc>
          <w:tcPr>
            <w:tcW w:w="1462" w:type="dxa"/>
          </w:tcPr>
          <w:p w14:paraId="37974B05">
            <w:pPr>
              <w:ind w:firstLine="0" w:firstLineChars="0"/>
              <w:rPr>
                <w:rFonts w:ascii="宋体" w:hAnsi="宋体" w:eastAsia="宋体"/>
                <w:bCs/>
              </w:rPr>
            </w:pPr>
          </w:p>
        </w:tc>
        <w:tc>
          <w:tcPr>
            <w:tcW w:w="1485" w:type="dxa"/>
            <w:vAlign w:val="center"/>
          </w:tcPr>
          <w:p w14:paraId="4B8FE0EE">
            <w:pPr>
              <w:ind w:firstLine="0" w:firstLineChars="0"/>
              <w:rPr>
                <w:rFonts w:ascii="宋体" w:hAnsi="宋体" w:eastAsia="宋体"/>
                <w:bCs/>
              </w:rPr>
            </w:pPr>
          </w:p>
        </w:tc>
        <w:tc>
          <w:tcPr>
            <w:tcW w:w="2164" w:type="dxa"/>
            <w:vAlign w:val="center"/>
          </w:tcPr>
          <w:p w14:paraId="688C6136">
            <w:pPr>
              <w:ind w:firstLine="0" w:firstLineChars="0"/>
              <w:rPr>
                <w:rFonts w:ascii="宋体" w:hAnsi="宋体" w:eastAsia="宋体"/>
                <w:bCs/>
              </w:rPr>
            </w:pPr>
          </w:p>
        </w:tc>
        <w:tc>
          <w:tcPr>
            <w:tcW w:w="1923" w:type="dxa"/>
            <w:vAlign w:val="center"/>
          </w:tcPr>
          <w:p w14:paraId="64B40CFC">
            <w:pPr>
              <w:ind w:firstLine="0" w:firstLineChars="0"/>
              <w:rPr>
                <w:rFonts w:ascii="宋体" w:hAnsi="宋体" w:eastAsia="宋体"/>
                <w:bCs/>
              </w:rPr>
            </w:pPr>
          </w:p>
        </w:tc>
      </w:tr>
      <w:tr w14:paraId="5ED5D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4F182818">
            <w:pPr>
              <w:ind w:firstLine="0" w:firstLineChars="0"/>
              <w:jc w:val="center"/>
              <w:rPr>
                <w:rFonts w:ascii="宋体" w:hAnsi="宋体" w:eastAsia="宋体"/>
                <w:bCs/>
              </w:rPr>
            </w:pPr>
            <w:r>
              <w:rPr>
                <w:rFonts w:hint="eastAsia" w:ascii="宋体" w:hAnsi="宋体" w:eastAsia="宋体"/>
                <w:bCs/>
              </w:rPr>
              <w:t>2</w:t>
            </w:r>
          </w:p>
        </w:tc>
        <w:tc>
          <w:tcPr>
            <w:tcW w:w="1530" w:type="dxa"/>
            <w:vAlign w:val="center"/>
          </w:tcPr>
          <w:p w14:paraId="66A4777B">
            <w:pPr>
              <w:ind w:firstLine="0" w:firstLineChars="0"/>
              <w:rPr>
                <w:rFonts w:ascii="宋体" w:hAnsi="宋体" w:eastAsia="宋体"/>
                <w:bCs/>
              </w:rPr>
            </w:pPr>
          </w:p>
        </w:tc>
        <w:tc>
          <w:tcPr>
            <w:tcW w:w="1462" w:type="dxa"/>
          </w:tcPr>
          <w:p w14:paraId="1874601A">
            <w:pPr>
              <w:ind w:firstLine="0" w:firstLineChars="0"/>
              <w:rPr>
                <w:rFonts w:ascii="宋体" w:hAnsi="宋体" w:eastAsia="宋体"/>
                <w:bCs/>
              </w:rPr>
            </w:pPr>
          </w:p>
        </w:tc>
        <w:tc>
          <w:tcPr>
            <w:tcW w:w="1485" w:type="dxa"/>
            <w:vAlign w:val="center"/>
          </w:tcPr>
          <w:p w14:paraId="0716830F">
            <w:pPr>
              <w:ind w:firstLine="0" w:firstLineChars="0"/>
              <w:rPr>
                <w:rFonts w:ascii="宋体" w:hAnsi="宋体" w:eastAsia="宋体"/>
                <w:bCs/>
              </w:rPr>
            </w:pPr>
          </w:p>
        </w:tc>
        <w:tc>
          <w:tcPr>
            <w:tcW w:w="2164" w:type="dxa"/>
            <w:vAlign w:val="center"/>
          </w:tcPr>
          <w:p w14:paraId="30B0E0C2">
            <w:pPr>
              <w:ind w:firstLine="0" w:firstLineChars="0"/>
              <w:rPr>
                <w:rFonts w:ascii="宋体" w:hAnsi="宋体" w:eastAsia="宋体"/>
                <w:bCs/>
              </w:rPr>
            </w:pPr>
          </w:p>
        </w:tc>
        <w:tc>
          <w:tcPr>
            <w:tcW w:w="1923" w:type="dxa"/>
            <w:vAlign w:val="center"/>
          </w:tcPr>
          <w:p w14:paraId="1B45335A">
            <w:pPr>
              <w:ind w:firstLine="0" w:firstLineChars="0"/>
              <w:rPr>
                <w:rFonts w:ascii="宋体" w:hAnsi="宋体" w:eastAsia="宋体"/>
                <w:bCs/>
              </w:rPr>
            </w:pPr>
          </w:p>
        </w:tc>
      </w:tr>
      <w:tr w14:paraId="7DFD8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5B295C23">
            <w:pPr>
              <w:ind w:firstLine="0" w:firstLineChars="0"/>
              <w:jc w:val="center"/>
              <w:rPr>
                <w:rFonts w:ascii="宋体" w:hAnsi="宋体" w:eastAsia="宋体"/>
                <w:bCs/>
              </w:rPr>
            </w:pPr>
            <w:r>
              <w:rPr>
                <w:rFonts w:hint="eastAsia" w:ascii="宋体" w:hAnsi="宋体" w:eastAsia="宋体"/>
                <w:bCs/>
              </w:rPr>
              <w:t>3</w:t>
            </w:r>
          </w:p>
        </w:tc>
        <w:tc>
          <w:tcPr>
            <w:tcW w:w="1530" w:type="dxa"/>
            <w:vAlign w:val="center"/>
          </w:tcPr>
          <w:p w14:paraId="7FF9F6FD">
            <w:pPr>
              <w:ind w:firstLine="0" w:firstLineChars="0"/>
              <w:rPr>
                <w:rFonts w:ascii="宋体" w:hAnsi="宋体" w:eastAsia="宋体"/>
                <w:bCs/>
              </w:rPr>
            </w:pPr>
          </w:p>
        </w:tc>
        <w:tc>
          <w:tcPr>
            <w:tcW w:w="1462" w:type="dxa"/>
          </w:tcPr>
          <w:p w14:paraId="20592CAC">
            <w:pPr>
              <w:ind w:firstLine="0" w:firstLineChars="0"/>
              <w:rPr>
                <w:rFonts w:ascii="宋体" w:hAnsi="宋体" w:eastAsia="宋体"/>
                <w:bCs/>
              </w:rPr>
            </w:pPr>
          </w:p>
        </w:tc>
        <w:tc>
          <w:tcPr>
            <w:tcW w:w="1485" w:type="dxa"/>
            <w:vAlign w:val="center"/>
          </w:tcPr>
          <w:p w14:paraId="06821EDC">
            <w:pPr>
              <w:ind w:firstLine="0" w:firstLineChars="0"/>
              <w:rPr>
                <w:rFonts w:ascii="宋体" w:hAnsi="宋体" w:eastAsia="宋体"/>
                <w:bCs/>
              </w:rPr>
            </w:pPr>
          </w:p>
        </w:tc>
        <w:tc>
          <w:tcPr>
            <w:tcW w:w="2164" w:type="dxa"/>
            <w:vAlign w:val="center"/>
          </w:tcPr>
          <w:p w14:paraId="15065EB9">
            <w:pPr>
              <w:ind w:firstLine="0" w:firstLineChars="0"/>
              <w:rPr>
                <w:rFonts w:ascii="宋体" w:hAnsi="宋体" w:eastAsia="宋体"/>
                <w:bCs/>
              </w:rPr>
            </w:pPr>
          </w:p>
        </w:tc>
        <w:tc>
          <w:tcPr>
            <w:tcW w:w="1923" w:type="dxa"/>
            <w:vAlign w:val="center"/>
          </w:tcPr>
          <w:p w14:paraId="69994979">
            <w:pPr>
              <w:ind w:firstLine="0" w:firstLineChars="0"/>
              <w:rPr>
                <w:rFonts w:ascii="宋体" w:hAnsi="宋体" w:eastAsia="宋体"/>
                <w:bCs/>
              </w:rPr>
            </w:pPr>
          </w:p>
        </w:tc>
      </w:tr>
      <w:tr w14:paraId="4C4FD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2576FAE1">
            <w:pPr>
              <w:ind w:firstLine="0" w:firstLineChars="0"/>
              <w:jc w:val="center"/>
              <w:rPr>
                <w:rFonts w:ascii="宋体" w:hAnsi="宋体" w:eastAsia="宋体"/>
                <w:bCs/>
              </w:rPr>
            </w:pPr>
            <w:r>
              <w:rPr>
                <w:rFonts w:hint="eastAsia" w:ascii="宋体" w:hAnsi="宋体" w:eastAsia="宋体"/>
                <w:bCs/>
              </w:rPr>
              <w:t>4</w:t>
            </w:r>
          </w:p>
        </w:tc>
        <w:tc>
          <w:tcPr>
            <w:tcW w:w="1530" w:type="dxa"/>
            <w:vAlign w:val="center"/>
          </w:tcPr>
          <w:p w14:paraId="10F74051">
            <w:pPr>
              <w:ind w:firstLine="0" w:firstLineChars="0"/>
              <w:rPr>
                <w:rFonts w:ascii="宋体" w:hAnsi="宋体" w:eastAsia="宋体"/>
                <w:bCs/>
              </w:rPr>
            </w:pPr>
          </w:p>
        </w:tc>
        <w:tc>
          <w:tcPr>
            <w:tcW w:w="1462" w:type="dxa"/>
          </w:tcPr>
          <w:p w14:paraId="42F31767">
            <w:pPr>
              <w:ind w:firstLine="0" w:firstLineChars="0"/>
              <w:rPr>
                <w:rFonts w:ascii="宋体" w:hAnsi="宋体" w:eastAsia="宋体"/>
                <w:bCs/>
              </w:rPr>
            </w:pPr>
          </w:p>
        </w:tc>
        <w:tc>
          <w:tcPr>
            <w:tcW w:w="1485" w:type="dxa"/>
            <w:vAlign w:val="center"/>
          </w:tcPr>
          <w:p w14:paraId="3482B518">
            <w:pPr>
              <w:ind w:firstLine="0" w:firstLineChars="0"/>
              <w:rPr>
                <w:rFonts w:ascii="宋体" w:hAnsi="宋体" w:eastAsia="宋体"/>
                <w:bCs/>
              </w:rPr>
            </w:pPr>
          </w:p>
        </w:tc>
        <w:tc>
          <w:tcPr>
            <w:tcW w:w="2164" w:type="dxa"/>
            <w:vAlign w:val="center"/>
          </w:tcPr>
          <w:p w14:paraId="3C03CBF8">
            <w:pPr>
              <w:ind w:firstLine="0" w:firstLineChars="0"/>
              <w:rPr>
                <w:rFonts w:ascii="宋体" w:hAnsi="宋体" w:eastAsia="宋体"/>
                <w:bCs/>
              </w:rPr>
            </w:pPr>
          </w:p>
        </w:tc>
        <w:tc>
          <w:tcPr>
            <w:tcW w:w="1923" w:type="dxa"/>
            <w:vAlign w:val="center"/>
          </w:tcPr>
          <w:p w14:paraId="041ABDFC">
            <w:pPr>
              <w:ind w:firstLine="0" w:firstLineChars="0"/>
              <w:rPr>
                <w:rFonts w:ascii="宋体" w:hAnsi="宋体" w:eastAsia="宋体"/>
                <w:bCs/>
              </w:rPr>
            </w:pPr>
          </w:p>
        </w:tc>
      </w:tr>
      <w:tr w14:paraId="2FDAC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59D2B781">
            <w:pPr>
              <w:ind w:firstLine="0" w:firstLineChars="0"/>
              <w:jc w:val="center"/>
              <w:rPr>
                <w:rFonts w:ascii="宋体" w:hAnsi="宋体" w:eastAsia="宋体"/>
                <w:bCs/>
              </w:rPr>
            </w:pPr>
            <w:r>
              <w:rPr>
                <w:rFonts w:hint="eastAsia" w:ascii="宋体" w:hAnsi="宋体" w:eastAsia="宋体"/>
                <w:bCs/>
              </w:rPr>
              <w:t>5</w:t>
            </w:r>
          </w:p>
        </w:tc>
        <w:tc>
          <w:tcPr>
            <w:tcW w:w="1530" w:type="dxa"/>
            <w:vAlign w:val="center"/>
          </w:tcPr>
          <w:p w14:paraId="4BC6DD39">
            <w:pPr>
              <w:ind w:firstLine="0" w:firstLineChars="0"/>
              <w:rPr>
                <w:rFonts w:ascii="宋体" w:hAnsi="宋体" w:eastAsia="宋体"/>
                <w:bCs/>
              </w:rPr>
            </w:pPr>
          </w:p>
        </w:tc>
        <w:tc>
          <w:tcPr>
            <w:tcW w:w="1462" w:type="dxa"/>
          </w:tcPr>
          <w:p w14:paraId="4EE8BBED">
            <w:pPr>
              <w:ind w:firstLine="0" w:firstLineChars="0"/>
              <w:rPr>
                <w:rFonts w:ascii="宋体" w:hAnsi="宋体" w:eastAsia="宋体"/>
                <w:bCs/>
              </w:rPr>
            </w:pPr>
          </w:p>
        </w:tc>
        <w:tc>
          <w:tcPr>
            <w:tcW w:w="1485" w:type="dxa"/>
            <w:vAlign w:val="center"/>
          </w:tcPr>
          <w:p w14:paraId="59239CFE">
            <w:pPr>
              <w:ind w:firstLine="0" w:firstLineChars="0"/>
              <w:rPr>
                <w:rFonts w:ascii="宋体" w:hAnsi="宋体" w:eastAsia="宋体"/>
                <w:bCs/>
              </w:rPr>
            </w:pPr>
          </w:p>
        </w:tc>
        <w:tc>
          <w:tcPr>
            <w:tcW w:w="2164" w:type="dxa"/>
            <w:vAlign w:val="center"/>
          </w:tcPr>
          <w:p w14:paraId="11AF21E3">
            <w:pPr>
              <w:ind w:firstLine="0" w:firstLineChars="0"/>
              <w:rPr>
                <w:rFonts w:ascii="宋体" w:hAnsi="宋体" w:eastAsia="宋体"/>
                <w:bCs/>
              </w:rPr>
            </w:pPr>
          </w:p>
        </w:tc>
        <w:tc>
          <w:tcPr>
            <w:tcW w:w="1923" w:type="dxa"/>
            <w:vAlign w:val="center"/>
          </w:tcPr>
          <w:p w14:paraId="2DC3B839">
            <w:pPr>
              <w:ind w:firstLine="0" w:firstLineChars="0"/>
              <w:rPr>
                <w:rFonts w:ascii="宋体" w:hAnsi="宋体" w:eastAsia="宋体"/>
                <w:bCs/>
              </w:rPr>
            </w:pPr>
          </w:p>
        </w:tc>
      </w:tr>
      <w:tr w14:paraId="43D0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734ADD57">
            <w:pPr>
              <w:ind w:firstLine="0" w:firstLineChars="0"/>
              <w:jc w:val="center"/>
              <w:rPr>
                <w:rFonts w:ascii="宋体" w:hAnsi="宋体" w:eastAsia="宋体"/>
                <w:bCs/>
              </w:rPr>
            </w:pPr>
            <w:r>
              <w:rPr>
                <w:rFonts w:hint="eastAsia" w:ascii="宋体" w:hAnsi="宋体" w:eastAsia="宋体"/>
                <w:bCs/>
              </w:rPr>
              <w:t>6</w:t>
            </w:r>
          </w:p>
        </w:tc>
        <w:tc>
          <w:tcPr>
            <w:tcW w:w="1530" w:type="dxa"/>
            <w:vAlign w:val="center"/>
          </w:tcPr>
          <w:p w14:paraId="2F5E5FC4">
            <w:pPr>
              <w:ind w:firstLine="0" w:firstLineChars="0"/>
              <w:rPr>
                <w:rFonts w:ascii="宋体" w:hAnsi="宋体" w:eastAsia="宋体"/>
                <w:bCs/>
              </w:rPr>
            </w:pPr>
          </w:p>
        </w:tc>
        <w:tc>
          <w:tcPr>
            <w:tcW w:w="1462" w:type="dxa"/>
          </w:tcPr>
          <w:p w14:paraId="402A5A71">
            <w:pPr>
              <w:ind w:firstLine="0" w:firstLineChars="0"/>
              <w:rPr>
                <w:rFonts w:ascii="宋体" w:hAnsi="宋体" w:eastAsia="宋体"/>
                <w:bCs/>
              </w:rPr>
            </w:pPr>
          </w:p>
        </w:tc>
        <w:tc>
          <w:tcPr>
            <w:tcW w:w="1485" w:type="dxa"/>
            <w:vAlign w:val="center"/>
          </w:tcPr>
          <w:p w14:paraId="16E385DC">
            <w:pPr>
              <w:ind w:firstLine="0" w:firstLineChars="0"/>
              <w:rPr>
                <w:rFonts w:ascii="宋体" w:hAnsi="宋体" w:eastAsia="宋体"/>
                <w:bCs/>
              </w:rPr>
            </w:pPr>
          </w:p>
        </w:tc>
        <w:tc>
          <w:tcPr>
            <w:tcW w:w="2164" w:type="dxa"/>
            <w:vAlign w:val="center"/>
          </w:tcPr>
          <w:p w14:paraId="0E35FB86">
            <w:pPr>
              <w:ind w:firstLine="0" w:firstLineChars="0"/>
              <w:rPr>
                <w:rFonts w:ascii="宋体" w:hAnsi="宋体" w:eastAsia="宋体"/>
                <w:bCs/>
              </w:rPr>
            </w:pPr>
          </w:p>
        </w:tc>
        <w:tc>
          <w:tcPr>
            <w:tcW w:w="1923" w:type="dxa"/>
            <w:vAlign w:val="center"/>
          </w:tcPr>
          <w:p w14:paraId="5B1B0111">
            <w:pPr>
              <w:ind w:firstLine="0" w:firstLineChars="0"/>
              <w:rPr>
                <w:rFonts w:ascii="宋体" w:hAnsi="宋体" w:eastAsia="宋体"/>
                <w:bCs/>
              </w:rPr>
            </w:pPr>
          </w:p>
        </w:tc>
      </w:tr>
      <w:tr w14:paraId="68F60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75F8C2EF">
            <w:pPr>
              <w:ind w:firstLine="0" w:firstLineChars="0"/>
              <w:jc w:val="center"/>
              <w:rPr>
                <w:rFonts w:ascii="宋体" w:hAnsi="宋体" w:eastAsia="宋体"/>
                <w:bCs/>
              </w:rPr>
            </w:pPr>
            <w:r>
              <w:rPr>
                <w:rFonts w:ascii="宋体" w:hAnsi="宋体" w:eastAsia="宋体"/>
                <w:bCs/>
              </w:rPr>
              <w:t>……</w:t>
            </w:r>
          </w:p>
        </w:tc>
        <w:tc>
          <w:tcPr>
            <w:tcW w:w="1530" w:type="dxa"/>
            <w:vAlign w:val="center"/>
          </w:tcPr>
          <w:p w14:paraId="08ADE5A0">
            <w:pPr>
              <w:ind w:firstLine="0" w:firstLineChars="0"/>
              <w:rPr>
                <w:rFonts w:ascii="宋体" w:hAnsi="宋体" w:eastAsia="宋体"/>
                <w:bCs/>
              </w:rPr>
            </w:pPr>
          </w:p>
        </w:tc>
        <w:tc>
          <w:tcPr>
            <w:tcW w:w="1462" w:type="dxa"/>
          </w:tcPr>
          <w:p w14:paraId="6AE82F03">
            <w:pPr>
              <w:ind w:firstLine="0" w:firstLineChars="0"/>
              <w:rPr>
                <w:rFonts w:ascii="宋体" w:hAnsi="宋体" w:eastAsia="宋体"/>
                <w:bCs/>
              </w:rPr>
            </w:pPr>
          </w:p>
        </w:tc>
        <w:tc>
          <w:tcPr>
            <w:tcW w:w="1485" w:type="dxa"/>
            <w:vAlign w:val="center"/>
          </w:tcPr>
          <w:p w14:paraId="0F0E7115">
            <w:pPr>
              <w:ind w:firstLine="0" w:firstLineChars="0"/>
              <w:rPr>
                <w:rFonts w:ascii="宋体" w:hAnsi="宋体" w:eastAsia="宋体"/>
                <w:bCs/>
              </w:rPr>
            </w:pPr>
          </w:p>
        </w:tc>
        <w:tc>
          <w:tcPr>
            <w:tcW w:w="2164" w:type="dxa"/>
            <w:vAlign w:val="center"/>
          </w:tcPr>
          <w:p w14:paraId="79C34111">
            <w:pPr>
              <w:ind w:firstLine="0" w:firstLineChars="0"/>
              <w:rPr>
                <w:rFonts w:ascii="宋体" w:hAnsi="宋体" w:eastAsia="宋体"/>
                <w:bCs/>
              </w:rPr>
            </w:pPr>
          </w:p>
        </w:tc>
        <w:tc>
          <w:tcPr>
            <w:tcW w:w="1923" w:type="dxa"/>
            <w:vAlign w:val="center"/>
          </w:tcPr>
          <w:p w14:paraId="320B6238">
            <w:pPr>
              <w:ind w:firstLine="0" w:firstLineChars="0"/>
              <w:rPr>
                <w:rFonts w:ascii="宋体" w:hAnsi="宋体" w:eastAsia="宋体"/>
                <w:bCs/>
              </w:rPr>
            </w:pPr>
          </w:p>
        </w:tc>
      </w:tr>
      <w:tr w14:paraId="055C6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017B8881">
            <w:pPr>
              <w:ind w:firstLine="0" w:firstLineChars="0"/>
              <w:jc w:val="center"/>
              <w:rPr>
                <w:rFonts w:ascii="宋体" w:hAnsi="宋体" w:eastAsia="宋体"/>
                <w:bCs/>
              </w:rPr>
            </w:pPr>
          </w:p>
        </w:tc>
        <w:tc>
          <w:tcPr>
            <w:tcW w:w="1530" w:type="dxa"/>
            <w:vAlign w:val="center"/>
          </w:tcPr>
          <w:p w14:paraId="319427DB">
            <w:pPr>
              <w:ind w:firstLine="0" w:firstLineChars="0"/>
              <w:rPr>
                <w:rFonts w:ascii="宋体" w:hAnsi="宋体" w:eastAsia="宋体"/>
                <w:bCs/>
              </w:rPr>
            </w:pPr>
          </w:p>
        </w:tc>
        <w:tc>
          <w:tcPr>
            <w:tcW w:w="1462" w:type="dxa"/>
          </w:tcPr>
          <w:p w14:paraId="465CC3A0">
            <w:pPr>
              <w:ind w:firstLine="0" w:firstLineChars="0"/>
              <w:rPr>
                <w:rFonts w:ascii="宋体" w:hAnsi="宋体" w:eastAsia="宋体"/>
                <w:bCs/>
              </w:rPr>
            </w:pPr>
          </w:p>
        </w:tc>
        <w:tc>
          <w:tcPr>
            <w:tcW w:w="1485" w:type="dxa"/>
            <w:vAlign w:val="center"/>
          </w:tcPr>
          <w:p w14:paraId="7F1FBBF2">
            <w:pPr>
              <w:ind w:firstLine="0" w:firstLineChars="0"/>
              <w:rPr>
                <w:rFonts w:ascii="宋体" w:hAnsi="宋体" w:eastAsia="宋体"/>
                <w:bCs/>
              </w:rPr>
            </w:pPr>
          </w:p>
        </w:tc>
        <w:tc>
          <w:tcPr>
            <w:tcW w:w="2164" w:type="dxa"/>
            <w:vAlign w:val="center"/>
          </w:tcPr>
          <w:p w14:paraId="23F9FD3B">
            <w:pPr>
              <w:ind w:firstLine="0" w:firstLineChars="0"/>
              <w:rPr>
                <w:rFonts w:ascii="宋体" w:hAnsi="宋体" w:eastAsia="宋体"/>
                <w:bCs/>
              </w:rPr>
            </w:pPr>
          </w:p>
        </w:tc>
        <w:tc>
          <w:tcPr>
            <w:tcW w:w="1923" w:type="dxa"/>
            <w:vAlign w:val="center"/>
          </w:tcPr>
          <w:p w14:paraId="115C7028">
            <w:pPr>
              <w:ind w:firstLine="0" w:firstLineChars="0"/>
              <w:rPr>
                <w:rFonts w:ascii="宋体" w:hAnsi="宋体" w:eastAsia="宋体"/>
                <w:bCs/>
              </w:rPr>
            </w:pPr>
          </w:p>
        </w:tc>
      </w:tr>
      <w:tr w14:paraId="3C881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vAlign w:val="center"/>
          </w:tcPr>
          <w:p w14:paraId="52487AD3">
            <w:pPr>
              <w:ind w:firstLine="0" w:firstLineChars="0"/>
              <w:jc w:val="center"/>
              <w:rPr>
                <w:rFonts w:ascii="宋体" w:hAnsi="宋体" w:eastAsia="宋体"/>
                <w:bCs/>
              </w:rPr>
            </w:pPr>
          </w:p>
        </w:tc>
        <w:tc>
          <w:tcPr>
            <w:tcW w:w="1530" w:type="dxa"/>
            <w:vAlign w:val="center"/>
          </w:tcPr>
          <w:p w14:paraId="2C426222">
            <w:pPr>
              <w:ind w:firstLine="0" w:firstLineChars="0"/>
              <w:rPr>
                <w:rFonts w:ascii="宋体" w:hAnsi="宋体" w:eastAsia="宋体"/>
                <w:bCs/>
              </w:rPr>
            </w:pPr>
          </w:p>
        </w:tc>
        <w:tc>
          <w:tcPr>
            <w:tcW w:w="1462" w:type="dxa"/>
          </w:tcPr>
          <w:p w14:paraId="6EC3F3D0">
            <w:pPr>
              <w:ind w:firstLine="0" w:firstLineChars="0"/>
              <w:rPr>
                <w:rFonts w:ascii="宋体" w:hAnsi="宋体" w:eastAsia="宋体"/>
                <w:bCs/>
              </w:rPr>
            </w:pPr>
          </w:p>
        </w:tc>
        <w:tc>
          <w:tcPr>
            <w:tcW w:w="1485" w:type="dxa"/>
            <w:vAlign w:val="center"/>
          </w:tcPr>
          <w:p w14:paraId="50FE58A1">
            <w:pPr>
              <w:ind w:firstLine="0" w:firstLineChars="0"/>
              <w:rPr>
                <w:rFonts w:ascii="宋体" w:hAnsi="宋体" w:eastAsia="宋体"/>
                <w:bCs/>
              </w:rPr>
            </w:pPr>
          </w:p>
        </w:tc>
        <w:tc>
          <w:tcPr>
            <w:tcW w:w="2164" w:type="dxa"/>
            <w:vAlign w:val="center"/>
          </w:tcPr>
          <w:p w14:paraId="2B2FF537">
            <w:pPr>
              <w:ind w:firstLine="0" w:firstLineChars="0"/>
              <w:rPr>
                <w:rFonts w:ascii="宋体" w:hAnsi="宋体" w:eastAsia="宋体"/>
                <w:bCs/>
              </w:rPr>
            </w:pPr>
          </w:p>
        </w:tc>
        <w:tc>
          <w:tcPr>
            <w:tcW w:w="1923" w:type="dxa"/>
            <w:vAlign w:val="center"/>
          </w:tcPr>
          <w:p w14:paraId="4EB3CE36">
            <w:pPr>
              <w:ind w:firstLine="0" w:firstLineChars="0"/>
              <w:rPr>
                <w:rFonts w:ascii="宋体" w:hAnsi="宋体" w:eastAsia="宋体"/>
                <w:bCs/>
              </w:rPr>
            </w:pPr>
          </w:p>
        </w:tc>
      </w:tr>
    </w:tbl>
    <w:p w14:paraId="3F1CF2D8">
      <w:pPr>
        <w:tabs>
          <w:tab w:val="left" w:pos="9000"/>
        </w:tabs>
        <w:adjustRightInd w:val="0"/>
        <w:spacing w:line="400" w:lineRule="exact"/>
        <w:ind w:right="-331" w:rightChars="-138" w:firstLine="0" w:firstLineChars="0"/>
        <w:textAlignment w:val="baseline"/>
        <w:rPr>
          <w:rFonts w:ascii="宋体" w:hAnsi="宋体" w:eastAsia="宋体"/>
          <w:lang w:val="zh-CN"/>
        </w:rPr>
      </w:pPr>
    </w:p>
    <w:p w14:paraId="35D1133E">
      <w:pPr>
        <w:tabs>
          <w:tab w:val="left" w:pos="9000"/>
        </w:tabs>
        <w:adjustRightInd w:val="0"/>
        <w:spacing w:line="400" w:lineRule="exact"/>
        <w:ind w:right="-331" w:rightChars="-138" w:firstLine="0" w:firstLineChars="0"/>
        <w:textAlignment w:val="baseline"/>
        <w:rPr>
          <w:rFonts w:ascii="宋体" w:hAnsi="宋体" w:eastAsia="宋体"/>
          <w:lang w:val="zh-CN"/>
        </w:rPr>
      </w:pPr>
    </w:p>
    <w:p w14:paraId="1D9A44A0">
      <w:pPr>
        <w:tabs>
          <w:tab w:val="left" w:pos="9000"/>
        </w:tabs>
        <w:adjustRightInd w:val="0"/>
        <w:spacing w:line="400" w:lineRule="exact"/>
        <w:ind w:right="-331" w:rightChars="-138" w:firstLine="0" w:firstLineChars="0"/>
        <w:textAlignment w:val="baseline"/>
        <w:rPr>
          <w:rFonts w:ascii="宋体" w:hAnsi="宋体" w:eastAsia="宋体"/>
          <w:lang w:val="zh-CN"/>
        </w:rPr>
      </w:pPr>
      <w:r>
        <w:rPr>
          <w:rFonts w:ascii="宋体" w:hAnsi="宋体" w:eastAsia="宋体"/>
          <w:lang w:val="zh-CN"/>
        </w:rPr>
        <w:t>投标人：（单位盖章）</w:t>
      </w:r>
    </w:p>
    <w:p w14:paraId="6DA96A44">
      <w:pPr>
        <w:tabs>
          <w:tab w:val="left" w:pos="9000"/>
        </w:tabs>
        <w:adjustRightInd w:val="0"/>
        <w:spacing w:line="400" w:lineRule="exact"/>
        <w:ind w:right="-331" w:rightChars="-138" w:firstLine="0" w:firstLineChars="0"/>
        <w:jc w:val="left"/>
        <w:textAlignment w:val="baseline"/>
        <w:rPr>
          <w:rFonts w:ascii="宋体" w:hAnsi="宋体" w:eastAsia="宋体"/>
          <w:lang w:val="zh-CN"/>
        </w:rPr>
      </w:pPr>
      <w:r>
        <w:rPr>
          <w:rFonts w:ascii="宋体" w:hAnsi="宋体" w:eastAsia="宋体"/>
          <w:lang w:val="zh-CN"/>
        </w:rPr>
        <w:t>法定代表人或被授权人：（签字或盖章）</w:t>
      </w:r>
    </w:p>
    <w:p w14:paraId="531870FD">
      <w:pPr>
        <w:tabs>
          <w:tab w:val="left" w:pos="9000"/>
        </w:tabs>
        <w:adjustRightInd w:val="0"/>
        <w:spacing w:line="400" w:lineRule="exact"/>
        <w:ind w:right="-331" w:rightChars="-138" w:firstLine="0" w:firstLineChars="0"/>
        <w:textAlignment w:val="baseline"/>
        <w:rPr>
          <w:rFonts w:ascii="宋体" w:hAnsi="宋体" w:eastAsia="宋体"/>
          <w:szCs w:val="20"/>
          <w:lang w:val="zh-CN"/>
        </w:rPr>
      </w:pPr>
      <w:r>
        <w:rPr>
          <w:rFonts w:hint="eastAsia" w:ascii="宋体" w:hAnsi="宋体" w:eastAsia="宋体"/>
          <w:lang w:val="zh-CN"/>
        </w:rPr>
        <w:t xml:space="preserve">日期：        </w:t>
      </w:r>
      <w:r>
        <w:rPr>
          <w:rFonts w:ascii="宋体" w:hAnsi="宋体" w:eastAsia="宋体"/>
          <w:lang w:val="zh-CN"/>
        </w:rPr>
        <w:t>年     月     日</w:t>
      </w:r>
    </w:p>
    <w:p w14:paraId="18168C44">
      <w:pPr>
        <w:tabs>
          <w:tab w:val="left" w:pos="9000"/>
        </w:tabs>
        <w:adjustRightInd w:val="0"/>
        <w:spacing w:line="400" w:lineRule="exact"/>
        <w:ind w:right="-331" w:rightChars="-138" w:firstLine="0" w:firstLineChars="0"/>
        <w:textAlignment w:val="baseline"/>
        <w:rPr>
          <w:rFonts w:ascii="宋体" w:hAnsi="宋体" w:eastAsia="宋体"/>
          <w:szCs w:val="20"/>
          <w:lang w:val="zh-CN"/>
        </w:rPr>
      </w:pPr>
    </w:p>
    <w:p w14:paraId="06B7B102">
      <w:pPr>
        <w:pStyle w:val="2"/>
        <w:rPr>
          <w:rFonts w:ascii="宋体" w:hAnsi="宋体" w:eastAsia="宋体"/>
          <w:szCs w:val="20"/>
          <w:lang w:val="zh-CN"/>
        </w:rPr>
      </w:pPr>
    </w:p>
    <w:p w14:paraId="1DCC2FBB">
      <w:pPr>
        <w:tabs>
          <w:tab w:val="left" w:pos="2565"/>
        </w:tabs>
        <w:spacing w:line="600" w:lineRule="exact"/>
        <w:ind w:firstLine="680"/>
        <w:rPr>
          <w:rFonts w:ascii="黑体" w:hAnsi="黑体" w:eastAsia="黑体" w:cs="黑体"/>
          <w:bCs/>
          <w:kern w:val="0"/>
          <w:sz w:val="34"/>
          <w:szCs w:val="34"/>
        </w:rPr>
      </w:pPr>
    </w:p>
    <w:p w14:paraId="5DA61C8D">
      <w:pPr>
        <w:tabs>
          <w:tab w:val="left" w:pos="2565"/>
        </w:tabs>
        <w:spacing w:line="600" w:lineRule="exact"/>
        <w:ind w:firstLine="680"/>
        <w:rPr>
          <w:rFonts w:ascii="黑体" w:hAnsi="黑体" w:eastAsia="黑体" w:cs="黑体"/>
          <w:bCs/>
          <w:kern w:val="0"/>
          <w:sz w:val="34"/>
          <w:szCs w:val="34"/>
        </w:rPr>
        <w:sectPr>
          <w:headerReference r:id="rId7" w:type="first"/>
          <w:footerReference r:id="rId10" w:type="first"/>
          <w:headerReference r:id="rId5" w:type="default"/>
          <w:footerReference r:id="rId8" w:type="default"/>
          <w:headerReference r:id="rId6" w:type="even"/>
          <w:footerReference r:id="rId9" w:type="even"/>
          <w:pgSz w:w="11906" w:h="16838"/>
          <w:pgMar w:top="1440" w:right="1689" w:bottom="1440" w:left="1689" w:header="851" w:footer="992" w:gutter="0"/>
          <w:cols w:space="720" w:num="1"/>
          <w:docGrid w:type="lines" w:linePitch="312" w:charSpace="0"/>
        </w:sectPr>
      </w:pPr>
    </w:p>
    <w:p w14:paraId="7A5272E3">
      <w:pPr>
        <w:tabs>
          <w:tab w:val="left" w:pos="2565"/>
        </w:tabs>
        <w:spacing w:line="600" w:lineRule="exact"/>
        <w:ind w:firstLine="0" w:firstLineChars="0"/>
        <w:rPr>
          <w:rFonts w:ascii="黑体" w:hAnsi="黑体" w:eastAsia="黑体" w:cs="黑体"/>
          <w:bCs/>
          <w:kern w:val="0"/>
          <w:sz w:val="34"/>
          <w:szCs w:val="34"/>
        </w:rPr>
      </w:pPr>
      <w:r>
        <w:rPr>
          <w:rFonts w:hint="eastAsia" w:ascii="黑体" w:hAnsi="黑体" w:eastAsia="黑体" w:cs="黑体"/>
          <w:bCs/>
          <w:kern w:val="0"/>
          <w:sz w:val="34"/>
          <w:szCs w:val="34"/>
        </w:rPr>
        <w:t>附件2</w:t>
      </w:r>
    </w:p>
    <w:p w14:paraId="201619CA">
      <w:pPr>
        <w:tabs>
          <w:tab w:val="left" w:pos="2565"/>
        </w:tabs>
        <w:spacing w:line="600" w:lineRule="exact"/>
        <w:ind w:firstLine="880"/>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索普集团供应商负面清单管理规定</w:t>
      </w:r>
    </w:p>
    <w:p w14:paraId="21F955C3">
      <w:pPr>
        <w:tabs>
          <w:tab w:val="left" w:pos="2565"/>
        </w:tabs>
        <w:spacing w:line="600" w:lineRule="exact"/>
        <w:ind w:firstLine="88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（2023年修订版）</w:t>
      </w:r>
    </w:p>
    <w:p w14:paraId="10204724">
      <w:pPr>
        <w:widowControl/>
        <w:tabs>
          <w:tab w:val="left" w:pos="2565"/>
        </w:tabs>
        <w:adjustRightInd w:val="0"/>
        <w:snapToGrid w:val="0"/>
        <w:spacing w:line="600" w:lineRule="exact"/>
        <w:ind w:firstLine="680"/>
        <w:rPr>
          <w:rFonts w:ascii="黑体" w:hAnsi="黑体" w:eastAsia="黑体"/>
          <w:bCs/>
          <w:sz w:val="34"/>
          <w:szCs w:val="34"/>
        </w:rPr>
      </w:pPr>
    </w:p>
    <w:p w14:paraId="7247A203">
      <w:pPr>
        <w:widowControl/>
        <w:tabs>
          <w:tab w:val="left" w:pos="2565"/>
        </w:tabs>
        <w:adjustRightInd w:val="0"/>
        <w:snapToGrid w:val="0"/>
        <w:spacing w:line="560" w:lineRule="exact"/>
        <w:ind w:firstLine="680"/>
        <w:jc w:val="center"/>
        <w:rPr>
          <w:rFonts w:ascii="仿宋_GB2312" w:hAnsi="仿宋" w:eastAsia="黑体"/>
          <w:bCs/>
          <w:sz w:val="34"/>
          <w:szCs w:val="34"/>
        </w:rPr>
      </w:pPr>
      <w:r>
        <w:rPr>
          <w:rFonts w:hint="eastAsia" w:ascii="黑体" w:hAnsi="黑体" w:eastAsia="黑体"/>
          <w:bCs/>
          <w:sz w:val="34"/>
          <w:szCs w:val="34"/>
        </w:rPr>
        <w:t>第一章 总则</w:t>
      </w:r>
    </w:p>
    <w:p w14:paraId="09064641">
      <w:pPr>
        <w:widowControl/>
        <w:tabs>
          <w:tab w:val="left" w:pos="2565"/>
        </w:tabs>
        <w:adjustRightInd w:val="0"/>
        <w:snapToGrid w:val="0"/>
        <w:spacing w:line="560" w:lineRule="exact"/>
        <w:ind w:firstLine="680"/>
        <w:rPr>
          <w:rFonts w:ascii="仿宋_GB2312" w:hAnsi="仿宋" w:eastAsia="仿宋_GB2312"/>
          <w:bCs/>
          <w:sz w:val="34"/>
          <w:szCs w:val="34"/>
        </w:rPr>
      </w:pPr>
      <w:r>
        <w:rPr>
          <w:rFonts w:hint="eastAsia" w:ascii="仿宋_GB2312" w:hAnsi="楷体" w:eastAsia="仿宋_GB2312"/>
          <w:b/>
          <w:sz w:val="34"/>
          <w:szCs w:val="34"/>
        </w:rPr>
        <w:t>第一条</w:t>
      </w:r>
      <w:r>
        <w:rPr>
          <w:rFonts w:hint="eastAsia" w:ascii="仿宋_GB2312" w:hAnsi="楷体" w:eastAsia="仿宋_GB2312"/>
          <w:bCs/>
          <w:sz w:val="34"/>
          <w:szCs w:val="34"/>
        </w:rPr>
        <w:t xml:space="preserve"> </w:t>
      </w:r>
      <w:r>
        <w:rPr>
          <w:rFonts w:hint="eastAsia" w:ascii="仿宋_GB2312" w:hAnsi="仿宋" w:eastAsia="仿宋_GB2312"/>
          <w:bCs/>
          <w:sz w:val="34"/>
          <w:szCs w:val="34"/>
        </w:rPr>
        <w:t>凡按国家标准及相关准则或规定组织生产销售的物资供应商、服务提供商或</w:t>
      </w:r>
      <w:r>
        <w:rPr>
          <w:rFonts w:hint="eastAsia" w:ascii="仿宋" w:hAnsi="仿宋"/>
          <w:bCs/>
          <w:sz w:val="34"/>
          <w:szCs w:val="34"/>
        </w:rPr>
        <w:t>施工承包</w:t>
      </w:r>
      <w:r>
        <w:rPr>
          <w:rFonts w:hint="eastAsia" w:ascii="仿宋_GB2312" w:hAnsi="仿宋" w:eastAsia="仿宋_GB2312"/>
          <w:bCs/>
          <w:sz w:val="34"/>
          <w:szCs w:val="34"/>
        </w:rPr>
        <w:t>商，其资质证照齐全且满足我司采购要求，均可参与我司组织的招标及比价采购等商务活动。</w:t>
      </w:r>
    </w:p>
    <w:p w14:paraId="34566B22">
      <w:pPr>
        <w:widowControl/>
        <w:tabs>
          <w:tab w:val="left" w:pos="2565"/>
        </w:tabs>
        <w:adjustRightInd w:val="0"/>
        <w:snapToGrid w:val="0"/>
        <w:spacing w:line="560" w:lineRule="exact"/>
        <w:ind w:firstLine="680"/>
        <w:jc w:val="left"/>
        <w:rPr>
          <w:rFonts w:ascii="仿宋_GB2312" w:hAnsi="仿宋" w:eastAsia="黑体"/>
          <w:bCs/>
          <w:sz w:val="34"/>
          <w:szCs w:val="34"/>
        </w:rPr>
      </w:pPr>
      <w:r>
        <w:rPr>
          <w:rFonts w:hint="eastAsia" w:ascii="仿宋_GB2312" w:hAnsi="楷体" w:eastAsia="仿宋_GB2312"/>
          <w:b/>
          <w:sz w:val="34"/>
          <w:szCs w:val="34"/>
        </w:rPr>
        <w:t>第二条</w:t>
      </w:r>
      <w:r>
        <w:rPr>
          <w:rFonts w:hint="eastAsia" w:ascii="仿宋_GB2312" w:hAnsi="楷体" w:eastAsia="仿宋_GB2312"/>
          <w:bCs/>
          <w:sz w:val="34"/>
          <w:szCs w:val="34"/>
        </w:rPr>
        <w:t xml:space="preserve"> </w:t>
      </w:r>
      <w:r>
        <w:rPr>
          <w:rFonts w:hint="eastAsia" w:eastAsia="仿宋_GB2312"/>
          <w:bCs/>
          <w:sz w:val="34"/>
          <w:szCs w:val="34"/>
        </w:rPr>
        <w:t>本制度适用于索普集团本部各部门，各单位须参照本规定要求，制定本单位供应商负面清单管理规定并报集团商务合作部审核通过后实施。</w:t>
      </w:r>
      <w:r>
        <w:rPr>
          <w:rFonts w:hint="eastAsia" w:ascii="黑体" w:hAnsi="黑体" w:eastAsia="黑体"/>
          <w:bCs/>
          <w:sz w:val="34"/>
          <w:szCs w:val="34"/>
        </w:rPr>
        <w:t xml:space="preserve"> </w:t>
      </w:r>
    </w:p>
    <w:p w14:paraId="175FDD4E">
      <w:pPr>
        <w:widowControl/>
        <w:tabs>
          <w:tab w:val="left" w:pos="2565"/>
        </w:tabs>
        <w:adjustRightInd w:val="0"/>
        <w:snapToGrid w:val="0"/>
        <w:spacing w:line="560" w:lineRule="exact"/>
        <w:ind w:firstLine="680"/>
        <w:rPr>
          <w:rFonts w:ascii="仿宋_GB2312" w:hAnsi="仿宋" w:eastAsia="仿宋_GB2312"/>
          <w:bCs/>
          <w:sz w:val="34"/>
          <w:szCs w:val="34"/>
        </w:rPr>
      </w:pPr>
      <w:r>
        <w:rPr>
          <w:rFonts w:hint="eastAsia" w:ascii="仿宋_GB2312" w:hAnsi="楷体" w:eastAsia="仿宋_GB2312"/>
          <w:b/>
          <w:sz w:val="34"/>
          <w:szCs w:val="34"/>
        </w:rPr>
        <w:t>第三条</w:t>
      </w:r>
      <w:r>
        <w:rPr>
          <w:rFonts w:hint="eastAsia" w:ascii="仿宋_GB2312" w:hAnsi="楷体" w:eastAsia="仿宋_GB2312"/>
          <w:bCs/>
          <w:sz w:val="34"/>
          <w:szCs w:val="34"/>
        </w:rPr>
        <w:t xml:space="preserve"> </w:t>
      </w:r>
      <w:r>
        <w:rPr>
          <w:rFonts w:hint="eastAsia" w:ascii="仿宋_GB2312" w:hAnsi="仿宋" w:eastAsia="仿宋_GB2312"/>
          <w:bCs/>
          <w:sz w:val="34"/>
          <w:szCs w:val="34"/>
        </w:rPr>
        <w:t>职责分工</w:t>
      </w:r>
    </w:p>
    <w:p w14:paraId="6F753D56">
      <w:pPr>
        <w:widowControl/>
        <w:tabs>
          <w:tab w:val="left" w:pos="2565"/>
        </w:tabs>
        <w:adjustRightInd w:val="0"/>
        <w:snapToGrid w:val="0"/>
        <w:spacing w:line="560" w:lineRule="exact"/>
        <w:ind w:firstLine="680"/>
        <w:rPr>
          <w:rFonts w:ascii="仿宋_GB2312" w:hAnsi="仿宋" w:eastAsia="仿宋_GB2312"/>
          <w:bCs/>
          <w:sz w:val="34"/>
          <w:szCs w:val="34"/>
        </w:rPr>
      </w:pPr>
      <w:r>
        <w:rPr>
          <w:rFonts w:hint="eastAsia" w:ascii="仿宋_GB2312" w:hAnsi="仿宋" w:eastAsia="仿宋_GB2312"/>
          <w:bCs/>
          <w:sz w:val="34"/>
          <w:szCs w:val="34"/>
        </w:rPr>
        <w:t>1.使用部门：负责提供技术参数或提出服务要求，对采购物资或服务的质量进行验收，对供应商所供货物在使用效果、产品质量、服务质量等方面进行评价。</w:t>
      </w:r>
    </w:p>
    <w:p w14:paraId="461C72B7">
      <w:pPr>
        <w:widowControl/>
        <w:tabs>
          <w:tab w:val="left" w:pos="2565"/>
        </w:tabs>
        <w:adjustRightInd w:val="0"/>
        <w:snapToGrid w:val="0"/>
        <w:spacing w:line="560" w:lineRule="exact"/>
        <w:ind w:firstLine="680"/>
        <w:rPr>
          <w:rFonts w:ascii="仿宋_GB2312" w:hAnsi="仿宋" w:eastAsia="仿宋_GB2312"/>
          <w:bCs/>
          <w:sz w:val="34"/>
          <w:szCs w:val="34"/>
        </w:rPr>
      </w:pPr>
      <w:r>
        <w:rPr>
          <w:rFonts w:hint="eastAsia" w:ascii="仿宋_GB2312" w:hAnsi="仿宋" w:eastAsia="仿宋_GB2312"/>
          <w:bCs/>
          <w:sz w:val="34"/>
          <w:szCs w:val="34"/>
        </w:rPr>
        <w:t>2.管理部门：负责监管使用过程，对标的物样品或试供原料的质量进行检验，判定其是否符合公司所需的技术要求。</w:t>
      </w:r>
    </w:p>
    <w:p w14:paraId="22B97411">
      <w:pPr>
        <w:widowControl/>
        <w:tabs>
          <w:tab w:val="left" w:pos="2565"/>
        </w:tabs>
        <w:adjustRightInd w:val="0"/>
        <w:snapToGrid w:val="0"/>
        <w:spacing w:line="560" w:lineRule="exact"/>
        <w:ind w:firstLine="680"/>
        <w:rPr>
          <w:rFonts w:ascii="仿宋_GB2312" w:hAnsi="仿宋" w:eastAsia="仿宋_GB2312"/>
          <w:bCs/>
          <w:sz w:val="34"/>
          <w:szCs w:val="34"/>
        </w:rPr>
      </w:pPr>
      <w:r>
        <w:rPr>
          <w:rFonts w:hint="eastAsia" w:ascii="仿宋_GB2312" w:hAnsi="仿宋" w:eastAsia="仿宋_GB2312"/>
          <w:bCs/>
          <w:sz w:val="34"/>
          <w:szCs w:val="34"/>
        </w:rPr>
        <w:t>3.采购部门：负责通过线上或线下途径不断开发有能力、满足公司所需物资或服务的供应商，对目标供应商所提供的材料完整性、交货期、价格等作为筛选的依据进行资格初审，收集供应商资料并建立档案。</w:t>
      </w:r>
    </w:p>
    <w:p w14:paraId="4199E888">
      <w:pPr>
        <w:tabs>
          <w:tab w:val="left" w:pos="2565"/>
        </w:tabs>
        <w:adjustRightInd w:val="0"/>
        <w:snapToGrid w:val="0"/>
        <w:spacing w:line="580" w:lineRule="exact"/>
        <w:ind w:firstLine="680"/>
        <w:rPr>
          <w:rFonts w:ascii="仿宋" w:hAnsi="仿宋"/>
          <w:bCs/>
          <w:sz w:val="34"/>
          <w:szCs w:val="34"/>
        </w:rPr>
      </w:pPr>
      <w:r>
        <w:rPr>
          <w:rFonts w:hint="eastAsia" w:ascii="仿宋_GB2312" w:hAnsi="仿宋" w:eastAsia="仿宋_GB2312"/>
          <w:bCs/>
          <w:sz w:val="34"/>
          <w:szCs w:val="34"/>
        </w:rPr>
        <w:t>4.监管部门：负责对采购流程的合规性进行监督。</w:t>
      </w:r>
    </w:p>
    <w:p w14:paraId="2E800696">
      <w:pPr>
        <w:adjustRightInd w:val="0"/>
        <w:snapToGrid w:val="0"/>
        <w:spacing w:line="580" w:lineRule="exact"/>
        <w:ind w:firstLine="0" w:firstLineChars="0"/>
        <w:jc w:val="center"/>
        <w:rPr>
          <w:rFonts w:ascii="黑体" w:hAnsi="黑体" w:eastAsia="黑体"/>
          <w:bCs/>
          <w:sz w:val="34"/>
          <w:szCs w:val="34"/>
        </w:rPr>
      </w:pPr>
      <w:r>
        <w:rPr>
          <w:rFonts w:hint="eastAsia" w:ascii="黑体" w:hAnsi="黑体" w:eastAsia="黑体"/>
          <w:bCs/>
          <w:sz w:val="34"/>
          <w:szCs w:val="34"/>
        </w:rPr>
        <w:t>第二章　供应商负面清单确定流程</w:t>
      </w:r>
    </w:p>
    <w:p w14:paraId="591AEB4C">
      <w:pPr>
        <w:adjustRightInd w:val="0"/>
        <w:snapToGrid w:val="0"/>
        <w:spacing w:line="580" w:lineRule="exact"/>
        <w:ind w:firstLine="0" w:firstLineChars="0"/>
        <w:rPr>
          <w:rFonts w:ascii="仿宋_GB2312" w:hAnsi="仿宋" w:eastAsia="仿宋_GB2312"/>
          <w:bCs/>
          <w:sz w:val="34"/>
          <w:szCs w:val="34"/>
        </w:rPr>
      </w:pPr>
      <w:r>
        <w:rPr>
          <w:rFonts w:hint="eastAsia" w:ascii="仿宋_GB2312" w:hAnsi="楷体" w:eastAsia="仿宋_GB2312"/>
          <w:bCs/>
          <w:sz w:val="34"/>
          <w:szCs w:val="34"/>
        </w:rPr>
        <w:drawing>
          <wp:anchor distT="0" distB="0" distL="114300" distR="114300" simplePos="0" relativeHeight="251659264" behindDoc="0" locked="0" layoutInCell="1" allowOverlap="1">
            <wp:simplePos x="0" y="0"/>
            <wp:positionH relativeFrom="column">
              <wp:posOffset>688975</wp:posOffset>
            </wp:positionH>
            <wp:positionV relativeFrom="paragraph">
              <wp:posOffset>1136650</wp:posOffset>
            </wp:positionV>
            <wp:extent cx="4179570" cy="5306695"/>
            <wp:effectExtent l="0" t="0" r="11430" b="12065"/>
            <wp:wrapSquare wrapText="bothSides"/>
            <wp:docPr id="1" name="图片 2" descr="2e7eccd8c6aafc20bd20bfe055bf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2e7eccd8c6aafc20bd20bfe055bf3e0"/>
                    <pic:cNvPicPr>
                      <a:picLocks noChangeAspect="1"/>
                    </pic:cNvPicPr>
                  </pic:nvPicPr>
                  <pic:blipFill>
                    <a:blip r:embed="rId12" cstate="print"/>
                    <a:stretch>
                      <a:fillRect/>
                    </a:stretch>
                  </pic:blipFill>
                  <pic:spPr>
                    <a:xfrm>
                      <a:off x="0" y="0"/>
                      <a:ext cx="4179570" cy="5306695"/>
                    </a:xfrm>
                    <a:prstGeom prst="rect">
                      <a:avLst/>
                    </a:prstGeom>
                    <a:noFill/>
                    <a:ln>
                      <a:noFill/>
                    </a:ln>
                  </pic:spPr>
                </pic:pic>
              </a:graphicData>
            </a:graphic>
          </wp:anchor>
        </w:drawing>
      </w:r>
      <w:r>
        <w:rPr>
          <w:rFonts w:hint="eastAsia" w:ascii="仿宋_GB2312" w:hAnsi="仿宋" w:eastAsia="仿宋_GB2312"/>
          <w:bCs/>
          <w:sz w:val="34"/>
          <w:szCs w:val="34"/>
        </w:rPr>
        <w:t>　</w:t>
      </w:r>
      <w:r>
        <w:rPr>
          <w:rFonts w:hint="eastAsia" w:ascii="仿宋_GB2312" w:hAnsi="楷体" w:eastAsia="仿宋_GB2312"/>
          <w:bCs/>
          <w:sz w:val="34"/>
          <w:szCs w:val="34"/>
        </w:rPr>
        <w:t>　</w:t>
      </w:r>
      <w:r>
        <w:rPr>
          <w:rFonts w:hint="eastAsia" w:ascii="仿宋_GB2312" w:hAnsi="楷体" w:eastAsia="仿宋_GB2312"/>
          <w:b/>
          <w:sz w:val="34"/>
          <w:szCs w:val="34"/>
        </w:rPr>
        <w:t>第四条</w:t>
      </w:r>
      <w:r>
        <w:rPr>
          <w:rFonts w:hint="eastAsia" w:ascii="仿宋_GB2312" w:hAnsi="楷体" w:eastAsia="仿宋_GB2312"/>
          <w:bCs/>
          <w:sz w:val="34"/>
          <w:szCs w:val="34"/>
        </w:rPr>
        <w:t xml:space="preserve"> </w:t>
      </w:r>
      <w:r>
        <w:rPr>
          <w:rFonts w:hint="eastAsia" w:ascii="仿宋_GB2312" w:hAnsi="仿宋" w:eastAsia="仿宋_GB2312"/>
          <w:bCs/>
          <w:sz w:val="34"/>
          <w:szCs w:val="34"/>
        </w:rPr>
        <w:t>供应商负面清单管理工作由商务合作部全面负责，其他职能部门在使用或监管过程中产生的供应商考核意见应报商务合作部统一汇总管理。具体确定流程如下：</w:t>
      </w:r>
    </w:p>
    <w:p w14:paraId="60E99652">
      <w:pPr>
        <w:pStyle w:val="2"/>
      </w:pPr>
    </w:p>
    <w:p w14:paraId="20E5F0CA">
      <w:pPr>
        <w:tabs>
          <w:tab w:val="left" w:pos="2565"/>
        </w:tabs>
        <w:spacing w:line="720" w:lineRule="auto"/>
        <w:ind w:firstLine="680"/>
        <w:jc w:val="center"/>
        <w:rPr>
          <w:rFonts w:ascii="仿宋_GB2312" w:hAnsi="楷体" w:eastAsia="仿宋_GB2312"/>
          <w:bCs/>
          <w:sz w:val="34"/>
          <w:szCs w:val="34"/>
        </w:rPr>
      </w:pPr>
    </w:p>
    <w:p w14:paraId="583BC3F4">
      <w:pPr>
        <w:tabs>
          <w:tab w:val="left" w:pos="2565"/>
        </w:tabs>
        <w:spacing w:line="720" w:lineRule="auto"/>
        <w:ind w:firstLine="680"/>
        <w:jc w:val="center"/>
        <w:rPr>
          <w:rFonts w:ascii="仿宋_GB2312" w:hAnsi="仿宋" w:eastAsia="仿宋_GB2312"/>
          <w:bCs/>
          <w:sz w:val="34"/>
          <w:szCs w:val="34"/>
        </w:rPr>
      </w:pPr>
    </w:p>
    <w:p w14:paraId="43E3C7AE">
      <w:pPr>
        <w:tabs>
          <w:tab w:val="left" w:pos="2565"/>
        </w:tabs>
        <w:spacing w:line="720" w:lineRule="auto"/>
        <w:ind w:firstLine="680"/>
        <w:jc w:val="center"/>
        <w:rPr>
          <w:rFonts w:ascii="仿宋_GB2312" w:hAnsi="仿宋" w:eastAsia="仿宋_GB2312"/>
          <w:bCs/>
          <w:sz w:val="34"/>
          <w:szCs w:val="34"/>
        </w:rPr>
      </w:pPr>
    </w:p>
    <w:p w14:paraId="2754E19E">
      <w:pPr>
        <w:tabs>
          <w:tab w:val="left" w:pos="2565"/>
        </w:tabs>
        <w:spacing w:line="720" w:lineRule="auto"/>
        <w:ind w:firstLine="680"/>
        <w:jc w:val="center"/>
        <w:rPr>
          <w:rFonts w:ascii="仿宋_GB2312" w:hAnsi="仿宋" w:eastAsia="仿宋_GB2312"/>
          <w:bCs/>
          <w:sz w:val="34"/>
          <w:szCs w:val="34"/>
        </w:rPr>
      </w:pPr>
    </w:p>
    <w:p w14:paraId="695AB6CE">
      <w:pPr>
        <w:tabs>
          <w:tab w:val="left" w:pos="2565"/>
        </w:tabs>
        <w:spacing w:line="720" w:lineRule="auto"/>
        <w:ind w:firstLine="680"/>
        <w:jc w:val="center"/>
        <w:rPr>
          <w:rFonts w:ascii="仿宋_GB2312" w:hAnsi="仿宋" w:eastAsia="仿宋_GB2312"/>
          <w:bCs/>
          <w:sz w:val="34"/>
          <w:szCs w:val="34"/>
        </w:rPr>
      </w:pPr>
    </w:p>
    <w:p w14:paraId="510AF86D">
      <w:pPr>
        <w:tabs>
          <w:tab w:val="left" w:pos="2565"/>
        </w:tabs>
        <w:spacing w:line="720" w:lineRule="auto"/>
        <w:ind w:firstLine="680"/>
        <w:jc w:val="center"/>
        <w:rPr>
          <w:rFonts w:ascii="仿宋_GB2312" w:hAnsi="仿宋" w:eastAsia="仿宋_GB2312"/>
          <w:bCs/>
          <w:sz w:val="34"/>
          <w:szCs w:val="34"/>
        </w:rPr>
      </w:pPr>
    </w:p>
    <w:p w14:paraId="322A1D3E">
      <w:pPr>
        <w:tabs>
          <w:tab w:val="left" w:pos="2565"/>
        </w:tabs>
        <w:spacing w:line="720" w:lineRule="auto"/>
        <w:ind w:firstLine="680"/>
        <w:jc w:val="center"/>
        <w:rPr>
          <w:rFonts w:ascii="仿宋_GB2312" w:hAnsi="仿宋" w:eastAsia="仿宋_GB2312"/>
          <w:bCs/>
          <w:sz w:val="34"/>
          <w:szCs w:val="34"/>
        </w:rPr>
      </w:pPr>
      <w:r>
        <w:rPr>
          <w:rFonts w:hint="eastAsia" w:ascii="仿宋_GB2312" w:hAnsi="仿宋" w:eastAsia="仿宋_GB2312"/>
          <w:bCs/>
          <w:sz w:val="34"/>
          <w:szCs w:val="34"/>
        </w:rPr>
        <w:t xml:space="preserve">    供应商评审负面清单制度流程</w:t>
      </w:r>
    </w:p>
    <w:p w14:paraId="63638F77">
      <w:pPr>
        <w:spacing w:line="600" w:lineRule="exact"/>
        <w:ind w:firstLine="0" w:firstLineChars="0"/>
        <w:jc w:val="center"/>
        <w:rPr>
          <w:rFonts w:ascii="黑体" w:hAnsi="黑体" w:eastAsia="黑体"/>
          <w:bCs/>
          <w:sz w:val="34"/>
          <w:szCs w:val="34"/>
        </w:rPr>
      </w:pPr>
      <w:r>
        <w:rPr>
          <w:rFonts w:hint="eastAsia" w:ascii="黑体" w:hAnsi="黑体" w:eastAsia="黑体"/>
          <w:bCs/>
          <w:sz w:val="34"/>
          <w:szCs w:val="34"/>
        </w:rPr>
        <w:t>第三章　供应商积分考核和管理</w:t>
      </w:r>
    </w:p>
    <w:p w14:paraId="09C8ABB6">
      <w:pPr>
        <w:widowControl/>
        <w:spacing w:line="600" w:lineRule="exact"/>
        <w:ind w:firstLine="0" w:firstLineChars="0"/>
        <w:rPr>
          <w:rFonts w:ascii="仿宋_GB2312" w:hAnsi="仿宋" w:eastAsia="仿宋_GB2312"/>
          <w:bCs/>
          <w:sz w:val="34"/>
          <w:szCs w:val="34"/>
        </w:rPr>
      </w:pPr>
      <w:r>
        <w:rPr>
          <w:rFonts w:hint="eastAsia" w:ascii="仿宋_GB2312" w:hAnsi="楷体" w:eastAsia="仿宋_GB2312"/>
          <w:bCs/>
          <w:sz w:val="32"/>
          <w:szCs w:val="32"/>
        </w:rPr>
        <w:t>　　</w:t>
      </w:r>
      <w:r>
        <w:rPr>
          <w:rFonts w:hint="eastAsia" w:ascii="仿宋_GB2312" w:hAnsi="楷体" w:eastAsia="仿宋_GB2312"/>
          <w:b/>
          <w:sz w:val="34"/>
          <w:szCs w:val="34"/>
        </w:rPr>
        <w:t>第五条</w:t>
      </w:r>
      <w:r>
        <w:rPr>
          <w:rFonts w:hint="eastAsia" w:ascii="仿宋_GB2312" w:hAnsi="楷体" w:eastAsia="仿宋_GB2312"/>
          <w:bCs/>
          <w:sz w:val="34"/>
          <w:szCs w:val="34"/>
        </w:rPr>
        <w:t xml:space="preserve"> </w:t>
      </w:r>
      <w:r>
        <w:rPr>
          <w:rFonts w:hint="eastAsia" w:ascii="仿宋_GB2312" w:hAnsi="仿宋" w:eastAsia="仿宋_GB2312"/>
          <w:bCs/>
          <w:sz w:val="34"/>
          <w:szCs w:val="34"/>
        </w:rPr>
        <w:t>供应商的积分考核主要包括供货质量、交货周期、售后服务、资质信誉等方面，每项各10分。使用部门、专业管理部门、采购部门、监管部门均可提出书面考核意见。商务合作部负责对各相关部门提出的考核意见进行收集汇总，并根据综合扣分情况将供应商分为合格供应商或负面清单供应商。凡被列入负面清单的供应商，自被考核当日起一年内均不得与公司进行合作；凡未被列入负面清单的供应商一年后当年考核扣分自动清零。</w:t>
      </w:r>
    </w:p>
    <w:p w14:paraId="0B074333">
      <w:pPr>
        <w:widowControl/>
        <w:spacing w:line="600" w:lineRule="exact"/>
        <w:ind w:firstLine="0" w:firstLineChars="0"/>
        <w:rPr>
          <w:rFonts w:ascii="仿宋_GB2312" w:hAnsi="仿宋" w:eastAsia="仿宋_GB2312"/>
          <w:bCs/>
          <w:sz w:val="34"/>
          <w:szCs w:val="34"/>
        </w:rPr>
      </w:pPr>
      <w:r>
        <w:rPr>
          <w:rFonts w:hint="eastAsia" w:ascii="仿宋_GB2312" w:hAnsi="仿宋" w:eastAsia="仿宋_GB2312"/>
          <w:bCs/>
          <w:sz w:val="34"/>
          <w:szCs w:val="34"/>
        </w:rPr>
        <w:t>　　1.合格供应商：供应商一年内累计考核扣分介于0-9分之间，可作为合格供应商继续开展合作。</w:t>
      </w:r>
    </w:p>
    <w:p w14:paraId="02BFBFE3">
      <w:pPr>
        <w:widowControl/>
        <w:spacing w:line="600" w:lineRule="exact"/>
        <w:ind w:firstLine="0" w:firstLineChars="0"/>
        <w:rPr>
          <w:rFonts w:ascii="仿宋_GB2312" w:hAnsi="仿宋" w:eastAsia="仿宋_GB2312"/>
          <w:bCs/>
          <w:sz w:val="34"/>
          <w:szCs w:val="34"/>
        </w:rPr>
      </w:pPr>
      <w:r>
        <w:rPr>
          <w:rFonts w:hint="eastAsia" w:ascii="仿宋_GB2312" w:hAnsi="仿宋" w:eastAsia="仿宋_GB2312"/>
          <w:bCs/>
          <w:sz w:val="34"/>
          <w:szCs w:val="34"/>
        </w:rPr>
        <w:t>　　2.负面清单供应商：供应商单次供应考核扣分或一年内累计考核扣分达到10分以上（含10分），须列入负面清单供应商，至少于一年内停止与其产生新的合作。</w:t>
      </w:r>
    </w:p>
    <w:p w14:paraId="0167AEB8">
      <w:pPr>
        <w:widowControl/>
        <w:spacing w:line="600" w:lineRule="exact"/>
        <w:ind w:firstLine="0" w:firstLineChars="0"/>
        <w:rPr>
          <w:rFonts w:ascii="仿宋_GB2312" w:hAnsi="仿宋" w:eastAsia="仿宋_GB2312"/>
          <w:bCs/>
          <w:sz w:val="34"/>
          <w:szCs w:val="34"/>
        </w:rPr>
      </w:pPr>
      <w:r>
        <w:rPr>
          <w:rFonts w:hint="eastAsia" w:ascii="仿宋_GB2312" w:hAnsi="仿宋" w:eastAsia="仿宋_GB2312"/>
          <w:bCs/>
          <w:sz w:val="34"/>
          <w:szCs w:val="34"/>
        </w:rPr>
        <w:t>　　</w:t>
      </w:r>
      <w:r>
        <w:rPr>
          <w:rFonts w:hint="eastAsia" w:ascii="仿宋_GB2312" w:hAnsi="楷体" w:eastAsia="仿宋_GB2312"/>
          <w:b/>
          <w:sz w:val="34"/>
          <w:szCs w:val="34"/>
        </w:rPr>
        <w:t>第六条</w:t>
      </w:r>
      <w:r>
        <w:rPr>
          <w:rFonts w:hint="eastAsia" w:ascii="仿宋_GB2312" w:hAnsi="仿宋" w:eastAsia="仿宋_GB2312"/>
          <w:bCs/>
          <w:sz w:val="34"/>
          <w:szCs w:val="34"/>
        </w:rPr>
        <w:t xml:space="preserve"> 供应商考核方法</w:t>
      </w:r>
    </w:p>
    <w:p w14:paraId="328A93E7">
      <w:pPr>
        <w:widowControl/>
        <w:spacing w:line="600" w:lineRule="exact"/>
        <w:ind w:firstLine="0" w:firstLineChars="0"/>
        <w:rPr>
          <w:rFonts w:ascii="仿宋_GB2312" w:hAnsi="仿宋" w:eastAsia="仿宋_GB2312"/>
          <w:bCs/>
          <w:sz w:val="34"/>
          <w:szCs w:val="34"/>
        </w:rPr>
      </w:pPr>
      <w:r>
        <w:rPr>
          <w:rFonts w:hint="eastAsia" w:ascii="仿宋_GB2312" w:hAnsi="仿宋" w:eastAsia="仿宋_GB2312"/>
          <w:bCs/>
          <w:sz w:val="34"/>
          <w:szCs w:val="34"/>
        </w:rPr>
        <w:t>　　1.质量方面</w:t>
      </w:r>
    </w:p>
    <w:p w14:paraId="7878B48D">
      <w:pPr>
        <w:widowControl/>
        <w:spacing w:line="600" w:lineRule="exact"/>
        <w:ind w:firstLine="0" w:firstLineChars="0"/>
        <w:rPr>
          <w:rFonts w:ascii="仿宋_GB2312" w:hAnsi="仿宋" w:eastAsia="仿宋_GB2312"/>
          <w:bCs/>
          <w:sz w:val="34"/>
          <w:szCs w:val="34"/>
        </w:rPr>
      </w:pPr>
      <w:r>
        <w:rPr>
          <w:rFonts w:hint="eastAsia" w:ascii="仿宋_GB2312" w:hAnsi="仿宋" w:eastAsia="仿宋_GB2312"/>
          <w:bCs/>
          <w:sz w:val="34"/>
          <w:szCs w:val="34"/>
        </w:rPr>
        <w:t xml:space="preserve">    （1）所供产品出现质量问题，经调换未对公司造成影响，单次扣1-3分。</w:t>
      </w:r>
    </w:p>
    <w:p w14:paraId="4E70464C">
      <w:pPr>
        <w:widowControl/>
        <w:spacing w:line="600" w:lineRule="exact"/>
        <w:ind w:firstLine="0" w:firstLineChars="0"/>
        <w:rPr>
          <w:rFonts w:ascii="仿宋_GB2312" w:hAnsi="仿宋" w:eastAsia="仿宋_GB2312"/>
          <w:bCs/>
          <w:sz w:val="34"/>
          <w:szCs w:val="34"/>
        </w:rPr>
      </w:pPr>
      <w:r>
        <w:rPr>
          <w:rFonts w:hint="eastAsia" w:ascii="仿宋_GB2312" w:hAnsi="仿宋" w:eastAsia="仿宋_GB2312"/>
          <w:bCs/>
          <w:sz w:val="34"/>
          <w:szCs w:val="34"/>
        </w:rPr>
        <w:t>　　（2）所供产品出现质量问题，对公司造成了一定影响，单次扣3-5分。</w:t>
      </w:r>
    </w:p>
    <w:p w14:paraId="1F48E60A">
      <w:pPr>
        <w:widowControl/>
        <w:spacing w:line="600" w:lineRule="exact"/>
        <w:ind w:firstLine="0" w:firstLineChars="0"/>
        <w:rPr>
          <w:rFonts w:ascii="仿宋_GB2312" w:hAnsi="仿宋" w:eastAsia="仿宋_GB2312"/>
          <w:bCs/>
          <w:sz w:val="34"/>
          <w:szCs w:val="34"/>
        </w:rPr>
      </w:pPr>
      <w:r>
        <w:rPr>
          <w:rFonts w:hint="eastAsia" w:ascii="仿宋_GB2312" w:hAnsi="仿宋" w:eastAsia="仿宋_GB2312"/>
          <w:bCs/>
          <w:sz w:val="34"/>
          <w:szCs w:val="34"/>
        </w:rPr>
        <w:t>　　（3）所供产品出现质量问题，对公司造成了严重影响，单次扣5-10分。</w:t>
      </w:r>
    </w:p>
    <w:p w14:paraId="621B560F">
      <w:pPr>
        <w:widowControl/>
        <w:spacing w:line="600" w:lineRule="exact"/>
        <w:ind w:firstLine="0" w:firstLineChars="0"/>
        <w:rPr>
          <w:rFonts w:ascii="仿宋_GB2312" w:hAnsi="仿宋" w:eastAsia="仿宋_GB2312"/>
          <w:bCs/>
          <w:sz w:val="34"/>
          <w:szCs w:val="34"/>
        </w:rPr>
      </w:pPr>
      <w:r>
        <w:rPr>
          <w:rFonts w:hint="eastAsia" w:ascii="仿宋_GB2312" w:hAnsi="仿宋" w:eastAsia="仿宋_GB2312"/>
          <w:bCs/>
          <w:sz w:val="34"/>
          <w:szCs w:val="34"/>
        </w:rPr>
        <w:t>　　2.交货方面</w:t>
      </w:r>
    </w:p>
    <w:p w14:paraId="67C13E00">
      <w:pPr>
        <w:widowControl/>
        <w:spacing w:line="600" w:lineRule="exact"/>
        <w:ind w:firstLine="0" w:firstLineChars="0"/>
        <w:rPr>
          <w:rFonts w:ascii="仿宋_GB2312" w:hAnsi="仿宋" w:eastAsia="仿宋_GB2312"/>
          <w:bCs/>
          <w:sz w:val="34"/>
          <w:szCs w:val="34"/>
        </w:rPr>
      </w:pPr>
      <w:r>
        <w:rPr>
          <w:rFonts w:hint="eastAsia" w:ascii="仿宋_GB2312" w:hAnsi="仿宋" w:eastAsia="仿宋_GB2312"/>
          <w:bCs/>
          <w:sz w:val="34"/>
          <w:szCs w:val="34"/>
        </w:rPr>
        <w:t xml:space="preserve">    （1）交货时无质检报告或合格证等必要资料的，单次扣1-3分。</w:t>
      </w:r>
    </w:p>
    <w:p w14:paraId="5B2A864C">
      <w:pPr>
        <w:widowControl/>
        <w:spacing w:line="600" w:lineRule="exact"/>
        <w:ind w:firstLine="0" w:firstLineChars="0"/>
        <w:rPr>
          <w:rFonts w:ascii="仿宋_GB2312" w:hAnsi="仿宋" w:eastAsia="仿宋_GB2312"/>
          <w:bCs/>
          <w:sz w:val="34"/>
          <w:szCs w:val="34"/>
        </w:rPr>
      </w:pPr>
      <w:r>
        <w:rPr>
          <w:rFonts w:hint="eastAsia" w:ascii="仿宋_GB2312" w:hAnsi="仿宋" w:eastAsia="仿宋_GB2312"/>
          <w:bCs/>
          <w:sz w:val="34"/>
          <w:szCs w:val="34"/>
        </w:rPr>
        <w:t xml:space="preserve">    （2）交货时未按规定包装的，单次扣1-3分。</w:t>
      </w:r>
    </w:p>
    <w:p w14:paraId="01DEA64E">
      <w:pPr>
        <w:widowControl/>
        <w:spacing w:line="600" w:lineRule="exact"/>
        <w:ind w:firstLine="0" w:firstLineChars="0"/>
        <w:rPr>
          <w:rFonts w:ascii="仿宋_GB2312" w:hAnsi="仿宋" w:eastAsia="仿宋_GB2312"/>
          <w:bCs/>
          <w:sz w:val="34"/>
          <w:szCs w:val="34"/>
        </w:rPr>
      </w:pPr>
      <w:r>
        <w:rPr>
          <w:rFonts w:hint="eastAsia" w:ascii="仿宋_GB2312" w:hAnsi="仿宋" w:eastAsia="仿宋_GB2312"/>
          <w:bCs/>
          <w:sz w:val="34"/>
          <w:szCs w:val="34"/>
        </w:rPr>
        <w:t xml:space="preserve">    （3）延期交货，但未对公司造成影响，单次扣1-3分；造成一定影响，单次扣3-5分；造成严重影响，单次扣5-10分。</w:t>
      </w:r>
    </w:p>
    <w:p w14:paraId="77657644">
      <w:pPr>
        <w:widowControl/>
        <w:spacing w:line="600" w:lineRule="exact"/>
        <w:ind w:firstLine="0" w:firstLineChars="0"/>
        <w:rPr>
          <w:rFonts w:ascii="仿宋_GB2312" w:hAnsi="仿宋" w:eastAsia="仿宋_GB2312"/>
          <w:bCs/>
          <w:sz w:val="34"/>
          <w:szCs w:val="34"/>
        </w:rPr>
      </w:pPr>
      <w:r>
        <w:rPr>
          <w:rFonts w:hint="eastAsia" w:ascii="仿宋_GB2312" w:hAnsi="仿宋" w:eastAsia="仿宋_GB2312"/>
          <w:bCs/>
          <w:sz w:val="34"/>
          <w:szCs w:val="34"/>
        </w:rPr>
        <w:t xml:space="preserve">    （4）交货过程中存在故意隐瞒质量缺陷或以次充好，单次扣5-10分。</w:t>
      </w:r>
    </w:p>
    <w:p w14:paraId="40493D3F">
      <w:pPr>
        <w:widowControl/>
        <w:spacing w:line="600" w:lineRule="exact"/>
        <w:ind w:firstLine="0" w:firstLineChars="0"/>
        <w:rPr>
          <w:rFonts w:ascii="仿宋_GB2312" w:hAnsi="仿宋" w:eastAsia="仿宋_GB2312"/>
          <w:bCs/>
          <w:sz w:val="34"/>
          <w:szCs w:val="34"/>
        </w:rPr>
      </w:pPr>
      <w:r>
        <w:rPr>
          <w:rFonts w:hint="eastAsia" w:ascii="仿宋_GB2312" w:hAnsi="仿宋" w:eastAsia="仿宋_GB2312"/>
          <w:bCs/>
          <w:sz w:val="34"/>
          <w:szCs w:val="34"/>
        </w:rPr>
        <w:t xml:space="preserve">    （5）运输单位未能按要求完成运输任务，单次扣1-3分。</w:t>
      </w:r>
    </w:p>
    <w:p w14:paraId="467D2407">
      <w:pPr>
        <w:widowControl/>
        <w:spacing w:line="600" w:lineRule="exact"/>
        <w:ind w:firstLine="0" w:firstLineChars="0"/>
        <w:rPr>
          <w:rFonts w:ascii="仿宋_GB2312" w:hAnsi="仿宋" w:eastAsia="仿宋_GB2312"/>
          <w:bCs/>
          <w:sz w:val="34"/>
          <w:szCs w:val="34"/>
        </w:rPr>
      </w:pPr>
      <w:r>
        <w:rPr>
          <w:rFonts w:hint="eastAsia" w:ascii="仿宋_GB2312" w:hAnsi="仿宋" w:eastAsia="仿宋_GB2312"/>
          <w:bCs/>
          <w:sz w:val="34"/>
          <w:szCs w:val="34"/>
        </w:rPr>
        <w:t>　　3.售后方面</w:t>
      </w:r>
    </w:p>
    <w:p w14:paraId="02853A5D">
      <w:pPr>
        <w:widowControl/>
        <w:spacing w:line="600" w:lineRule="exact"/>
        <w:ind w:firstLine="0" w:firstLineChars="0"/>
        <w:rPr>
          <w:rFonts w:ascii="仿宋_GB2312" w:hAnsi="仿宋" w:eastAsia="仿宋_GB2312"/>
          <w:bCs/>
          <w:sz w:val="34"/>
          <w:szCs w:val="34"/>
        </w:rPr>
      </w:pPr>
      <w:r>
        <w:rPr>
          <w:rFonts w:hint="eastAsia" w:ascii="仿宋_GB2312" w:hAnsi="仿宋" w:eastAsia="仿宋_GB2312"/>
          <w:bCs/>
          <w:sz w:val="34"/>
          <w:szCs w:val="34"/>
        </w:rPr>
        <w:t xml:space="preserve">    （1）对我公司的售后服务要求不能及时响应，单次扣1-3分；已造成一定影响，单次扣3-5分；造成严重影响，单次扣5-10分。</w:t>
      </w:r>
    </w:p>
    <w:p w14:paraId="5A64374D">
      <w:pPr>
        <w:widowControl/>
        <w:spacing w:line="600" w:lineRule="exact"/>
        <w:ind w:firstLine="0" w:firstLineChars="0"/>
        <w:rPr>
          <w:rFonts w:ascii="仿宋_GB2312" w:hAnsi="仿宋" w:eastAsia="仿宋_GB2312"/>
          <w:bCs/>
          <w:sz w:val="34"/>
          <w:szCs w:val="34"/>
        </w:rPr>
      </w:pPr>
      <w:r>
        <w:rPr>
          <w:rFonts w:hint="eastAsia" w:ascii="仿宋_GB2312" w:hAnsi="仿宋" w:eastAsia="仿宋_GB2312"/>
          <w:bCs/>
          <w:sz w:val="34"/>
          <w:szCs w:val="34"/>
        </w:rPr>
        <w:t xml:space="preserve">    （2）售后人员不能及时解决问题，单次扣1-3分。</w:t>
      </w:r>
    </w:p>
    <w:p w14:paraId="7C5227DE">
      <w:pPr>
        <w:widowControl/>
        <w:spacing w:line="600" w:lineRule="exact"/>
        <w:ind w:firstLine="0" w:firstLineChars="0"/>
        <w:rPr>
          <w:rFonts w:ascii="仿宋_GB2312" w:hAnsi="仿宋" w:eastAsia="仿宋_GB2312"/>
          <w:bCs/>
          <w:sz w:val="34"/>
          <w:szCs w:val="34"/>
        </w:rPr>
      </w:pPr>
      <w:r>
        <w:rPr>
          <w:rFonts w:hint="eastAsia" w:ascii="仿宋_GB2312" w:hAnsi="仿宋" w:eastAsia="仿宋_GB2312"/>
          <w:bCs/>
          <w:sz w:val="34"/>
          <w:szCs w:val="34"/>
        </w:rPr>
        <w:t xml:space="preserve">    （3）在质保期之内，拒绝按合同提供售后服务，单次扣5-10分。</w:t>
      </w:r>
    </w:p>
    <w:p w14:paraId="194D096A">
      <w:pPr>
        <w:widowControl/>
        <w:spacing w:line="600" w:lineRule="exact"/>
        <w:ind w:firstLine="0" w:firstLineChars="0"/>
        <w:rPr>
          <w:rFonts w:ascii="仿宋_GB2312" w:hAnsi="仿宋" w:eastAsia="仿宋_GB2312"/>
          <w:bCs/>
          <w:sz w:val="34"/>
          <w:szCs w:val="34"/>
        </w:rPr>
      </w:pPr>
      <w:r>
        <w:rPr>
          <w:rFonts w:hint="eastAsia" w:ascii="仿宋_GB2312" w:hAnsi="仿宋" w:eastAsia="仿宋_GB2312"/>
          <w:bCs/>
          <w:sz w:val="34"/>
          <w:szCs w:val="34"/>
        </w:rPr>
        <w:t xml:space="preserve">    4.资信方面</w:t>
      </w:r>
    </w:p>
    <w:p w14:paraId="4C2282FB">
      <w:pPr>
        <w:widowControl/>
        <w:spacing w:line="600" w:lineRule="exact"/>
        <w:ind w:firstLine="0" w:firstLineChars="0"/>
        <w:rPr>
          <w:rFonts w:ascii="仿宋_GB2312" w:hAnsi="仿宋" w:eastAsia="仿宋_GB2312"/>
          <w:bCs/>
          <w:sz w:val="34"/>
          <w:szCs w:val="34"/>
        </w:rPr>
      </w:pPr>
      <w:r>
        <w:rPr>
          <w:rFonts w:hint="eastAsia" w:ascii="仿宋_GB2312" w:hAnsi="仿宋" w:eastAsia="仿宋_GB2312"/>
          <w:bCs/>
          <w:sz w:val="34"/>
          <w:szCs w:val="34"/>
        </w:rPr>
        <w:t xml:space="preserve">    （1）中标之后因报价、参数错误等原因，经双方协商终止合同的签订，单次扣1-3分。</w:t>
      </w:r>
    </w:p>
    <w:p w14:paraId="4B616955">
      <w:pPr>
        <w:widowControl/>
        <w:spacing w:line="600" w:lineRule="exact"/>
        <w:ind w:firstLine="0" w:firstLineChars="0"/>
        <w:rPr>
          <w:rFonts w:ascii="仿宋_GB2312" w:hAnsi="仿宋" w:eastAsia="仿宋_GB2312"/>
          <w:bCs/>
          <w:sz w:val="34"/>
          <w:szCs w:val="34"/>
        </w:rPr>
      </w:pPr>
      <w:r>
        <w:rPr>
          <w:rFonts w:hint="eastAsia" w:ascii="仿宋_GB2312" w:hAnsi="仿宋" w:eastAsia="仿宋_GB2312"/>
          <w:bCs/>
          <w:sz w:val="34"/>
          <w:szCs w:val="34"/>
        </w:rPr>
        <w:t xml:space="preserve">    （2）中标之后拒绝签订合同或拒绝履行合同，单次扣5-10分。</w:t>
      </w:r>
    </w:p>
    <w:p w14:paraId="561D4F2A">
      <w:pPr>
        <w:widowControl/>
        <w:spacing w:line="600" w:lineRule="exact"/>
        <w:ind w:firstLine="0" w:firstLineChars="0"/>
        <w:rPr>
          <w:rFonts w:ascii="仿宋_GB2312" w:hAnsi="仿宋" w:eastAsia="仿宋_GB2312"/>
          <w:bCs/>
          <w:sz w:val="34"/>
          <w:szCs w:val="34"/>
        </w:rPr>
      </w:pPr>
      <w:r>
        <w:rPr>
          <w:rFonts w:hint="eastAsia" w:ascii="仿宋_GB2312" w:hAnsi="仿宋" w:eastAsia="仿宋_GB2312"/>
          <w:bCs/>
          <w:sz w:val="34"/>
          <w:szCs w:val="34"/>
        </w:rPr>
        <w:t xml:space="preserve">    （3）无正当理由未及时开具发票给我方，单次扣1-3分。</w:t>
      </w:r>
    </w:p>
    <w:p w14:paraId="07886137">
      <w:pPr>
        <w:widowControl/>
        <w:spacing w:line="600" w:lineRule="exact"/>
        <w:ind w:firstLine="0" w:firstLineChars="0"/>
        <w:rPr>
          <w:rFonts w:ascii="仿宋_GB2312" w:hAnsi="仿宋" w:eastAsia="仿宋_GB2312"/>
          <w:bCs/>
          <w:sz w:val="34"/>
          <w:szCs w:val="34"/>
        </w:rPr>
      </w:pPr>
      <w:r>
        <w:rPr>
          <w:rFonts w:hint="eastAsia" w:ascii="仿宋_GB2312" w:hAnsi="仿宋" w:eastAsia="仿宋_GB2312"/>
          <w:bCs/>
          <w:sz w:val="34"/>
          <w:szCs w:val="34"/>
        </w:rPr>
        <w:t xml:space="preserve">    （4）未按合同约定价格开票，单次扣1-3分。</w:t>
      </w:r>
    </w:p>
    <w:p w14:paraId="4E050FBD">
      <w:pPr>
        <w:widowControl/>
        <w:spacing w:line="600" w:lineRule="exact"/>
        <w:ind w:firstLine="0" w:firstLineChars="0"/>
        <w:rPr>
          <w:rFonts w:ascii="仿宋_GB2312" w:hAnsi="仿宋" w:eastAsia="仿宋_GB2312"/>
          <w:bCs/>
          <w:sz w:val="34"/>
          <w:szCs w:val="34"/>
        </w:rPr>
      </w:pPr>
      <w:r>
        <w:rPr>
          <w:rFonts w:hint="eastAsia" w:ascii="仿宋_GB2312" w:hAnsi="仿宋" w:eastAsia="仿宋_GB2312"/>
          <w:bCs/>
          <w:sz w:val="34"/>
          <w:szCs w:val="34"/>
        </w:rPr>
        <w:t xml:space="preserve">    （5）注册信息及基本资质证书不属实，单次扣5-10分。</w:t>
      </w:r>
    </w:p>
    <w:p w14:paraId="4EBFFD6E">
      <w:pPr>
        <w:widowControl/>
        <w:spacing w:line="600" w:lineRule="exact"/>
        <w:ind w:firstLine="0" w:firstLineChars="0"/>
        <w:rPr>
          <w:rFonts w:ascii="仿宋_GB2312" w:hAnsi="仿宋" w:eastAsia="仿宋_GB2312"/>
          <w:bCs/>
          <w:sz w:val="34"/>
          <w:szCs w:val="34"/>
        </w:rPr>
      </w:pPr>
      <w:r>
        <w:rPr>
          <w:rFonts w:hint="eastAsia" w:ascii="仿宋_GB2312" w:hAnsi="仿宋" w:eastAsia="仿宋_GB2312"/>
          <w:bCs/>
          <w:sz w:val="34"/>
          <w:szCs w:val="34"/>
        </w:rPr>
        <w:t xml:space="preserve">    （6）因知识产权引起纠纷，单次扣5-10分。</w:t>
      </w:r>
    </w:p>
    <w:p w14:paraId="0007294F">
      <w:pPr>
        <w:widowControl/>
        <w:spacing w:line="600" w:lineRule="exact"/>
        <w:ind w:firstLine="0" w:firstLineChars="0"/>
        <w:rPr>
          <w:rFonts w:ascii="仿宋_GB2312" w:hAnsi="仿宋" w:eastAsia="仿宋_GB2312"/>
          <w:bCs/>
          <w:sz w:val="34"/>
          <w:szCs w:val="34"/>
        </w:rPr>
      </w:pPr>
      <w:r>
        <w:rPr>
          <w:rFonts w:hint="eastAsia" w:ascii="仿宋_GB2312" w:hAnsi="楷体" w:eastAsia="仿宋_GB2312"/>
          <w:bCs/>
          <w:sz w:val="34"/>
          <w:szCs w:val="34"/>
        </w:rPr>
        <w:t xml:space="preserve">    </w:t>
      </w:r>
      <w:r>
        <w:rPr>
          <w:rFonts w:hint="eastAsia" w:ascii="仿宋_GB2312" w:hAnsi="楷体" w:eastAsia="仿宋_GB2312"/>
          <w:b/>
          <w:sz w:val="34"/>
          <w:szCs w:val="34"/>
        </w:rPr>
        <w:t>第七条</w:t>
      </w:r>
      <w:r>
        <w:rPr>
          <w:rFonts w:hint="eastAsia" w:ascii="仿宋_GB2312" w:hAnsi="仿宋" w:eastAsia="仿宋_GB2312"/>
          <w:bCs/>
          <w:sz w:val="34"/>
          <w:szCs w:val="34"/>
        </w:rPr>
        <w:t xml:space="preserve"> 供应商发生以下情况，将直接列入负面清单，情节严重的，甚至可以直接永久性停止合作：</w:t>
      </w:r>
    </w:p>
    <w:p w14:paraId="4781281C">
      <w:pPr>
        <w:widowControl/>
        <w:spacing w:line="600" w:lineRule="exact"/>
        <w:ind w:firstLine="0" w:firstLineChars="0"/>
        <w:rPr>
          <w:rFonts w:ascii="仿宋_GB2312" w:hAnsi="仿宋" w:eastAsia="仿宋_GB2312"/>
          <w:bCs/>
          <w:sz w:val="34"/>
          <w:szCs w:val="34"/>
        </w:rPr>
      </w:pPr>
      <w:r>
        <w:rPr>
          <w:rFonts w:hint="eastAsia" w:ascii="仿宋_GB2312" w:hAnsi="仿宋" w:eastAsia="仿宋_GB2312"/>
          <w:bCs/>
          <w:sz w:val="34"/>
          <w:szCs w:val="34"/>
        </w:rPr>
        <w:t xml:space="preserve">    1.涉及弄虚作假、欺诈、故意隐瞒、冒名顶替等行为的。</w:t>
      </w:r>
    </w:p>
    <w:p w14:paraId="4FDB81A0">
      <w:pPr>
        <w:widowControl/>
        <w:spacing w:line="600" w:lineRule="exact"/>
        <w:ind w:firstLine="642" w:firstLineChars="0"/>
        <w:rPr>
          <w:rFonts w:ascii="仿宋_GB2312" w:hAnsi="仿宋" w:eastAsia="仿宋_GB2312"/>
          <w:bCs/>
          <w:sz w:val="34"/>
          <w:szCs w:val="34"/>
        </w:rPr>
      </w:pPr>
      <w:r>
        <w:rPr>
          <w:rFonts w:hint="eastAsia" w:ascii="仿宋_GB2312" w:hAnsi="仿宋" w:eastAsia="仿宋_GB2312"/>
          <w:bCs/>
          <w:sz w:val="34"/>
          <w:szCs w:val="34"/>
        </w:rPr>
        <w:t>2.出现串标、围标、陪标，或者以损害其他诚实竞争者的利益谋求中标的。</w:t>
      </w:r>
    </w:p>
    <w:p w14:paraId="45D6A3BA">
      <w:pPr>
        <w:widowControl/>
        <w:spacing w:line="600" w:lineRule="exact"/>
        <w:ind w:firstLine="680"/>
        <w:rPr>
          <w:rFonts w:ascii="仿宋_GB2312" w:hAnsi="仿宋" w:eastAsia="仿宋_GB2312"/>
          <w:bCs/>
          <w:sz w:val="34"/>
          <w:szCs w:val="34"/>
        </w:rPr>
      </w:pPr>
      <w:r>
        <w:rPr>
          <w:rFonts w:hint="eastAsia" w:ascii="仿宋_GB2312" w:hAnsi="仿宋" w:eastAsia="仿宋_GB2312"/>
          <w:bCs/>
          <w:sz w:val="34"/>
          <w:szCs w:val="34"/>
        </w:rPr>
        <w:t xml:space="preserve">    3.供应商通过恶意法律诉讼起诉我公司最终被法院裁定为败诉的。</w:t>
      </w:r>
    </w:p>
    <w:p w14:paraId="398A2CB5">
      <w:pPr>
        <w:widowControl/>
        <w:spacing w:line="600" w:lineRule="exact"/>
        <w:ind w:firstLine="0" w:firstLineChars="0"/>
        <w:rPr>
          <w:rFonts w:ascii="仿宋_GB2312" w:hAnsi="仿宋" w:eastAsia="仿宋_GB2312"/>
          <w:bCs/>
          <w:sz w:val="34"/>
          <w:szCs w:val="34"/>
        </w:rPr>
      </w:pPr>
      <w:r>
        <w:rPr>
          <w:rFonts w:hint="eastAsia" w:ascii="仿宋_GB2312" w:hAnsi="仿宋" w:eastAsia="仿宋_GB2312"/>
          <w:bCs/>
          <w:sz w:val="34"/>
          <w:szCs w:val="34"/>
        </w:rPr>
        <w:t xml:space="preserve">    4.违反廉政协议，滋生腐败现象的。</w:t>
      </w:r>
    </w:p>
    <w:p w14:paraId="09475655">
      <w:pPr>
        <w:widowControl/>
        <w:spacing w:line="600" w:lineRule="exact"/>
        <w:ind w:firstLine="680"/>
        <w:rPr>
          <w:rFonts w:ascii="仿宋_GB2312" w:hAnsi="仿宋" w:eastAsia="仿宋_GB2312"/>
          <w:bCs/>
          <w:sz w:val="34"/>
          <w:szCs w:val="34"/>
        </w:rPr>
      </w:pPr>
      <w:r>
        <w:rPr>
          <w:rFonts w:hint="eastAsia" w:ascii="仿宋_GB2312" w:hAnsi="仿宋" w:eastAsia="仿宋_GB2312"/>
          <w:bCs/>
          <w:sz w:val="34"/>
          <w:szCs w:val="34"/>
        </w:rPr>
        <w:t>　　</w:t>
      </w:r>
      <w:r>
        <w:rPr>
          <w:rFonts w:hint="eastAsia" w:ascii="仿宋_GB2312" w:hAnsi="楷体" w:eastAsia="仿宋_GB2312"/>
          <w:b/>
          <w:sz w:val="34"/>
          <w:szCs w:val="34"/>
        </w:rPr>
        <w:t>第八条</w:t>
      </w:r>
      <w:r>
        <w:rPr>
          <w:rFonts w:hint="eastAsia" w:ascii="仿宋_GB2312" w:hAnsi="仿宋" w:eastAsia="仿宋_GB2312"/>
          <w:bCs/>
          <w:sz w:val="34"/>
          <w:szCs w:val="34"/>
        </w:rPr>
        <w:t xml:space="preserve"> 关于无效投诉的处理办法</w:t>
      </w:r>
    </w:p>
    <w:p w14:paraId="487B5FA1">
      <w:pPr>
        <w:widowControl/>
        <w:spacing w:line="600" w:lineRule="exact"/>
        <w:ind w:firstLine="0" w:firstLineChars="0"/>
        <w:rPr>
          <w:rFonts w:ascii="仿宋_GB2312" w:hAnsi="仿宋" w:eastAsia="仿宋_GB2312"/>
          <w:bCs/>
          <w:sz w:val="34"/>
          <w:szCs w:val="34"/>
        </w:rPr>
      </w:pPr>
      <w:r>
        <w:rPr>
          <w:rFonts w:hint="eastAsia" w:ascii="仿宋_GB2312" w:hAnsi="仿宋" w:eastAsia="仿宋_GB2312"/>
          <w:bCs/>
          <w:sz w:val="34"/>
          <w:szCs w:val="34"/>
        </w:rPr>
        <w:t>　　根据索普集团招标管理制度，投标人如对投标结果存有异议，可向监管部门提起投诉。但为了维护招标工作的严肃性，投标人所提出的投诉一旦被公司认定为无效投诉，单次扣除投诉人3分；如果投标人仍不接受解释且采取重复投诉，甚至出现捏造事实、无理取闹、聚众围堵、恶意诽谤等严重扰乱公司生产经营秩序的恶劣行为，可再扣除投诉人5-10分；投标人对同一事件的无效投诉或一年内累计无效投诉的次数达到三次以上（含三次），均直接列入供应商负面清单，情节严重的，也可以永久性停止合作。</w:t>
      </w:r>
    </w:p>
    <w:p w14:paraId="587C688C">
      <w:pPr>
        <w:widowControl/>
        <w:spacing w:line="600" w:lineRule="exact"/>
        <w:ind w:firstLine="0" w:firstLineChars="0"/>
        <w:jc w:val="center"/>
        <w:rPr>
          <w:rFonts w:ascii="黑体" w:hAnsi="黑体" w:eastAsia="黑体" w:cs="仿宋"/>
          <w:bCs/>
          <w:sz w:val="34"/>
          <w:szCs w:val="34"/>
        </w:rPr>
      </w:pPr>
      <w:r>
        <w:rPr>
          <w:rFonts w:hint="eastAsia" w:ascii="黑体" w:hAnsi="黑体" w:eastAsia="黑体" w:cs="仿宋"/>
          <w:bCs/>
          <w:sz w:val="34"/>
          <w:szCs w:val="34"/>
        </w:rPr>
        <w:t>第四章 负面清单供应商的消除</w:t>
      </w:r>
    </w:p>
    <w:p w14:paraId="09FC2626">
      <w:pPr>
        <w:widowControl/>
        <w:spacing w:line="600" w:lineRule="exact"/>
        <w:ind w:firstLine="0" w:firstLineChars="0"/>
        <w:rPr>
          <w:rFonts w:ascii="仿宋_GB2312" w:hAnsi="仿宋" w:eastAsia="仿宋_GB2312"/>
          <w:bCs/>
          <w:sz w:val="34"/>
          <w:szCs w:val="34"/>
        </w:rPr>
      </w:pPr>
      <w:r>
        <w:rPr>
          <w:rFonts w:hint="eastAsia" w:ascii="仿宋_GB2312" w:hAnsi="楷体" w:eastAsia="仿宋_GB2312"/>
          <w:bCs/>
          <w:sz w:val="34"/>
          <w:szCs w:val="34"/>
        </w:rPr>
        <w:t>　　</w:t>
      </w:r>
      <w:r>
        <w:rPr>
          <w:rFonts w:hint="eastAsia" w:ascii="仿宋_GB2312" w:hAnsi="楷体" w:eastAsia="仿宋_GB2312"/>
          <w:b/>
          <w:sz w:val="34"/>
          <w:szCs w:val="34"/>
        </w:rPr>
        <w:t>第九条</w:t>
      </w:r>
      <w:r>
        <w:rPr>
          <w:rFonts w:hint="eastAsia" w:ascii="仿宋_GB2312" w:hAnsi="仿宋_GB2312" w:eastAsia="仿宋_GB2312" w:cs="仿宋_GB2312"/>
          <w:bCs/>
          <w:sz w:val="34"/>
          <w:szCs w:val="34"/>
        </w:rPr>
        <w:t xml:space="preserve"> </w:t>
      </w:r>
      <w:r>
        <w:rPr>
          <w:rFonts w:hint="eastAsia" w:ascii="仿宋_GB2312" w:hAnsi="仿宋" w:eastAsia="仿宋_GB2312"/>
          <w:bCs/>
          <w:sz w:val="34"/>
          <w:szCs w:val="34"/>
        </w:rPr>
        <w:t>已被列入负面清单的供应商通过自身完善、整改等措施，其产品或服务质量满足公司要求，原则上自考核满一年以后，供应商可提出书面申请，经供应商能力确认流程鉴定后方可从负面清单中消除。具体流程如下：</w:t>
      </w:r>
    </w:p>
    <w:p w14:paraId="4462FC25">
      <w:pPr>
        <w:widowControl/>
        <w:spacing w:line="600" w:lineRule="exact"/>
        <w:ind w:firstLine="0" w:firstLineChars="0"/>
        <w:rPr>
          <w:rFonts w:ascii="仿宋_GB2312" w:hAnsi="仿宋" w:eastAsia="仿宋_GB2312"/>
          <w:bCs/>
          <w:sz w:val="34"/>
          <w:szCs w:val="34"/>
        </w:rPr>
      </w:pPr>
      <w:r>
        <w:rPr>
          <w:rFonts w:hint="eastAsia" w:ascii="仿宋_GB2312" w:hAnsi="仿宋" w:eastAsia="仿宋_GB2312"/>
          <w:bCs/>
          <w:sz w:val="34"/>
          <w:szCs w:val="34"/>
        </w:rPr>
        <w:t>　　1.供应商提出负面清单消除的书面申请以及针对考核项的整改措施、效果等相关文件材料；</w:t>
      </w:r>
    </w:p>
    <w:p w14:paraId="4685C5AE">
      <w:pPr>
        <w:widowControl/>
        <w:spacing w:line="600" w:lineRule="exact"/>
        <w:ind w:firstLine="0" w:firstLineChars="0"/>
        <w:rPr>
          <w:rFonts w:ascii="仿宋_GB2312" w:hAnsi="仿宋" w:eastAsia="仿宋_GB2312"/>
          <w:bCs/>
          <w:sz w:val="34"/>
          <w:szCs w:val="34"/>
        </w:rPr>
      </w:pPr>
      <w:r>
        <w:rPr>
          <w:rFonts w:hint="eastAsia" w:ascii="仿宋_GB2312" w:hAnsi="仿宋" w:eastAsia="仿宋_GB2312"/>
          <w:bCs/>
          <w:sz w:val="34"/>
          <w:szCs w:val="34"/>
        </w:rPr>
        <w:t>　　2.商务合作部牵头组织相关部门对供应商提供的文件材料进行确认，必要时组织现场考察；</w:t>
      </w:r>
    </w:p>
    <w:p w14:paraId="645BDC7C">
      <w:pPr>
        <w:widowControl/>
        <w:spacing w:line="600" w:lineRule="exact"/>
        <w:ind w:firstLine="680"/>
        <w:rPr>
          <w:rFonts w:ascii="仿宋_GB2312" w:hAnsi="仿宋" w:eastAsia="仿宋_GB2312"/>
          <w:bCs/>
          <w:sz w:val="34"/>
          <w:szCs w:val="34"/>
        </w:rPr>
      </w:pPr>
      <w:r>
        <w:rPr>
          <w:rFonts w:hint="eastAsia" w:ascii="仿宋_GB2312" w:hAnsi="仿宋" w:eastAsia="仿宋_GB2312"/>
          <w:bCs/>
          <w:sz w:val="34"/>
          <w:szCs w:val="34"/>
        </w:rPr>
        <w:t>　　3.商务合作部根据材料确认及考察情况提出建议，经相关部门会签再报集团分管领导批准以后方可完成负面清单供应商的消除工作。</w:t>
      </w:r>
    </w:p>
    <w:p w14:paraId="59D88278">
      <w:pPr>
        <w:widowControl/>
        <w:adjustRightInd w:val="0"/>
        <w:snapToGrid w:val="0"/>
        <w:spacing w:line="600" w:lineRule="exact"/>
        <w:ind w:right="240" w:rightChars="100" w:firstLine="680"/>
        <w:jc w:val="center"/>
        <w:rPr>
          <w:rFonts w:ascii="黑体" w:hAnsi="黑体" w:eastAsia="黑体" w:cs="仿宋"/>
          <w:bCs/>
          <w:sz w:val="34"/>
          <w:szCs w:val="34"/>
        </w:rPr>
      </w:pPr>
      <w:r>
        <w:rPr>
          <w:rFonts w:hint="eastAsia" w:ascii="黑体" w:hAnsi="黑体" w:eastAsia="黑体" w:cs="仿宋"/>
          <w:bCs/>
          <w:sz w:val="34"/>
          <w:szCs w:val="34"/>
        </w:rPr>
        <w:t>第五章  附则</w:t>
      </w:r>
    </w:p>
    <w:p w14:paraId="4DAD9703">
      <w:pPr>
        <w:widowControl/>
        <w:spacing w:line="600" w:lineRule="exact"/>
        <w:ind w:firstLine="680"/>
        <w:rPr>
          <w:rFonts w:ascii="仿宋_GB2312" w:hAnsi="仿宋" w:eastAsia="仿宋_GB2312"/>
          <w:bCs/>
          <w:sz w:val="34"/>
          <w:szCs w:val="34"/>
        </w:rPr>
      </w:pPr>
      <w:r>
        <w:rPr>
          <w:rFonts w:hint="eastAsia" w:ascii="仿宋_GB2312" w:hAnsi="楷体" w:eastAsia="仿宋_GB2312"/>
          <w:b/>
          <w:sz w:val="34"/>
          <w:szCs w:val="34"/>
        </w:rPr>
        <w:t>第十条</w:t>
      </w:r>
      <w:r>
        <w:rPr>
          <w:rFonts w:hint="eastAsia" w:ascii="仿宋_GB2312" w:hAnsi="楷体" w:eastAsia="仿宋_GB2312"/>
          <w:bCs/>
          <w:sz w:val="34"/>
          <w:szCs w:val="34"/>
        </w:rPr>
        <w:t xml:space="preserve"> </w:t>
      </w:r>
      <w:r>
        <w:rPr>
          <w:rFonts w:hint="eastAsia" w:ascii="仿宋_GB2312" w:hAnsi="仿宋" w:eastAsia="仿宋_GB2312"/>
          <w:bCs/>
          <w:sz w:val="34"/>
          <w:szCs w:val="34"/>
        </w:rPr>
        <w:t>各部门、各单位应努力按照公开、公平、公正的原则，做好供应商负面清单的考核和管理工作。</w:t>
      </w:r>
    </w:p>
    <w:p w14:paraId="1EA2741B">
      <w:pPr>
        <w:widowControl/>
        <w:spacing w:line="600" w:lineRule="exact"/>
        <w:ind w:firstLine="680"/>
        <w:rPr>
          <w:rFonts w:ascii="仿宋_GB2312" w:hAnsi="仿宋" w:eastAsia="仿宋_GB2312"/>
          <w:bCs/>
          <w:sz w:val="34"/>
          <w:szCs w:val="34"/>
        </w:rPr>
      </w:pPr>
      <w:r>
        <w:rPr>
          <w:rFonts w:hint="eastAsia" w:ascii="仿宋_GB2312" w:hAnsi="楷体" w:eastAsia="仿宋_GB2312"/>
          <w:b/>
          <w:sz w:val="34"/>
          <w:szCs w:val="34"/>
        </w:rPr>
        <w:t>第十一条</w:t>
      </w:r>
      <w:r>
        <w:rPr>
          <w:rFonts w:hint="eastAsia" w:ascii="仿宋_GB2312" w:hAnsi="仿宋" w:eastAsia="仿宋_GB2312"/>
          <w:bCs/>
          <w:sz w:val="34"/>
          <w:szCs w:val="34"/>
        </w:rPr>
        <w:t xml:space="preserve"> 供应商负面清单的加入和消除总体采取谁加入谁消除的独立自主处置原则，不同单位对同一供应商一年内的考核扣分累计达到15分以上，由集团商务合作部将其列为负面清单供应商。</w:t>
      </w:r>
    </w:p>
    <w:p w14:paraId="39DFD421">
      <w:pPr>
        <w:widowControl/>
        <w:spacing w:line="600" w:lineRule="exact"/>
        <w:ind w:firstLine="680"/>
        <w:rPr>
          <w:rFonts w:ascii="仿宋_GB2312" w:hAnsi="仿宋" w:eastAsia="仿宋_GB2312"/>
          <w:bCs/>
          <w:sz w:val="34"/>
          <w:szCs w:val="34"/>
        </w:rPr>
      </w:pPr>
      <w:r>
        <w:rPr>
          <w:rFonts w:hint="eastAsia" w:ascii="仿宋_GB2312" w:hAnsi="楷体" w:eastAsia="仿宋_GB2312"/>
          <w:b/>
          <w:sz w:val="34"/>
          <w:szCs w:val="34"/>
        </w:rPr>
        <w:t>第十二条</w:t>
      </w:r>
      <w:r>
        <w:rPr>
          <w:rFonts w:hint="eastAsia" w:ascii="仿宋_GB2312" w:hAnsi="楷体" w:eastAsia="仿宋_GB2312"/>
          <w:bCs/>
          <w:sz w:val="34"/>
          <w:szCs w:val="34"/>
        </w:rPr>
        <w:t xml:space="preserve"> </w:t>
      </w:r>
      <w:r>
        <w:rPr>
          <w:rFonts w:hint="eastAsia" w:ascii="仿宋_GB2312" w:hAnsi="仿宋" w:eastAsia="仿宋_GB2312"/>
          <w:bCs/>
          <w:sz w:val="34"/>
          <w:szCs w:val="34"/>
        </w:rPr>
        <w:t>各部门、各单位对负面清单供应商的加入和消除均应在第一时间报送集团商务合作部，并由集团商务合作部统一在公司指定公告栏中进行公示。对已被某一单位列入负面清单的供应商，其他单位在同一时期一律不得再与其开展新的合作；对所有已被累计两次加入负面清单的供应商，各部门、各单位一律永久性停止与该供应商的合作。</w:t>
      </w:r>
    </w:p>
    <w:p w14:paraId="69DAC2F7">
      <w:pPr>
        <w:widowControl/>
        <w:spacing w:line="600" w:lineRule="exact"/>
        <w:ind w:firstLine="0" w:firstLineChars="0"/>
        <w:jc w:val="left"/>
        <w:rPr>
          <w:rFonts w:ascii="仿宋_GB2312" w:hAnsi="仿宋_GB2312" w:eastAsia="仿宋_GB2312" w:cs="仿宋_GB2312"/>
          <w:bCs/>
          <w:kern w:val="0"/>
          <w:sz w:val="34"/>
          <w:szCs w:val="34"/>
          <w:lang w:val="zh-CN"/>
        </w:rPr>
      </w:pPr>
      <w:r>
        <w:rPr>
          <w:rFonts w:hint="eastAsia" w:ascii="仿宋_GB2312" w:hAnsi="楷体" w:eastAsia="仿宋_GB2312"/>
          <w:bCs/>
          <w:sz w:val="34"/>
          <w:szCs w:val="34"/>
        </w:rPr>
        <w:t>　</w:t>
      </w:r>
      <w:r>
        <w:rPr>
          <w:rFonts w:hint="eastAsia" w:ascii="仿宋_GB2312" w:hAnsi="楷体" w:eastAsia="仿宋_GB2312"/>
          <w:b/>
          <w:sz w:val="34"/>
          <w:szCs w:val="34"/>
        </w:rPr>
        <w:t>　第十三条</w:t>
      </w:r>
      <w:r>
        <w:rPr>
          <w:rFonts w:hint="eastAsia" w:ascii="仿宋_GB2312" w:hAnsi="楷体" w:eastAsia="仿宋_GB2312"/>
          <w:bCs/>
          <w:sz w:val="34"/>
          <w:szCs w:val="34"/>
        </w:rPr>
        <w:t xml:space="preserve"> </w:t>
      </w:r>
      <w:r>
        <w:rPr>
          <w:rFonts w:hint="eastAsia" w:ascii="仿宋_GB2312" w:hAnsi="仿宋" w:eastAsia="仿宋_GB2312"/>
          <w:bCs/>
          <w:sz w:val="34"/>
          <w:szCs w:val="34"/>
        </w:rPr>
        <w:t>本规定自颁发之日起生效，由集团商务合作部负责解释，</w:t>
      </w:r>
      <w:r>
        <w:rPr>
          <w:rFonts w:hint="eastAsia" w:ascii="仿宋_GB2312" w:hAnsi="宋体" w:eastAsia="仿宋_GB2312" w:cs="宋体"/>
          <w:bCs/>
          <w:kern w:val="0"/>
          <w:sz w:val="34"/>
          <w:szCs w:val="34"/>
        </w:rPr>
        <w:t>原《索普集团供应商负面清单管理规定（试行）》</w:t>
      </w:r>
      <w:r>
        <w:rPr>
          <w:rFonts w:hint="eastAsia" w:ascii="仿宋_GB2312" w:eastAsia="仿宋_GB2312"/>
          <w:bCs/>
          <w:sz w:val="34"/>
          <w:szCs w:val="34"/>
        </w:rPr>
        <w:t>（苏索企字〔</w:t>
      </w:r>
      <w:r>
        <w:rPr>
          <w:rFonts w:ascii="仿宋_GB2312" w:eastAsia="仿宋_GB2312"/>
          <w:bCs/>
          <w:sz w:val="34"/>
          <w:szCs w:val="34"/>
        </w:rPr>
        <w:t>20</w:t>
      </w:r>
      <w:r>
        <w:rPr>
          <w:rFonts w:hint="eastAsia" w:ascii="仿宋_GB2312" w:eastAsia="仿宋_GB2312"/>
          <w:bCs/>
          <w:sz w:val="34"/>
          <w:szCs w:val="34"/>
        </w:rPr>
        <w:t>20〕165号）同时废止。</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37F60">
    <w:pPr>
      <w:pStyle w:val="7"/>
      <w:spacing w:before="120" w:after="120"/>
      <w:ind w:firstLine="360"/>
      <w:jc w:val="center"/>
    </w:pPr>
    <w:r>
      <w:fldChar w:fldCharType="begin"/>
    </w:r>
    <w:r>
      <w:instrText xml:space="preserve">PAGE   \* MERGEFORMAT</w:instrText>
    </w:r>
    <w:r>
      <w:fldChar w:fldCharType="separate"/>
    </w:r>
    <w:r>
      <w:rPr>
        <w:lang w:val="zh-CN"/>
      </w:rPr>
      <w:t>7</w:t>
    </w:r>
    <w:r>
      <w:fldChar w:fldCharType="end"/>
    </w:r>
  </w:p>
  <w:p w14:paraId="06EA7814">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09CBC">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A3791">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1DD49">
    <w:pPr>
      <w:pStyle w:val="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2DBDC">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587BB">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0116E0"/>
    <w:multiLevelType w:val="multilevel"/>
    <w:tmpl w:val="3D0116E0"/>
    <w:lvl w:ilvl="0" w:tentative="0">
      <w:start w:val="1"/>
      <w:numFmt w:val="japaneseCounting"/>
      <w:pStyle w:val="17"/>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7250E27"/>
    <w:multiLevelType w:val="multilevel"/>
    <w:tmpl w:val="77250E27"/>
    <w:lvl w:ilvl="0" w:tentative="0">
      <w:start w:val="1"/>
      <w:numFmt w:val="decimal"/>
      <w:pStyle w:val="18"/>
      <w:lvlText w:val="%1"/>
      <w:lvlJc w:val="left"/>
      <w:pPr>
        <w:ind w:left="720" w:hanging="7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D922F2A"/>
    <w:multiLevelType w:val="multilevel"/>
    <w:tmpl w:val="7D922F2A"/>
    <w:lvl w:ilvl="0" w:tentative="0">
      <w:start w:val="1"/>
      <w:numFmt w:val="decimal"/>
      <w:pStyle w:val="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dlYzE1ZWY2MzMyZDg4OTY4NjAzMjhjZTFmNzRhMDcifQ=="/>
  </w:docVars>
  <w:rsids>
    <w:rsidRoot w:val="4F5C24C6"/>
    <w:rsid w:val="00044DD1"/>
    <w:rsid w:val="00070521"/>
    <w:rsid w:val="0009395E"/>
    <w:rsid w:val="00097B91"/>
    <w:rsid w:val="0014490B"/>
    <w:rsid w:val="001673FB"/>
    <w:rsid w:val="00206219"/>
    <w:rsid w:val="00246DCD"/>
    <w:rsid w:val="00247EFC"/>
    <w:rsid w:val="002C1ABF"/>
    <w:rsid w:val="0032701A"/>
    <w:rsid w:val="00330C96"/>
    <w:rsid w:val="00363682"/>
    <w:rsid w:val="003A0514"/>
    <w:rsid w:val="003C6795"/>
    <w:rsid w:val="00410F1E"/>
    <w:rsid w:val="00411AE3"/>
    <w:rsid w:val="00423EE4"/>
    <w:rsid w:val="00431A2C"/>
    <w:rsid w:val="00440E01"/>
    <w:rsid w:val="004C6AC5"/>
    <w:rsid w:val="004E0EA1"/>
    <w:rsid w:val="005052C5"/>
    <w:rsid w:val="00576147"/>
    <w:rsid w:val="005968D2"/>
    <w:rsid w:val="005A4073"/>
    <w:rsid w:val="005D63CF"/>
    <w:rsid w:val="00642587"/>
    <w:rsid w:val="00666B62"/>
    <w:rsid w:val="006719FE"/>
    <w:rsid w:val="00694E07"/>
    <w:rsid w:val="006A6950"/>
    <w:rsid w:val="006B24D8"/>
    <w:rsid w:val="00700472"/>
    <w:rsid w:val="0072003E"/>
    <w:rsid w:val="00735198"/>
    <w:rsid w:val="00764F84"/>
    <w:rsid w:val="0076558F"/>
    <w:rsid w:val="007E4945"/>
    <w:rsid w:val="0080696F"/>
    <w:rsid w:val="00841684"/>
    <w:rsid w:val="00843023"/>
    <w:rsid w:val="008957E7"/>
    <w:rsid w:val="008C20DE"/>
    <w:rsid w:val="008C4C21"/>
    <w:rsid w:val="009030A3"/>
    <w:rsid w:val="00903491"/>
    <w:rsid w:val="009110E5"/>
    <w:rsid w:val="009D654A"/>
    <w:rsid w:val="009E6518"/>
    <w:rsid w:val="009F503B"/>
    <w:rsid w:val="00A04915"/>
    <w:rsid w:val="00A126F2"/>
    <w:rsid w:val="00A37169"/>
    <w:rsid w:val="00A83E1F"/>
    <w:rsid w:val="00A97751"/>
    <w:rsid w:val="00AC43B6"/>
    <w:rsid w:val="00AF36D5"/>
    <w:rsid w:val="00B54603"/>
    <w:rsid w:val="00C22CAC"/>
    <w:rsid w:val="00C63ACB"/>
    <w:rsid w:val="00CC21B9"/>
    <w:rsid w:val="00D754E7"/>
    <w:rsid w:val="00D963A1"/>
    <w:rsid w:val="00DB603E"/>
    <w:rsid w:val="00E61805"/>
    <w:rsid w:val="00E651E2"/>
    <w:rsid w:val="00E67B46"/>
    <w:rsid w:val="00E716A4"/>
    <w:rsid w:val="00E76063"/>
    <w:rsid w:val="00E763AC"/>
    <w:rsid w:val="00EF4350"/>
    <w:rsid w:val="00EF5B57"/>
    <w:rsid w:val="00F37975"/>
    <w:rsid w:val="00F45F4B"/>
    <w:rsid w:val="00F56FCA"/>
    <w:rsid w:val="01233D34"/>
    <w:rsid w:val="0256755B"/>
    <w:rsid w:val="02B074F0"/>
    <w:rsid w:val="02E114CE"/>
    <w:rsid w:val="02EC3329"/>
    <w:rsid w:val="03C74BB5"/>
    <w:rsid w:val="05252F96"/>
    <w:rsid w:val="059773BE"/>
    <w:rsid w:val="085A4F5B"/>
    <w:rsid w:val="09287AB6"/>
    <w:rsid w:val="0A5E06E5"/>
    <w:rsid w:val="0B1D6794"/>
    <w:rsid w:val="0C593E37"/>
    <w:rsid w:val="0CFA1C03"/>
    <w:rsid w:val="0E0D4FDC"/>
    <w:rsid w:val="0F2070F2"/>
    <w:rsid w:val="0FE00D92"/>
    <w:rsid w:val="10485547"/>
    <w:rsid w:val="10EE0272"/>
    <w:rsid w:val="11F46CDE"/>
    <w:rsid w:val="14CE633A"/>
    <w:rsid w:val="14F271EE"/>
    <w:rsid w:val="1AA2738A"/>
    <w:rsid w:val="1ED8781E"/>
    <w:rsid w:val="1F1B182C"/>
    <w:rsid w:val="202E74D9"/>
    <w:rsid w:val="20832935"/>
    <w:rsid w:val="23B4085A"/>
    <w:rsid w:val="244B0A94"/>
    <w:rsid w:val="257C5818"/>
    <w:rsid w:val="27696E4D"/>
    <w:rsid w:val="2A967AA0"/>
    <w:rsid w:val="2BEB6DE3"/>
    <w:rsid w:val="2D742490"/>
    <w:rsid w:val="303147D8"/>
    <w:rsid w:val="31E45DBA"/>
    <w:rsid w:val="3AD2144E"/>
    <w:rsid w:val="3C830972"/>
    <w:rsid w:val="3D213FDE"/>
    <w:rsid w:val="416B3B3A"/>
    <w:rsid w:val="42C71A9E"/>
    <w:rsid w:val="42D33864"/>
    <w:rsid w:val="44092414"/>
    <w:rsid w:val="4554734F"/>
    <w:rsid w:val="45736C4A"/>
    <w:rsid w:val="46CD560B"/>
    <w:rsid w:val="47D75AC1"/>
    <w:rsid w:val="4C387D9F"/>
    <w:rsid w:val="4F551598"/>
    <w:rsid w:val="4F5C24C6"/>
    <w:rsid w:val="4FBC621D"/>
    <w:rsid w:val="514146D2"/>
    <w:rsid w:val="51BF79D5"/>
    <w:rsid w:val="55167349"/>
    <w:rsid w:val="558A3322"/>
    <w:rsid w:val="56E85645"/>
    <w:rsid w:val="575858E5"/>
    <w:rsid w:val="5A95753C"/>
    <w:rsid w:val="5B065511"/>
    <w:rsid w:val="5D6323CD"/>
    <w:rsid w:val="5F1F0F92"/>
    <w:rsid w:val="5FC72BEE"/>
    <w:rsid w:val="630E1F93"/>
    <w:rsid w:val="640D3680"/>
    <w:rsid w:val="64722EF6"/>
    <w:rsid w:val="656E32CD"/>
    <w:rsid w:val="666845B1"/>
    <w:rsid w:val="6803069B"/>
    <w:rsid w:val="69F27468"/>
    <w:rsid w:val="6BFD527D"/>
    <w:rsid w:val="6E757032"/>
    <w:rsid w:val="766A069F"/>
    <w:rsid w:val="76D17462"/>
    <w:rsid w:val="77F647DE"/>
    <w:rsid w:val="79431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200" w:firstLineChars="200"/>
      <w:jc w:val="both"/>
    </w:pPr>
    <w:rPr>
      <w:rFonts w:ascii="Times New Roman" w:hAnsi="Times New Roman" w:eastAsia="仿宋" w:cs="Times New Roman"/>
      <w:kern w:val="2"/>
      <w:sz w:val="24"/>
      <w:szCs w:val="24"/>
      <w:lang w:val="en-US" w:eastAsia="zh-CN" w:bidi="ar-SA"/>
    </w:rPr>
  </w:style>
  <w:style w:type="paragraph" w:styleId="3">
    <w:name w:val="heading 1"/>
    <w:basedOn w:val="1"/>
    <w:next w:val="1"/>
    <w:autoRedefine/>
    <w:qFormat/>
    <w:uiPriority w:val="9"/>
    <w:pPr>
      <w:keepNext/>
      <w:keepLines/>
      <w:widowControl/>
      <w:numPr>
        <w:ilvl w:val="0"/>
        <w:numId w:val="1"/>
      </w:numPr>
      <w:spacing w:line="500" w:lineRule="atLeast"/>
      <w:ind w:firstLine="0" w:firstLineChars="0"/>
      <w:jc w:val="center"/>
      <w:outlineLvl w:val="0"/>
    </w:pPr>
    <w:rPr>
      <w:b/>
      <w:bCs/>
      <w:kern w:val="44"/>
      <w:sz w:val="28"/>
    </w:rPr>
  </w:style>
  <w:style w:type="paragraph" w:styleId="2">
    <w:name w:val="heading 2"/>
    <w:basedOn w:val="1"/>
    <w:next w:val="1"/>
    <w:autoRedefine/>
    <w:unhideWhenUsed/>
    <w:qFormat/>
    <w:uiPriority w:val="99"/>
    <w:pPr>
      <w:autoSpaceDE w:val="0"/>
      <w:autoSpaceDN w:val="0"/>
      <w:spacing w:line="500" w:lineRule="exact"/>
      <w:ind w:firstLine="0" w:firstLineChars="0"/>
      <w:jc w:val="left"/>
      <w:outlineLvl w:val="1"/>
    </w:pPr>
    <w:rPr>
      <w:rFonts w:cs="宋体"/>
      <w:b/>
      <w:bCs/>
      <w:kern w:val="0"/>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3"/>
    <w:autoRedefine/>
    <w:unhideWhenUsed/>
    <w:qFormat/>
    <w:uiPriority w:val="99"/>
    <w:pPr>
      <w:jc w:val="left"/>
    </w:pPr>
  </w:style>
  <w:style w:type="paragraph" w:styleId="5">
    <w:name w:val="Body Text"/>
    <w:basedOn w:val="1"/>
    <w:next w:val="6"/>
    <w:autoRedefine/>
    <w:unhideWhenUsed/>
    <w:qFormat/>
    <w:uiPriority w:val="99"/>
    <w:pPr>
      <w:spacing w:after="120"/>
    </w:pPr>
  </w:style>
  <w:style w:type="paragraph" w:styleId="6">
    <w:name w:val="Plain Text"/>
    <w:basedOn w:val="1"/>
    <w:autoRedefine/>
    <w:unhideWhenUsed/>
    <w:qFormat/>
    <w:uiPriority w:val="99"/>
    <w:rPr>
      <w:rFonts w:ascii="宋体" w:hAnsi="Courier New"/>
      <w:kern w:val="0"/>
      <w:sz w:val="20"/>
      <w:szCs w:val="20"/>
    </w:rPr>
  </w:style>
  <w:style w:type="paragraph" w:styleId="7">
    <w:name w:val="footer"/>
    <w:basedOn w:val="1"/>
    <w:autoRedefine/>
    <w:unhideWhenUsed/>
    <w:qFormat/>
    <w:uiPriority w:val="99"/>
    <w:pPr>
      <w:tabs>
        <w:tab w:val="center" w:pos="4153"/>
        <w:tab w:val="right" w:pos="8306"/>
      </w:tabs>
      <w:snapToGrid w:val="0"/>
      <w:spacing w:line="240" w:lineRule="auto"/>
      <w:jc w:val="left"/>
    </w:pPr>
    <w:rPr>
      <w:sz w:val="18"/>
      <w:szCs w:val="18"/>
    </w:rPr>
  </w:style>
  <w:style w:type="paragraph" w:styleId="8">
    <w:name w:val="header"/>
    <w:basedOn w:val="1"/>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Body Text Indent 3"/>
    <w:basedOn w:val="1"/>
    <w:autoRedefine/>
    <w:qFormat/>
    <w:uiPriority w:val="0"/>
    <w:pPr>
      <w:spacing w:beforeLines="25" w:afterLines="25" w:line="500" w:lineRule="exact"/>
      <w:ind w:firstLine="480"/>
    </w:pPr>
    <w:rPr>
      <w:rFonts w:ascii="仿宋_GB2312" w:hAnsi="宋体" w:eastAsia="仿宋_GB2312"/>
      <w:bCs/>
      <w:szCs w:val="28"/>
    </w:rPr>
  </w:style>
  <w:style w:type="paragraph" w:styleId="10">
    <w:name w:val="annotation subject"/>
    <w:basedOn w:val="4"/>
    <w:next w:val="4"/>
    <w:link w:val="24"/>
    <w:autoRedefine/>
    <w:qFormat/>
    <w:uiPriority w:val="0"/>
    <w:rPr>
      <w:b/>
      <w:bCs/>
    </w:rPr>
  </w:style>
  <w:style w:type="paragraph" w:styleId="11">
    <w:name w:val="Body Text First Indent"/>
    <w:basedOn w:val="5"/>
    <w:autoRedefine/>
    <w:qFormat/>
    <w:uiPriority w:val="0"/>
    <w:pPr>
      <w:spacing w:before="100" w:beforeAutospacing="1" w:after="100" w:afterAutospacing="1"/>
    </w:pPr>
  </w:style>
  <w:style w:type="character" w:styleId="14">
    <w:name w:val="Strong"/>
    <w:basedOn w:val="13"/>
    <w:autoRedefine/>
    <w:qFormat/>
    <w:uiPriority w:val="0"/>
    <w:rPr>
      <w:b/>
    </w:rPr>
  </w:style>
  <w:style w:type="character" w:styleId="15">
    <w:name w:val="Hyperlink"/>
    <w:basedOn w:val="13"/>
    <w:autoRedefine/>
    <w:unhideWhenUsed/>
    <w:qFormat/>
    <w:uiPriority w:val="99"/>
    <w:rPr>
      <w:color w:val="0000FF"/>
      <w:u w:val="single"/>
    </w:rPr>
  </w:style>
  <w:style w:type="character" w:styleId="16">
    <w:name w:val="annotation reference"/>
    <w:basedOn w:val="13"/>
    <w:autoRedefine/>
    <w:unhideWhenUsed/>
    <w:qFormat/>
    <w:uiPriority w:val="99"/>
    <w:rPr>
      <w:sz w:val="21"/>
      <w:szCs w:val="21"/>
    </w:rPr>
  </w:style>
  <w:style w:type="paragraph" w:customStyle="1" w:styleId="17">
    <w:name w:val="标题1"/>
    <w:basedOn w:val="3"/>
    <w:autoRedefine/>
    <w:qFormat/>
    <w:uiPriority w:val="0"/>
    <w:pPr>
      <w:numPr>
        <w:ilvl w:val="0"/>
        <w:numId w:val="2"/>
      </w:numPr>
      <w:spacing w:beforeLines="50" w:afterLines="50" w:line="360" w:lineRule="auto"/>
      <w:jc w:val="left"/>
    </w:pPr>
    <w:rPr>
      <w:rFonts w:ascii="宋体" w:hAnsi="宋体" w:eastAsia="宋体"/>
      <w:bCs w:val="0"/>
    </w:rPr>
  </w:style>
  <w:style w:type="paragraph" w:customStyle="1" w:styleId="18">
    <w:name w:val="正文1"/>
    <w:basedOn w:val="19"/>
    <w:autoRedefine/>
    <w:qFormat/>
    <w:uiPriority w:val="0"/>
    <w:pPr>
      <w:numPr>
        <w:ilvl w:val="0"/>
        <w:numId w:val="3"/>
      </w:numPr>
      <w:tabs>
        <w:tab w:val="left" w:pos="900"/>
      </w:tabs>
      <w:overflowPunct w:val="0"/>
      <w:ind w:left="0" w:firstLine="200"/>
    </w:pPr>
    <w:rPr>
      <w:rFonts w:eastAsia="宋体"/>
    </w:rPr>
  </w:style>
  <w:style w:type="paragraph" w:styleId="19">
    <w:name w:val="List Paragraph"/>
    <w:basedOn w:val="1"/>
    <w:autoRedefine/>
    <w:qFormat/>
    <w:uiPriority w:val="34"/>
    <w:pPr>
      <w:ind w:firstLine="420"/>
    </w:pPr>
  </w:style>
  <w:style w:type="character" w:customStyle="1" w:styleId="20">
    <w:name w:val="报告正文 Char"/>
    <w:basedOn w:val="13"/>
    <w:autoRedefine/>
    <w:qFormat/>
    <w:uiPriority w:val="0"/>
    <w:rPr>
      <w:rFonts w:ascii="Times New Roman" w:hAnsi="Times New Roman" w:eastAsia="宋体" w:cs="宋体"/>
      <w:bCs/>
      <w:sz w:val="24"/>
      <w:szCs w:val="24"/>
    </w:rPr>
  </w:style>
  <w:style w:type="paragraph" w:customStyle="1" w:styleId="21">
    <w:name w:val="报告正文"/>
    <w:basedOn w:val="1"/>
    <w:autoRedefine/>
    <w:qFormat/>
    <w:uiPriority w:val="0"/>
    <w:pPr>
      <w:adjustRightInd w:val="0"/>
      <w:snapToGrid w:val="0"/>
      <w:spacing w:line="500" w:lineRule="exact"/>
    </w:pPr>
    <w:rPr>
      <w:szCs w:val="22"/>
    </w:rPr>
  </w:style>
  <w:style w:type="paragraph" w:customStyle="1" w:styleId="22">
    <w:name w:val="标题2"/>
    <w:basedOn w:val="2"/>
    <w:autoRedefine/>
    <w:qFormat/>
    <w:uiPriority w:val="0"/>
    <w:pPr>
      <w:spacing w:beforeLines="50" w:afterLines="50" w:line="360" w:lineRule="auto"/>
    </w:pPr>
    <w:rPr>
      <w:rFonts w:eastAsia="宋体" w:cs="Times New Roman"/>
      <w:szCs w:val="24"/>
    </w:rPr>
  </w:style>
  <w:style w:type="character" w:customStyle="1" w:styleId="23">
    <w:name w:val="批注文字 Char"/>
    <w:basedOn w:val="13"/>
    <w:link w:val="4"/>
    <w:autoRedefine/>
    <w:qFormat/>
    <w:uiPriority w:val="99"/>
    <w:rPr>
      <w:rFonts w:eastAsia="仿宋"/>
      <w:kern w:val="2"/>
      <w:sz w:val="24"/>
      <w:szCs w:val="24"/>
    </w:rPr>
  </w:style>
  <w:style w:type="character" w:customStyle="1" w:styleId="24">
    <w:name w:val="批注主题 Char"/>
    <w:basedOn w:val="23"/>
    <w:link w:val="10"/>
    <w:autoRedefine/>
    <w:qFormat/>
    <w:uiPriority w:val="0"/>
    <w:rPr>
      <w:rFonts w:eastAsia="仿宋"/>
      <w:b/>
      <w:bCs/>
      <w:kern w:val="2"/>
      <w:sz w:val="24"/>
      <w:szCs w:val="24"/>
    </w:rPr>
  </w:style>
  <w:style w:type="paragraph" w:customStyle="1" w:styleId="25">
    <w:name w:val="08表格文字"/>
    <w:basedOn w:val="1"/>
    <w:autoRedefine/>
    <w:qFormat/>
    <w:uiPriority w:val="0"/>
    <w:pPr>
      <w:spacing w:line="240" w:lineRule="auto"/>
      <w:jc w:val="center"/>
    </w:pPr>
    <w:rPr>
      <w:rFonts w:eastAsia="仿宋_GB2312"/>
      <w:kern w:val="0"/>
      <w:szCs w:val="28"/>
    </w:rPr>
  </w:style>
  <w:style w:type="table" w:customStyle="1" w:styleId="26">
    <w:name w:val="NJUAE"/>
    <w:basedOn w:val="12"/>
    <w:autoRedefine/>
    <w:qFormat/>
    <w:uiPriority w:val="99"/>
    <w:pPr>
      <w:adjustRightInd w:val="0"/>
      <w:snapToGrid w:val="0"/>
      <w:jc w:val="both"/>
    </w:pPr>
    <w:rPr>
      <w:sz w:val="21"/>
    </w:rPr>
    <w:tblPr>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trPr>
      <w:jc w:val="center"/>
    </w:trPr>
    <w:tcPr>
      <w:vAlign w:val="center"/>
    </w:tcPr>
  </w:style>
  <w:style w:type="paragraph" w:customStyle="1" w:styleId="27">
    <w:name w:val="列出段落1"/>
    <w:basedOn w:val="1"/>
    <w:autoRedefine/>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6777</Words>
  <Characters>7087</Characters>
  <Lines>56</Lines>
  <Paragraphs>15</Paragraphs>
  <TotalTime>144</TotalTime>
  <ScaleCrop>false</ScaleCrop>
  <LinksUpToDate>false</LinksUpToDate>
  <CharactersWithSpaces>7564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2021-06-25T03:47:00Z</dcterms:created>
  <dc:creator>王永安</dc:creator>
  <cp:lastModifiedBy>Administrator</cp:lastModifiedBy>
  <dcterms:modified xsi:type="dcterms:W3CDTF">2024-08-19T02:33:56Z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6D5C410A680649F7AD3302842D541A97_13</vt:lpwstr>
  </property>
</Properties>
</file>