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35373">
      <w:pPr>
        <w:tabs>
          <w:tab w:val="left" w:pos="426"/>
        </w:tabs>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镇江海纳川公铁运输有限公司</w:t>
      </w:r>
    </w:p>
    <w:p w14:paraId="6BE8BC36">
      <w:pPr>
        <w:tabs>
          <w:tab w:val="left" w:pos="426"/>
        </w:tabs>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招标文件</w:t>
      </w:r>
    </w:p>
    <w:p w14:paraId="5170C3BA">
      <w:pPr>
        <w:spacing w:line="600" w:lineRule="exact"/>
      </w:pPr>
    </w:p>
    <w:p w14:paraId="2D0823D9">
      <w:pPr>
        <w:spacing w:line="60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bCs/>
          <w:sz w:val="32"/>
          <w:szCs w:val="32"/>
        </w:rPr>
        <w:t>我公司现</w:t>
      </w:r>
      <w:r>
        <w:rPr>
          <w:rFonts w:hint="eastAsia" w:ascii="方正仿宋_GBK" w:hAnsi="方正仿宋_GBK" w:eastAsia="方正仿宋_GBK" w:cs="方正仿宋_GBK"/>
          <w:bCs/>
          <w:sz w:val="32"/>
          <w:szCs w:val="32"/>
          <w:lang w:val="zh-CN"/>
        </w:rPr>
        <w:t>采用自主公开招标的方式选定供应商，</w:t>
      </w:r>
      <w:r>
        <w:rPr>
          <w:rFonts w:hint="eastAsia" w:ascii="方正仿宋_GBK" w:hAnsi="方正仿宋_GBK" w:eastAsia="方正仿宋_GBK" w:cs="方正仿宋_GBK"/>
          <w:sz w:val="32"/>
          <w:szCs w:val="32"/>
        </w:rPr>
        <w:t>欢迎具有相关资质的厂商前来投标。</w:t>
      </w:r>
    </w:p>
    <w:p w14:paraId="04A488F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一、招标概况</w:t>
      </w:r>
    </w:p>
    <w:p w14:paraId="2CD222EF">
      <w:pPr>
        <w:spacing w:line="600" w:lineRule="exact"/>
        <w:ind w:firstLine="640" w:firstLineChars="2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（一）项目名称</w:t>
      </w:r>
      <w:r>
        <w:rPr>
          <w:rFonts w:hint="eastAsia" w:ascii="方正楷体_GBK" w:hAnsi="方正楷体_GBK" w:eastAsia="方正楷体_GBK" w:cs="方正楷体_GBK"/>
          <w:bCs/>
          <w:sz w:val="32"/>
          <w:szCs w:val="32"/>
        </w:rPr>
        <w:t>：</w:t>
      </w:r>
      <w:r>
        <w:rPr>
          <w:rFonts w:hint="eastAsia" w:ascii="方正仿宋_GBK" w:hAnsi="方正仿宋_GBK" w:eastAsia="方正仿宋_GBK" w:cs="方正仿宋_GBK"/>
          <w:bCs/>
          <w:sz w:val="32"/>
          <w:szCs w:val="32"/>
          <w:u w:val="single"/>
        </w:rPr>
        <w:t>2024.08.05海纳川公铁轨道式集装箱门式起重机2024-2025年度维保及故障维修招标</w:t>
      </w:r>
      <w:r>
        <w:rPr>
          <w:rFonts w:hint="eastAsia" w:ascii="方正仿宋_GBK" w:hAnsi="方正仿宋_GBK" w:eastAsia="方正仿宋_GBK" w:cs="方正仿宋_GBK"/>
          <w:bCs/>
          <w:sz w:val="32"/>
          <w:szCs w:val="32"/>
        </w:rPr>
        <w:t>；</w:t>
      </w:r>
    </w:p>
    <w:p w14:paraId="2DDA7C6B">
      <w:pPr>
        <w:spacing w:line="600" w:lineRule="exact"/>
        <w:ind w:firstLine="640" w:firstLineChars="2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（二）维保截止时间：</w:t>
      </w:r>
      <w:r>
        <w:rPr>
          <w:rFonts w:hint="eastAsia" w:ascii="方正楷体_GBK" w:hAnsi="方正楷体_GBK" w:eastAsia="方正楷体_GBK" w:cs="方正楷体_GBK"/>
          <w:bCs/>
          <w:sz w:val="32"/>
          <w:szCs w:val="32"/>
          <w:u w:val="single"/>
        </w:rPr>
        <w:t xml:space="preserve"> </w:t>
      </w:r>
      <w:r>
        <w:rPr>
          <w:rFonts w:hint="eastAsia" w:ascii="方正仿宋_GBK" w:hAnsi="方正仿宋_GBK" w:eastAsia="方正仿宋_GBK" w:cs="方正仿宋_GBK"/>
          <w:bCs/>
          <w:sz w:val="32"/>
          <w:szCs w:val="32"/>
          <w:u w:val="single"/>
        </w:rPr>
        <w:t>2025年12月31日</w:t>
      </w:r>
      <w:r>
        <w:rPr>
          <w:rFonts w:hint="eastAsia" w:ascii="方正仿宋_GBK" w:hAnsi="方正仿宋_GBK" w:eastAsia="方正仿宋_GBK" w:cs="方正仿宋_GBK"/>
          <w:bCs/>
          <w:sz w:val="32"/>
          <w:szCs w:val="32"/>
        </w:rPr>
        <w:t>；</w:t>
      </w:r>
    </w:p>
    <w:p w14:paraId="386A2568">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（三）维保地点：</w:t>
      </w:r>
      <w:r>
        <w:rPr>
          <w:rFonts w:hint="eastAsia" w:ascii="方正仿宋_GBK" w:hAnsi="方正仿宋_GBK" w:eastAsia="方正仿宋_GBK" w:cs="方正仿宋_GBK"/>
          <w:bCs/>
          <w:sz w:val="32"/>
          <w:szCs w:val="32"/>
          <w:u w:val="single"/>
        </w:rPr>
        <w:t>镇江海纳川公铁运输有限公司</w:t>
      </w:r>
      <w:r>
        <w:rPr>
          <w:rFonts w:hint="eastAsia" w:ascii="方正仿宋_GBK" w:hAnsi="方正仿宋_GBK" w:eastAsia="方正仿宋_GBK" w:cs="方正仿宋_GBK"/>
          <w:bCs/>
          <w:sz w:val="32"/>
          <w:szCs w:val="32"/>
        </w:rPr>
        <w:t>；</w:t>
      </w:r>
    </w:p>
    <w:p w14:paraId="3D54998D">
      <w:pPr>
        <w:spacing w:line="600" w:lineRule="exact"/>
        <w:ind w:firstLine="640" w:firstLineChars="2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（四）投标截止时间：</w:t>
      </w:r>
      <w:r>
        <w:rPr>
          <w:rFonts w:hint="eastAsia" w:ascii="方正仿宋_GBK" w:hAnsi="方正仿宋_GBK" w:eastAsia="方正仿宋_GBK" w:cs="方正仿宋_GBK"/>
          <w:bCs/>
          <w:sz w:val="32"/>
          <w:szCs w:val="32"/>
          <w:u w:val="single"/>
        </w:rPr>
        <w:t>2024年</w:t>
      </w:r>
      <w:r>
        <w:rPr>
          <w:rFonts w:hint="eastAsia" w:ascii="方正仿宋_GBK" w:hAnsi="方正仿宋_GBK" w:eastAsia="方正仿宋_GBK" w:cs="方正仿宋_GBK"/>
          <w:bCs/>
          <w:sz w:val="32"/>
          <w:szCs w:val="32"/>
          <w:u w:val="single"/>
          <w:lang w:val="en-US" w:eastAsia="zh-CN"/>
        </w:rPr>
        <w:t>8月22日下午14:00</w:t>
      </w:r>
      <w:r>
        <w:rPr>
          <w:rFonts w:hint="eastAsia" w:ascii="方正仿宋_GBK" w:hAnsi="方正仿宋_GBK" w:eastAsia="方正仿宋_GBK" w:cs="方正仿宋_GBK"/>
          <w:bCs/>
          <w:sz w:val="32"/>
          <w:szCs w:val="32"/>
        </w:rPr>
        <w:t>；</w:t>
      </w:r>
    </w:p>
    <w:p w14:paraId="3126873B">
      <w:pPr>
        <w:spacing w:line="600" w:lineRule="exact"/>
        <w:ind w:firstLine="640" w:firstLineChars="2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（五）初定开标时间：</w:t>
      </w:r>
      <w:r>
        <w:rPr>
          <w:rFonts w:hint="eastAsia" w:ascii="方正仿宋_GBK" w:hAnsi="方正仿宋_GBK" w:eastAsia="方正仿宋_GBK" w:cs="方正仿宋_GBK"/>
          <w:bCs/>
          <w:sz w:val="32"/>
          <w:szCs w:val="32"/>
          <w:u w:val="single"/>
        </w:rPr>
        <w:t>2024年</w:t>
      </w:r>
      <w:r>
        <w:rPr>
          <w:rFonts w:hint="eastAsia" w:ascii="方正仿宋_GBK" w:hAnsi="方正仿宋_GBK" w:eastAsia="方正仿宋_GBK" w:cs="方正仿宋_GBK"/>
          <w:bCs/>
          <w:sz w:val="32"/>
          <w:szCs w:val="32"/>
          <w:u w:val="single"/>
          <w:lang w:val="en-US" w:eastAsia="zh-CN"/>
        </w:rPr>
        <w:t>8月22日下午14:00</w:t>
      </w:r>
      <w:bookmarkStart w:id="1" w:name="_GoBack"/>
      <w:bookmarkEnd w:id="1"/>
      <w:r>
        <w:rPr>
          <w:rFonts w:hint="eastAsia" w:ascii="方正仿宋_GBK" w:hAnsi="方正仿宋_GBK" w:eastAsia="方正仿宋_GBK" w:cs="方正仿宋_GBK"/>
          <w:bCs/>
          <w:sz w:val="32"/>
          <w:szCs w:val="32"/>
        </w:rPr>
        <w:t>；</w:t>
      </w:r>
    </w:p>
    <w:p w14:paraId="58A0CB04">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（六）开标地点：</w:t>
      </w:r>
      <w:r>
        <w:rPr>
          <w:rFonts w:hint="eastAsia" w:ascii="方正仿宋_GBK" w:hAnsi="方正仿宋_GBK" w:eastAsia="方正仿宋_GBK" w:cs="方正仿宋_GBK"/>
          <w:bCs/>
          <w:sz w:val="32"/>
          <w:szCs w:val="32"/>
          <w:u w:val="single"/>
        </w:rPr>
        <w:t>镇江海纳川物流产业发展有限责任公司210开标室</w:t>
      </w:r>
      <w:r>
        <w:rPr>
          <w:rFonts w:hint="eastAsia" w:ascii="方正仿宋_GBK" w:hAnsi="方正仿宋_GBK" w:eastAsia="方正仿宋_GBK" w:cs="方正仿宋_GBK"/>
          <w:bCs/>
          <w:sz w:val="32"/>
          <w:szCs w:val="32"/>
        </w:rPr>
        <w:t>；</w:t>
      </w:r>
    </w:p>
    <w:p w14:paraId="568FC879">
      <w:pPr>
        <w:spacing w:line="60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bCs/>
          <w:sz w:val="32"/>
          <w:szCs w:val="32"/>
        </w:rPr>
        <w:t>（七）中标公示：中标信息将于开标后在江苏索普集团官网公示，请各投标人登录http://www.sopo.com.cn/查询。</w:t>
      </w:r>
    </w:p>
    <w:p w14:paraId="54A4A5A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0C662047">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楷体_GBK" w:hAnsi="方正楷体_GBK" w:eastAsia="方正楷体_GBK" w:cs="方正楷体_GBK"/>
          <w:bCs/>
          <w:sz w:val="32"/>
          <w:szCs w:val="32"/>
        </w:rPr>
        <w:t>（一）维保期限</w:t>
      </w:r>
      <w:r>
        <w:rPr>
          <w:rFonts w:hint="eastAsia" w:ascii="方正仿宋简体" w:hAnsi="方正仿宋简体" w:eastAsia="方正仿宋简体" w:cs="方正仿宋简体"/>
          <w:sz w:val="32"/>
          <w:szCs w:val="32"/>
        </w:rPr>
        <w:t xml:space="preserve">  </w:t>
      </w:r>
      <w:r>
        <w:rPr>
          <w:rFonts w:hint="eastAsia" w:ascii="仿宋_GB2312" w:hAnsi="仿宋_GB2312" w:eastAsia="仿宋_GB2312" w:cs="仿宋_GB2312"/>
          <w:bCs/>
          <w:kern w:val="1"/>
          <w:sz w:val="30"/>
          <w:szCs w:val="30"/>
        </w:rPr>
        <w:t xml:space="preserve">  </w:t>
      </w:r>
    </w:p>
    <w:p w14:paraId="57576D65">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2024年9月1日-2025年12月31日</w:t>
      </w:r>
    </w:p>
    <w:p w14:paraId="73FCE517">
      <w:pPr>
        <w:adjustRightInd w:val="0"/>
        <w:snapToGrid w:val="0"/>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（二）维保内容</w:t>
      </w:r>
    </w:p>
    <w:p w14:paraId="792D6D55">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1.工作内容</w:t>
      </w:r>
    </w:p>
    <w:p w14:paraId="3529AD9C">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轨道式集装箱门式起重机1台：吊具下40.5T，跨度30m，最大起升高度12.5m，投用至今</w:t>
      </w:r>
      <w:r>
        <w:rPr>
          <w:rFonts w:hint="eastAsia" w:ascii="方正仿宋_GBK" w:hAnsi="方正仿宋_GBK" w:eastAsia="方正仿宋_GBK" w:cs="方正仿宋_GBK"/>
          <w:bCs/>
          <w:color w:val="FF0000"/>
          <w:sz w:val="32"/>
          <w:szCs w:val="32"/>
        </w:rPr>
        <w:t>近9年</w:t>
      </w:r>
      <w:r>
        <w:rPr>
          <w:rFonts w:hint="eastAsia" w:ascii="方正仿宋_GBK" w:hAnsi="方正仿宋_GBK" w:eastAsia="方正仿宋_GBK" w:cs="方正仿宋_GBK"/>
          <w:bCs/>
          <w:sz w:val="32"/>
          <w:szCs w:val="32"/>
        </w:rPr>
        <w:t>。</w:t>
      </w:r>
    </w:p>
    <w:p w14:paraId="0B445F59">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工作内容：轨道式集装箱门式起重机维保及故障维修工作量清单详见附件2《轨道式集装箱门式起重机年度维保内容及要求》；附表《轨道式集装箱门式起重机维修项目清单及分项报价表》。</w:t>
      </w:r>
    </w:p>
    <w:p w14:paraId="441036FA">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2.《轨道式集装箱门式起重机维修项目清单及分项报价表》中要求更换的备件由招标方提供。</w:t>
      </w:r>
    </w:p>
    <w:p w14:paraId="09B30243">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3.维保频次</w:t>
      </w:r>
    </w:p>
    <w:p w14:paraId="7957EB15">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轨道式集装箱门式起重机年度维保内容包括：每月一次的月度维护保养检查、每季度一次的季度维护保养检查和日常随机机动性维保三部分，投标方根据附件</w:t>
      </w:r>
      <w:r>
        <w:rPr>
          <w:rFonts w:ascii="方正仿宋_GBK" w:hAnsi="方正仿宋_GBK" w:eastAsia="方正仿宋_GBK" w:cs="方正仿宋_GBK"/>
          <w:bCs/>
          <w:sz w:val="32"/>
          <w:szCs w:val="32"/>
        </w:rPr>
        <w:t>2</w:t>
      </w:r>
      <w:r>
        <w:rPr>
          <w:rFonts w:hint="eastAsia" w:ascii="方正仿宋_GBK" w:hAnsi="方正仿宋_GBK" w:eastAsia="方正仿宋_GBK" w:cs="方正仿宋_GBK"/>
          <w:bCs/>
          <w:sz w:val="32"/>
          <w:szCs w:val="32"/>
        </w:rPr>
        <w:t>《轨道式集装箱门式起重机年度维保内容及要求》在《报价函》中整体报价，并注明税率。</w:t>
      </w:r>
    </w:p>
    <w:p w14:paraId="576DB6E6">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4.检修所需要的工装、脚手架、辅助工器具等设施由中标方负责，费用含在投标总价中，不另行计价；招标方提供现场维修、试车所需水电，不另行收费。</w:t>
      </w:r>
    </w:p>
    <w:p w14:paraId="391F1BF2">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5.施工现场施工人员的安全防护由中标方负责，安全服从招标方的管理。</w:t>
      </w:r>
    </w:p>
    <w:p w14:paraId="7E461EC5">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6．日常性的维保检查:中标单位需根据招标方下达的《轨道式集装箱门式起重机维保计划（月、季）》，合理安排施工力量，满足机械、电气、仪表各专业的要求，在规定的时间内完成日常维保检修工作。对涉及动火、吊装、复杂部件的装拆等作业，应编制专项施工方案，并按要求在施工前将方案报招标方审批。每次维保结束，将检查情况及检查中存在的暂未处理的问题及建议，填写在本次维保检查记录表上，并经招标方相关人员签字确认，作为考核维保单位维保质量及结算维保费用的依据。</w:t>
      </w:r>
    </w:p>
    <w:p w14:paraId="03F020C4">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7.故障性维修分为二部分，一是纳入《轨道式集装箱门式起重机维保计划（月、季）》内的维修项目，按日常性的维保检查要求进行，费用包含在维保费用中，不另行计价；二是生产过程中发生的突发性故障的维修，由招标方书面通知（含短信、微信）中标方，中标方应在接到通知</w:t>
      </w:r>
      <w:r>
        <w:rPr>
          <w:rFonts w:ascii="方正仿宋_GBK" w:hAnsi="方正仿宋_GBK" w:eastAsia="方正仿宋_GBK" w:cs="方正仿宋_GBK"/>
          <w:bCs/>
          <w:color w:val="FF0000"/>
          <w:sz w:val="32"/>
          <w:szCs w:val="32"/>
        </w:rPr>
        <w:t>2</w:t>
      </w:r>
      <w:r>
        <w:rPr>
          <w:rFonts w:hint="eastAsia" w:ascii="方正仿宋_GBK" w:hAnsi="方正仿宋_GBK" w:eastAsia="方正仿宋_GBK" w:cs="方正仿宋_GBK"/>
          <w:bCs/>
          <w:color w:val="FF0000"/>
          <w:sz w:val="32"/>
          <w:szCs w:val="32"/>
        </w:rPr>
        <w:t>小时</w:t>
      </w:r>
      <w:r>
        <w:rPr>
          <w:rFonts w:hint="eastAsia" w:ascii="方正仿宋_GBK" w:hAnsi="方正仿宋_GBK" w:eastAsia="方正仿宋_GBK" w:cs="方正仿宋_GBK"/>
          <w:bCs/>
          <w:sz w:val="32"/>
          <w:szCs w:val="32"/>
        </w:rPr>
        <w:t>内到现场开展维修工作。每次故障维修结束后2日内，中标方须及时办理故障维修共检手续，并经招标方相关人员签字确认，作为考核维保单位维保质量及结算维保费用的依据。</w:t>
      </w:r>
    </w:p>
    <w:p w14:paraId="0014B78F">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8.突发性故障维修费用确定：列入附表《轨道式集装箱门式起重机维修分项清单及报价表》中的检修项目，按中标方投标单价计价，未列入附表《轨道式集装箱门式起重机维修分项清单及报价表》中的检修项目，签订补充协议，最终都以审计部门依法作出的审计结果作为结算的依据。</w:t>
      </w:r>
    </w:p>
    <w:p w14:paraId="0D52633B">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9.报价依据</w:t>
      </w:r>
    </w:p>
    <w:p w14:paraId="7EF1A52F">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投标方除根据附件</w:t>
      </w:r>
      <w:r>
        <w:rPr>
          <w:rFonts w:ascii="方正仿宋_GBK" w:hAnsi="方正仿宋_GBK" w:eastAsia="方正仿宋_GBK" w:cs="方正仿宋_GBK"/>
          <w:bCs/>
          <w:sz w:val="32"/>
          <w:szCs w:val="32"/>
        </w:rPr>
        <w:t>2</w:t>
      </w:r>
      <w:r>
        <w:rPr>
          <w:rFonts w:hint="eastAsia" w:ascii="方正仿宋_GBK" w:hAnsi="方正仿宋_GBK" w:eastAsia="方正仿宋_GBK" w:cs="方正仿宋_GBK"/>
          <w:bCs/>
          <w:sz w:val="32"/>
          <w:szCs w:val="32"/>
        </w:rPr>
        <w:t>《轨道式集装箱门式起重机年度维保内容及要求》在《报价函》报出总价，并注明税率外，还需在附表《轨道式集装箱门式起重机维修分项清单及报价表》报价。</w:t>
      </w:r>
    </w:p>
    <w:p w14:paraId="4A22E278">
      <w:pPr>
        <w:spacing w:line="60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bCs/>
          <w:sz w:val="32"/>
          <w:szCs w:val="32"/>
        </w:rPr>
        <w:t>10.验收：由招标方与中标方根据《轨道式集装箱门式起重机维修分项清单及报价表》内容共同验收。验收标准：GB/T19683-2005《轨道式集装箱门式起重机》、GB6067-2011《起重机械安全规程》、GB 50254-2014《电气装置安装工程施工及验收规范》。</w:t>
      </w:r>
    </w:p>
    <w:p w14:paraId="12C55DC5">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三、投标人资质与要求</w:t>
      </w:r>
    </w:p>
    <w:p w14:paraId="7F576890">
      <w:pPr>
        <w:adjustRightInd w:val="0"/>
        <w:snapToGrid w:val="0"/>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（一）投标人必须具备中华人民共和国境内生产或经营应具备的合法资质。</w:t>
      </w:r>
    </w:p>
    <w:p w14:paraId="003D759E">
      <w:pPr>
        <w:adjustRightInd w:val="0"/>
        <w:snapToGrid w:val="0"/>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（二）其他资质要求：</w:t>
      </w:r>
    </w:p>
    <w:p w14:paraId="05A11B83">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1.投标时需提供营业执照</w:t>
      </w:r>
      <w:r>
        <w:rPr>
          <w:rFonts w:hint="eastAsia" w:ascii="方正仿宋_GBK" w:hAnsi="方正仿宋_GBK" w:eastAsia="方正仿宋_GBK" w:cs="方正仿宋_GBK"/>
          <w:bCs/>
          <w:color w:val="FF0000"/>
          <w:sz w:val="32"/>
          <w:szCs w:val="32"/>
        </w:rPr>
        <w:t>《税务登记证》、《组织机构代码证》（或三证合一）</w:t>
      </w:r>
      <w:r>
        <w:rPr>
          <w:rFonts w:hint="eastAsia" w:ascii="方正仿宋_GBK" w:hAnsi="方正仿宋_GBK" w:eastAsia="方正仿宋_GBK" w:cs="方正仿宋_GBK"/>
          <w:bCs/>
          <w:sz w:val="32"/>
          <w:szCs w:val="32"/>
        </w:rPr>
        <w:t>；省市场监督管理局颁发的《起重机械安装（含维修）（桥式、门式起重机）B级》及以上许可证；法人代表身份证或授权委托书；专职安全员证书；特种作业操作证（焊工、低压电工、起重机械维修）；安全生产许可证或安全标准化证书；承包单位与派遣作业人员的劳务合同或作业人员工伤保险证明或人身意外伤害保险缴纳证明或社保证明（以上资格证明证件可提供复印件，但需加盖公章）。确定中标后，在签订合同前，需提供一般纳税人证明材料；安全生产责任险；安全生产规章制度；安全管理机构设置说明；以往的安全生产业绩（不少于3年）；中标项目的安全生产措施；中标项目的应急准备及响应预案；作业人员的体检报告(以上资格证明证件均可提供复印件，但需加盖公章)。</w:t>
      </w:r>
    </w:p>
    <w:p w14:paraId="652AE2EE">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现场做好维保人员的个人防护，维保过程中发生意外伤害由中标人自行负责等。凡来我公司现场踏勘人员需按照我公司的相关规定进行有关安全规定及安全注意事项的培训教育。</w:t>
      </w:r>
    </w:p>
    <w:p w14:paraId="5837EEBA">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中标单位与招标单位签订合同时，须按照海纳川相关安全管理规定签订或提供《外包项目(工程)安全生产管理协议书》并依照《海纳川承包商安全环保管理制度》管理；维保工作前，招标方安全管理部门对中标方作业人员进行安全告知并填写《安全告知记录》后方可赴属地办理作业票证开展维保工作。</w:t>
      </w:r>
    </w:p>
    <w:p w14:paraId="60C58A27">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3.作业过程中，若涉及特种作业（如焊接、动火、低压电工等）的需提供相应的特种作业证，必须人证一致，且在有效期内。</w:t>
      </w:r>
    </w:p>
    <w:p w14:paraId="20933D1B">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4.不接受被列入失信被执行人、重大违法案件当事人投标。</w:t>
      </w:r>
    </w:p>
    <w:p w14:paraId="4868EF2D">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5.中标人应具备良好的售后服务能力，要求电话联系后</w:t>
      </w:r>
      <w:r>
        <w:rPr>
          <w:rFonts w:hint="eastAsia" w:ascii="方正仿宋_GBK" w:hAnsi="方正仿宋_GBK" w:eastAsia="方正仿宋_GBK" w:cs="方正仿宋_GBK"/>
          <w:bCs/>
          <w:color w:val="FF0000"/>
          <w:sz w:val="32"/>
          <w:szCs w:val="32"/>
        </w:rPr>
        <w:t>1小时</w:t>
      </w:r>
      <w:r>
        <w:rPr>
          <w:rFonts w:hint="eastAsia" w:ascii="方正仿宋_GBK" w:hAnsi="方正仿宋_GBK" w:eastAsia="方正仿宋_GBK" w:cs="方正仿宋_GBK"/>
          <w:bCs/>
          <w:sz w:val="32"/>
          <w:szCs w:val="32"/>
        </w:rPr>
        <w:t>内必须给予回复，明确解决方案，必要时需来我公司作技术指导。</w:t>
      </w:r>
    </w:p>
    <w:p w14:paraId="35865A73">
      <w:pPr>
        <w:spacing w:line="600" w:lineRule="exact"/>
        <w:ind w:firstLine="640" w:firstLineChars="200"/>
        <w:rPr>
          <w:rFonts w:ascii="方正仿宋简体" w:hAnsi="方正仿宋简体" w:eastAsia="方正仿宋简体" w:cs="方正仿宋简体"/>
          <w:kern w:val="1"/>
          <w:sz w:val="32"/>
          <w:szCs w:val="32"/>
        </w:rPr>
      </w:pPr>
      <w:r>
        <w:rPr>
          <w:rFonts w:hint="eastAsia" w:ascii="方正仿宋_GBK" w:hAnsi="方正仿宋_GBK" w:eastAsia="方正仿宋_GBK" w:cs="方正仿宋_GBK"/>
          <w:bCs/>
          <w:sz w:val="32"/>
          <w:szCs w:val="32"/>
        </w:rPr>
        <w:t>6.中标人所供产品引起的知识产权方面的纠纷，由中标人承担一切后果，招标人不承担任何责任。</w:t>
      </w:r>
    </w:p>
    <w:p w14:paraId="48E88DD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78016CF8">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投标方必须对招标方现场的门式起重机进行实地考察，并详细了解门式起重机的工作状况，为保证公平性，招标方在现场对投标单位介绍门式起重机的工作状况以及此次招标的相关工作量，投标方在招标文件发布之日起至</w:t>
      </w:r>
      <w:r>
        <w:rPr>
          <w:rFonts w:hint="eastAsia" w:ascii="方正仿宋_GBK" w:hAnsi="方正仿宋_GBK" w:eastAsia="方正仿宋_GBK" w:cs="方正仿宋_GBK"/>
          <w:bCs/>
          <w:color w:val="FF0000"/>
          <w:sz w:val="32"/>
          <w:szCs w:val="32"/>
        </w:rPr>
        <w:t>投标截止日前一天上午12点前</w:t>
      </w:r>
      <w:r>
        <w:rPr>
          <w:rFonts w:hint="eastAsia" w:ascii="方正仿宋_GBK" w:hAnsi="方正仿宋_GBK" w:eastAsia="方正仿宋_GBK" w:cs="方正仿宋_GBK"/>
          <w:bCs/>
          <w:sz w:val="32"/>
          <w:szCs w:val="32"/>
        </w:rPr>
        <w:t>都可与技术部门联系人卞骏联系，确定现场踏勘具体时间，电话：15306107162。对于参加现场踏勘的投标单位招标方将做好记录，对于未现场踏勘的投标单位，招标方将不接受其投标报价。</w:t>
      </w:r>
    </w:p>
    <w:p w14:paraId="3777DC48">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2.招标人在踏勘现场中介绍的情况，供投标人在编制投标文件时参考，招标人不对投标人据此作出的判断和决策负责。</w:t>
      </w:r>
    </w:p>
    <w:p w14:paraId="4D3345F3">
      <w:pPr>
        <w:spacing w:line="600" w:lineRule="exact"/>
        <w:ind w:firstLine="640" w:firstLineChars="200"/>
        <w:rPr>
          <w:rFonts w:ascii="方正仿宋简体" w:hAnsi="方正仿宋简体" w:eastAsia="方正仿宋简体" w:cs="方正仿宋简体"/>
          <w:kern w:val="1"/>
          <w:sz w:val="32"/>
          <w:szCs w:val="32"/>
        </w:rPr>
      </w:pPr>
      <w:r>
        <w:rPr>
          <w:rFonts w:hint="eastAsia" w:ascii="方正仿宋_GBK" w:hAnsi="方正仿宋_GBK" w:eastAsia="方正仿宋_GBK" w:cs="方正仿宋_GBK"/>
          <w:bCs/>
          <w:sz w:val="32"/>
          <w:szCs w:val="32"/>
        </w:rPr>
        <w:t>3.现场踏勘后对投标人所提问题的澄清（如果有），招标人应在投标截止时间前3天以书面形式通知所有报名的投标人。该澄清内容为招标文件的组成部分。</w:t>
      </w:r>
    </w:p>
    <w:p w14:paraId="4E5D058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五、投标</w:t>
      </w:r>
    </w:p>
    <w:p w14:paraId="6F25E145">
      <w:pPr>
        <w:pStyle w:val="6"/>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（一）报价方式：</w:t>
      </w:r>
    </w:p>
    <w:p w14:paraId="351760C9">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报价为含增值税送到价或者现场检修验收合格价。如国家税率调整，按合同含税价格/（1+合同约定税率）*（1+国家规定的新税率）调整合同价格开具发票；</w:t>
      </w:r>
    </w:p>
    <w:p w14:paraId="44E89994">
      <w:pPr>
        <w:pStyle w:val="6"/>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（二）付款方式：</w:t>
      </w:r>
    </w:p>
    <w:p w14:paraId="2AEAE5D5">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费用每季度结算一次，结算金额=维保费用+故障维修费用，其中</w:t>
      </w:r>
      <w:r>
        <w:rPr>
          <w:rFonts w:hint="eastAsia" w:ascii="方正仿宋_GBK" w:hAnsi="方正仿宋_GBK" w:eastAsia="方正仿宋_GBK" w:cs="方正仿宋_GBK"/>
          <w:bCs/>
          <w:color w:val="FF0000"/>
          <w:kern w:val="2"/>
          <w:sz w:val="32"/>
          <w:szCs w:val="32"/>
        </w:rPr>
        <w:t>维保费用为固定价格</w:t>
      </w:r>
      <w:r>
        <w:rPr>
          <w:rFonts w:hint="eastAsia" w:ascii="方正仿宋_GBK" w:hAnsi="方正仿宋_GBK" w:eastAsia="方正仿宋_GBK" w:cs="方正仿宋_GBK"/>
          <w:bCs/>
          <w:kern w:val="2"/>
          <w:sz w:val="32"/>
          <w:szCs w:val="32"/>
        </w:rPr>
        <w:t>，突发性故障维修费用经招标方确认后，中标方根据招标方提供的工程造价审核认定单开具增值税发票后30日内付款，付款方式为承兑 。</w:t>
      </w:r>
    </w:p>
    <w:p w14:paraId="3D30BCAE">
      <w:pPr>
        <w:pStyle w:val="6"/>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（三）本项目投标通过</w:t>
      </w:r>
      <w:r>
        <w:rPr>
          <w:rFonts w:hint="eastAsia" w:ascii="方正楷体_GBK" w:hAnsi="方正楷体_GBK" w:eastAsia="方正楷体_GBK" w:cs="方正楷体_GBK"/>
          <w:bCs/>
          <w:color w:val="FF0000"/>
          <w:kern w:val="1"/>
          <w:sz w:val="32"/>
          <w:szCs w:val="32"/>
        </w:rPr>
        <w:t>线下</w:t>
      </w:r>
      <w:r>
        <w:rPr>
          <w:rFonts w:hint="eastAsia" w:ascii="方正楷体_GBK" w:hAnsi="方正楷体_GBK" w:eastAsia="方正楷体_GBK" w:cs="方正楷体_GBK"/>
          <w:bCs/>
          <w:kern w:val="1"/>
          <w:sz w:val="32"/>
          <w:szCs w:val="32"/>
        </w:rPr>
        <w:t>方式进行：</w:t>
      </w:r>
    </w:p>
    <w:p w14:paraId="1E07C3AA">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19B65ADA">
      <w:pPr>
        <w:pStyle w:val="6"/>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（四）采用线下投标的，投标文件请密封邮寄：</w:t>
      </w:r>
    </w:p>
    <w:p w14:paraId="5E0B6D37">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公司：镇江海纳川物流产业发展有限责任公司审计风控部</w:t>
      </w:r>
    </w:p>
    <w:p w14:paraId="56D70E9B">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地址：江苏省镇江市京口区求索路66号</w:t>
      </w:r>
    </w:p>
    <w:p w14:paraId="22E8E981">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邮编：212006</w:t>
      </w:r>
    </w:p>
    <w:p w14:paraId="7F486B4A">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收件人：杨雨琦</w:t>
      </w:r>
    </w:p>
    <w:p w14:paraId="43AA0176">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联系电话：13952943464</w:t>
      </w:r>
    </w:p>
    <w:p w14:paraId="39AE84E2">
      <w:pPr>
        <w:pStyle w:val="6"/>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（五）凡对招标文件条款有疑义的，请在开标前按以下方式联系：</w:t>
      </w:r>
    </w:p>
    <w:p w14:paraId="7B72975C">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联系单位：镇江海纳川物流产业发展有限责任公司</w:t>
      </w:r>
    </w:p>
    <w:p w14:paraId="32BDBAD0">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地址：江苏省镇江市京口区求索路66号，邮编：212006</w:t>
      </w:r>
    </w:p>
    <w:p w14:paraId="5808E0ED">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招标业务联系电话：13952943464</w:t>
      </w:r>
    </w:p>
    <w:p w14:paraId="2A041E9D">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仿宋_GBK" w:hAnsi="方正仿宋_GBK" w:eastAsia="方正仿宋_GBK" w:cs="方正仿宋_GBK"/>
          <w:bCs/>
          <w:kern w:val="2"/>
          <w:sz w:val="32"/>
          <w:szCs w:val="32"/>
        </w:rPr>
        <w:t>技术部门联系人：卞骏   电话：15306107162</w:t>
      </w:r>
    </w:p>
    <w:p w14:paraId="5727DFE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六、开标、评标及废标：</w:t>
      </w:r>
    </w:p>
    <w:p w14:paraId="1E973413">
      <w:pPr>
        <w:pStyle w:val="6"/>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（一）开标</w:t>
      </w:r>
    </w:p>
    <w:p w14:paraId="1E7FB6FE">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本项目由招标人组织评标小组负责开标工作，对各投标人报价进行评标，确定最终中标人。</w:t>
      </w:r>
    </w:p>
    <w:p w14:paraId="6AD42412">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1.请各投标人保持通讯畅通，便于评标小组在开标现场电话联系。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21365403">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 xml:space="preserve">2.评标小组不得泄露各投标人的报价。   </w:t>
      </w:r>
    </w:p>
    <w:p w14:paraId="1A134146">
      <w:pPr>
        <w:pStyle w:val="6"/>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（二）评标</w:t>
      </w:r>
    </w:p>
    <w:p w14:paraId="30111F8A">
      <w:pPr>
        <w:pStyle w:val="6"/>
        <w:spacing w:line="600" w:lineRule="exact"/>
        <w:ind w:firstLine="640" w:firstLineChars="200"/>
        <w:rPr>
          <w:rFonts w:ascii="方正仿宋_GBK" w:hAnsi="方正仿宋_GBK" w:eastAsia="方正仿宋_GBK" w:cs="方正仿宋_GBK"/>
          <w:bCs/>
          <w:color w:val="FF0000"/>
          <w:kern w:val="2"/>
          <w:sz w:val="32"/>
          <w:szCs w:val="32"/>
        </w:rPr>
      </w:pPr>
      <w:r>
        <w:rPr>
          <w:rFonts w:hint="eastAsia" w:ascii="方正仿宋_GBK" w:hAnsi="方正仿宋_GBK" w:eastAsia="方正仿宋_GBK" w:cs="方正仿宋_GBK"/>
          <w:bCs/>
          <w:kern w:val="2"/>
          <w:sz w:val="32"/>
          <w:szCs w:val="32"/>
        </w:rPr>
        <w:t>1.综合</w:t>
      </w:r>
      <w:r>
        <w:rPr>
          <w:rFonts w:hint="eastAsia" w:ascii="方正仿宋_GBK" w:hAnsi="方正仿宋_GBK" w:eastAsia="方正仿宋_GBK" w:cs="方正仿宋_GBK"/>
          <w:bCs/>
          <w:color w:val="FF0000"/>
          <w:kern w:val="2"/>
          <w:sz w:val="32"/>
          <w:szCs w:val="32"/>
        </w:rPr>
        <w:t>（本次采用该种评标方式）</w:t>
      </w:r>
    </w:p>
    <w:p w14:paraId="1B3AC0AB">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采取综合评审方法进行打分，具体按价格得分、技术得分、响应和排除故障时间得分（得分比例根据货物内容确定）三个方面进行评审，并按综合得分由高到低顺序推选一名中标候选人。</w:t>
      </w:r>
    </w:p>
    <w:p w14:paraId="7BE43A38">
      <w:pPr>
        <w:pStyle w:val="6"/>
        <w:spacing w:line="600" w:lineRule="exact"/>
        <w:ind w:firstLine="640" w:firstLineChars="200"/>
        <w:rPr>
          <w:rFonts w:ascii="方正仿宋_GBK" w:hAnsi="方正仿宋_GBK" w:eastAsia="方正仿宋_GBK" w:cs="方正仿宋_GBK"/>
          <w:bCs/>
          <w:kern w:val="2"/>
          <w:sz w:val="32"/>
          <w:szCs w:val="32"/>
        </w:rPr>
      </w:pPr>
      <w:bookmarkStart w:id="0" w:name="_Toc14791"/>
      <w:r>
        <w:rPr>
          <w:rFonts w:hint="eastAsia" w:ascii="方正仿宋_GBK" w:hAnsi="方正仿宋_GBK" w:eastAsia="方正仿宋_GBK" w:cs="方正仿宋_GBK"/>
          <w:bCs/>
          <w:kern w:val="2"/>
          <w:sz w:val="32"/>
          <w:szCs w:val="32"/>
        </w:rPr>
        <w:t>1.1 评分因素及分值分配如下：</w:t>
      </w:r>
      <w:bookmarkEnd w:id="0"/>
    </w:p>
    <w:tbl>
      <w:tblPr>
        <w:tblStyle w:val="13"/>
        <w:tblW w:w="10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3108"/>
        <w:gridCol w:w="975"/>
        <w:gridCol w:w="5280"/>
      </w:tblGrid>
      <w:tr w14:paraId="1CAA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14:paraId="30FC8B89">
            <w:pPr>
              <w:spacing w:line="360" w:lineRule="auto"/>
              <w:jc w:val="center"/>
              <w:rPr>
                <w:rFonts w:ascii="仿宋" w:eastAsia="仿宋" w:cs="宋体"/>
                <w:bCs/>
                <w:szCs w:val="21"/>
              </w:rPr>
            </w:pPr>
            <w:r>
              <w:rPr>
                <w:rFonts w:hint="eastAsia" w:ascii="仿宋" w:eastAsia="仿宋" w:cs="宋体"/>
                <w:bCs/>
                <w:szCs w:val="21"/>
              </w:rPr>
              <w:t>序号</w:t>
            </w:r>
          </w:p>
        </w:tc>
        <w:tc>
          <w:tcPr>
            <w:tcW w:w="3108" w:type="dxa"/>
            <w:tcBorders>
              <w:top w:val="single" w:color="auto" w:sz="4" w:space="0"/>
              <w:left w:val="single" w:color="auto" w:sz="4" w:space="0"/>
              <w:bottom w:val="single" w:color="auto" w:sz="4" w:space="0"/>
              <w:right w:val="single" w:color="auto" w:sz="4" w:space="0"/>
            </w:tcBorders>
            <w:vAlign w:val="center"/>
          </w:tcPr>
          <w:p w14:paraId="7EB12ECF">
            <w:pPr>
              <w:spacing w:line="360" w:lineRule="auto"/>
              <w:jc w:val="center"/>
              <w:rPr>
                <w:rFonts w:ascii="仿宋" w:eastAsia="仿宋" w:cs="宋体"/>
                <w:bCs/>
                <w:szCs w:val="21"/>
              </w:rPr>
            </w:pPr>
            <w:r>
              <w:rPr>
                <w:rFonts w:hint="eastAsia" w:ascii="仿宋" w:eastAsia="仿宋" w:cs="宋体"/>
                <w:bCs/>
                <w:szCs w:val="21"/>
              </w:rPr>
              <w:t>评分因素</w:t>
            </w:r>
          </w:p>
        </w:tc>
        <w:tc>
          <w:tcPr>
            <w:tcW w:w="975" w:type="dxa"/>
            <w:tcBorders>
              <w:top w:val="single" w:color="auto" w:sz="4" w:space="0"/>
              <w:left w:val="single" w:color="auto" w:sz="4" w:space="0"/>
              <w:bottom w:val="single" w:color="auto" w:sz="4" w:space="0"/>
              <w:right w:val="single" w:color="auto" w:sz="4" w:space="0"/>
            </w:tcBorders>
            <w:vAlign w:val="center"/>
          </w:tcPr>
          <w:p w14:paraId="6815932B">
            <w:pPr>
              <w:spacing w:line="360" w:lineRule="auto"/>
              <w:jc w:val="center"/>
              <w:rPr>
                <w:rFonts w:ascii="仿宋" w:eastAsia="仿宋" w:cs="宋体"/>
                <w:bCs/>
                <w:szCs w:val="21"/>
              </w:rPr>
            </w:pPr>
            <w:r>
              <w:rPr>
                <w:rFonts w:hint="eastAsia" w:ascii="仿宋" w:eastAsia="仿宋" w:cs="宋体"/>
                <w:bCs/>
                <w:szCs w:val="21"/>
              </w:rPr>
              <w:t>满分</w:t>
            </w:r>
          </w:p>
        </w:tc>
        <w:tc>
          <w:tcPr>
            <w:tcW w:w="5280" w:type="dxa"/>
            <w:tcBorders>
              <w:top w:val="single" w:color="auto" w:sz="4" w:space="0"/>
              <w:left w:val="single" w:color="auto" w:sz="4" w:space="0"/>
              <w:bottom w:val="single" w:color="auto" w:sz="4" w:space="0"/>
              <w:right w:val="single" w:color="auto" w:sz="4" w:space="0"/>
            </w:tcBorders>
            <w:vAlign w:val="center"/>
          </w:tcPr>
          <w:p w14:paraId="1824F376">
            <w:pPr>
              <w:spacing w:line="360" w:lineRule="auto"/>
              <w:jc w:val="center"/>
              <w:rPr>
                <w:rFonts w:ascii="仿宋" w:eastAsia="仿宋" w:cs="宋体"/>
                <w:bCs/>
                <w:szCs w:val="21"/>
              </w:rPr>
            </w:pPr>
            <w:r>
              <w:rPr>
                <w:rFonts w:hint="eastAsia" w:ascii="仿宋" w:eastAsia="仿宋" w:cs="宋体"/>
                <w:bCs/>
                <w:szCs w:val="21"/>
              </w:rPr>
              <w:t>说          明</w:t>
            </w:r>
          </w:p>
        </w:tc>
      </w:tr>
      <w:tr w14:paraId="0056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14:paraId="6B5EF789">
            <w:pPr>
              <w:spacing w:line="360" w:lineRule="auto"/>
              <w:jc w:val="center"/>
              <w:rPr>
                <w:rFonts w:ascii="仿宋" w:eastAsia="仿宋" w:cs="宋体"/>
                <w:bCs/>
                <w:szCs w:val="21"/>
              </w:rPr>
            </w:pPr>
            <w:r>
              <w:rPr>
                <w:rFonts w:hint="eastAsia" w:ascii="仿宋" w:eastAsia="仿宋" w:cs="宋体"/>
                <w:bCs/>
                <w:szCs w:val="21"/>
              </w:rPr>
              <w:t>A</w:t>
            </w:r>
          </w:p>
        </w:tc>
        <w:tc>
          <w:tcPr>
            <w:tcW w:w="3108" w:type="dxa"/>
            <w:tcBorders>
              <w:top w:val="single" w:color="auto" w:sz="4" w:space="0"/>
              <w:left w:val="single" w:color="auto" w:sz="4" w:space="0"/>
              <w:bottom w:val="single" w:color="auto" w:sz="4" w:space="0"/>
              <w:right w:val="single" w:color="auto" w:sz="4" w:space="0"/>
            </w:tcBorders>
            <w:vAlign w:val="center"/>
          </w:tcPr>
          <w:p w14:paraId="42B24E2D">
            <w:pPr>
              <w:spacing w:line="360" w:lineRule="auto"/>
              <w:rPr>
                <w:rFonts w:ascii="仿宋" w:eastAsia="仿宋" w:cs="宋体"/>
                <w:bCs/>
                <w:szCs w:val="21"/>
              </w:rPr>
            </w:pPr>
            <w:r>
              <w:rPr>
                <w:rFonts w:hint="eastAsia" w:ascii="仿宋" w:eastAsia="仿宋" w:cs="宋体"/>
                <w:bCs/>
                <w:szCs w:val="21"/>
              </w:rPr>
              <w:t>价格得分</w:t>
            </w:r>
          </w:p>
        </w:tc>
        <w:tc>
          <w:tcPr>
            <w:tcW w:w="975" w:type="dxa"/>
            <w:tcBorders>
              <w:top w:val="single" w:color="auto" w:sz="4" w:space="0"/>
              <w:left w:val="single" w:color="auto" w:sz="4" w:space="0"/>
              <w:bottom w:val="single" w:color="auto" w:sz="4" w:space="0"/>
              <w:right w:val="single" w:color="auto" w:sz="4" w:space="0"/>
            </w:tcBorders>
            <w:vAlign w:val="center"/>
          </w:tcPr>
          <w:p w14:paraId="08D23182">
            <w:pPr>
              <w:spacing w:line="360" w:lineRule="auto"/>
              <w:jc w:val="center"/>
              <w:rPr>
                <w:rFonts w:ascii="仿宋" w:eastAsia="仿宋" w:cs="宋体"/>
                <w:bCs/>
                <w:szCs w:val="21"/>
              </w:rPr>
            </w:pPr>
            <w:r>
              <w:rPr>
                <w:rFonts w:hint="eastAsia" w:ascii="仿宋" w:eastAsia="仿宋" w:cs="宋体"/>
                <w:bCs/>
                <w:szCs w:val="21"/>
              </w:rPr>
              <w:t>50</w:t>
            </w:r>
          </w:p>
        </w:tc>
        <w:tc>
          <w:tcPr>
            <w:tcW w:w="5280" w:type="dxa"/>
            <w:tcBorders>
              <w:top w:val="single" w:color="auto" w:sz="4" w:space="0"/>
              <w:left w:val="single" w:color="auto" w:sz="4" w:space="0"/>
              <w:bottom w:val="single" w:color="auto" w:sz="4" w:space="0"/>
              <w:right w:val="single" w:color="auto" w:sz="4" w:space="0"/>
            </w:tcBorders>
            <w:vAlign w:val="center"/>
          </w:tcPr>
          <w:p w14:paraId="18CA21F5">
            <w:pPr>
              <w:rPr>
                <w:rFonts w:ascii="仿宋" w:eastAsia="仿宋" w:cs="宋体"/>
                <w:bCs/>
                <w:szCs w:val="21"/>
              </w:rPr>
            </w:pPr>
            <w:r>
              <w:rPr>
                <w:rFonts w:hint="eastAsia" w:ascii="仿宋" w:eastAsia="仿宋" w:cs="宋体"/>
                <w:bCs/>
                <w:szCs w:val="21"/>
              </w:rPr>
              <w:t>投标报价（轨道式集装箱门式起重机</w:t>
            </w:r>
            <w:r>
              <w:rPr>
                <w:rFonts w:ascii="仿宋" w:eastAsia="仿宋" w:cs="宋体"/>
                <w:bCs/>
                <w:szCs w:val="21"/>
              </w:rPr>
              <w:t>年度维保</w:t>
            </w:r>
            <w:r>
              <w:rPr>
                <w:rFonts w:hint="eastAsia" w:ascii="仿宋" w:eastAsia="仿宋" w:cs="宋体"/>
                <w:bCs/>
                <w:szCs w:val="21"/>
              </w:rPr>
              <w:t>报价+轨道式集装箱门式起重机故障维修报价</w:t>
            </w:r>
            <w:r>
              <w:rPr>
                <w:rFonts w:ascii="仿宋" w:eastAsia="仿宋" w:cs="宋体"/>
                <w:bCs/>
                <w:szCs w:val="21"/>
              </w:rPr>
              <w:t>）</w:t>
            </w:r>
          </w:p>
        </w:tc>
      </w:tr>
      <w:tr w14:paraId="075F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14:paraId="7C21BE68">
            <w:pPr>
              <w:spacing w:line="360" w:lineRule="auto"/>
              <w:jc w:val="center"/>
              <w:rPr>
                <w:rFonts w:ascii="仿宋" w:eastAsia="仿宋" w:cs="宋体"/>
                <w:bCs/>
                <w:szCs w:val="21"/>
              </w:rPr>
            </w:pPr>
            <w:r>
              <w:rPr>
                <w:rFonts w:hint="eastAsia" w:ascii="仿宋" w:eastAsia="仿宋" w:cs="宋体"/>
                <w:bCs/>
                <w:szCs w:val="21"/>
              </w:rPr>
              <w:t>B</w:t>
            </w:r>
          </w:p>
        </w:tc>
        <w:tc>
          <w:tcPr>
            <w:tcW w:w="3108" w:type="dxa"/>
            <w:tcBorders>
              <w:top w:val="single" w:color="auto" w:sz="4" w:space="0"/>
              <w:left w:val="single" w:color="auto" w:sz="4" w:space="0"/>
              <w:bottom w:val="single" w:color="auto" w:sz="4" w:space="0"/>
              <w:right w:val="single" w:color="auto" w:sz="4" w:space="0"/>
            </w:tcBorders>
            <w:vAlign w:val="center"/>
          </w:tcPr>
          <w:p w14:paraId="2E968BC8">
            <w:pPr>
              <w:spacing w:line="360" w:lineRule="auto"/>
              <w:rPr>
                <w:rFonts w:ascii="仿宋" w:eastAsia="仿宋" w:cs="宋体"/>
                <w:bCs/>
                <w:szCs w:val="21"/>
              </w:rPr>
            </w:pPr>
            <w:r>
              <w:rPr>
                <w:rFonts w:hint="eastAsia" w:ascii="仿宋" w:eastAsia="仿宋" w:cs="宋体"/>
                <w:bCs/>
                <w:szCs w:val="21"/>
              </w:rPr>
              <w:t>技术得分</w:t>
            </w:r>
          </w:p>
        </w:tc>
        <w:tc>
          <w:tcPr>
            <w:tcW w:w="975" w:type="dxa"/>
            <w:tcBorders>
              <w:top w:val="single" w:color="auto" w:sz="4" w:space="0"/>
              <w:left w:val="single" w:color="auto" w:sz="4" w:space="0"/>
              <w:bottom w:val="single" w:color="auto" w:sz="4" w:space="0"/>
              <w:right w:val="single" w:color="auto" w:sz="4" w:space="0"/>
            </w:tcBorders>
            <w:vAlign w:val="center"/>
          </w:tcPr>
          <w:p w14:paraId="463DBC9B">
            <w:pPr>
              <w:spacing w:line="360" w:lineRule="auto"/>
              <w:jc w:val="center"/>
              <w:rPr>
                <w:rFonts w:ascii="仿宋" w:eastAsia="仿宋" w:cs="宋体"/>
                <w:bCs/>
                <w:szCs w:val="21"/>
              </w:rPr>
            </w:pPr>
            <w:r>
              <w:rPr>
                <w:rFonts w:hint="eastAsia" w:ascii="仿宋" w:eastAsia="仿宋" w:cs="宋体"/>
                <w:bCs/>
                <w:szCs w:val="21"/>
              </w:rPr>
              <w:t>35</w:t>
            </w:r>
          </w:p>
        </w:tc>
        <w:tc>
          <w:tcPr>
            <w:tcW w:w="5280" w:type="dxa"/>
            <w:tcBorders>
              <w:top w:val="single" w:color="auto" w:sz="4" w:space="0"/>
              <w:left w:val="single" w:color="auto" w:sz="4" w:space="0"/>
              <w:bottom w:val="single" w:color="auto" w:sz="4" w:space="0"/>
              <w:right w:val="single" w:color="auto" w:sz="4" w:space="0"/>
            </w:tcBorders>
            <w:vAlign w:val="center"/>
          </w:tcPr>
          <w:p w14:paraId="013A4450">
            <w:pPr>
              <w:rPr>
                <w:rFonts w:ascii="仿宋" w:eastAsia="仿宋" w:cs="宋体"/>
                <w:bCs/>
                <w:szCs w:val="21"/>
              </w:rPr>
            </w:pPr>
            <w:r>
              <w:rPr>
                <w:rFonts w:hint="eastAsia" w:ascii="仿宋" w:eastAsia="仿宋" w:cs="宋体"/>
                <w:bCs/>
                <w:szCs w:val="21"/>
              </w:rPr>
              <w:t>投标单位业绩能力、</w:t>
            </w:r>
            <w:r>
              <w:rPr>
                <w:rFonts w:ascii="仿宋" w:eastAsia="仿宋" w:cs="宋体"/>
                <w:bCs/>
                <w:szCs w:val="21"/>
              </w:rPr>
              <w:t>业绩、企业</w:t>
            </w:r>
            <w:r>
              <w:rPr>
                <w:rFonts w:hint="eastAsia" w:ascii="仿宋" w:eastAsia="仿宋" w:cs="宋体"/>
                <w:bCs/>
                <w:szCs w:val="21"/>
              </w:rPr>
              <w:t>资质、</w:t>
            </w:r>
            <w:r>
              <w:rPr>
                <w:rFonts w:ascii="仿宋" w:eastAsia="仿宋"/>
                <w:szCs w:val="21"/>
              </w:rPr>
              <w:t>人员资格等</w:t>
            </w:r>
          </w:p>
        </w:tc>
      </w:tr>
      <w:tr w14:paraId="1F98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14:paraId="0C28308B">
            <w:pPr>
              <w:spacing w:line="360" w:lineRule="auto"/>
              <w:jc w:val="center"/>
              <w:rPr>
                <w:rFonts w:ascii="仿宋" w:eastAsia="仿宋" w:cs="宋体"/>
                <w:bCs/>
                <w:color w:val="FF0000"/>
                <w:szCs w:val="21"/>
              </w:rPr>
            </w:pPr>
            <w:r>
              <w:rPr>
                <w:rFonts w:hint="eastAsia" w:ascii="仿宋" w:eastAsia="仿宋" w:cs="宋体"/>
                <w:bCs/>
                <w:color w:val="FF0000"/>
                <w:szCs w:val="21"/>
              </w:rPr>
              <w:t>C</w:t>
            </w:r>
          </w:p>
        </w:tc>
        <w:tc>
          <w:tcPr>
            <w:tcW w:w="3108" w:type="dxa"/>
            <w:tcBorders>
              <w:top w:val="single" w:color="auto" w:sz="4" w:space="0"/>
              <w:left w:val="single" w:color="auto" w:sz="4" w:space="0"/>
              <w:bottom w:val="single" w:color="auto" w:sz="4" w:space="0"/>
              <w:right w:val="single" w:color="auto" w:sz="4" w:space="0"/>
            </w:tcBorders>
            <w:vAlign w:val="center"/>
          </w:tcPr>
          <w:p w14:paraId="523AED6F">
            <w:pPr>
              <w:spacing w:line="360" w:lineRule="auto"/>
              <w:rPr>
                <w:rFonts w:ascii="仿宋" w:eastAsia="仿宋" w:cs="宋体"/>
                <w:bCs/>
                <w:color w:val="FF0000"/>
                <w:szCs w:val="21"/>
              </w:rPr>
            </w:pPr>
            <w:r>
              <w:rPr>
                <w:rFonts w:hint="eastAsia" w:ascii="仿宋" w:eastAsia="仿宋" w:cs="宋体"/>
                <w:bCs/>
                <w:color w:val="FF0000"/>
                <w:szCs w:val="21"/>
              </w:rPr>
              <w:t>响应和</w:t>
            </w:r>
            <w:r>
              <w:rPr>
                <w:rFonts w:ascii="仿宋" w:eastAsia="仿宋" w:cs="宋体"/>
                <w:bCs/>
                <w:color w:val="FF0000"/>
                <w:szCs w:val="21"/>
              </w:rPr>
              <w:t>排除故障</w:t>
            </w:r>
            <w:r>
              <w:rPr>
                <w:rFonts w:hint="eastAsia" w:ascii="仿宋" w:eastAsia="仿宋" w:cs="宋体"/>
                <w:bCs/>
                <w:color w:val="FF0000"/>
                <w:szCs w:val="21"/>
              </w:rPr>
              <w:t>时间</w:t>
            </w:r>
          </w:p>
        </w:tc>
        <w:tc>
          <w:tcPr>
            <w:tcW w:w="975" w:type="dxa"/>
            <w:tcBorders>
              <w:top w:val="single" w:color="auto" w:sz="4" w:space="0"/>
              <w:left w:val="single" w:color="auto" w:sz="4" w:space="0"/>
              <w:bottom w:val="single" w:color="auto" w:sz="4" w:space="0"/>
              <w:right w:val="single" w:color="auto" w:sz="4" w:space="0"/>
            </w:tcBorders>
            <w:vAlign w:val="center"/>
          </w:tcPr>
          <w:p w14:paraId="4A6D6E8A">
            <w:pPr>
              <w:spacing w:line="360" w:lineRule="auto"/>
              <w:jc w:val="center"/>
              <w:rPr>
                <w:rFonts w:ascii="仿宋" w:eastAsia="仿宋" w:cs="宋体"/>
                <w:bCs/>
                <w:color w:val="FF0000"/>
                <w:szCs w:val="21"/>
              </w:rPr>
            </w:pPr>
            <w:r>
              <w:rPr>
                <w:rFonts w:hint="eastAsia" w:ascii="仿宋" w:eastAsia="仿宋" w:cs="宋体"/>
                <w:bCs/>
                <w:color w:val="FF0000"/>
                <w:szCs w:val="21"/>
              </w:rPr>
              <w:t>15</w:t>
            </w:r>
          </w:p>
        </w:tc>
        <w:tc>
          <w:tcPr>
            <w:tcW w:w="5280" w:type="dxa"/>
            <w:tcBorders>
              <w:top w:val="single" w:color="auto" w:sz="4" w:space="0"/>
              <w:left w:val="single" w:color="auto" w:sz="4" w:space="0"/>
              <w:bottom w:val="single" w:color="auto" w:sz="4" w:space="0"/>
              <w:right w:val="single" w:color="auto" w:sz="4" w:space="0"/>
            </w:tcBorders>
            <w:vAlign w:val="center"/>
          </w:tcPr>
          <w:p w14:paraId="668834B7">
            <w:pPr>
              <w:spacing w:line="360" w:lineRule="auto"/>
              <w:rPr>
                <w:rFonts w:ascii="仿宋" w:eastAsia="仿宋" w:cs="宋体"/>
                <w:bCs/>
                <w:color w:val="FF0000"/>
                <w:szCs w:val="21"/>
              </w:rPr>
            </w:pPr>
            <w:r>
              <w:rPr>
                <w:rFonts w:hint="eastAsia" w:ascii="仿宋" w:eastAsia="仿宋" w:cs="宋体"/>
                <w:bCs/>
                <w:color w:val="FF0000"/>
                <w:szCs w:val="21"/>
              </w:rPr>
              <w:t>响应时间、</w:t>
            </w:r>
            <w:r>
              <w:rPr>
                <w:rFonts w:ascii="仿宋" w:eastAsia="仿宋" w:cs="宋体"/>
                <w:bCs/>
                <w:color w:val="FF0000"/>
                <w:szCs w:val="21"/>
              </w:rPr>
              <w:t>排除故障</w:t>
            </w:r>
            <w:r>
              <w:rPr>
                <w:rFonts w:hint="eastAsia" w:ascii="仿宋" w:eastAsia="仿宋" w:cs="宋体"/>
                <w:bCs/>
                <w:color w:val="FF0000"/>
                <w:szCs w:val="21"/>
              </w:rPr>
              <w:t>时间</w:t>
            </w:r>
            <w:r>
              <w:rPr>
                <w:rFonts w:ascii="仿宋" w:eastAsia="仿宋" w:cs="宋体"/>
                <w:bCs/>
                <w:color w:val="FF0000"/>
                <w:szCs w:val="21"/>
              </w:rPr>
              <w:t>等</w:t>
            </w:r>
          </w:p>
        </w:tc>
      </w:tr>
      <w:tr w14:paraId="03A6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14:paraId="63A82F32">
            <w:pPr>
              <w:spacing w:line="360" w:lineRule="auto"/>
              <w:jc w:val="center"/>
              <w:rPr>
                <w:rFonts w:ascii="仿宋" w:eastAsia="仿宋" w:cs="宋体"/>
                <w:bCs/>
                <w:szCs w:val="21"/>
              </w:rPr>
            </w:pPr>
            <w:r>
              <w:rPr>
                <w:rFonts w:hint="eastAsia" w:ascii="仿宋" w:eastAsia="仿宋" w:cs="宋体"/>
                <w:bCs/>
                <w:szCs w:val="21"/>
              </w:rPr>
              <w:t>合计</w:t>
            </w:r>
          </w:p>
        </w:tc>
        <w:tc>
          <w:tcPr>
            <w:tcW w:w="3108" w:type="dxa"/>
            <w:tcBorders>
              <w:top w:val="single" w:color="auto" w:sz="4" w:space="0"/>
              <w:left w:val="single" w:color="auto" w:sz="4" w:space="0"/>
              <w:bottom w:val="single" w:color="auto" w:sz="4" w:space="0"/>
              <w:right w:val="single" w:color="auto" w:sz="4" w:space="0"/>
            </w:tcBorders>
            <w:vAlign w:val="center"/>
          </w:tcPr>
          <w:p w14:paraId="55FD03B3">
            <w:pPr>
              <w:spacing w:line="360" w:lineRule="auto"/>
              <w:rPr>
                <w:rFonts w:ascii="仿宋" w:eastAsia="仿宋" w:cs="宋体"/>
                <w:bCs/>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58910475">
            <w:pPr>
              <w:spacing w:line="360" w:lineRule="auto"/>
              <w:jc w:val="center"/>
              <w:rPr>
                <w:rFonts w:ascii="仿宋" w:eastAsia="仿宋" w:cs="宋体"/>
                <w:bCs/>
                <w:szCs w:val="21"/>
              </w:rPr>
            </w:pPr>
            <w:r>
              <w:rPr>
                <w:rFonts w:hint="eastAsia" w:ascii="仿宋" w:eastAsia="仿宋" w:cs="宋体"/>
                <w:bCs/>
                <w:szCs w:val="21"/>
              </w:rPr>
              <w:t>100</w:t>
            </w:r>
          </w:p>
        </w:tc>
        <w:tc>
          <w:tcPr>
            <w:tcW w:w="5280" w:type="dxa"/>
            <w:tcBorders>
              <w:top w:val="single" w:color="auto" w:sz="4" w:space="0"/>
              <w:left w:val="single" w:color="auto" w:sz="4" w:space="0"/>
              <w:bottom w:val="single" w:color="auto" w:sz="4" w:space="0"/>
              <w:right w:val="single" w:color="auto" w:sz="4" w:space="0"/>
            </w:tcBorders>
            <w:vAlign w:val="center"/>
          </w:tcPr>
          <w:p w14:paraId="61D3D903">
            <w:pPr>
              <w:spacing w:line="360" w:lineRule="auto"/>
              <w:rPr>
                <w:rFonts w:ascii="仿宋" w:eastAsia="仿宋" w:cs="宋体"/>
                <w:bCs/>
                <w:szCs w:val="21"/>
              </w:rPr>
            </w:pPr>
          </w:p>
        </w:tc>
      </w:tr>
    </w:tbl>
    <w:p w14:paraId="775FEF77">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1.2价格评分（50分）</w:t>
      </w:r>
    </w:p>
    <w:p w14:paraId="69586478">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投标单位价格评分标准如下：</w:t>
      </w:r>
    </w:p>
    <w:tbl>
      <w:tblPr>
        <w:tblStyle w:val="13"/>
        <w:tblpPr w:leftFromText="180" w:rightFromText="180" w:vertAnchor="text" w:tblpXSpec="center" w:tblpY="1"/>
        <w:tblOverlap w:val="never"/>
        <w:tblW w:w="10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135"/>
        <w:gridCol w:w="982"/>
        <w:gridCol w:w="5275"/>
      </w:tblGrid>
      <w:tr w14:paraId="3F92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tcBorders>
              <w:top w:val="single" w:color="auto" w:sz="4" w:space="0"/>
              <w:left w:val="single" w:color="auto" w:sz="4" w:space="0"/>
              <w:bottom w:val="single" w:color="auto" w:sz="4" w:space="0"/>
              <w:right w:val="single" w:color="auto" w:sz="4" w:space="0"/>
            </w:tcBorders>
            <w:vAlign w:val="center"/>
          </w:tcPr>
          <w:p w14:paraId="23592832">
            <w:pPr>
              <w:spacing w:line="360" w:lineRule="auto"/>
              <w:jc w:val="center"/>
              <w:rPr>
                <w:rFonts w:ascii="仿宋" w:eastAsia="仿宋" w:cs="宋体"/>
                <w:bCs/>
                <w:szCs w:val="21"/>
              </w:rPr>
            </w:pPr>
            <w:r>
              <w:rPr>
                <w:rFonts w:hint="eastAsia" w:ascii="仿宋" w:eastAsia="仿宋" w:cs="宋体"/>
                <w:bCs/>
                <w:szCs w:val="21"/>
              </w:rPr>
              <w:t>序号</w:t>
            </w:r>
          </w:p>
        </w:tc>
        <w:tc>
          <w:tcPr>
            <w:tcW w:w="3135" w:type="dxa"/>
            <w:tcBorders>
              <w:top w:val="single" w:color="auto" w:sz="4" w:space="0"/>
              <w:left w:val="single" w:color="auto" w:sz="4" w:space="0"/>
              <w:bottom w:val="single" w:color="auto" w:sz="4" w:space="0"/>
              <w:right w:val="single" w:color="auto" w:sz="4" w:space="0"/>
            </w:tcBorders>
            <w:vAlign w:val="center"/>
          </w:tcPr>
          <w:p w14:paraId="23671998">
            <w:pPr>
              <w:spacing w:line="360" w:lineRule="auto"/>
              <w:jc w:val="center"/>
              <w:rPr>
                <w:rFonts w:ascii="仿宋" w:eastAsia="仿宋" w:cs="宋体"/>
                <w:bCs/>
                <w:szCs w:val="21"/>
              </w:rPr>
            </w:pPr>
            <w:r>
              <w:rPr>
                <w:rFonts w:hint="eastAsia" w:ascii="仿宋" w:eastAsia="仿宋" w:cs="宋体"/>
                <w:bCs/>
                <w:szCs w:val="21"/>
              </w:rPr>
              <w:t>评分因素</w:t>
            </w:r>
          </w:p>
        </w:tc>
        <w:tc>
          <w:tcPr>
            <w:tcW w:w="982" w:type="dxa"/>
            <w:tcBorders>
              <w:top w:val="single" w:color="auto" w:sz="4" w:space="0"/>
              <w:left w:val="single" w:color="auto" w:sz="4" w:space="0"/>
              <w:bottom w:val="single" w:color="auto" w:sz="4" w:space="0"/>
              <w:right w:val="single" w:color="auto" w:sz="4" w:space="0"/>
            </w:tcBorders>
            <w:vAlign w:val="center"/>
          </w:tcPr>
          <w:p w14:paraId="1925242D">
            <w:pPr>
              <w:spacing w:line="360" w:lineRule="auto"/>
              <w:jc w:val="center"/>
              <w:rPr>
                <w:rFonts w:ascii="仿宋" w:eastAsia="仿宋" w:cs="宋体"/>
                <w:bCs/>
                <w:szCs w:val="21"/>
              </w:rPr>
            </w:pPr>
            <w:r>
              <w:rPr>
                <w:rFonts w:hint="eastAsia" w:ascii="仿宋" w:eastAsia="仿宋" w:cs="宋体"/>
                <w:bCs/>
                <w:szCs w:val="21"/>
              </w:rPr>
              <w:t>分值</w:t>
            </w:r>
          </w:p>
        </w:tc>
        <w:tc>
          <w:tcPr>
            <w:tcW w:w="5275" w:type="dxa"/>
            <w:tcBorders>
              <w:top w:val="single" w:color="auto" w:sz="4" w:space="0"/>
              <w:left w:val="single" w:color="auto" w:sz="4" w:space="0"/>
              <w:bottom w:val="single" w:color="auto" w:sz="4" w:space="0"/>
              <w:right w:val="single" w:color="auto" w:sz="4" w:space="0"/>
            </w:tcBorders>
            <w:vAlign w:val="center"/>
          </w:tcPr>
          <w:p w14:paraId="7599EE7A">
            <w:pPr>
              <w:spacing w:line="360" w:lineRule="auto"/>
              <w:jc w:val="center"/>
              <w:rPr>
                <w:rFonts w:ascii="仿宋" w:eastAsia="仿宋" w:cs="宋体"/>
                <w:bCs/>
                <w:szCs w:val="21"/>
              </w:rPr>
            </w:pPr>
            <w:r>
              <w:rPr>
                <w:rFonts w:hint="eastAsia" w:ascii="仿宋" w:eastAsia="仿宋" w:cs="宋体"/>
                <w:bCs/>
                <w:szCs w:val="21"/>
              </w:rPr>
              <w:t>评分标准说明</w:t>
            </w:r>
          </w:p>
        </w:tc>
      </w:tr>
      <w:tr w14:paraId="049A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97" w:type="dxa"/>
            <w:tcBorders>
              <w:top w:val="single" w:color="auto" w:sz="4" w:space="0"/>
              <w:left w:val="single" w:color="auto" w:sz="4" w:space="0"/>
              <w:bottom w:val="single" w:color="auto" w:sz="4" w:space="0"/>
              <w:right w:val="single" w:color="auto" w:sz="4" w:space="0"/>
            </w:tcBorders>
            <w:vAlign w:val="center"/>
          </w:tcPr>
          <w:p w14:paraId="293EAED7">
            <w:pPr>
              <w:spacing w:line="360" w:lineRule="auto"/>
              <w:jc w:val="center"/>
              <w:rPr>
                <w:rFonts w:ascii="仿宋" w:eastAsia="仿宋" w:cs="宋体"/>
                <w:bCs/>
                <w:szCs w:val="21"/>
              </w:rPr>
            </w:pPr>
            <w:r>
              <w:rPr>
                <w:rFonts w:hint="eastAsia" w:ascii="仿宋" w:eastAsia="仿宋" w:cs="宋体"/>
                <w:bCs/>
                <w:szCs w:val="21"/>
              </w:rPr>
              <w:t>1</w:t>
            </w:r>
          </w:p>
        </w:tc>
        <w:tc>
          <w:tcPr>
            <w:tcW w:w="3135" w:type="dxa"/>
            <w:tcBorders>
              <w:top w:val="single" w:color="auto" w:sz="4" w:space="0"/>
              <w:left w:val="single" w:color="auto" w:sz="4" w:space="0"/>
              <w:bottom w:val="single" w:color="auto" w:sz="4" w:space="0"/>
              <w:right w:val="single" w:color="auto" w:sz="4" w:space="0"/>
            </w:tcBorders>
            <w:vAlign w:val="center"/>
          </w:tcPr>
          <w:p w14:paraId="54A0FF71">
            <w:pPr>
              <w:spacing w:line="360" w:lineRule="auto"/>
              <w:jc w:val="center"/>
              <w:rPr>
                <w:rFonts w:ascii="仿宋" w:eastAsia="仿宋" w:cs="宋体"/>
                <w:bCs/>
                <w:szCs w:val="21"/>
              </w:rPr>
            </w:pPr>
            <w:r>
              <w:rPr>
                <w:rFonts w:hint="eastAsia" w:ascii="仿宋" w:eastAsia="仿宋" w:cs="宋体"/>
                <w:bCs/>
                <w:szCs w:val="21"/>
              </w:rPr>
              <w:t>投标报价得分</w:t>
            </w:r>
          </w:p>
          <w:p w14:paraId="6F099FEE">
            <w:pPr>
              <w:spacing w:line="360" w:lineRule="auto"/>
              <w:jc w:val="center"/>
              <w:rPr>
                <w:rFonts w:ascii="仿宋" w:eastAsia="仿宋" w:cs="宋体"/>
                <w:bCs/>
                <w:szCs w:val="21"/>
              </w:rPr>
            </w:pPr>
            <w:r>
              <w:rPr>
                <w:rFonts w:hint="eastAsia" w:ascii="仿宋" w:eastAsia="仿宋" w:cs="宋体"/>
                <w:bCs/>
                <w:szCs w:val="21"/>
              </w:rPr>
              <w:t>（投标人最后报价为评审报价）</w:t>
            </w:r>
          </w:p>
        </w:tc>
        <w:tc>
          <w:tcPr>
            <w:tcW w:w="982" w:type="dxa"/>
            <w:tcBorders>
              <w:top w:val="single" w:color="auto" w:sz="4" w:space="0"/>
              <w:left w:val="single" w:color="auto" w:sz="4" w:space="0"/>
              <w:bottom w:val="single" w:color="auto" w:sz="4" w:space="0"/>
              <w:right w:val="single" w:color="auto" w:sz="4" w:space="0"/>
            </w:tcBorders>
            <w:vAlign w:val="center"/>
          </w:tcPr>
          <w:p w14:paraId="23F1FC23">
            <w:pPr>
              <w:spacing w:line="360" w:lineRule="auto"/>
              <w:jc w:val="center"/>
              <w:rPr>
                <w:rFonts w:ascii="仿宋" w:eastAsia="仿宋" w:cs="宋体"/>
                <w:bCs/>
                <w:szCs w:val="21"/>
              </w:rPr>
            </w:pPr>
            <w:r>
              <w:rPr>
                <w:rFonts w:hint="eastAsia" w:ascii="仿宋" w:eastAsia="仿宋" w:cs="宋体"/>
                <w:bCs/>
                <w:szCs w:val="21"/>
              </w:rPr>
              <w:t>50</w:t>
            </w:r>
          </w:p>
        </w:tc>
        <w:tc>
          <w:tcPr>
            <w:tcW w:w="5275" w:type="dxa"/>
            <w:tcBorders>
              <w:top w:val="single" w:color="auto" w:sz="4" w:space="0"/>
              <w:left w:val="single" w:color="auto" w:sz="4" w:space="0"/>
              <w:bottom w:val="single" w:color="auto" w:sz="4" w:space="0"/>
              <w:right w:val="single" w:color="auto" w:sz="4" w:space="0"/>
            </w:tcBorders>
            <w:vAlign w:val="center"/>
          </w:tcPr>
          <w:p w14:paraId="78F808DB">
            <w:pPr>
              <w:ind w:left="1"/>
              <w:jc w:val="left"/>
              <w:rPr>
                <w:rFonts w:ascii="仿宋" w:eastAsia="仿宋"/>
                <w:szCs w:val="21"/>
              </w:rPr>
            </w:pPr>
            <w:r>
              <w:rPr>
                <w:rFonts w:hint="eastAsia" w:ascii="仿宋" w:eastAsia="仿宋"/>
                <w:szCs w:val="21"/>
              </w:rPr>
              <w:t>以各投标人有效报价（轨道式集装箱门式起重机年度维保报价+轨道式集装箱门式起重机故障维修报价）的算术平均值作为基准价A。</w:t>
            </w:r>
          </w:p>
          <w:p w14:paraId="134A899A">
            <w:pPr>
              <w:pStyle w:val="12"/>
              <w:spacing w:line="240" w:lineRule="auto"/>
              <w:ind w:left="0"/>
              <w:rPr>
                <w:rFonts w:ascii="仿宋" w:eastAsia="仿宋"/>
                <w:color w:val="000000"/>
                <w:kern w:val="2"/>
                <w:sz w:val="21"/>
                <w:szCs w:val="21"/>
              </w:rPr>
            </w:pPr>
            <w:r>
              <w:rPr>
                <w:rFonts w:hint="eastAsia" w:ascii="仿宋" w:eastAsia="仿宋"/>
                <w:color w:val="000000"/>
                <w:kern w:val="2"/>
                <w:sz w:val="21"/>
                <w:szCs w:val="21"/>
              </w:rPr>
              <w:t>投标报价等于基准价的得满分50分；</w:t>
            </w:r>
          </w:p>
          <w:p w14:paraId="7B91CADA">
            <w:pPr>
              <w:ind w:left="1"/>
              <w:jc w:val="left"/>
              <w:rPr>
                <w:rFonts w:ascii="仿宋" w:eastAsia="仿宋"/>
                <w:szCs w:val="21"/>
              </w:rPr>
            </w:pPr>
            <w:r>
              <w:rPr>
                <w:rFonts w:hint="eastAsia" w:ascii="仿宋" w:eastAsia="仿宋"/>
                <w:szCs w:val="21"/>
              </w:rPr>
              <w:t>各投标人的投标报价Si比A值每高1个百分点扣0.5分，扣至0分为止；</w:t>
            </w:r>
          </w:p>
          <w:p w14:paraId="06CB7162">
            <w:pPr>
              <w:ind w:left="1"/>
              <w:jc w:val="left"/>
              <w:rPr>
                <w:rFonts w:ascii="仿宋" w:eastAsia="仿宋" w:cs="宋体"/>
                <w:bCs/>
                <w:szCs w:val="21"/>
              </w:rPr>
            </w:pPr>
            <w:r>
              <w:rPr>
                <w:rFonts w:hint="eastAsia" w:ascii="仿宋" w:eastAsia="仿宋"/>
                <w:szCs w:val="21"/>
              </w:rPr>
              <w:t>各投标人的投标报价Si比A值每低1个百分点扣0.25分,扣至0分为止。（报价为含税价格)</w:t>
            </w:r>
            <w:r>
              <w:rPr>
                <w:rFonts w:hint="eastAsia" w:ascii="宋体" w:hAnsi="宋体" w:eastAsia="仿宋" w:cs="宋体"/>
                <w:szCs w:val="21"/>
              </w:rPr>
              <w:t> </w:t>
            </w:r>
            <w:r>
              <w:rPr>
                <w:rFonts w:hint="eastAsia" w:ascii="宋体" w:hAnsi="宋体" w:eastAsia="仿宋" w:cs="宋体"/>
                <w:szCs w:val="21"/>
              </w:rPr>
              <w:br w:type="textWrapping"/>
            </w:r>
            <w:r>
              <w:rPr>
                <w:rFonts w:hint="eastAsia" w:ascii="仿宋" w:eastAsia="仿宋" w:cs="宋体"/>
                <w:szCs w:val="21"/>
              </w:rPr>
              <w:t>评委评审认为价格明显不合理的有可能导致废标。</w:t>
            </w:r>
          </w:p>
        </w:tc>
      </w:tr>
    </w:tbl>
    <w:p w14:paraId="0F37C3A9">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1.3技术评分（35分）</w:t>
      </w:r>
    </w:p>
    <w:p w14:paraId="1E1DEBEE">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投标单位技术评分标准如下：</w:t>
      </w:r>
    </w:p>
    <w:tbl>
      <w:tblPr>
        <w:tblStyle w:val="13"/>
        <w:tblpPr w:leftFromText="180" w:rightFromText="180" w:vertAnchor="text" w:horzAnchor="page" w:tblpXSpec="center" w:tblpY="237"/>
        <w:tblOverlap w:val="never"/>
        <w:tblW w:w="1039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1"/>
        <w:gridCol w:w="2055"/>
        <w:gridCol w:w="885"/>
        <w:gridCol w:w="885"/>
        <w:gridCol w:w="5640"/>
      </w:tblGrid>
      <w:tr w14:paraId="0AA810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31" w:type="dxa"/>
            <w:tcBorders>
              <w:top w:val="single" w:color="auto" w:sz="4" w:space="0"/>
              <w:left w:val="single" w:color="auto" w:sz="4" w:space="0"/>
              <w:bottom w:val="single" w:color="auto" w:sz="4" w:space="0"/>
              <w:right w:val="single" w:color="auto" w:sz="4" w:space="0"/>
            </w:tcBorders>
            <w:vAlign w:val="center"/>
          </w:tcPr>
          <w:p w14:paraId="258A094D">
            <w:pPr>
              <w:spacing w:line="360" w:lineRule="auto"/>
              <w:jc w:val="center"/>
              <w:rPr>
                <w:rFonts w:ascii="仿宋" w:eastAsia="仿宋" w:cs="宋体"/>
                <w:bCs/>
                <w:szCs w:val="21"/>
              </w:rPr>
            </w:pPr>
            <w:r>
              <w:rPr>
                <w:rFonts w:hint="eastAsia" w:ascii="仿宋" w:eastAsia="仿宋" w:cs="宋体"/>
                <w:bCs/>
                <w:szCs w:val="21"/>
              </w:rPr>
              <w:t>序号</w:t>
            </w:r>
          </w:p>
        </w:tc>
        <w:tc>
          <w:tcPr>
            <w:tcW w:w="2055" w:type="dxa"/>
            <w:tcBorders>
              <w:top w:val="single" w:color="auto" w:sz="4" w:space="0"/>
              <w:left w:val="single" w:color="auto" w:sz="4" w:space="0"/>
              <w:bottom w:val="single" w:color="auto" w:sz="4" w:space="0"/>
              <w:right w:val="single" w:color="auto" w:sz="4" w:space="0"/>
            </w:tcBorders>
            <w:vAlign w:val="center"/>
          </w:tcPr>
          <w:p w14:paraId="2F5F6755">
            <w:pPr>
              <w:spacing w:line="360" w:lineRule="auto"/>
              <w:jc w:val="center"/>
              <w:rPr>
                <w:rFonts w:ascii="仿宋" w:eastAsia="仿宋" w:cs="宋体"/>
                <w:bCs/>
                <w:szCs w:val="21"/>
              </w:rPr>
            </w:pPr>
            <w:r>
              <w:rPr>
                <w:rFonts w:hint="eastAsia" w:ascii="仿宋" w:eastAsia="仿宋" w:cs="宋体"/>
                <w:bCs/>
                <w:szCs w:val="21"/>
              </w:rPr>
              <w:t>评审因素</w:t>
            </w:r>
          </w:p>
        </w:tc>
        <w:tc>
          <w:tcPr>
            <w:tcW w:w="885" w:type="dxa"/>
            <w:tcBorders>
              <w:top w:val="single" w:color="auto" w:sz="4" w:space="0"/>
              <w:left w:val="single" w:color="auto" w:sz="4" w:space="0"/>
              <w:bottom w:val="single" w:color="auto" w:sz="4" w:space="0"/>
              <w:right w:val="single" w:color="auto" w:sz="4" w:space="0"/>
            </w:tcBorders>
            <w:vAlign w:val="center"/>
          </w:tcPr>
          <w:p w14:paraId="69F87B25">
            <w:pPr>
              <w:spacing w:line="360" w:lineRule="auto"/>
              <w:jc w:val="center"/>
              <w:rPr>
                <w:rFonts w:ascii="仿宋" w:eastAsia="仿宋" w:cs="宋体"/>
                <w:bCs/>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7EAE1125">
            <w:pPr>
              <w:spacing w:line="360" w:lineRule="auto"/>
              <w:jc w:val="center"/>
              <w:rPr>
                <w:rFonts w:ascii="仿宋" w:eastAsia="仿宋" w:cs="宋体"/>
                <w:bCs/>
                <w:szCs w:val="21"/>
              </w:rPr>
            </w:pPr>
            <w:r>
              <w:rPr>
                <w:rFonts w:hint="eastAsia" w:ascii="仿宋" w:eastAsia="仿宋" w:cs="宋体"/>
                <w:bCs/>
                <w:szCs w:val="21"/>
              </w:rPr>
              <w:t>分值</w:t>
            </w:r>
          </w:p>
        </w:tc>
        <w:tc>
          <w:tcPr>
            <w:tcW w:w="5640" w:type="dxa"/>
            <w:tcBorders>
              <w:top w:val="single" w:color="auto" w:sz="4" w:space="0"/>
              <w:left w:val="single" w:color="auto" w:sz="4" w:space="0"/>
              <w:bottom w:val="single" w:color="auto" w:sz="4" w:space="0"/>
              <w:right w:val="single" w:color="auto" w:sz="4" w:space="0"/>
            </w:tcBorders>
            <w:vAlign w:val="center"/>
          </w:tcPr>
          <w:p w14:paraId="51E00367">
            <w:pPr>
              <w:spacing w:line="360" w:lineRule="auto"/>
              <w:jc w:val="center"/>
              <w:rPr>
                <w:rFonts w:ascii="仿宋" w:eastAsia="仿宋" w:cs="宋体"/>
                <w:bCs/>
                <w:szCs w:val="21"/>
              </w:rPr>
            </w:pPr>
            <w:r>
              <w:rPr>
                <w:rFonts w:hint="eastAsia" w:ascii="仿宋" w:eastAsia="仿宋" w:cs="宋体"/>
                <w:bCs/>
                <w:szCs w:val="21"/>
              </w:rPr>
              <w:t>评分标准说明</w:t>
            </w:r>
          </w:p>
        </w:tc>
      </w:tr>
      <w:tr w14:paraId="63ABF2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trPr>
        <w:tc>
          <w:tcPr>
            <w:tcW w:w="931" w:type="dxa"/>
            <w:tcBorders>
              <w:top w:val="single" w:color="auto" w:sz="4" w:space="0"/>
              <w:left w:val="single" w:color="auto" w:sz="4" w:space="0"/>
              <w:bottom w:val="single" w:color="auto" w:sz="4" w:space="0"/>
              <w:right w:val="single" w:color="auto" w:sz="4" w:space="0"/>
            </w:tcBorders>
            <w:vAlign w:val="center"/>
          </w:tcPr>
          <w:p w14:paraId="1AF88741">
            <w:pPr>
              <w:spacing w:line="360" w:lineRule="auto"/>
              <w:jc w:val="center"/>
              <w:rPr>
                <w:rFonts w:ascii="仿宋" w:eastAsia="仿宋" w:cs="宋体"/>
                <w:bCs/>
                <w:szCs w:val="21"/>
              </w:rPr>
            </w:pPr>
            <w:r>
              <w:rPr>
                <w:rFonts w:hint="eastAsia" w:ascii="仿宋" w:eastAsia="仿宋" w:cs="宋体"/>
                <w:bCs/>
                <w:szCs w:val="21"/>
              </w:rPr>
              <w:t>1</w:t>
            </w:r>
          </w:p>
        </w:tc>
        <w:tc>
          <w:tcPr>
            <w:tcW w:w="2055" w:type="dxa"/>
            <w:tcBorders>
              <w:top w:val="single" w:color="auto" w:sz="4" w:space="0"/>
              <w:left w:val="single" w:color="auto" w:sz="4" w:space="0"/>
              <w:bottom w:val="single" w:color="auto" w:sz="4" w:space="0"/>
              <w:right w:val="single" w:color="auto" w:sz="4" w:space="0"/>
            </w:tcBorders>
            <w:vAlign w:val="center"/>
          </w:tcPr>
          <w:p w14:paraId="74449D90">
            <w:pPr>
              <w:spacing w:line="360" w:lineRule="auto"/>
              <w:jc w:val="center"/>
              <w:rPr>
                <w:rFonts w:ascii="仿宋" w:eastAsia="仿宋" w:cs="宋体"/>
                <w:bCs/>
                <w:szCs w:val="21"/>
              </w:rPr>
            </w:pPr>
            <w:r>
              <w:rPr>
                <w:rFonts w:ascii="仿宋" w:eastAsia="仿宋" w:cs="宋体"/>
                <w:bCs/>
                <w:szCs w:val="21"/>
              </w:rPr>
              <w:t>能力、</w:t>
            </w:r>
            <w:r>
              <w:rPr>
                <w:rFonts w:hint="eastAsia" w:ascii="仿宋" w:eastAsia="仿宋" w:cs="宋体"/>
                <w:bCs/>
                <w:szCs w:val="21"/>
              </w:rPr>
              <w:t>业绩</w:t>
            </w:r>
          </w:p>
        </w:tc>
        <w:tc>
          <w:tcPr>
            <w:tcW w:w="885" w:type="dxa"/>
            <w:tcBorders>
              <w:top w:val="single" w:color="auto" w:sz="4" w:space="0"/>
              <w:left w:val="single" w:color="auto" w:sz="4" w:space="0"/>
              <w:bottom w:val="single" w:color="auto" w:sz="4" w:space="0"/>
              <w:right w:val="single" w:color="auto" w:sz="4" w:space="0"/>
            </w:tcBorders>
            <w:vAlign w:val="center"/>
          </w:tcPr>
          <w:p w14:paraId="44BD8406">
            <w:pPr>
              <w:spacing w:line="360" w:lineRule="auto"/>
              <w:jc w:val="center"/>
              <w:rPr>
                <w:rFonts w:ascii="仿宋" w:eastAsia="仿宋" w:cs="宋体"/>
                <w:bCs/>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5CBA02B7">
            <w:pPr>
              <w:spacing w:line="360" w:lineRule="auto"/>
              <w:jc w:val="center"/>
              <w:rPr>
                <w:rFonts w:ascii="仿宋" w:eastAsia="仿宋" w:cs="宋体"/>
                <w:bCs/>
                <w:szCs w:val="21"/>
              </w:rPr>
            </w:pPr>
            <w:r>
              <w:rPr>
                <w:rFonts w:hint="eastAsia" w:ascii="仿宋" w:eastAsia="仿宋" w:cs="宋体"/>
                <w:bCs/>
                <w:szCs w:val="21"/>
              </w:rPr>
              <w:t>15</w:t>
            </w:r>
          </w:p>
        </w:tc>
        <w:tc>
          <w:tcPr>
            <w:tcW w:w="5640" w:type="dxa"/>
            <w:tcBorders>
              <w:top w:val="single" w:color="auto" w:sz="4" w:space="0"/>
              <w:left w:val="single" w:color="auto" w:sz="4" w:space="0"/>
              <w:bottom w:val="single" w:color="auto" w:sz="4" w:space="0"/>
              <w:right w:val="single" w:color="auto" w:sz="4" w:space="0"/>
            </w:tcBorders>
          </w:tcPr>
          <w:p w14:paraId="78593898">
            <w:pPr>
              <w:tabs>
                <w:tab w:val="left" w:pos="0"/>
              </w:tabs>
              <w:adjustRightInd w:val="0"/>
              <w:spacing w:before="78" w:beforeLines="25" w:after="78" w:afterLines="25"/>
              <w:textAlignment w:val="baseline"/>
              <w:rPr>
                <w:rFonts w:ascii="仿宋" w:eastAsia="仿宋" w:cs="宋体"/>
                <w:bCs/>
                <w:szCs w:val="21"/>
              </w:rPr>
            </w:pPr>
            <w:r>
              <w:rPr>
                <w:rFonts w:ascii="仿宋_GB2312" w:eastAsia="仿宋_GB2312" w:cs="仿宋_GB2312"/>
                <w:szCs w:val="21"/>
              </w:rPr>
              <w:t>至少</w:t>
            </w:r>
            <w:r>
              <w:rPr>
                <w:rFonts w:hint="eastAsia" w:ascii="仿宋" w:eastAsia="仿宋" w:cs="宋体"/>
                <w:bCs/>
                <w:szCs w:val="21"/>
              </w:rPr>
              <w:t>有</w:t>
            </w:r>
            <w:r>
              <w:rPr>
                <w:rFonts w:ascii="仿宋" w:eastAsia="仿宋" w:cs="宋体"/>
                <w:bCs/>
                <w:szCs w:val="21"/>
              </w:rPr>
              <w:t>1</w:t>
            </w:r>
            <w:r>
              <w:rPr>
                <w:rFonts w:hint="eastAsia" w:ascii="仿宋" w:eastAsia="仿宋" w:cs="宋体"/>
                <w:bCs/>
                <w:szCs w:val="21"/>
              </w:rPr>
              <w:t>台同类门式</w:t>
            </w:r>
            <w:r>
              <w:rPr>
                <w:rFonts w:ascii="仿宋" w:eastAsia="仿宋" w:cs="宋体"/>
                <w:bCs/>
                <w:szCs w:val="21"/>
              </w:rPr>
              <w:t>起重机</w:t>
            </w:r>
            <w:r>
              <w:rPr>
                <w:rFonts w:hint="eastAsia" w:ascii="仿宋" w:eastAsia="仿宋" w:cs="宋体"/>
                <w:bCs/>
                <w:szCs w:val="21"/>
              </w:rPr>
              <w:t>维保、维修和大修业绩</w:t>
            </w:r>
            <w:r>
              <w:rPr>
                <w:rFonts w:ascii="仿宋" w:eastAsia="仿宋" w:cs="宋体"/>
                <w:bCs/>
                <w:szCs w:val="21"/>
              </w:rPr>
              <w:t>并信誉良好</w:t>
            </w:r>
            <w:r>
              <w:rPr>
                <w:rFonts w:hint="eastAsia" w:ascii="仿宋" w:eastAsia="仿宋" w:cs="宋体"/>
                <w:bCs/>
                <w:szCs w:val="21"/>
              </w:rPr>
              <w:t>者</w:t>
            </w:r>
            <w:r>
              <w:rPr>
                <w:rFonts w:ascii="仿宋" w:eastAsia="仿宋" w:cs="宋体"/>
                <w:bCs/>
                <w:szCs w:val="21"/>
              </w:rPr>
              <w:t>，</w:t>
            </w:r>
            <w:r>
              <w:rPr>
                <w:rFonts w:hint="eastAsia" w:ascii="仿宋" w:eastAsia="仿宋" w:cs="宋体"/>
                <w:bCs/>
                <w:szCs w:val="21"/>
              </w:rPr>
              <w:t>得</w:t>
            </w:r>
            <w:r>
              <w:rPr>
                <w:rFonts w:ascii="仿宋" w:eastAsia="仿宋" w:cs="宋体"/>
                <w:bCs/>
                <w:szCs w:val="21"/>
              </w:rPr>
              <w:t>6</w:t>
            </w:r>
            <w:r>
              <w:rPr>
                <w:rFonts w:hint="eastAsia" w:ascii="仿宋" w:eastAsia="仿宋" w:cs="宋体"/>
                <w:bCs/>
                <w:szCs w:val="21"/>
              </w:rPr>
              <w:t>分，每多1台加</w:t>
            </w:r>
            <w:r>
              <w:rPr>
                <w:rFonts w:ascii="仿宋" w:eastAsia="仿宋" w:cs="宋体"/>
                <w:bCs/>
                <w:szCs w:val="21"/>
              </w:rPr>
              <w:t>2</w:t>
            </w:r>
            <w:r>
              <w:rPr>
                <w:rFonts w:hint="eastAsia" w:ascii="仿宋" w:eastAsia="仿宋" w:cs="宋体"/>
                <w:bCs/>
                <w:szCs w:val="21"/>
              </w:rPr>
              <w:t>分，最多得</w:t>
            </w:r>
            <w:r>
              <w:rPr>
                <w:rFonts w:ascii="仿宋" w:eastAsia="仿宋" w:cs="宋体"/>
                <w:bCs/>
                <w:szCs w:val="21"/>
              </w:rPr>
              <w:t>10</w:t>
            </w:r>
            <w:r>
              <w:rPr>
                <w:rFonts w:hint="eastAsia" w:ascii="仿宋" w:eastAsia="仿宋" w:cs="宋体"/>
                <w:bCs/>
                <w:szCs w:val="21"/>
              </w:rPr>
              <w:t>分</w:t>
            </w:r>
            <w:r>
              <w:rPr>
                <w:rFonts w:ascii="仿宋" w:eastAsia="仿宋" w:cs="宋体"/>
                <w:bCs/>
                <w:szCs w:val="21"/>
              </w:rPr>
              <w:t>，无业绩者0分</w:t>
            </w:r>
            <w:r>
              <w:rPr>
                <w:rFonts w:hint="eastAsia" w:ascii="仿宋" w:eastAsia="仿宋" w:cs="宋体"/>
                <w:bCs/>
                <w:szCs w:val="21"/>
              </w:rPr>
              <w:t>。</w:t>
            </w:r>
          </w:p>
          <w:p w14:paraId="60A0568C">
            <w:pPr>
              <w:tabs>
                <w:tab w:val="left" w:pos="0"/>
              </w:tabs>
              <w:adjustRightInd w:val="0"/>
              <w:spacing w:before="78" w:beforeLines="25" w:after="78" w:afterLines="25"/>
              <w:textAlignment w:val="baseline"/>
              <w:rPr>
                <w:rFonts w:ascii="仿宋" w:eastAsia="仿宋" w:cs="宋体"/>
                <w:bCs/>
                <w:szCs w:val="21"/>
              </w:rPr>
            </w:pPr>
            <w:r>
              <w:rPr>
                <w:rFonts w:ascii="仿宋_GB2312" w:eastAsia="仿宋_GB2312" w:cs="仿宋_GB2312"/>
                <w:szCs w:val="21"/>
              </w:rPr>
              <w:t>至少</w:t>
            </w:r>
            <w:r>
              <w:rPr>
                <w:rFonts w:hint="eastAsia" w:ascii="仿宋" w:eastAsia="仿宋" w:cs="宋体"/>
                <w:bCs/>
                <w:szCs w:val="21"/>
              </w:rPr>
              <w:t>有</w:t>
            </w:r>
            <w:r>
              <w:rPr>
                <w:rFonts w:ascii="仿宋" w:eastAsia="仿宋" w:cs="宋体"/>
                <w:bCs/>
                <w:szCs w:val="21"/>
              </w:rPr>
              <w:t>1</w:t>
            </w:r>
            <w:r>
              <w:rPr>
                <w:rFonts w:hint="eastAsia" w:ascii="仿宋" w:eastAsia="仿宋" w:cs="宋体"/>
                <w:bCs/>
                <w:szCs w:val="21"/>
              </w:rPr>
              <w:t>台起重机维保、维修和大修业绩</w:t>
            </w:r>
            <w:r>
              <w:rPr>
                <w:rFonts w:ascii="仿宋" w:eastAsia="仿宋" w:cs="宋体"/>
                <w:bCs/>
                <w:szCs w:val="21"/>
              </w:rPr>
              <w:t>并信誉良好</w:t>
            </w:r>
            <w:r>
              <w:rPr>
                <w:rFonts w:hint="eastAsia" w:ascii="仿宋" w:eastAsia="仿宋" w:cs="宋体"/>
                <w:bCs/>
                <w:szCs w:val="21"/>
              </w:rPr>
              <w:t>者</w:t>
            </w:r>
            <w:r>
              <w:rPr>
                <w:rFonts w:ascii="仿宋" w:eastAsia="仿宋" w:cs="宋体"/>
                <w:bCs/>
                <w:szCs w:val="21"/>
              </w:rPr>
              <w:t>，</w:t>
            </w:r>
            <w:r>
              <w:rPr>
                <w:rFonts w:hint="eastAsia" w:ascii="仿宋" w:eastAsia="仿宋" w:cs="宋体"/>
                <w:bCs/>
                <w:szCs w:val="21"/>
              </w:rPr>
              <w:t>得</w:t>
            </w:r>
            <w:r>
              <w:rPr>
                <w:rFonts w:ascii="仿宋" w:eastAsia="仿宋" w:cs="宋体"/>
                <w:bCs/>
                <w:szCs w:val="21"/>
              </w:rPr>
              <w:t>3</w:t>
            </w:r>
            <w:r>
              <w:rPr>
                <w:rFonts w:hint="eastAsia" w:ascii="仿宋" w:eastAsia="仿宋" w:cs="宋体"/>
                <w:bCs/>
                <w:szCs w:val="21"/>
              </w:rPr>
              <w:t>分，每多1台加</w:t>
            </w:r>
            <w:r>
              <w:rPr>
                <w:rFonts w:ascii="仿宋" w:eastAsia="仿宋" w:cs="宋体"/>
                <w:bCs/>
                <w:szCs w:val="21"/>
              </w:rPr>
              <w:t>1</w:t>
            </w:r>
            <w:r>
              <w:rPr>
                <w:rFonts w:hint="eastAsia" w:ascii="仿宋" w:eastAsia="仿宋" w:cs="宋体"/>
                <w:bCs/>
                <w:szCs w:val="21"/>
              </w:rPr>
              <w:t>分，最多得</w:t>
            </w:r>
            <w:r>
              <w:rPr>
                <w:rFonts w:ascii="仿宋" w:eastAsia="仿宋" w:cs="宋体"/>
                <w:bCs/>
                <w:szCs w:val="21"/>
              </w:rPr>
              <w:t>5</w:t>
            </w:r>
            <w:r>
              <w:rPr>
                <w:rFonts w:hint="eastAsia" w:ascii="仿宋" w:eastAsia="仿宋" w:cs="宋体"/>
                <w:bCs/>
                <w:szCs w:val="21"/>
              </w:rPr>
              <w:t>分</w:t>
            </w:r>
            <w:r>
              <w:rPr>
                <w:rFonts w:ascii="仿宋" w:eastAsia="仿宋" w:cs="宋体"/>
                <w:bCs/>
                <w:szCs w:val="21"/>
              </w:rPr>
              <w:t>，无业绩者0分</w:t>
            </w:r>
            <w:r>
              <w:rPr>
                <w:rFonts w:hint="eastAsia" w:ascii="仿宋" w:eastAsia="仿宋" w:cs="宋体"/>
                <w:bCs/>
                <w:szCs w:val="21"/>
              </w:rPr>
              <w:t>。</w:t>
            </w:r>
          </w:p>
          <w:p w14:paraId="07A9A3A2">
            <w:pPr>
              <w:pStyle w:val="12"/>
              <w:ind w:left="0"/>
            </w:pPr>
            <w:r>
              <w:rPr>
                <w:rFonts w:hint="eastAsia" w:ascii="仿宋" w:eastAsia="仿宋" w:cs="宋体"/>
                <w:bCs/>
                <w:sz w:val="21"/>
                <w:szCs w:val="21"/>
              </w:rPr>
              <w:t>业绩提供合同的首末页，信誉</w:t>
            </w:r>
            <w:r>
              <w:rPr>
                <w:rFonts w:ascii="仿宋" w:eastAsia="仿宋" w:cs="宋体"/>
                <w:bCs/>
                <w:sz w:val="21"/>
                <w:szCs w:val="21"/>
              </w:rPr>
              <w:t>通过向投标方提供的业绩单位咨询，同时通过互联网收集相关信息综合评价。</w:t>
            </w:r>
          </w:p>
        </w:tc>
      </w:tr>
      <w:tr w14:paraId="53E7D2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57" w:hRule="atLeast"/>
        </w:trPr>
        <w:tc>
          <w:tcPr>
            <w:tcW w:w="931" w:type="dxa"/>
            <w:vMerge w:val="restart"/>
            <w:tcBorders>
              <w:top w:val="single" w:color="auto" w:sz="4" w:space="0"/>
              <w:left w:val="single" w:color="auto" w:sz="4" w:space="0"/>
              <w:bottom w:val="single" w:color="auto" w:sz="4" w:space="0"/>
              <w:right w:val="single" w:color="auto" w:sz="4" w:space="0"/>
            </w:tcBorders>
            <w:vAlign w:val="center"/>
          </w:tcPr>
          <w:p w14:paraId="036CA27A">
            <w:pPr>
              <w:spacing w:line="360" w:lineRule="auto"/>
              <w:jc w:val="center"/>
              <w:rPr>
                <w:rFonts w:ascii="仿宋" w:eastAsia="仿宋" w:cs="宋体"/>
                <w:bCs/>
                <w:szCs w:val="21"/>
              </w:rPr>
            </w:pPr>
            <w:r>
              <w:rPr>
                <w:rFonts w:hint="eastAsia" w:ascii="仿宋" w:eastAsia="仿宋" w:cs="宋体"/>
                <w:bCs/>
                <w:szCs w:val="21"/>
              </w:rPr>
              <w:t>2</w:t>
            </w:r>
          </w:p>
        </w:tc>
        <w:tc>
          <w:tcPr>
            <w:tcW w:w="2055" w:type="dxa"/>
            <w:vMerge w:val="restart"/>
            <w:tcBorders>
              <w:top w:val="single" w:color="auto" w:sz="4" w:space="0"/>
              <w:left w:val="single" w:color="auto" w:sz="4" w:space="0"/>
              <w:bottom w:val="single" w:color="auto" w:sz="4" w:space="0"/>
              <w:right w:val="single" w:color="auto" w:sz="4" w:space="0"/>
            </w:tcBorders>
            <w:vAlign w:val="center"/>
          </w:tcPr>
          <w:p w14:paraId="7FA13C20">
            <w:pPr>
              <w:spacing w:line="360" w:lineRule="auto"/>
              <w:jc w:val="center"/>
              <w:rPr>
                <w:rFonts w:ascii="仿宋" w:eastAsia="仿宋" w:cs="宋体"/>
                <w:bCs/>
                <w:szCs w:val="21"/>
              </w:rPr>
            </w:pPr>
            <w:r>
              <w:rPr>
                <w:rFonts w:hint="eastAsia" w:ascii="仿宋" w:eastAsia="仿宋"/>
                <w:szCs w:val="21"/>
              </w:rPr>
              <w:t>资质</w:t>
            </w:r>
          </w:p>
        </w:tc>
        <w:tc>
          <w:tcPr>
            <w:tcW w:w="885" w:type="dxa"/>
            <w:tcBorders>
              <w:top w:val="single" w:color="auto" w:sz="4" w:space="0"/>
              <w:left w:val="single" w:color="auto" w:sz="4" w:space="0"/>
              <w:bottom w:val="single" w:color="auto" w:sz="4" w:space="0"/>
              <w:right w:val="single" w:color="auto" w:sz="4" w:space="0"/>
            </w:tcBorders>
            <w:vAlign w:val="center"/>
          </w:tcPr>
          <w:p w14:paraId="07ED3752">
            <w:pPr>
              <w:spacing w:line="360" w:lineRule="auto"/>
              <w:jc w:val="center"/>
              <w:rPr>
                <w:rFonts w:ascii="仿宋" w:eastAsia="仿宋" w:cs="宋体"/>
                <w:bCs/>
                <w:szCs w:val="21"/>
              </w:rPr>
            </w:pPr>
            <w:r>
              <w:rPr>
                <w:rFonts w:ascii="仿宋" w:eastAsia="仿宋" w:cs="宋体"/>
                <w:bCs/>
                <w:szCs w:val="21"/>
              </w:rPr>
              <w:t>企业</w:t>
            </w:r>
          </w:p>
        </w:tc>
        <w:tc>
          <w:tcPr>
            <w:tcW w:w="885" w:type="dxa"/>
            <w:tcBorders>
              <w:top w:val="single" w:color="auto" w:sz="4" w:space="0"/>
              <w:left w:val="single" w:color="auto" w:sz="4" w:space="0"/>
              <w:bottom w:val="single" w:color="auto" w:sz="4" w:space="0"/>
              <w:right w:val="single" w:color="auto" w:sz="4" w:space="0"/>
            </w:tcBorders>
            <w:vAlign w:val="center"/>
          </w:tcPr>
          <w:p w14:paraId="415E59EC">
            <w:pPr>
              <w:spacing w:line="360" w:lineRule="auto"/>
              <w:jc w:val="center"/>
              <w:rPr>
                <w:rFonts w:ascii="仿宋" w:eastAsia="仿宋" w:cs="宋体"/>
                <w:bCs/>
                <w:szCs w:val="21"/>
              </w:rPr>
            </w:pPr>
            <w:r>
              <w:rPr>
                <w:rFonts w:hint="eastAsia" w:ascii="仿宋" w:eastAsia="仿宋" w:cs="宋体"/>
                <w:bCs/>
                <w:szCs w:val="21"/>
              </w:rPr>
              <w:t>10</w:t>
            </w:r>
          </w:p>
        </w:tc>
        <w:tc>
          <w:tcPr>
            <w:tcW w:w="5640" w:type="dxa"/>
            <w:tcBorders>
              <w:top w:val="single" w:color="auto" w:sz="4" w:space="0"/>
              <w:left w:val="single" w:color="auto" w:sz="4" w:space="0"/>
              <w:bottom w:val="single" w:color="auto" w:sz="4" w:space="0"/>
              <w:right w:val="single" w:color="auto" w:sz="4" w:space="0"/>
            </w:tcBorders>
            <w:vAlign w:val="center"/>
          </w:tcPr>
          <w:p w14:paraId="26199209">
            <w:pPr>
              <w:widowControl/>
              <w:rPr>
                <w:rFonts w:ascii="仿宋" w:eastAsia="仿宋" w:cs="仿宋"/>
                <w:szCs w:val="21"/>
              </w:rPr>
            </w:pPr>
            <w:r>
              <w:rPr>
                <w:rFonts w:hint="eastAsia" w:ascii="仿宋" w:eastAsia="仿宋" w:cs="仿宋"/>
                <w:szCs w:val="21"/>
              </w:rPr>
              <w:t>取得起重机械安装（维修）：（桥式、门式起重机）B级资质，得5分</w:t>
            </w:r>
          </w:p>
          <w:p w14:paraId="3D7938A7">
            <w:pPr>
              <w:pStyle w:val="12"/>
              <w:ind w:left="0"/>
              <w:rPr>
                <w:rFonts w:ascii="仿宋" w:eastAsia="仿宋" w:cs="仿宋"/>
                <w:sz w:val="21"/>
                <w:szCs w:val="21"/>
              </w:rPr>
            </w:pPr>
            <w:r>
              <w:rPr>
                <w:rFonts w:hint="eastAsia" w:ascii="仿宋" w:eastAsia="仿宋" w:cs="仿宋"/>
                <w:sz w:val="21"/>
                <w:szCs w:val="21"/>
              </w:rPr>
              <w:t>取得起重机械安装（维修）：（桥式、门式起重机）A级资质，得10分</w:t>
            </w:r>
          </w:p>
        </w:tc>
      </w:tr>
      <w:tr w14:paraId="3106EF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rPr>
        <w:tc>
          <w:tcPr>
            <w:tcW w:w="931" w:type="dxa"/>
            <w:vMerge w:val="continue"/>
            <w:tcBorders>
              <w:top w:val="single" w:color="auto" w:sz="4" w:space="0"/>
              <w:left w:val="single" w:color="auto" w:sz="4" w:space="0"/>
              <w:bottom w:val="single" w:color="auto" w:sz="4" w:space="0"/>
              <w:right w:val="single" w:color="auto" w:sz="4" w:space="0"/>
            </w:tcBorders>
            <w:vAlign w:val="center"/>
          </w:tcPr>
          <w:p w14:paraId="715EE0F8"/>
        </w:tc>
        <w:tc>
          <w:tcPr>
            <w:tcW w:w="2055" w:type="dxa"/>
            <w:vMerge w:val="continue"/>
            <w:tcBorders>
              <w:top w:val="single" w:color="auto" w:sz="4" w:space="0"/>
              <w:left w:val="single" w:color="auto" w:sz="4" w:space="0"/>
              <w:bottom w:val="single" w:color="auto" w:sz="4" w:space="0"/>
              <w:right w:val="single" w:color="auto" w:sz="4" w:space="0"/>
            </w:tcBorders>
            <w:vAlign w:val="center"/>
          </w:tcPr>
          <w:p w14:paraId="37112717"/>
        </w:tc>
        <w:tc>
          <w:tcPr>
            <w:tcW w:w="885" w:type="dxa"/>
            <w:tcBorders>
              <w:top w:val="single" w:color="auto" w:sz="4" w:space="0"/>
              <w:left w:val="single" w:color="auto" w:sz="4" w:space="0"/>
              <w:bottom w:val="single" w:color="auto" w:sz="4" w:space="0"/>
              <w:right w:val="single" w:color="auto" w:sz="4" w:space="0"/>
            </w:tcBorders>
            <w:vAlign w:val="center"/>
          </w:tcPr>
          <w:p w14:paraId="5135C5A5">
            <w:pPr>
              <w:spacing w:line="360" w:lineRule="auto"/>
              <w:jc w:val="center"/>
              <w:rPr>
                <w:rFonts w:ascii="仿宋" w:eastAsia="仿宋" w:cs="宋体"/>
                <w:bCs/>
                <w:szCs w:val="21"/>
              </w:rPr>
            </w:pPr>
            <w:r>
              <w:rPr>
                <w:rFonts w:ascii="仿宋" w:eastAsia="仿宋" w:cs="宋体"/>
                <w:bCs/>
                <w:szCs w:val="21"/>
              </w:rPr>
              <w:t>人员</w:t>
            </w:r>
          </w:p>
        </w:tc>
        <w:tc>
          <w:tcPr>
            <w:tcW w:w="885" w:type="dxa"/>
            <w:tcBorders>
              <w:top w:val="single" w:color="auto" w:sz="4" w:space="0"/>
              <w:left w:val="single" w:color="auto" w:sz="4" w:space="0"/>
              <w:bottom w:val="single" w:color="auto" w:sz="4" w:space="0"/>
              <w:right w:val="single" w:color="auto" w:sz="4" w:space="0"/>
            </w:tcBorders>
            <w:vAlign w:val="center"/>
          </w:tcPr>
          <w:p w14:paraId="581A6447">
            <w:pPr>
              <w:spacing w:line="360" w:lineRule="auto"/>
              <w:jc w:val="center"/>
              <w:rPr>
                <w:rFonts w:ascii="仿宋" w:eastAsia="仿宋" w:cs="宋体"/>
                <w:bCs/>
                <w:szCs w:val="21"/>
              </w:rPr>
            </w:pPr>
            <w:r>
              <w:rPr>
                <w:rFonts w:hint="eastAsia" w:ascii="仿宋" w:eastAsia="仿宋" w:cs="宋体"/>
                <w:bCs/>
                <w:szCs w:val="21"/>
              </w:rPr>
              <w:t>10</w:t>
            </w:r>
          </w:p>
        </w:tc>
        <w:tc>
          <w:tcPr>
            <w:tcW w:w="5640" w:type="dxa"/>
            <w:tcBorders>
              <w:top w:val="single" w:color="auto" w:sz="4" w:space="0"/>
              <w:left w:val="single" w:color="auto" w:sz="4" w:space="0"/>
              <w:bottom w:val="single" w:color="auto" w:sz="4" w:space="0"/>
              <w:right w:val="single" w:color="auto" w:sz="4" w:space="0"/>
            </w:tcBorders>
            <w:vAlign w:val="center"/>
          </w:tcPr>
          <w:p w14:paraId="1530F161">
            <w:pPr>
              <w:widowControl/>
              <w:rPr>
                <w:rFonts w:ascii="仿宋" w:eastAsia="仿宋" w:cs="仿宋"/>
                <w:szCs w:val="21"/>
              </w:rPr>
            </w:pPr>
            <w:r>
              <w:rPr>
                <w:rFonts w:hint="eastAsia" w:ascii="仿宋" w:eastAsia="仿宋" w:cs="仿宋"/>
                <w:szCs w:val="21"/>
              </w:rPr>
              <w:t>提供2023年度人员工伤保险缴纳证明或人员意外伤害保险证明或</w:t>
            </w:r>
            <w:r>
              <w:rPr>
                <w:rFonts w:ascii="仿宋" w:eastAsia="仿宋" w:cs="仿宋"/>
                <w:szCs w:val="21"/>
              </w:rPr>
              <w:t>社保证明</w:t>
            </w:r>
            <w:r>
              <w:rPr>
                <w:rFonts w:hint="eastAsia" w:ascii="仿宋" w:eastAsia="仿宋" w:cs="仿宋"/>
                <w:szCs w:val="21"/>
              </w:rPr>
              <w:t>，每人1分，最高5分，未提供不得分。</w:t>
            </w:r>
          </w:p>
          <w:p w14:paraId="4DE6F7E6">
            <w:pPr>
              <w:pStyle w:val="12"/>
              <w:ind w:left="0"/>
              <w:rPr>
                <w:rFonts w:ascii="仿宋" w:eastAsia="仿宋" w:cs="仿宋"/>
                <w:sz w:val="21"/>
                <w:szCs w:val="21"/>
              </w:rPr>
            </w:pPr>
            <w:r>
              <w:rPr>
                <w:rFonts w:hint="eastAsia" w:ascii="仿宋" w:eastAsia="仿宋" w:cs="仿宋"/>
                <w:sz w:val="21"/>
                <w:szCs w:val="21"/>
              </w:rPr>
              <w:t>电工</w:t>
            </w:r>
            <w:r>
              <w:rPr>
                <w:rFonts w:ascii="仿宋" w:eastAsia="仿宋" w:cs="仿宋"/>
                <w:sz w:val="21"/>
                <w:szCs w:val="21"/>
              </w:rPr>
              <w:t>、电焊工提供</w:t>
            </w:r>
            <w:r>
              <w:rPr>
                <w:rFonts w:hint="eastAsia" w:ascii="仿宋" w:eastAsia="仿宋" w:cs="仿宋"/>
                <w:sz w:val="21"/>
                <w:szCs w:val="21"/>
              </w:rPr>
              <w:t>特种作业</w:t>
            </w:r>
            <w:r>
              <w:rPr>
                <w:rFonts w:ascii="仿宋" w:eastAsia="仿宋" w:cs="仿宋"/>
                <w:sz w:val="21"/>
                <w:szCs w:val="21"/>
              </w:rPr>
              <w:t>操作证</w:t>
            </w:r>
            <w:r>
              <w:rPr>
                <w:rFonts w:hint="eastAsia" w:ascii="仿宋" w:eastAsia="仿宋" w:cs="仿宋"/>
                <w:sz w:val="21"/>
                <w:szCs w:val="21"/>
              </w:rPr>
              <w:t>，</w:t>
            </w:r>
            <w:r>
              <w:rPr>
                <w:rFonts w:ascii="仿宋" w:eastAsia="仿宋" w:cs="仿宋"/>
                <w:sz w:val="21"/>
                <w:szCs w:val="21"/>
              </w:rPr>
              <w:t>其它</w:t>
            </w:r>
            <w:r>
              <w:rPr>
                <w:rFonts w:hint="eastAsia" w:ascii="仿宋" w:eastAsia="仿宋" w:cs="仿宋"/>
                <w:sz w:val="21"/>
                <w:szCs w:val="21"/>
              </w:rPr>
              <w:t>维修人员</w:t>
            </w:r>
            <w:r>
              <w:rPr>
                <w:rFonts w:ascii="仿宋" w:eastAsia="仿宋" w:cs="仿宋"/>
                <w:sz w:val="21"/>
                <w:szCs w:val="21"/>
              </w:rPr>
              <w:t>提供起重机械维修</w:t>
            </w:r>
            <w:r>
              <w:rPr>
                <w:rFonts w:hint="eastAsia" w:ascii="仿宋" w:eastAsia="仿宋" w:cs="仿宋"/>
                <w:sz w:val="21"/>
                <w:szCs w:val="21"/>
              </w:rPr>
              <w:t>资格（</w:t>
            </w:r>
            <w:r>
              <w:rPr>
                <w:rFonts w:ascii="仿宋" w:eastAsia="仿宋" w:cs="仿宋"/>
                <w:sz w:val="21"/>
                <w:szCs w:val="21"/>
              </w:rPr>
              <w:t>或</w:t>
            </w:r>
            <w:r>
              <w:rPr>
                <w:rFonts w:hint="eastAsia" w:ascii="仿宋" w:eastAsia="仿宋" w:cs="仿宋"/>
                <w:sz w:val="21"/>
                <w:szCs w:val="21"/>
              </w:rPr>
              <w:t>培训）证明，每人1分，最高5分。</w:t>
            </w:r>
            <w:r>
              <w:rPr>
                <w:rFonts w:ascii="仿宋" w:eastAsia="仿宋" w:cs="仿宋"/>
                <w:sz w:val="21"/>
                <w:szCs w:val="21"/>
              </w:rPr>
              <w:t xml:space="preserve">        </w:t>
            </w:r>
          </w:p>
        </w:tc>
      </w:tr>
      <w:tr w14:paraId="34CF24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2986" w:type="dxa"/>
            <w:gridSpan w:val="2"/>
            <w:tcBorders>
              <w:top w:val="single" w:color="auto" w:sz="4" w:space="0"/>
              <w:left w:val="single" w:color="auto" w:sz="4" w:space="0"/>
              <w:bottom w:val="single" w:color="auto" w:sz="4" w:space="0"/>
              <w:right w:val="single" w:color="auto" w:sz="4" w:space="0"/>
            </w:tcBorders>
            <w:vAlign w:val="center"/>
          </w:tcPr>
          <w:p w14:paraId="21F87C03">
            <w:pPr>
              <w:spacing w:line="360" w:lineRule="auto"/>
              <w:jc w:val="center"/>
              <w:rPr>
                <w:rFonts w:ascii="仿宋" w:eastAsia="仿宋" w:cs="宋体"/>
                <w:bCs/>
                <w:szCs w:val="21"/>
              </w:rPr>
            </w:pPr>
            <w:r>
              <w:rPr>
                <w:rFonts w:hint="eastAsia" w:ascii="仿宋" w:eastAsia="仿宋" w:cs="宋体"/>
                <w:bCs/>
                <w:szCs w:val="21"/>
              </w:rPr>
              <w:t>合计</w:t>
            </w:r>
          </w:p>
        </w:tc>
        <w:tc>
          <w:tcPr>
            <w:tcW w:w="885" w:type="dxa"/>
            <w:tcBorders>
              <w:top w:val="single" w:color="auto" w:sz="4" w:space="0"/>
              <w:left w:val="single" w:color="auto" w:sz="4" w:space="0"/>
              <w:bottom w:val="single" w:color="auto" w:sz="4" w:space="0"/>
              <w:right w:val="single" w:color="auto" w:sz="4" w:space="0"/>
            </w:tcBorders>
            <w:vAlign w:val="center"/>
          </w:tcPr>
          <w:p w14:paraId="37BA7DAC">
            <w:pPr>
              <w:spacing w:line="360" w:lineRule="auto"/>
              <w:jc w:val="center"/>
              <w:rPr>
                <w:rFonts w:ascii="仿宋" w:eastAsia="仿宋" w:cs="宋体"/>
                <w:bCs/>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0750E6F8">
            <w:pPr>
              <w:spacing w:line="360" w:lineRule="auto"/>
              <w:jc w:val="center"/>
              <w:rPr>
                <w:rFonts w:ascii="仿宋" w:eastAsia="仿宋" w:cs="宋体"/>
                <w:bCs/>
                <w:szCs w:val="21"/>
              </w:rPr>
            </w:pPr>
            <w:r>
              <w:rPr>
                <w:rFonts w:hint="eastAsia" w:ascii="仿宋" w:eastAsia="仿宋" w:cs="宋体"/>
                <w:bCs/>
                <w:szCs w:val="21"/>
              </w:rPr>
              <w:t>35</w:t>
            </w:r>
          </w:p>
        </w:tc>
        <w:tc>
          <w:tcPr>
            <w:tcW w:w="5640" w:type="dxa"/>
            <w:tcBorders>
              <w:top w:val="single" w:color="auto" w:sz="4" w:space="0"/>
              <w:left w:val="single" w:color="auto" w:sz="4" w:space="0"/>
              <w:bottom w:val="single" w:color="auto" w:sz="4" w:space="0"/>
              <w:right w:val="single" w:color="auto" w:sz="4" w:space="0"/>
            </w:tcBorders>
          </w:tcPr>
          <w:p w14:paraId="0DD69263">
            <w:pPr>
              <w:spacing w:line="360" w:lineRule="auto"/>
              <w:rPr>
                <w:rFonts w:ascii="仿宋" w:eastAsia="仿宋" w:cs="宋体"/>
                <w:bCs/>
                <w:szCs w:val="21"/>
              </w:rPr>
            </w:pPr>
          </w:p>
        </w:tc>
      </w:tr>
    </w:tbl>
    <w:p w14:paraId="24441C2A">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1.4 响应时间（15分）</w:t>
      </w:r>
    </w:p>
    <w:p w14:paraId="2213CEFD">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投标单位响应和</w:t>
      </w:r>
      <w:r>
        <w:rPr>
          <w:rFonts w:hint="eastAsia" w:ascii="方正仿宋_GBK" w:hAnsi="方正仿宋_GBK" w:eastAsia="方正仿宋_GBK" w:cs="方正仿宋_GBK"/>
          <w:bCs/>
          <w:color w:val="FF0000"/>
          <w:kern w:val="2"/>
          <w:sz w:val="32"/>
          <w:szCs w:val="32"/>
        </w:rPr>
        <w:t>排除故障时间评分</w:t>
      </w:r>
      <w:r>
        <w:rPr>
          <w:rFonts w:hint="eastAsia" w:ascii="方正仿宋_GBK" w:hAnsi="方正仿宋_GBK" w:eastAsia="方正仿宋_GBK" w:cs="方正仿宋_GBK"/>
          <w:bCs/>
          <w:kern w:val="2"/>
          <w:sz w:val="32"/>
          <w:szCs w:val="32"/>
        </w:rPr>
        <w:t>标准如下：</w:t>
      </w:r>
    </w:p>
    <w:tbl>
      <w:tblPr>
        <w:tblStyle w:val="13"/>
        <w:tblW w:w="10410" w:type="dxa"/>
        <w:tblInd w:w="-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055"/>
        <w:gridCol w:w="885"/>
        <w:gridCol w:w="6525"/>
      </w:tblGrid>
      <w:tr w14:paraId="231D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45" w:type="dxa"/>
            <w:tcBorders>
              <w:top w:val="single" w:color="auto" w:sz="4" w:space="0"/>
              <w:left w:val="single" w:color="auto" w:sz="4" w:space="0"/>
              <w:bottom w:val="single" w:color="auto" w:sz="4" w:space="0"/>
              <w:right w:val="single" w:color="auto" w:sz="4" w:space="0"/>
            </w:tcBorders>
            <w:vAlign w:val="center"/>
          </w:tcPr>
          <w:p w14:paraId="5D7836CC">
            <w:pPr>
              <w:spacing w:line="360" w:lineRule="auto"/>
              <w:jc w:val="center"/>
              <w:rPr>
                <w:rFonts w:ascii="仿宋" w:eastAsia="仿宋" w:cs="宋体"/>
                <w:bCs/>
                <w:szCs w:val="21"/>
              </w:rPr>
            </w:pPr>
            <w:r>
              <w:rPr>
                <w:rFonts w:hint="eastAsia" w:ascii="仿宋" w:eastAsia="仿宋" w:cs="宋体"/>
                <w:bCs/>
                <w:szCs w:val="21"/>
              </w:rPr>
              <w:t>序号</w:t>
            </w:r>
          </w:p>
        </w:tc>
        <w:tc>
          <w:tcPr>
            <w:tcW w:w="2055" w:type="dxa"/>
            <w:tcBorders>
              <w:top w:val="single" w:color="auto" w:sz="4" w:space="0"/>
              <w:left w:val="single" w:color="auto" w:sz="4" w:space="0"/>
              <w:bottom w:val="single" w:color="auto" w:sz="4" w:space="0"/>
              <w:right w:val="single" w:color="auto" w:sz="4" w:space="0"/>
            </w:tcBorders>
            <w:vAlign w:val="center"/>
          </w:tcPr>
          <w:p w14:paraId="78FF05A8">
            <w:pPr>
              <w:spacing w:line="360" w:lineRule="auto"/>
              <w:jc w:val="center"/>
              <w:rPr>
                <w:rFonts w:ascii="仿宋" w:eastAsia="仿宋" w:cs="宋体"/>
                <w:bCs/>
                <w:szCs w:val="21"/>
              </w:rPr>
            </w:pPr>
            <w:r>
              <w:rPr>
                <w:rFonts w:hint="eastAsia" w:ascii="仿宋" w:eastAsia="仿宋" w:cs="宋体"/>
                <w:bCs/>
                <w:szCs w:val="21"/>
              </w:rPr>
              <w:t>评审因素</w:t>
            </w:r>
          </w:p>
        </w:tc>
        <w:tc>
          <w:tcPr>
            <w:tcW w:w="885" w:type="dxa"/>
            <w:tcBorders>
              <w:top w:val="single" w:color="auto" w:sz="4" w:space="0"/>
              <w:left w:val="single" w:color="auto" w:sz="4" w:space="0"/>
              <w:bottom w:val="single" w:color="auto" w:sz="4" w:space="0"/>
              <w:right w:val="single" w:color="auto" w:sz="4" w:space="0"/>
            </w:tcBorders>
            <w:vAlign w:val="center"/>
          </w:tcPr>
          <w:p w14:paraId="381C90C0">
            <w:pPr>
              <w:spacing w:line="360" w:lineRule="auto"/>
              <w:jc w:val="center"/>
              <w:rPr>
                <w:rFonts w:ascii="仿宋" w:eastAsia="仿宋" w:cs="宋体"/>
                <w:bCs/>
                <w:szCs w:val="21"/>
              </w:rPr>
            </w:pPr>
            <w:r>
              <w:rPr>
                <w:rFonts w:hint="eastAsia" w:ascii="仿宋" w:eastAsia="仿宋" w:cs="宋体"/>
                <w:bCs/>
                <w:szCs w:val="21"/>
              </w:rPr>
              <w:t>分值</w:t>
            </w:r>
          </w:p>
        </w:tc>
        <w:tc>
          <w:tcPr>
            <w:tcW w:w="6525" w:type="dxa"/>
            <w:tcBorders>
              <w:top w:val="single" w:color="auto" w:sz="4" w:space="0"/>
              <w:left w:val="single" w:color="auto" w:sz="4" w:space="0"/>
              <w:bottom w:val="single" w:color="auto" w:sz="4" w:space="0"/>
              <w:right w:val="single" w:color="auto" w:sz="4" w:space="0"/>
            </w:tcBorders>
            <w:vAlign w:val="center"/>
          </w:tcPr>
          <w:p w14:paraId="35818DB4">
            <w:pPr>
              <w:spacing w:line="360" w:lineRule="auto"/>
              <w:jc w:val="center"/>
              <w:rPr>
                <w:rFonts w:ascii="仿宋" w:eastAsia="仿宋" w:cs="宋体"/>
                <w:bCs/>
                <w:szCs w:val="21"/>
              </w:rPr>
            </w:pPr>
            <w:r>
              <w:rPr>
                <w:rFonts w:hint="eastAsia" w:ascii="仿宋" w:eastAsia="仿宋" w:cs="宋体"/>
                <w:bCs/>
                <w:szCs w:val="21"/>
              </w:rPr>
              <w:t>评分标准说明</w:t>
            </w:r>
          </w:p>
        </w:tc>
      </w:tr>
      <w:tr w14:paraId="183B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9" w:hRule="atLeast"/>
        </w:trPr>
        <w:tc>
          <w:tcPr>
            <w:tcW w:w="945" w:type="dxa"/>
            <w:tcBorders>
              <w:top w:val="single" w:color="auto" w:sz="4" w:space="0"/>
              <w:left w:val="single" w:color="auto" w:sz="4" w:space="0"/>
              <w:bottom w:val="single" w:color="auto" w:sz="4" w:space="0"/>
              <w:right w:val="single" w:color="auto" w:sz="4" w:space="0"/>
            </w:tcBorders>
            <w:vAlign w:val="center"/>
          </w:tcPr>
          <w:p w14:paraId="4D3C45E6">
            <w:pPr>
              <w:spacing w:line="360" w:lineRule="auto"/>
              <w:jc w:val="center"/>
              <w:rPr>
                <w:rFonts w:ascii="仿宋" w:eastAsia="仿宋" w:cs="宋体"/>
                <w:bCs/>
                <w:szCs w:val="21"/>
              </w:rPr>
            </w:pPr>
            <w:r>
              <w:rPr>
                <w:rFonts w:hint="eastAsia" w:ascii="仿宋" w:eastAsia="仿宋" w:cs="宋体"/>
                <w:bCs/>
                <w:szCs w:val="21"/>
              </w:rPr>
              <w:t>1</w:t>
            </w:r>
          </w:p>
        </w:tc>
        <w:tc>
          <w:tcPr>
            <w:tcW w:w="2055" w:type="dxa"/>
            <w:tcBorders>
              <w:top w:val="single" w:color="auto" w:sz="4" w:space="0"/>
              <w:left w:val="single" w:color="auto" w:sz="4" w:space="0"/>
              <w:bottom w:val="single" w:color="auto" w:sz="4" w:space="0"/>
              <w:right w:val="single" w:color="auto" w:sz="4" w:space="0"/>
            </w:tcBorders>
            <w:vAlign w:val="center"/>
          </w:tcPr>
          <w:p w14:paraId="353CACF4">
            <w:pPr>
              <w:spacing w:line="360" w:lineRule="auto"/>
              <w:jc w:val="center"/>
              <w:rPr>
                <w:rFonts w:ascii="仿宋" w:eastAsia="仿宋" w:cs="宋体"/>
                <w:bCs/>
                <w:szCs w:val="21"/>
              </w:rPr>
            </w:pPr>
            <w:r>
              <w:rPr>
                <w:rFonts w:hint="eastAsia" w:ascii="仿宋" w:eastAsia="仿宋" w:cs="宋体"/>
                <w:bCs/>
                <w:szCs w:val="21"/>
              </w:rPr>
              <w:t>路程</w:t>
            </w:r>
            <w:r>
              <w:rPr>
                <w:rFonts w:ascii="仿宋" w:eastAsia="仿宋" w:cs="宋体"/>
                <w:bCs/>
                <w:szCs w:val="21"/>
              </w:rPr>
              <w:t>、到达时间</w:t>
            </w:r>
          </w:p>
        </w:tc>
        <w:tc>
          <w:tcPr>
            <w:tcW w:w="885" w:type="dxa"/>
            <w:tcBorders>
              <w:top w:val="single" w:color="auto" w:sz="4" w:space="0"/>
              <w:left w:val="single" w:color="auto" w:sz="4" w:space="0"/>
              <w:bottom w:val="single" w:color="auto" w:sz="4" w:space="0"/>
              <w:right w:val="single" w:color="auto" w:sz="4" w:space="0"/>
            </w:tcBorders>
            <w:vAlign w:val="center"/>
          </w:tcPr>
          <w:p w14:paraId="544E7172">
            <w:pPr>
              <w:spacing w:line="360" w:lineRule="auto"/>
              <w:jc w:val="center"/>
              <w:rPr>
                <w:rFonts w:ascii="仿宋" w:eastAsia="仿宋" w:cs="宋体"/>
                <w:bCs/>
                <w:szCs w:val="21"/>
              </w:rPr>
            </w:pPr>
            <w:r>
              <w:rPr>
                <w:rFonts w:hint="eastAsia" w:ascii="仿宋" w:eastAsia="仿宋" w:cs="宋体"/>
                <w:bCs/>
                <w:szCs w:val="21"/>
              </w:rPr>
              <w:t>10</w:t>
            </w:r>
          </w:p>
        </w:tc>
        <w:tc>
          <w:tcPr>
            <w:tcW w:w="6525" w:type="dxa"/>
            <w:tcBorders>
              <w:top w:val="single" w:color="auto" w:sz="4" w:space="0"/>
              <w:left w:val="single" w:color="auto" w:sz="4" w:space="0"/>
              <w:bottom w:val="single" w:color="auto" w:sz="4" w:space="0"/>
              <w:right w:val="single" w:color="auto" w:sz="4" w:space="0"/>
            </w:tcBorders>
            <w:vAlign w:val="center"/>
          </w:tcPr>
          <w:p w14:paraId="720756C6">
            <w:pPr>
              <w:jc w:val="left"/>
              <w:rPr>
                <w:rFonts w:ascii="仿宋" w:eastAsia="仿宋" w:cs="宋体"/>
                <w:bCs/>
                <w:color w:val="FF0000"/>
                <w:szCs w:val="21"/>
              </w:rPr>
            </w:pPr>
            <w:r>
              <w:rPr>
                <w:rFonts w:ascii="仿宋" w:eastAsia="仿宋" w:cs="仿宋_GB2312"/>
                <w:color w:val="FF0000"/>
                <w:szCs w:val="21"/>
              </w:rPr>
              <w:t>《及时响应</w:t>
            </w:r>
            <w:r>
              <w:rPr>
                <w:rFonts w:hint="eastAsia" w:ascii="仿宋" w:eastAsia="仿宋" w:cs="仿宋_GB2312"/>
                <w:color w:val="FF0000"/>
                <w:szCs w:val="21"/>
              </w:rPr>
              <w:t>和</w:t>
            </w:r>
            <w:r>
              <w:rPr>
                <w:rFonts w:ascii="仿宋" w:eastAsia="仿宋" w:cs="仿宋_GB2312"/>
                <w:color w:val="FF0000"/>
                <w:szCs w:val="21"/>
              </w:rPr>
              <w:t>排除故障</w:t>
            </w:r>
            <w:r>
              <w:rPr>
                <w:rFonts w:hint="eastAsia" w:ascii="仿宋" w:eastAsia="仿宋" w:cs="仿宋_GB2312"/>
                <w:color w:val="FF0000"/>
                <w:szCs w:val="21"/>
              </w:rPr>
              <w:t>承诺函</w:t>
            </w:r>
            <w:r>
              <w:rPr>
                <w:rFonts w:ascii="仿宋" w:eastAsia="仿宋" w:cs="仿宋_GB2312"/>
                <w:color w:val="FF0000"/>
                <w:szCs w:val="21"/>
              </w:rPr>
              <w:t>》</w:t>
            </w:r>
            <w:r>
              <w:rPr>
                <w:rFonts w:hint="eastAsia" w:ascii="仿宋" w:eastAsia="仿宋" w:cs="仿宋_GB2312"/>
                <w:color w:val="FF0000"/>
                <w:szCs w:val="21"/>
              </w:rPr>
              <w:t>中</w:t>
            </w:r>
            <w:r>
              <w:rPr>
                <w:rFonts w:hint="eastAsia" w:ascii="仿宋" w:eastAsia="仿宋" w:cs="宋体"/>
                <w:bCs/>
                <w:color w:val="FF0000"/>
                <w:szCs w:val="21"/>
              </w:rPr>
              <w:t>维保单位主要维修人员能在30分钟内到达现场进行抢修的，得10分；</w:t>
            </w:r>
          </w:p>
          <w:p w14:paraId="43444824">
            <w:pPr>
              <w:jc w:val="left"/>
              <w:rPr>
                <w:rFonts w:ascii="仿宋" w:eastAsia="仿宋" w:cs="宋体"/>
                <w:bCs/>
                <w:color w:val="FF0000"/>
                <w:szCs w:val="21"/>
              </w:rPr>
            </w:pPr>
            <w:r>
              <w:rPr>
                <w:rFonts w:hint="eastAsia" w:ascii="仿宋" w:eastAsia="仿宋" w:cs="宋体"/>
                <w:bCs/>
                <w:color w:val="FF0000"/>
                <w:szCs w:val="21"/>
              </w:rPr>
              <w:t>能在60分钟内到达现场进行抢修的得8分；</w:t>
            </w:r>
          </w:p>
          <w:p w14:paraId="7B9BA59B">
            <w:pPr>
              <w:jc w:val="left"/>
              <w:rPr>
                <w:rFonts w:ascii="仿宋" w:eastAsia="仿宋" w:cs="宋体"/>
                <w:bCs/>
                <w:color w:val="FF0000"/>
                <w:szCs w:val="21"/>
              </w:rPr>
            </w:pPr>
            <w:r>
              <w:rPr>
                <w:rFonts w:hint="eastAsia" w:ascii="仿宋" w:eastAsia="仿宋" w:cs="宋体"/>
                <w:bCs/>
                <w:color w:val="FF0000"/>
                <w:szCs w:val="21"/>
              </w:rPr>
              <w:t>能在2小时内到达现场进行抢修的得5分；</w:t>
            </w:r>
          </w:p>
          <w:p w14:paraId="62E4BE26">
            <w:pPr>
              <w:jc w:val="left"/>
              <w:rPr>
                <w:rFonts w:ascii="仿宋" w:eastAsia="仿宋" w:cs="宋体"/>
                <w:bCs/>
                <w:color w:val="FF0000"/>
                <w:szCs w:val="21"/>
              </w:rPr>
            </w:pPr>
            <w:r>
              <w:rPr>
                <w:rFonts w:hint="eastAsia" w:ascii="仿宋" w:eastAsia="仿宋" w:cs="宋体"/>
                <w:bCs/>
                <w:color w:val="FF0000"/>
                <w:szCs w:val="21"/>
              </w:rPr>
              <w:t>超过2小时的得0分。</w:t>
            </w:r>
          </w:p>
          <w:p w14:paraId="516224AF">
            <w:pPr>
              <w:jc w:val="left"/>
              <w:rPr>
                <w:rFonts w:ascii="仿宋" w:eastAsia="仿宋" w:cs="宋体"/>
                <w:bCs/>
                <w:color w:val="000000"/>
                <w:szCs w:val="21"/>
              </w:rPr>
            </w:pPr>
            <w:r>
              <w:rPr>
                <w:rFonts w:ascii="仿宋" w:eastAsia="仿宋" w:cs="仿宋_GB2312"/>
                <w:color w:val="FF0000"/>
                <w:szCs w:val="21"/>
              </w:rPr>
              <w:t>（根据投标方《及时响应</w:t>
            </w:r>
            <w:r>
              <w:rPr>
                <w:rFonts w:hint="eastAsia" w:ascii="仿宋" w:eastAsia="仿宋" w:cs="仿宋_GB2312"/>
                <w:color w:val="FF0000"/>
                <w:szCs w:val="21"/>
              </w:rPr>
              <w:t>和</w:t>
            </w:r>
            <w:r>
              <w:rPr>
                <w:rFonts w:ascii="仿宋" w:eastAsia="仿宋" w:cs="仿宋_GB2312"/>
                <w:color w:val="FF0000"/>
                <w:szCs w:val="21"/>
              </w:rPr>
              <w:t>排除故障</w:t>
            </w:r>
            <w:r>
              <w:rPr>
                <w:rFonts w:hint="eastAsia" w:ascii="仿宋" w:eastAsia="仿宋" w:cs="仿宋_GB2312"/>
                <w:color w:val="FF0000"/>
                <w:szCs w:val="21"/>
              </w:rPr>
              <w:t>承诺函</w:t>
            </w:r>
            <w:r>
              <w:rPr>
                <w:rFonts w:ascii="仿宋" w:eastAsia="仿宋" w:cs="仿宋_GB2312"/>
                <w:color w:val="FF0000"/>
                <w:szCs w:val="21"/>
              </w:rPr>
              <w:t>》（附件</w:t>
            </w:r>
            <w:r>
              <w:rPr>
                <w:rFonts w:hint="eastAsia" w:ascii="仿宋" w:eastAsia="仿宋" w:cs="仿宋_GB2312"/>
                <w:color w:val="FF0000"/>
                <w:szCs w:val="21"/>
              </w:rPr>
              <w:t>3</w:t>
            </w:r>
            <w:r>
              <w:rPr>
                <w:rFonts w:ascii="仿宋" w:eastAsia="仿宋" w:cs="仿宋_GB2312"/>
                <w:color w:val="FF0000"/>
                <w:szCs w:val="21"/>
              </w:rPr>
              <w:t>）提供的相</w:t>
            </w:r>
            <w:r>
              <w:rPr>
                <w:rFonts w:hint="eastAsia" w:ascii="仿宋" w:eastAsia="仿宋" w:cs="仿宋_GB2312"/>
                <w:color w:val="FF0000"/>
                <w:szCs w:val="21"/>
              </w:rPr>
              <w:t>关</w:t>
            </w:r>
            <w:r>
              <w:rPr>
                <w:rFonts w:ascii="仿宋" w:eastAsia="仿宋" w:cs="仿宋_GB2312"/>
                <w:color w:val="FF0000"/>
                <w:szCs w:val="21"/>
              </w:rPr>
              <w:t>承诺评分）</w:t>
            </w:r>
            <w:r>
              <w:rPr>
                <w:rFonts w:hint="eastAsia" w:ascii="仿宋" w:eastAsia="仿宋" w:cs="仿宋_GB2312"/>
                <w:color w:val="FF0000"/>
                <w:szCs w:val="21"/>
              </w:rPr>
              <w:t>，</w:t>
            </w:r>
            <w:r>
              <w:rPr>
                <w:rFonts w:ascii="仿宋" w:eastAsia="仿宋" w:cs="仿宋_GB2312"/>
                <w:color w:val="FF0000"/>
                <w:szCs w:val="21"/>
              </w:rPr>
              <w:t>如</w:t>
            </w:r>
            <w:r>
              <w:rPr>
                <w:rFonts w:hint="eastAsia" w:ascii="仿宋" w:eastAsia="仿宋" w:cs="仿宋_GB2312"/>
                <w:color w:val="FF0000"/>
                <w:szCs w:val="21"/>
              </w:rPr>
              <w:t>中标方在</w:t>
            </w:r>
            <w:r>
              <w:rPr>
                <w:rFonts w:ascii="仿宋" w:eastAsia="仿宋" w:cs="仿宋_GB2312"/>
                <w:color w:val="FF0000"/>
                <w:szCs w:val="21"/>
              </w:rPr>
              <w:t>合同期不能满足承诺函要求，按照招标文件</w:t>
            </w:r>
            <w:r>
              <w:rPr>
                <w:rFonts w:hint="eastAsia" w:ascii="仿宋" w:eastAsia="仿宋" w:cs="仿宋_GB2312"/>
                <w:color w:val="FF0000"/>
                <w:szCs w:val="21"/>
              </w:rPr>
              <w:t>第七（四）条</w:t>
            </w:r>
            <w:r>
              <w:rPr>
                <w:rFonts w:ascii="仿宋" w:eastAsia="仿宋" w:cs="仿宋_GB2312"/>
                <w:color w:val="FF0000"/>
                <w:szCs w:val="21"/>
              </w:rPr>
              <w:t>考核</w:t>
            </w:r>
            <w:r>
              <w:rPr>
                <w:rFonts w:hint="eastAsia" w:ascii="仿宋" w:eastAsia="仿宋" w:cs="仿宋_GB2312"/>
                <w:color w:val="FF0000"/>
                <w:szCs w:val="21"/>
              </w:rPr>
              <w:t>。</w:t>
            </w:r>
          </w:p>
        </w:tc>
      </w:tr>
      <w:tr w14:paraId="77C7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45" w:type="dxa"/>
            <w:tcBorders>
              <w:top w:val="single" w:color="auto" w:sz="4" w:space="0"/>
              <w:left w:val="single" w:color="auto" w:sz="4" w:space="0"/>
              <w:bottom w:val="single" w:color="auto" w:sz="4" w:space="0"/>
              <w:right w:val="single" w:color="auto" w:sz="4" w:space="0"/>
            </w:tcBorders>
            <w:vAlign w:val="center"/>
          </w:tcPr>
          <w:p w14:paraId="09AA4CD4">
            <w:pPr>
              <w:spacing w:line="360" w:lineRule="auto"/>
              <w:jc w:val="center"/>
              <w:rPr>
                <w:rFonts w:ascii="仿宋" w:eastAsia="仿宋" w:cs="宋体"/>
                <w:bCs/>
                <w:szCs w:val="21"/>
              </w:rPr>
            </w:pPr>
            <w:r>
              <w:rPr>
                <w:rFonts w:hint="eastAsia" w:ascii="仿宋" w:eastAsia="仿宋" w:cs="宋体"/>
                <w:bCs/>
                <w:szCs w:val="21"/>
              </w:rPr>
              <w:t>2</w:t>
            </w:r>
          </w:p>
        </w:tc>
        <w:tc>
          <w:tcPr>
            <w:tcW w:w="2055" w:type="dxa"/>
            <w:tcBorders>
              <w:top w:val="single" w:color="auto" w:sz="4" w:space="0"/>
              <w:left w:val="single" w:color="auto" w:sz="4" w:space="0"/>
              <w:bottom w:val="single" w:color="auto" w:sz="4" w:space="0"/>
              <w:right w:val="single" w:color="auto" w:sz="4" w:space="0"/>
            </w:tcBorders>
            <w:vAlign w:val="center"/>
          </w:tcPr>
          <w:p w14:paraId="11F9D668">
            <w:pPr>
              <w:spacing w:line="360" w:lineRule="auto"/>
              <w:jc w:val="center"/>
              <w:rPr>
                <w:rFonts w:ascii="仿宋" w:eastAsia="仿宋" w:cs="宋体"/>
                <w:bCs/>
                <w:szCs w:val="21"/>
              </w:rPr>
            </w:pPr>
            <w:r>
              <w:rPr>
                <w:rFonts w:hint="eastAsia" w:ascii="仿宋" w:eastAsia="仿宋" w:cs="宋体"/>
                <w:bCs/>
                <w:szCs w:val="21"/>
              </w:rPr>
              <w:t>排除故障时间</w:t>
            </w:r>
          </w:p>
        </w:tc>
        <w:tc>
          <w:tcPr>
            <w:tcW w:w="885" w:type="dxa"/>
            <w:tcBorders>
              <w:top w:val="single" w:color="auto" w:sz="4" w:space="0"/>
              <w:left w:val="single" w:color="auto" w:sz="4" w:space="0"/>
              <w:bottom w:val="single" w:color="auto" w:sz="4" w:space="0"/>
              <w:right w:val="single" w:color="auto" w:sz="4" w:space="0"/>
            </w:tcBorders>
            <w:vAlign w:val="center"/>
          </w:tcPr>
          <w:p w14:paraId="00DBA5A4">
            <w:pPr>
              <w:spacing w:line="360" w:lineRule="auto"/>
              <w:jc w:val="center"/>
              <w:rPr>
                <w:rFonts w:ascii="仿宋" w:eastAsia="仿宋" w:cs="宋体"/>
                <w:bCs/>
                <w:szCs w:val="21"/>
              </w:rPr>
            </w:pPr>
            <w:r>
              <w:rPr>
                <w:rFonts w:hint="eastAsia" w:ascii="仿宋" w:eastAsia="仿宋" w:cs="宋体"/>
                <w:bCs/>
                <w:szCs w:val="21"/>
              </w:rPr>
              <w:t>5</w:t>
            </w:r>
          </w:p>
        </w:tc>
        <w:tc>
          <w:tcPr>
            <w:tcW w:w="6525" w:type="dxa"/>
            <w:tcBorders>
              <w:top w:val="single" w:color="auto" w:sz="4" w:space="0"/>
              <w:left w:val="single" w:color="auto" w:sz="4" w:space="0"/>
              <w:bottom w:val="single" w:color="auto" w:sz="4" w:space="0"/>
              <w:right w:val="single" w:color="auto" w:sz="4" w:space="0"/>
            </w:tcBorders>
            <w:vAlign w:val="center"/>
          </w:tcPr>
          <w:p w14:paraId="0FC66B32">
            <w:pPr>
              <w:jc w:val="left"/>
              <w:rPr>
                <w:rFonts w:ascii="仿宋" w:eastAsia="仿宋" w:cs="仿宋_GB2312"/>
                <w:color w:val="FF0000"/>
                <w:szCs w:val="21"/>
              </w:rPr>
            </w:pPr>
            <w:r>
              <w:rPr>
                <w:rFonts w:ascii="仿宋" w:eastAsia="仿宋" w:cs="仿宋_GB2312"/>
                <w:color w:val="FF0000"/>
                <w:szCs w:val="21"/>
              </w:rPr>
              <w:t>《及时响应</w:t>
            </w:r>
            <w:r>
              <w:rPr>
                <w:rFonts w:hint="eastAsia" w:ascii="仿宋" w:eastAsia="仿宋" w:cs="仿宋_GB2312"/>
                <w:color w:val="FF0000"/>
                <w:szCs w:val="21"/>
              </w:rPr>
              <w:t>和</w:t>
            </w:r>
            <w:r>
              <w:rPr>
                <w:rFonts w:ascii="仿宋" w:eastAsia="仿宋" w:cs="仿宋_GB2312"/>
                <w:color w:val="FF0000"/>
                <w:szCs w:val="21"/>
              </w:rPr>
              <w:t>排除故障</w:t>
            </w:r>
            <w:r>
              <w:rPr>
                <w:rFonts w:hint="eastAsia" w:ascii="仿宋" w:eastAsia="仿宋" w:cs="仿宋_GB2312"/>
                <w:color w:val="FF0000"/>
                <w:szCs w:val="21"/>
              </w:rPr>
              <w:t>承诺函</w:t>
            </w:r>
            <w:r>
              <w:rPr>
                <w:rFonts w:ascii="仿宋" w:eastAsia="仿宋" w:cs="仿宋_GB2312"/>
                <w:color w:val="FF0000"/>
                <w:szCs w:val="21"/>
              </w:rPr>
              <w:t>》</w:t>
            </w:r>
            <w:r>
              <w:rPr>
                <w:rFonts w:hint="eastAsia" w:ascii="仿宋" w:eastAsia="仿宋" w:cs="仿宋_GB2312"/>
                <w:color w:val="FF0000"/>
                <w:szCs w:val="21"/>
              </w:rPr>
              <w:t>中</w:t>
            </w:r>
            <w:r>
              <w:rPr>
                <w:rFonts w:hint="eastAsia" w:ascii="仿宋" w:eastAsia="仿宋" w:cs="宋体"/>
                <w:bCs/>
                <w:color w:val="FF0000"/>
                <w:szCs w:val="21"/>
              </w:rPr>
              <w:t>维保单位</w:t>
            </w:r>
            <w:r>
              <w:rPr>
                <w:rFonts w:hint="eastAsia" w:ascii="仿宋" w:eastAsia="仿宋" w:cs="仿宋_GB2312"/>
                <w:color w:val="FF0000"/>
                <w:szCs w:val="21"/>
              </w:rPr>
              <w:t>排除</w:t>
            </w:r>
            <w:r>
              <w:rPr>
                <w:rFonts w:ascii="仿宋" w:eastAsia="仿宋" w:cs="仿宋_GB2312"/>
                <w:color w:val="FF0000"/>
                <w:szCs w:val="21"/>
              </w:rPr>
              <w:t>故障时间排名第一的</w:t>
            </w:r>
            <w:r>
              <w:rPr>
                <w:rFonts w:hint="eastAsia" w:ascii="仿宋" w:eastAsia="仿宋" w:cs="仿宋_GB2312"/>
                <w:color w:val="FF0000"/>
                <w:szCs w:val="21"/>
              </w:rPr>
              <w:t>得5分；排名</w:t>
            </w:r>
            <w:r>
              <w:rPr>
                <w:rFonts w:ascii="仿宋" w:eastAsia="仿宋" w:cs="仿宋_GB2312"/>
                <w:color w:val="FF0000"/>
                <w:szCs w:val="21"/>
              </w:rPr>
              <w:t>第二的得</w:t>
            </w:r>
            <w:r>
              <w:rPr>
                <w:rFonts w:hint="eastAsia" w:ascii="仿宋" w:eastAsia="仿宋" w:cs="仿宋_GB2312"/>
                <w:color w:val="FF0000"/>
                <w:szCs w:val="21"/>
              </w:rPr>
              <w:t>3分</w:t>
            </w:r>
            <w:r>
              <w:rPr>
                <w:rFonts w:ascii="仿宋" w:eastAsia="仿宋" w:cs="仿宋_GB2312"/>
                <w:color w:val="FF0000"/>
                <w:szCs w:val="21"/>
              </w:rPr>
              <w:t>，排名第三的得</w:t>
            </w:r>
            <w:r>
              <w:rPr>
                <w:rFonts w:hint="eastAsia" w:ascii="仿宋" w:eastAsia="仿宋" w:cs="仿宋_GB2312"/>
                <w:color w:val="FF0000"/>
                <w:szCs w:val="21"/>
              </w:rPr>
              <w:t>1分，三</w:t>
            </w:r>
            <w:r>
              <w:rPr>
                <w:rFonts w:ascii="仿宋" w:eastAsia="仿宋" w:cs="仿宋_GB2312"/>
                <w:color w:val="FF0000"/>
                <w:szCs w:val="21"/>
              </w:rPr>
              <w:t>名以后的</w:t>
            </w:r>
            <w:r>
              <w:rPr>
                <w:rFonts w:hint="eastAsia" w:ascii="仿宋" w:eastAsia="仿宋" w:cs="仿宋_GB2312"/>
                <w:color w:val="FF0000"/>
                <w:szCs w:val="21"/>
              </w:rPr>
              <w:t>0分</w:t>
            </w:r>
            <w:r>
              <w:rPr>
                <w:rFonts w:ascii="仿宋" w:eastAsia="仿宋" w:cs="仿宋_GB2312"/>
                <w:color w:val="FF0000"/>
                <w:szCs w:val="21"/>
              </w:rPr>
              <w:t>。</w:t>
            </w:r>
          </w:p>
          <w:p w14:paraId="5485A4AA">
            <w:pPr>
              <w:jc w:val="left"/>
              <w:rPr>
                <w:rFonts w:ascii="仿宋" w:eastAsia="仿宋" w:cs="仿宋_GB2312"/>
                <w:szCs w:val="21"/>
              </w:rPr>
            </w:pPr>
            <w:r>
              <w:rPr>
                <w:rFonts w:ascii="仿宋" w:eastAsia="仿宋" w:cs="仿宋_GB2312"/>
                <w:color w:val="FF0000"/>
                <w:szCs w:val="21"/>
              </w:rPr>
              <w:t>（根据投标方《及时响应</w:t>
            </w:r>
            <w:r>
              <w:rPr>
                <w:rFonts w:hint="eastAsia" w:ascii="仿宋" w:eastAsia="仿宋" w:cs="仿宋_GB2312"/>
                <w:color w:val="FF0000"/>
                <w:szCs w:val="21"/>
              </w:rPr>
              <w:t>和</w:t>
            </w:r>
            <w:r>
              <w:rPr>
                <w:rFonts w:ascii="仿宋" w:eastAsia="仿宋" w:cs="仿宋_GB2312"/>
                <w:color w:val="FF0000"/>
                <w:szCs w:val="21"/>
              </w:rPr>
              <w:t>排除故障</w:t>
            </w:r>
            <w:r>
              <w:rPr>
                <w:rFonts w:hint="eastAsia" w:ascii="仿宋" w:eastAsia="仿宋" w:cs="仿宋_GB2312"/>
                <w:color w:val="FF0000"/>
                <w:szCs w:val="21"/>
              </w:rPr>
              <w:t>承诺函</w:t>
            </w:r>
            <w:r>
              <w:rPr>
                <w:rFonts w:ascii="仿宋" w:eastAsia="仿宋" w:cs="仿宋_GB2312"/>
                <w:color w:val="FF0000"/>
                <w:szCs w:val="21"/>
              </w:rPr>
              <w:t>》（附件</w:t>
            </w:r>
            <w:r>
              <w:rPr>
                <w:rFonts w:hint="eastAsia" w:ascii="仿宋" w:eastAsia="仿宋" w:cs="仿宋_GB2312"/>
                <w:color w:val="FF0000"/>
                <w:szCs w:val="21"/>
              </w:rPr>
              <w:t>3</w:t>
            </w:r>
            <w:r>
              <w:rPr>
                <w:rFonts w:ascii="仿宋" w:eastAsia="仿宋" w:cs="仿宋_GB2312"/>
                <w:color w:val="FF0000"/>
                <w:szCs w:val="21"/>
              </w:rPr>
              <w:t>）提供的相</w:t>
            </w:r>
            <w:r>
              <w:rPr>
                <w:rFonts w:hint="eastAsia" w:ascii="仿宋" w:eastAsia="仿宋" w:cs="仿宋_GB2312"/>
                <w:color w:val="FF0000"/>
                <w:szCs w:val="21"/>
              </w:rPr>
              <w:t>关</w:t>
            </w:r>
            <w:r>
              <w:rPr>
                <w:rFonts w:ascii="仿宋" w:eastAsia="仿宋" w:cs="仿宋_GB2312"/>
                <w:color w:val="FF0000"/>
                <w:szCs w:val="21"/>
              </w:rPr>
              <w:t>承诺评分）</w:t>
            </w:r>
            <w:r>
              <w:rPr>
                <w:rFonts w:hint="eastAsia" w:ascii="仿宋" w:eastAsia="仿宋" w:cs="仿宋_GB2312"/>
                <w:color w:val="FF0000"/>
                <w:szCs w:val="21"/>
              </w:rPr>
              <w:t>，</w:t>
            </w:r>
            <w:r>
              <w:rPr>
                <w:rFonts w:ascii="仿宋" w:eastAsia="仿宋" w:cs="仿宋_GB2312"/>
                <w:color w:val="FF0000"/>
                <w:szCs w:val="21"/>
              </w:rPr>
              <w:t>如</w:t>
            </w:r>
            <w:r>
              <w:rPr>
                <w:rFonts w:hint="eastAsia" w:ascii="仿宋" w:eastAsia="仿宋" w:cs="仿宋_GB2312"/>
                <w:color w:val="FF0000"/>
                <w:szCs w:val="21"/>
              </w:rPr>
              <w:t>中标方在</w:t>
            </w:r>
            <w:r>
              <w:rPr>
                <w:rFonts w:ascii="仿宋" w:eastAsia="仿宋" w:cs="仿宋_GB2312"/>
                <w:color w:val="FF0000"/>
                <w:szCs w:val="21"/>
              </w:rPr>
              <w:t>合同期不能满足承诺函要求，按照招标文件</w:t>
            </w:r>
            <w:r>
              <w:rPr>
                <w:rFonts w:hint="eastAsia" w:ascii="仿宋" w:eastAsia="仿宋" w:cs="仿宋_GB2312"/>
                <w:color w:val="FF0000"/>
                <w:szCs w:val="21"/>
              </w:rPr>
              <w:t>第七（四）条</w:t>
            </w:r>
            <w:r>
              <w:rPr>
                <w:rFonts w:ascii="仿宋" w:eastAsia="仿宋" w:cs="仿宋_GB2312"/>
                <w:color w:val="FF0000"/>
                <w:szCs w:val="21"/>
              </w:rPr>
              <w:t>考核</w:t>
            </w:r>
            <w:r>
              <w:rPr>
                <w:rFonts w:hint="eastAsia" w:ascii="仿宋" w:eastAsia="仿宋" w:cs="仿宋_GB2312"/>
                <w:color w:val="FF0000"/>
                <w:szCs w:val="21"/>
              </w:rPr>
              <w:t>。</w:t>
            </w:r>
          </w:p>
        </w:tc>
      </w:tr>
      <w:tr w14:paraId="2B2A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00" w:type="dxa"/>
            <w:gridSpan w:val="2"/>
            <w:tcBorders>
              <w:top w:val="single" w:color="auto" w:sz="4" w:space="0"/>
              <w:left w:val="single" w:color="auto" w:sz="4" w:space="0"/>
              <w:bottom w:val="single" w:color="auto" w:sz="4" w:space="0"/>
              <w:right w:val="single" w:color="auto" w:sz="4" w:space="0"/>
            </w:tcBorders>
            <w:vAlign w:val="center"/>
          </w:tcPr>
          <w:p w14:paraId="1E02509F">
            <w:pPr>
              <w:spacing w:line="360" w:lineRule="auto"/>
              <w:jc w:val="center"/>
              <w:rPr>
                <w:rFonts w:ascii="仿宋" w:eastAsia="仿宋" w:cs="宋体"/>
                <w:bCs/>
                <w:szCs w:val="21"/>
              </w:rPr>
            </w:pPr>
            <w:r>
              <w:rPr>
                <w:rFonts w:hint="eastAsia" w:ascii="仿宋" w:eastAsia="仿宋" w:cs="宋体"/>
                <w:bCs/>
                <w:szCs w:val="21"/>
              </w:rPr>
              <w:t>合计</w:t>
            </w:r>
          </w:p>
        </w:tc>
        <w:tc>
          <w:tcPr>
            <w:tcW w:w="885" w:type="dxa"/>
            <w:tcBorders>
              <w:top w:val="single" w:color="auto" w:sz="4" w:space="0"/>
              <w:left w:val="single" w:color="auto" w:sz="4" w:space="0"/>
              <w:bottom w:val="single" w:color="auto" w:sz="4" w:space="0"/>
              <w:right w:val="single" w:color="auto" w:sz="4" w:space="0"/>
            </w:tcBorders>
            <w:vAlign w:val="center"/>
          </w:tcPr>
          <w:p w14:paraId="4B2E82D9">
            <w:pPr>
              <w:spacing w:line="360" w:lineRule="auto"/>
              <w:jc w:val="center"/>
              <w:rPr>
                <w:rFonts w:ascii="仿宋" w:eastAsia="仿宋" w:cs="宋体"/>
                <w:bCs/>
                <w:szCs w:val="21"/>
              </w:rPr>
            </w:pPr>
            <w:r>
              <w:rPr>
                <w:rFonts w:hint="eastAsia" w:ascii="仿宋" w:eastAsia="仿宋" w:cs="宋体"/>
                <w:bCs/>
                <w:szCs w:val="21"/>
              </w:rPr>
              <w:t>15</w:t>
            </w:r>
          </w:p>
        </w:tc>
        <w:tc>
          <w:tcPr>
            <w:tcW w:w="6525" w:type="dxa"/>
            <w:tcBorders>
              <w:top w:val="single" w:color="auto" w:sz="4" w:space="0"/>
              <w:left w:val="single" w:color="auto" w:sz="4" w:space="0"/>
              <w:bottom w:val="single" w:color="auto" w:sz="4" w:space="0"/>
              <w:right w:val="single" w:color="auto" w:sz="4" w:space="0"/>
            </w:tcBorders>
          </w:tcPr>
          <w:p w14:paraId="5D473065">
            <w:pPr>
              <w:spacing w:line="360" w:lineRule="auto"/>
              <w:rPr>
                <w:rFonts w:ascii="仿宋" w:eastAsia="仿宋" w:cs="宋体"/>
                <w:bCs/>
                <w:szCs w:val="21"/>
              </w:rPr>
            </w:pPr>
            <w:r>
              <w:rPr>
                <w:rFonts w:hint="eastAsia" w:ascii="仿宋" w:eastAsia="仿宋" w:cs="宋体"/>
                <w:bCs/>
                <w:szCs w:val="21"/>
              </w:rPr>
              <w:t xml:space="preserve"> </w:t>
            </w:r>
          </w:p>
        </w:tc>
      </w:tr>
    </w:tbl>
    <w:p w14:paraId="4D53C1D7">
      <w:pPr>
        <w:rPr>
          <w:rFonts w:ascii="宋体"/>
          <w:b/>
          <w:szCs w:val="21"/>
        </w:rPr>
      </w:pPr>
    </w:p>
    <w:p w14:paraId="6CD5DEC1">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注： （1）评标小组每位评委根据上述评标办法首先对响应文件技术部分、响应时间部分等分别进行评审打分，计算出每一投标的技术部分、响应时间部分等的合计分。评标小组所有评委共同对响应文件的最后报价进行评审打分。然后，根据报价评分办法计算出符合规定的供应商的综合得分，经核对无误后，评标小组全体成员签字确认。</w:t>
      </w:r>
    </w:p>
    <w:p w14:paraId="6DED704D">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（2）技术部分评标专家集体讨论，独立打分。</w:t>
      </w:r>
    </w:p>
    <w:p w14:paraId="16E9EA73">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（3）供应商提供的业绩，应具备可考察性，并为业主考察提供方便。</w:t>
      </w:r>
    </w:p>
    <w:p w14:paraId="018EEC53">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2.通用</w:t>
      </w:r>
    </w:p>
    <w:p w14:paraId="6BADC980">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在能够满足招标人技术要求及响应时间要求的投标人中选择总投标价最低的一家投标人作为中标候选人。</w:t>
      </w:r>
    </w:p>
    <w:p w14:paraId="678EB237">
      <w:pPr>
        <w:adjustRightInd w:val="0"/>
        <w:snapToGrid w:val="0"/>
        <w:spacing w:line="600" w:lineRule="exact"/>
        <w:ind w:firstLine="640" w:firstLineChars="200"/>
        <w:jc w:val="left"/>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（三）废标</w:t>
      </w:r>
    </w:p>
    <w:p w14:paraId="2443F6D6">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265566D3">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2.凡投标人不具备招标人明确要求资质的，或投标文件填写不完整、报价有空项的，或不符合技术要求条款的，或者存在其他不符合招标人有关要求的问题，经招标人评标小组评定，可作废标处理。</w:t>
      </w:r>
    </w:p>
    <w:p w14:paraId="30B75913">
      <w:pPr>
        <w:pStyle w:val="6"/>
        <w:spacing w:line="600" w:lineRule="exact"/>
        <w:ind w:firstLine="640" w:firstLineChars="200"/>
        <w:rPr>
          <w:rFonts w:ascii="方正黑体_GBK" w:hAnsi="方正黑体_GBK" w:eastAsia="方正黑体_GBK" w:cs="方正黑体_GBK"/>
          <w:b/>
          <w:kern w:val="1"/>
          <w:sz w:val="32"/>
          <w:szCs w:val="32"/>
        </w:rPr>
      </w:pPr>
      <w:r>
        <w:rPr>
          <w:rFonts w:hint="eastAsia" w:ascii="方正仿宋_GBK" w:hAnsi="方正仿宋_GBK" w:eastAsia="方正仿宋_GBK" w:cs="方正仿宋_GBK"/>
          <w:bCs/>
          <w:kern w:val="2"/>
          <w:sz w:val="32"/>
          <w:szCs w:val="32"/>
        </w:rPr>
        <w:t>3.投标人应如实提供符合市场规律和自身成本的合理报价。如果投标人的报价与市场价格明显偏离并因此影响了招标活动的公正合理性，损害了招标人的正当利益，经招标人评标小组评定，可作废标处理。</w:t>
      </w:r>
    </w:p>
    <w:p w14:paraId="7D40A8A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七、其他注意事项：</w:t>
      </w:r>
    </w:p>
    <w:p w14:paraId="4F05507C">
      <w:pPr>
        <w:adjustRightInd w:val="0"/>
        <w:snapToGrid w:val="0"/>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（一）违约责任：</w:t>
      </w:r>
    </w:p>
    <w:p w14:paraId="7AF54F88">
      <w:pPr>
        <w:pStyle w:val="6"/>
        <w:spacing w:line="600" w:lineRule="exact"/>
        <w:ind w:firstLine="640" w:firstLineChars="200"/>
        <w:rPr>
          <w:rFonts w:ascii="方正仿宋_GBK" w:hAnsi="方正仿宋_GBK" w:eastAsia="方正仿宋_GBK" w:cs="方正仿宋_GBK"/>
          <w:bCs/>
          <w:color w:val="FF0000"/>
          <w:kern w:val="2"/>
          <w:sz w:val="32"/>
          <w:szCs w:val="32"/>
        </w:rPr>
      </w:pPr>
      <w:r>
        <w:rPr>
          <w:rFonts w:hint="eastAsia" w:ascii="方正仿宋_GBK" w:hAnsi="方正仿宋_GBK" w:eastAsia="方正仿宋_GBK" w:cs="方正仿宋_GBK"/>
          <w:bCs/>
          <w:color w:val="FF0000"/>
          <w:kern w:val="2"/>
          <w:sz w:val="32"/>
          <w:szCs w:val="32"/>
        </w:rPr>
        <w:t>因中标人原因，应急维修响应时间、排除故障时间、不能按中标方承诺函的期限完成，违约金从本项目年度维保费中扣除，每延迟一小时按本项目年度维保费的0.3%计收违约金，不足部分由中标人另行支付（如有异议请在报价时注明）。不能在规定的期限完成本项目维修，延期20日内（含20天），招标人有权解除合同，并按合同总额20%追究中标人违约责任（如有异议请在报价时注明）。</w:t>
      </w:r>
    </w:p>
    <w:p w14:paraId="7C13AAB2">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 xml:space="preserve"> （二）</w:t>
      </w:r>
      <w:r>
        <w:rPr>
          <w:rFonts w:hint="eastAsia" w:ascii="方正仿宋_GBK" w:hAnsi="方正仿宋_GBK" w:eastAsia="方正仿宋_GBK" w:cs="方正仿宋_GBK"/>
          <w:bCs/>
          <w:kern w:val="2"/>
          <w:sz w:val="32"/>
          <w:szCs w:val="32"/>
        </w:rPr>
        <w:t>中标人应严格按照标书约定与招标方签定供需合 同，并按合同约定做好物资供应和服务工作。对中标人所有 违背标书及合同约定的行为，招标人均可持续保留与中标方中止合作的一切权利。</w:t>
      </w:r>
    </w:p>
    <w:p w14:paraId="63E27E67">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（三）</w:t>
      </w:r>
      <w:r>
        <w:rPr>
          <w:rFonts w:hint="eastAsia" w:ascii="方正仿宋_GBK" w:hAnsi="方正仿宋_GBK" w:eastAsia="方正仿宋_GBK" w:cs="方正仿宋_GBK"/>
          <w:bCs/>
          <w:kern w:val="2"/>
          <w:sz w:val="32"/>
          <w:szCs w:val="32"/>
        </w:rPr>
        <w:t>对需检验的品种，经招标人检验部门检验合格后 方能收货，否则做退、换货处理；长期合约的中标人如出现 三次产品质量不合格的情况，视为中标人无能力保障产品质</w:t>
      </w:r>
    </w:p>
    <w:p w14:paraId="7C4C950F">
      <w:pPr>
        <w:pStyle w:val="6"/>
        <w:spacing w:line="600" w:lineRule="exact"/>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量，招标人有权终止此次招标合同的执行。</w:t>
      </w:r>
    </w:p>
    <w:p w14:paraId="269E33CD">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（四）</w:t>
      </w:r>
      <w:r>
        <w:rPr>
          <w:rFonts w:hint="eastAsia" w:ascii="方正仿宋_GBK" w:hAnsi="方正仿宋_GBK" w:eastAsia="方正仿宋_GBK" w:cs="方正仿宋_GBK"/>
          <w:bCs/>
          <w:kern w:val="2"/>
          <w:sz w:val="32"/>
          <w:szCs w:val="32"/>
        </w:rPr>
        <w:t>对不合格货品招标人应及时通知中标人，如有异 议双方可协商解决；如需仲裁，应按合同约定在规定时间内 按《产品质量仲裁检验和产品质量鉴定管理办法》执行。仲 裁期间中标人应保证招标人供应，不影响招标人正常生产运</w:t>
      </w:r>
    </w:p>
    <w:p w14:paraId="75E17924">
      <w:pPr>
        <w:pStyle w:val="6"/>
        <w:spacing w:line="600" w:lineRule="exact"/>
        <w:rPr>
          <w:rFonts w:ascii="方正仿宋简体" w:hAnsi="方正仿宋简体" w:eastAsia="方正仿宋简体" w:cs="方正仿宋简体"/>
          <w:bCs/>
          <w:kern w:val="1"/>
          <w:sz w:val="32"/>
          <w:szCs w:val="32"/>
        </w:rPr>
      </w:pPr>
      <w:r>
        <w:rPr>
          <w:rFonts w:hint="eastAsia" w:ascii="方正仿宋_GBK" w:hAnsi="方正仿宋_GBK" w:eastAsia="方正仿宋_GBK" w:cs="方正仿宋_GBK"/>
          <w:bCs/>
          <w:kern w:val="2"/>
          <w:sz w:val="32"/>
          <w:szCs w:val="32"/>
        </w:rPr>
        <w:t>行。否则中标人除承担违约责任外，由此产生的营运损失由中标人另行承担。</w:t>
      </w:r>
    </w:p>
    <w:p w14:paraId="48136A88">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（五）</w:t>
      </w:r>
      <w:r>
        <w:rPr>
          <w:rFonts w:hint="eastAsia" w:ascii="方正仿宋_GBK" w:hAnsi="方正仿宋_GBK" w:eastAsia="方正仿宋_GBK" w:cs="方正仿宋_GBK"/>
          <w:bCs/>
          <w:kern w:val="2"/>
          <w:sz w:val="32"/>
          <w:szCs w:val="32"/>
        </w:rPr>
        <w:t>如因投标人不能正常履约，严重影响招标人生产</w:t>
      </w:r>
    </w:p>
    <w:p w14:paraId="4B384387">
      <w:pPr>
        <w:pStyle w:val="6"/>
        <w:spacing w:line="600" w:lineRule="exact"/>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经营活动的，投标人除承担违约责任外，由此产生的营运损失由投标人另行承担。</w:t>
      </w:r>
    </w:p>
    <w:p w14:paraId="5AE401DA">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（六）</w:t>
      </w:r>
      <w:r>
        <w:rPr>
          <w:rFonts w:hint="eastAsia" w:ascii="方正仿宋_GBK" w:hAnsi="方正仿宋_GBK" w:eastAsia="方正仿宋_GBK" w:cs="方正仿宋_GBK"/>
          <w:bCs/>
          <w:kern w:val="2"/>
          <w:sz w:val="32"/>
          <w:szCs w:val="32"/>
        </w:rPr>
        <w:t>投标人在中标后无正当理由不与招标人签订合同</w:t>
      </w:r>
    </w:p>
    <w:p w14:paraId="02AF5892">
      <w:pPr>
        <w:pStyle w:val="6"/>
        <w:spacing w:line="600" w:lineRule="exact"/>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的，将承担违约责任，由此产生的营运损失由投标人另行承担，并将招标人列入供应商负面清单。</w:t>
      </w:r>
    </w:p>
    <w:p w14:paraId="05904C31">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（七）</w:t>
      </w:r>
      <w:r>
        <w:rPr>
          <w:rFonts w:hint="eastAsia" w:ascii="方正仿宋_GBK" w:hAnsi="方正仿宋_GBK" w:eastAsia="方正仿宋_GBK" w:cs="方正仿宋_GBK"/>
          <w:bCs/>
          <w:kern w:val="2"/>
          <w:sz w:val="32"/>
          <w:szCs w:val="32"/>
        </w:rPr>
        <w:t>投标人应详细阅读本招标书，参与报价投标即视</w:t>
      </w:r>
    </w:p>
    <w:p w14:paraId="3CA6A067">
      <w:pPr>
        <w:pStyle w:val="6"/>
        <w:spacing w:line="600" w:lineRule="exact"/>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为对本招标书所列之条款均表示接受。</w:t>
      </w:r>
    </w:p>
    <w:p w14:paraId="7C32E638">
      <w:pPr>
        <w:pStyle w:val="6"/>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（八）</w:t>
      </w:r>
      <w:r>
        <w:rPr>
          <w:rFonts w:hint="eastAsia" w:ascii="方正仿宋_GBK" w:hAnsi="方正仿宋_GBK" w:eastAsia="方正仿宋_GBK" w:cs="方正仿宋_GBK"/>
          <w:bCs/>
          <w:kern w:val="2"/>
          <w:sz w:val="32"/>
          <w:szCs w:val="32"/>
        </w:rPr>
        <w:t>招标人对违反约定的投标人或中标人将按《镇江</w:t>
      </w:r>
    </w:p>
    <w:p w14:paraId="0B8BBB7E">
      <w:pPr>
        <w:pStyle w:val="6"/>
        <w:spacing w:line="600" w:lineRule="exact"/>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海纳川物流产业发展有限责任公司招标采购管理规定》中供</w:t>
      </w:r>
    </w:p>
    <w:p w14:paraId="0D2A9D49">
      <w:pPr>
        <w:pStyle w:val="6"/>
        <w:spacing w:line="600" w:lineRule="exact"/>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应商管理对投标人进行管理考核(详见附件1)。</w:t>
      </w:r>
    </w:p>
    <w:p w14:paraId="39515938">
      <w:pPr>
        <w:adjustRightInd w:val="0"/>
        <w:snapToGrid w:val="0"/>
        <w:spacing w:line="600" w:lineRule="exact"/>
        <w:ind w:firstLine="640" w:firstLineChars="200"/>
        <w:rPr>
          <w:rFonts w:ascii="方正仿宋_GBK" w:hAnsi="方正仿宋_GBK" w:eastAsia="方正仿宋_GBK" w:cs="方正仿宋_GBK"/>
          <w:bCs/>
          <w:sz w:val="32"/>
          <w:szCs w:val="32"/>
        </w:rPr>
      </w:pPr>
      <w:r>
        <w:rPr>
          <w:rFonts w:hint="eastAsia" w:ascii="方正楷体_GBK" w:hAnsi="方正楷体_GBK" w:eastAsia="方正楷体_GBK" w:cs="方正楷体_GBK"/>
          <w:bCs/>
          <w:kern w:val="1"/>
          <w:sz w:val="32"/>
          <w:szCs w:val="32"/>
        </w:rPr>
        <w:t>（九）</w:t>
      </w:r>
      <w:r>
        <w:rPr>
          <w:rFonts w:hint="eastAsia" w:ascii="方正仿宋_GBK" w:hAnsi="方正仿宋_GBK" w:eastAsia="方正仿宋_GBK" w:cs="方正仿宋_GBK"/>
          <w:bCs/>
          <w:sz w:val="32"/>
          <w:szCs w:val="32"/>
        </w:rPr>
        <w:t>外协作业人员需先进行安全教育培训并经考核合格，否则不得进入本公司工作场所。</w:t>
      </w:r>
    </w:p>
    <w:p w14:paraId="72966477">
      <w:pPr>
        <w:adjustRightInd w:val="0"/>
        <w:snapToGrid w:val="0"/>
        <w:spacing w:line="600" w:lineRule="exact"/>
        <w:ind w:firstLine="640" w:firstLineChars="200"/>
        <w:rPr>
          <w:rFonts w:ascii="方正仿宋_GBK" w:hAnsi="方正仿宋_GBK" w:eastAsia="方正仿宋_GBK" w:cs="方正仿宋_GBK"/>
          <w:bCs/>
          <w:sz w:val="32"/>
          <w:szCs w:val="32"/>
        </w:rPr>
      </w:pPr>
      <w:r>
        <w:rPr>
          <w:rFonts w:hint="eastAsia" w:ascii="方正楷体_GBK" w:hAnsi="方正楷体_GBK" w:eastAsia="方正楷体_GBK" w:cs="方正楷体_GBK"/>
          <w:bCs/>
          <w:kern w:val="1"/>
          <w:sz w:val="32"/>
          <w:szCs w:val="32"/>
        </w:rPr>
        <w:t>（十）</w:t>
      </w:r>
      <w:r>
        <w:rPr>
          <w:rFonts w:hint="eastAsia" w:ascii="方正仿宋_GBK" w:hAnsi="方正仿宋_GBK" w:eastAsia="方正仿宋_GBK" w:cs="方正仿宋_GBK"/>
          <w:bCs/>
          <w:sz w:val="32"/>
          <w:szCs w:val="32"/>
        </w:rPr>
        <w:t>本次招标为企业自主公开招标，属生产经营性商 务行为，解释权归镇江海纳川物流产业发展有限责任公司所</w:t>
      </w:r>
    </w:p>
    <w:p w14:paraId="43336C64">
      <w:pPr>
        <w:adjustRightInd w:val="0"/>
        <w:snapToGrid w:val="0"/>
        <w:spacing w:line="600" w:lineRule="exac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有。</w:t>
      </w:r>
    </w:p>
    <w:p w14:paraId="72F6A197"/>
    <w:p w14:paraId="7539FDD7">
      <w:pPr>
        <w:pStyle w:val="2"/>
        <w:rPr>
          <w:rFonts w:ascii="方正小标宋_GBK" w:hAnsi="方正小标宋_GBK" w:eastAsia="方正小标宋_GBK" w:cs="方正小标宋_GBK"/>
          <w:szCs w:val="44"/>
        </w:rPr>
      </w:pPr>
    </w:p>
    <w:p w14:paraId="702F8395">
      <w:pPr>
        <w:pStyle w:val="2"/>
        <w:rPr>
          <w:rFonts w:ascii="方正小标宋_GBK" w:hAnsi="方正小标宋_GBK" w:eastAsia="方正小标宋_GBK" w:cs="方正小标宋_GBK"/>
          <w:szCs w:val="44"/>
        </w:rPr>
      </w:pPr>
      <w:r>
        <w:rPr>
          <w:rFonts w:hint="eastAsia" w:ascii="方正小标宋_GBK" w:hAnsi="方正小标宋_GBK" w:eastAsia="方正小标宋_GBK" w:cs="方正小标宋_GBK"/>
          <w:szCs w:val="44"/>
        </w:rPr>
        <w:t>报价函</w:t>
      </w:r>
    </w:p>
    <w:p w14:paraId="256121CA">
      <w:pPr>
        <w:tabs>
          <w:tab w:val="left" w:pos="180"/>
        </w:tabs>
        <w:spacing w:line="600" w:lineRule="exac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镇江海纳川公铁运输有限公司：</w:t>
      </w:r>
    </w:p>
    <w:p w14:paraId="2CDE133C">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投标单位全称：</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；授权全权代表姓名、职务、职称：</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为全权代表，参加贵方组织的招标有关活动，并对该项目进行投标。</w:t>
      </w:r>
    </w:p>
    <w:p w14:paraId="324600BA">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一、投标项目的总投标价（含税）为</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 xml:space="preserve">(大写)                                           </w:t>
      </w:r>
    </w:p>
    <w:p w14:paraId="5A27CF4F">
      <w:pPr>
        <w:spacing w:line="600" w:lineRule="exact"/>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元人民币；税率</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w:t>
      </w:r>
    </w:p>
    <w:p w14:paraId="704AF0AD">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kern w:val="1"/>
          <w:sz w:val="32"/>
          <w:szCs w:val="32"/>
        </w:rPr>
        <w:t>二、报价格式</w:t>
      </w:r>
    </w:p>
    <w:tbl>
      <w:tblPr>
        <w:tblStyle w:val="13"/>
        <w:tblW w:w="83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5"/>
        <w:gridCol w:w="1417"/>
        <w:gridCol w:w="709"/>
        <w:gridCol w:w="1984"/>
        <w:gridCol w:w="1105"/>
        <w:gridCol w:w="992"/>
      </w:tblGrid>
      <w:tr w14:paraId="2BC3D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2" w:hRule="exact"/>
          <w:jc w:val="center"/>
        </w:trPr>
        <w:tc>
          <w:tcPr>
            <w:tcW w:w="2155" w:type="dxa"/>
            <w:tcBorders>
              <w:top w:val="single" w:color="000000" w:sz="4" w:space="0"/>
              <w:left w:val="single" w:color="000000" w:sz="4" w:space="0"/>
              <w:bottom w:val="single" w:color="000000" w:sz="4" w:space="0"/>
              <w:right w:val="single" w:color="000000" w:sz="4" w:space="0"/>
            </w:tcBorders>
            <w:vAlign w:val="center"/>
          </w:tcPr>
          <w:p w14:paraId="6C4DF931">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标的名称</w:t>
            </w:r>
          </w:p>
        </w:tc>
        <w:tc>
          <w:tcPr>
            <w:tcW w:w="1417" w:type="dxa"/>
            <w:tcBorders>
              <w:top w:val="single" w:color="000000" w:sz="4" w:space="0"/>
              <w:left w:val="single" w:color="000000" w:sz="4" w:space="0"/>
              <w:bottom w:val="single" w:color="000000" w:sz="4" w:space="0"/>
              <w:right w:val="single" w:color="000000" w:sz="4" w:space="0"/>
            </w:tcBorders>
            <w:vAlign w:val="center"/>
          </w:tcPr>
          <w:p w14:paraId="39FE2F7F">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规格型号</w:t>
            </w:r>
          </w:p>
        </w:tc>
        <w:tc>
          <w:tcPr>
            <w:tcW w:w="709" w:type="dxa"/>
            <w:tcBorders>
              <w:top w:val="single" w:color="000000" w:sz="4" w:space="0"/>
              <w:left w:val="single" w:color="000000" w:sz="4" w:space="0"/>
              <w:bottom w:val="single" w:color="000000" w:sz="4" w:space="0"/>
              <w:right w:val="single" w:color="000000" w:sz="4" w:space="0"/>
            </w:tcBorders>
            <w:vAlign w:val="center"/>
          </w:tcPr>
          <w:p w14:paraId="0CF80015">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数量</w:t>
            </w:r>
          </w:p>
        </w:tc>
        <w:tc>
          <w:tcPr>
            <w:tcW w:w="1984" w:type="dxa"/>
            <w:tcBorders>
              <w:top w:val="single" w:color="000000" w:sz="4" w:space="0"/>
              <w:left w:val="single" w:color="000000" w:sz="4" w:space="0"/>
              <w:bottom w:val="single" w:color="000000" w:sz="4" w:space="0"/>
              <w:right w:val="single" w:color="000000" w:sz="4" w:space="0"/>
            </w:tcBorders>
            <w:vAlign w:val="center"/>
          </w:tcPr>
          <w:p w14:paraId="7E409D04">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 xml:space="preserve"> 报价（含税）</w:t>
            </w:r>
          </w:p>
        </w:tc>
        <w:tc>
          <w:tcPr>
            <w:tcW w:w="1105" w:type="dxa"/>
            <w:tcBorders>
              <w:top w:val="single" w:color="000000" w:sz="4" w:space="0"/>
              <w:left w:val="single" w:color="000000" w:sz="4" w:space="0"/>
              <w:bottom w:val="single" w:color="000000" w:sz="4" w:space="0"/>
              <w:right w:val="single" w:color="000000" w:sz="4" w:space="0"/>
            </w:tcBorders>
            <w:vAlign w:val="center"/>
          </w:tcPr>
          <w:p w14:paraId="6D069F05">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备注</w:t>
            </w:r>
          </w:p>
        </w:tc>
        <w:tc>
          <w:tcPr>
            <w:tcW w:w="992" w:type="dxa"/>
            <w:tcBorders>
              <w:top w:val="single" w:color="000000" w:sz="4" w:space="0"/>
              <w:left w:val="single" w:color="000000" w:sz="4" w:space="0"/>
              <w:bottom w:val="single" w:color="000000" w:sz="4" w:space="0"/>
              <w:right w:val="single" w:color="000000" w:sz="4" w:space="0"/>
            </w:tcBorders>
            <w:vAlign w:val="center"/>
          </w:tcPr>
          <w:p w14:paraId="5C02A9DE">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质保期</w:t>
            </w:r>
          </w:p>
        </w:tc>
      </w:tr>
      <w:tr w14:paraId="186AC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exact"/>
          <w:jc w:val="center"/>
        </w:trPr>
        <w:tc>
          <w:tcPr>
            <w:tcW w:w="2155" w:type="dxa"/>
            <w:tcBorders>
              <w:top w:val="single" w:color="000000" w:sz="4" w:space="0"/>
              <w:left w:val="single" w:color="000000" w:sz="4" w:space="0"/>
              <w:bottom w:val="single" w:color="000000" w:sz="4" w:space="0"/>
              <w:right w:val="single" w:color="000000" w:sz="4" w:space="0"/>
            </w:tcBorders>
            <w:vAlign w:val="center"/>
          </w:tcPr>
          <w:p w14:paraId="6DA85714">
            <w:pPr>
              <w:spacing w:line="360" w:lineRule="auto"/>
              <w:rPr>
                <w:rFonts w:ascii="仿宋_GB2312" w:eastAsia="仿宋_GB2312" w:cs="仿宋_GB2312"/>
                <w:sz w:val="24"/>
                <w:szCs w:val="24"/>
              </w:rPr>
            </w:pPr>
            <w:r>
              <w:rPr>
                <w:rFonts w:hint="eastAsia" w:ascii="仿宋_GB2312" w:eastAsia="仿宋_GB2312" w:cs="仿宋_GB2312"/>
                <w:sz w:val="24"/>
                <w:szCs w:val="24"/>
              </w:rPr>
              <w:t>轨道式集装箱门式起重机年度维保</w:t>
            </w:r>
          </w:p>
        </w:tc>
        <w:tc>
          <w:tcPr>
            <w:tcW w:w="1417" w:type="dxa"/>
            <w:tcBorders>
              <w:top w:val="single" w:color="000000" w:sz="4" w:space="0"/>
              <w:left w:val="single" w:color="000000" w:sz="4" w:space="0"/>
              <w:bottom w:val="single" w:color="000000" w:sz="4" w:space="0"/>
              <w:right w:val="single" w:color="000000" w:sz="4" w:space="0"/>
            </w:tcBorders>
            <w:vAlign w:val="center"/>
          </w:tcPr>
          <w:p w14:paraId="1E976332">
            <w:pPr>
              <w:rPr>
                <w:rFonts w:ascii="仿宋_GB2312" w:eastAsia="仿宋_GB2312" w:cs="仿宋_GB2312"/>
                <w:sz w:val="24"/>
                <w:szCs w:val="24"/>
              </w:rPr>
            </w:pPr>
            <w:r>
              <w:rPr>
                <w:rFonts w:hint="eastAsia" w:ascii="仿宋_GB2312" w:eastAsia="仿宋_GB2312" w:cs="仿宋_GB2312"/>
                <w:sz w:val="24"/>
                <w:szCs w:val="24"/>
              </w:rPr>
              <w:t>40.5T-30m</w:t>
            </w:r>
          </w:p>
        </w:tc>
        <w:tc>
          <w:tcPr>
            <w:tcW w:w="709" w:type="dxa"/>
            <w:tcBorders>
              <w:top w:val="single" w:color="000000" w:sz="4" w:space="0"/>
              <w:left w:val="single" w:color="000000" w:sz="4" w:space="0"/>
              <w:bottom w:val="single" w:color="000000" w:sz="4" w:space="0"/>
              <w:right w:val="single" w:color="000000" w:sz="4" w:space="0"/>
            </w:tcBorders>
            <w:vAlign w:val="center"/>
          </w:tcPr>
          <w:p w14:paraId="0DDB9539">
            <w:pPr>
              <w:spacing w:line="360" w:lineRule="auto"/>
              <w:jc w:val="center"/>
              <w:rPr>
                <w:rFonts w:ascii="仿宋_GB2312" w:eastAsia="仿宋_GB2312" w:cs="仿宋_GB2312"/>
                <w:sz w:val="24"/>
                <w:szCs w:val="24"/>
              </w:rPr>
            </w:pPr>
            <w:r>
              <w:rPr>
                <w:rFonts w:hint="eastAsia" w:ascii="仿宋_GB2312" w:eastAsia="仿宋_GB2312" w:cs="仿宋_GB2312"/>
                <w:sz w:val="24"/>
                <w:szCs w:val="24"/>
              </w:rPr>
              <w:t>1</w:t>
            </w:r>
            <w:r>
              <w:rPr>
                <w:rFonts w:ascii="仿宋_GB2312" w:eastAsia="仿宋_GB2312" w:cs="仿宋_GB2312"/>
                <w:sz w:val="24"/>
                <w:szCs w:val="24"/>
              </w:rPr>
              <w:t>台</w:t>
            </w:r>
          </w:p>
          <w:p w14:paraId="5137D218">
            <w:pPr>
              <w:spacing w:line="360" w:lineRule="auto"/>
              <w:jc w:val="center"/>
              <w:rPr>
                <w:rFonts w:ascii="仿宋_GB2312" w:eastAsia="仿宋_GB2312" w:cs="仿宋_GB2312"/>
                <w:sz w:val="24"/>
                <w:szCs w:val="24"/>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21F4EC43">
            <w:pPr>
              <w:spacing w:line="360" w:lineRule="auto"/>
              <w:ind w:firstLine="480" w:firstLineChars="200"/>
              <w:jc w:val="center"/>
              <w:rPr>
                <w:rFonts w:ascii="仿宋_GB2312" w:eastAsia="仿宋_GB2312" w:cs="仿宋_GB2312"/>
                <w:sz w:val="24"/>
                <w:szCs w:val="24"/>
              </w:rPr>
            </w:pPr>
          </w:p>
        </w:tc>
        <w:tc>
          <w:tcPr>
            <w:tcW w:w="1105" w:type="dxa"/>
            <w:tcBorders>
              <w:top w:val="single" w:color="000000" w:sz="4" w:space="0"/>
              <w:left w:val="single" w:color="000000" w:sz="4" w:space="0"/>
              <w:bottom w:val="single" w:color="000000" w:sz="4" w:space="0"/>
              <w:right w:val="single" w:color="000000" w:sz="4" w:space="0"/>
            </w:tcBorders>
            <w:vAlign w:val="center"/>
          </w:tcPr>
          <w:p w14:paraId="08A9D49F">
            <w:pPr>
              <w:spacing w:line="360" w:lineRule="auto"/>
              <w:ind w:firstLine="480" w:firstLineChars="200"/>
              <w:jc w:val="center"/>
              <w:rPr>
                <w:rFonts w:ascii="仿宋_GB2312" w:eastAsia="仿宋_GB2312" w:cs="仿宋_GB2312"/>
                <w:sz w:val="24"/>
                <w:szCs w:val="24"/>
              </w:rPr>
            </w:pPr>
          </w:p>
        </w:tc>
        <w:tc>
          <w:tcPr>
            <w:tcW w:w="992" w:type="dxa"/>
            <w:vMerge w:val="restart"/>
            <w:tcBorders>
              <w:top w:val="single" w:color="000000" w:sz="4" w:space="0"/>
              <w:left w:val="single" w:color="000000" w:sz="4" w:space="0"/>
              <w:right w:val="single" w:color="000000" w:sz="4" w:space="0"/>
            </w:tcBorders>
            <w:vAlign w:val="center"/>
          </w:tcPr>
          <w:p w14:paraId="23E80F85">
            <w:pPr>
              <w:spacing w:line="360" w:lineRule="auto"/>
              <w:ind w:firstLine="240" w:firstLineChars="100"/>
              <w:rPr>
                <w:rFonts w:ascii="仿宋_GB2312" w:eastAsia="仿宋_GB2312" w:cs="仿宋_GB2312"/>
                <w:sz w:val="24"/>
                <w:szCs w:val="24"/>
              </w:rPr>
            </w:pPr>
            <w:r>
              <w:rPr>
                <w:rFonts w:hint="eastAsia" w:ascii="仿宋_GB2312" w:eastAsia="仿宋_GB2312" w:cs="仿宋_GB2312"/>
                <w:sz w:val="24"/>
                <w:szCs w:val="24"/>
              </w:rPr>
              <w:t>一年</w:t>
            </w:r>
          </w:p>
        </w:tc>
      </w:tr>
      <w:tr w14:paraId="23111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9" w:hRule="exact"/>
          <w:jc w:val="center"/>
        </w:trPr>
        <w:tc>
          <w:tcPr>
            <w:tcW w:w="2155" w:type="dxa"/>
            <w:tcBorders>
              <w:top w:val="single" w:color="000000" w:sz="4" w:space="0"/>
              <w:left w:val="single" w:color="000000" w:sz="4" w:space="0"/>
              <w:bottom w:val="single" w:color="000000" w:sz="4" w:space="0"/>
              <w:right w:val="single" w:color="000000" w:sz="4" w:space="0"/>
            </w:tcBorders>
            <w:vAlign w:val="center"/>
          </w:tcPr>
          <w:p w14:paraId="06642A34">
            <w:pPr>
              <w:spacing w:line="360" w:lineRule="auto"/>
              <w:rPr>
                <w:rFonts w:ascii="仿宋_GB2312" w:eastAsia="仿宋_GB2312" w:cs="仿宋_GB2312"/>
                <w:sz w:val="24"/>
                <w:szCs w:val="24"/>
              </w:rPr>
            </w:pPr>
            <w:r>
              <w:rPr>
                <w:rFonts w:hint="eastAsia" w:ascii="仿宋_GB2312" w:eastAsia="仿宋_GB2312" w:cs="仿宋_GB2312"/>
                <w:sz w:val="24"/>
                <w:szCs w:val="24"/>
              </w:rPr>
              <w:t>轨道式集装箱门式起重机故障维修</w:t>
            </w:r>
          </w:p>
        </w:tc>
        <w:tc>
          <w:tcPr>
            <w:tcW w:w="1417" w:type="dxa"/>
            <w:tcBorders>
              <w:top w:val="single" w:color="000000" w:sz="4" w:space="0"/>
              <w:left w:val="single" w:color="000000" w:sz="4" w:space="0"/>
              <w:bottom w:val="single" w:color="000000" w:sz="4" w:space="0"/>
              <w:right w:val="single" w:color="000000" w:sz="4" w:space="0"/>
            </w:tcBorders>
            <w:vAlign w:val="center"/>
          </w:tcPr>
          <w:p w14:paraId="6D7B8F97">
            <w:pPr>
              <w:rPr>
                <w:rFonts w:ascii="仿宋_GB2312" w:eastAsia="仿宋_GB2312" w:cs="仿宋_GB2312"/>
                <w:sz w:val="24"/>
                <w:szCs w:val="24"/>
              </w:rPr>
            </w:pPr>
            <w:r>
              <w:rPr>
                <w:rFonts w:hint="eastAsia" w:ascii="仿宋_GB2312" w:eastAsia="仿宋_GB2312" w:cs="仿宋_GB2312"/>
                <w:sz w:val="24"/>
                <w:szCs w:val="24"/>
              </w:rPr>
              <w:t>40.5T-30m</w:t>
            </w:r>
          </w:p>
        </w:tc>
        <w:tc>
          <w:tcPr>
            <w:tcW w:w="709" w:type="dxa"/>
            <w:tcBorders>
              <w:top w:val="single" w:color="000000" w:sz="4" w:space="0"/>
              <w:left w:val="single" w:color="000000" w:sz="4" w:space="0"/>
              <w:bottom w:val="single" w:color="000000" w:sz="4" w:space="0"/>
              <w:right w:val="single" w:color="000000" w:sz="4" w:space="0"/>
            </w:tcBorders>
            <w:vAlign w:val="center"/>
          </w:tcPr>
          <w:p w14:paraId="739FEFB5">
            <w:pPr>
              <w:spacing w:line="360" w:lineRule="auto"/>
              <w:jc w:val="center"/>
              <w:rPr>
                <w:rFonts w:ascii="仿宋_GB2312" w:eastAsia="仿宋_GB2312" w:cs="仿宋_GB2312"/>
                <w:sz w:val="24"/>
                <w:szCs w:val="24"/>
              </w:rPr>
            </w:pPr>
            <w:r>
              <w:rPr>
                <w:rFonts w:hint="eastAsia" w:ascii="仿宋_GB2312" w:eastAsia="仿宋_GB2312" w:cs="仿宋_GB2312"/>
                <w:sz w:val="24"/>
                <w:szCs w:val="24"/>
              </w:rPr>
              <w:t>1</w:t>
            </w:r>
            <w:r>
              <w:rPr>
                <w:rFonts w:ascii="仿宋_GB2312" w:eastAsia="仿宋_GB2312" w:cs="仿宋_GB2312"/>
                <w:sz w:val="24"/>
                <w:szCs w:val="24"/>
              </w:rPr>
              <w:t>台</w:t>
            </w:r>
          </w:p>
          <w:p w14:paraId="63C37955">
            <w:pPr>
              <w:spacing w:line="360" w:lineRule="auto"/>
              <w:ind w:firstLine="360" w:firstLineChars="150"/>
              <w:jc w:val="center"/>
              <w:rPr>
                <w:rFonts w:ascii="仿宋_GB2312" w:eastAsia="仿宋_GB2312" w:cs="仿宋_GB2312"/>
                <w:sz w:val="24"/>
                <w:szCs w:val="24"/>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4F5F7B92">
            <w:pPr>
              <w:spacing w:line="360" w:lineRule="auto"/>
              <w:rPr>
                <w:rFonts w:ascii="仿宋_GB2312" w:eastAsia="仿宋_GB2312" w:cs="仿宋_GB2312"/>
                <w:sz w:val="24"/>
                <w:szCs w:val="24"/>
              </w:rPr>
            </w:pPr>
            <w:r>
              <w:rPr>
                <w:rFonts w:hint="eastAsia" w:ascii="仿宋_GB2312" w:eastAsia="仿宋_GB2312" w:cs="仿宋_GB2312"/>
                <w:sz w:val="24"/>
                <w:szCs w:val="24"/>
              </w:rPr>
              <w:t>此处填附表总价</w:t>
            </w:r>
          </w:p>
        </w:tc>
        <w:tc>
          <w:tcPr>
            <w:tcW w:w="1105" w:type="dxa"/>
            <w:tcBorders>
              <w:top w:val="single" w:color="000000" w:sz="4" w:space="0"/>
              <w:left w:val="single" w:color="000000" w:sz="4" w:space="0"/>
              <w:bottom w:val="single" w:color="000000" w:sz="4" w:space="0"/>
              <w:right w:val="single" w:color="000000" w:sz="4" w:space="0"/>
            </w:tcBorders>
            <w:vAlign w:val="center"/>
          </w:tcPr>
          <w:p w14:paraId="08722090">
            <w:pPr>
              <w:spacing w:line="360" w:lineRule="auto"/>
              <w:ind w:firstLine="480" w:firstLineChars="200"/>
              <w:jc w:val="center"/>
              <w:rPr>
                <w:rFonts w:ascii="仿宋_GB2312" w:eastAsia="仿宋_GB2312" w:cs="仿宋_GB2312"/>
                <w:sz w:val="24"/>
                <w:szCs w:val="24"/>
              </w:rPr>
            </w:pPr>
          </w:p>
        </w:tc>
        <w:tc>
          <w:tcPr>
            <w:tcW w:w="992" w:type="dxa"/>
            <w:vMerge w:val="continue"/>
            <w:tcBorders>
              <w:left w:val="single" w:color="000000" w:sz="4" w:space="0"/>
              <w:right w:val="single" w:color="000000" w:sz="4" w:space="0"/>
            </w:tcBorders>
            <w:vAlign w:val="center"/>
          </w:tcPr>
          <w:p w14:paraId="236964B5">
            <w:pPr>
              <w:spacing w:line="360" w:lineRule="auto"/>
              <w:ind w:firstLine="480" w:firstLineChars="200"/>
              <w:jc w:val="center"/>
              <w:rPr>
                <w:rFonts w:ascii="仿宋_GB2312" w:eastAsia="仿宋_GB2312" w:cs="仿宋_GB2312"/>
                <w:sz w:val="24"/>
                <w:szCs w:val="24"/>
              </w:rPr>
            </w:pPr>
          </w:p>
        </w:tc>
      </w:tr>
      <w:tr w14:paraId="226F3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62" w:type="dxa"/>
            <w:gridSpan w:val="6"/>
            <w:tcBorders>
              <w:top w:val="single" w:color="000000" w:sz="4" w:space="0"/>
              <w:left w:val="single" w:color="000000" w:sz="4" w:space="0"/>
              <w:bottom w:val="single" w:color="000000" w:sz="4" w:space="0"/>
              <w:right w:val="single" w:color="000000" w:sz="4" w:space="0"/>
            </w:tcBorders>
            <w:vAlign w:val="center"/>
          </w:tcPr>
          <w:p w14:paraId="46922E27">
            <w:pPr>
              <w:spacing w:line="480" w:lineRule="auto"/>
              <w:jc w:val="left"/>
              <w:rPr>
                <w:rFonts w:ascii="仿宋_GB2312" w:eastAsia="仿宋_GB2312" w:cs="仿宋_GB2312"/>
                <w:sz w:val="28"/>
                <w:szCs w:val="28"/>
              </w:rPr>
            </w:pPr>
            <w:r>
              <w:rPr>
                <w:rFonts w:hint="eastAsia" w:ascii="仿宋_GB2312" w:eastAsia="仿宋_GB2312" w:cs="仿宋_GB2312"/>
                <w:sz w:val="24"/>
                <w:szCs w:val="24"/>
              </w:rPr>
              <w:t>以上合计总价（小写）：</w:t>
            </w:r>
            <w:r>
              <w:rPr>
                <w:rFonts w:ascii="仿宋_GB2312" w:eastAsia="仿宋_GB2312" w:cs="仿宋_GB2312"/>
                <w:sz w:val="24"/>
                <w:szCs w:val="24"/>
              </w:rPr>
              <w:t xml:space="preserve">                             </w:t>
            </w:r>
            <w:r>
              <w:rPr>
                <w:rFonts w:ascii="仿宋_GB2312" w:eastAsia="仿宋_GB2312" w:cs="仿宋_GB2312"/>
                <w:sz w:val="32"/>
                <w:szCs w:val="32"/>
              </w:rPr>
              <w:t xml:space="preserve">   </w:t>
            </w:r>
          </w:p>
          <w:p w14:paraId="2C966863">
            <w:pPr>
              <w:tabs>
                <w:tab w:val="center" w:pos="2426"/>
              </w:tabs>
              <w:spacing w:line="480" w:lineRule="auto"/>
              <w:jc w:val="left"/>
              <w:rPr>
                <w:rFonts w:ascii="仿宋_GB2312" w:eastAsia="仿宋_GB2312" w:cs="仿宋_GB2312"/>
                <w:sz w:val="24"/>
                <w:szCs w:val="24"/>
              </w:rPr>
            </w:pPr>
          </w:p>
        </w:tc>
      </w:tr>
    </w:tbl>
    <w:p w14:paraId="41F240CA">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注：按报价格式进行填报，每格均需填报。</w:t>
      </w:r>
    </w:p>
    <w:p w14:paraId="245DDA84">
      <w:pPr>
        <w:pStyle w:val="5"/>
        <w:spacing w:after="0" w:line="600" w:lineRule="exact"/>
        <w:ind w:firstLine="640" w:firstLineChars="200"/>
        <w:rPr>
          <w:rFonts w:ascii="方正仿宋_GBK" w:hAnsi="方正仿宋_GBK" w:eastAsia="方正仿宋_GBK" w:cs="方正仿宋_GBK"/>
          <w:kern w:val="1"/>
          <w:sz w:val="32"/>
          <w:szCs w:val="32"/>
          <w:u w:val="single"/>
        </w:rPr>
      </w:pPr>
      <w:r>
        <w:rPr>
          <w:rFonts w:hint="eastAsia" w:ascii="方正仿宋_GBK" w:hAnsi="方正仿宋_GBK" w:eastAsia="方正仿宋_GBK" w:cs="方正仿宋_GBK"/>
          <w:color w:val="FF0000"/>
          <w:kern w:val="1"/>
          <w:sz w:val="32"/>
          <w:szCs w:val="32"/>
        </w:rPr>
        <w:t>三、应急响应时间：</w:t>
      </w:r>
      <w:r>
        <w:rPr>
          <w:rFonts w:hint="eastAsia" w:ascii="方正仿宋_GBK" w:hAnsi="方正仿宋_GBK" w:eastAsia="方正仿宋_GBK" w:cs="方正仿宋_GBK"/>
          <w:kern w:val="1"/>
          <w:sz w:val="32"/>
          <w:szCs w:val="32"/>
          <w:u w:val="single"/>
        </w:rPr>
        <w:t>中标方接到招标方通知，</w:t>
      </w:r>
      <w:r>
        <w:rPr>
          <w:rFonts w:ascii="方正仿宋_GBK" w:hAnsi="方正仿宋_GBK" w:eastAsia="方正仿宋_GBK" w:cs="方正仿宋_GBK"/>
          <w:kern w:val="1"/>
          <w:sz w:val="32"/>
          <w:szCs w:val="32"/>
          <w:u w:val="single"/>
        </w:rPr>
        <w:t>2</w:t>
      </w:r>
      <w:r>
        <w:rPr>
          <w:rFonts w:hint="eastAsia" w:ascii="方正仿宋_GBK" w:hAnsi="方正仿宋_GBK" w:eastAsia="方正仿宋_GBK" w:cs="方正仿宋_GBK"/>
          <w:kern w:val="1"/>
          <w:sz w:val="32"/>
          <w:szCs w:val="32"/>
          <w:u w:val="single"/>
        </w:rPr>
        <w:t>小时内赶到招标方现场。</w:t>
      </w:r>
    </w:p>
    <w:p w14:paraId="6CE43BB0">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四、我方承诺遵守招标文件中的全部规定。</w:t>
      </w:r>
    </w:p>
    <w:p w14:paraId="6E3A1E3E">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五、我方承诺中标后双方签订合同,并承担合同规定的责任义务。</w:t>
      </w:r>
    </w:p>
    <w:p w14:paraId="02E9D12C">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4805DF5D">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七、愿意向贵方提供任何与该项投标有关的数据、情况和技术资料，完全理解贵方不一定接受最低价的报价或收到的任何报价。</w:t>
      </w:r>
    </w:p>
    <w:p w14:paraId="22A87CDF">
      <w:pPr>
        <w:pStyle w:val="5"/>
        <w:spacing w:after="0" w:line="600" w:lineRule="exact"/>
        <w:ind w:firstLine="640" w:firstLineChars="200"/>
        <w:rPr>
          <w:rFonts w:ascii="方正仿宋_GBK" w:hAnsi="方正仿宋_GBK" w:eastAsia="方正仿宋_GBK" w:cs="方正仿宋_GBK"/>
          <w:kern w:val="1"/>
          <w:sz w:val="32"/>
          <w:szCs w:val="32"/>
          <w:u w:val="single"/>
        </w:rPr>
      </w:pPr>
      <w:r>
        <w:rPr>
          <w:rFonts w:hint="eastAsia" w:ascii="方正仿宋_GBK" w:hAnsi="方正仿宋_GBK" w:eastAsia="方正仿宋_GBK" w:cs="方正仿宋_GBK"/>
          <w:kern w:val="1"/>
          <w:sz w:val="32"/>
          <w:szCs w:val="32"/>
        </w:rPr>
        <w:t>八、投标单位其他说明情况：</w:t>
      </w:r>
      <w:r>
        <w:rPr>
          <w:rFonts w:hint="eastAsia" w:ascii="方正仿宋_GBK" w:hAnsi="方正仿宋_GBK" w:eastAsia="方正仿宋_GBK" w:cs="方正仿宋_GBK"/>
          <w:kern w:val="1"/>
          <w:sz w:val="32"/>
          <w:szCs w:val="32"/>
          <w:u w:val="single"/>
        </w:rPr>
        <w:t xml:space="preserve">               </w:t>
      </w:r>
    </w:p>
    <w:p w14:paraId="06065B4C">
      <w:pPr>
        <w:spacing w:line="600" w:lineRule="exact"/>
        <w:ind w:firstLine="3520" w:firstLineChars="1100"/>
        <w:jc w:val="left"/>
        <w:rPr>
          <w:rFonts w:ascii="方正仿宋_GBK" w:hAnsi="方正仿宋_GBK" w:eastAsia="方正仿宋_GBK" w:cs="方正仿宋_GBK"/>
          <w:kern w:val="1"/>
          <w:sz w:val="32"/>
          <w:szCs w:val="32"/>
        </w:rPr>
      </w:pPr>
    </w:p>
    <w:p w14:paraId="46FFA77C">
      <w:pPr>
        <w:spacing w:line="600" w:lineRule="exact"/>
        <w:ind w:firstLine="3520" w:firstLineChars="1100"/>
        <w:jc w:val="left"/>
        <w:rPr>
          <w:rFonts w:ascii="方正仿宋_GBK" w:hAnsi="方正仿宋_GBK" w:eastAsia="方正仿宋_GBK" w:cs="方正仿宋_GBK"/>
          <w:kern w:val="1"/>
          <w:sz w:val="32"/>
          <w:szCs w:val="32"/>
        </w:rPr>
      </w:pPr>
    </w:p>
    <w:p w14:paraId="31B910BA">
      <w:pPr>
        <w:spacing w:line="600" w:lineRule="exact"/>
        <w:ind w:firstLine="3520" w:firstLineChars="11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全权代表：</w:t>
      </w:r>
    </w:p>
    <w:p w14:paraId="7CF786A8">
      <w:pPr>
        <w:spacing w:line="600" w:lineRule="exact"/>
        <w:ind w:firstLine="3520" w:firstLineChars="11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联系电话：</w:t>
      </w:r>
    </w:p>
    <w:p w14:paraId="583D8F78">
      <w:pPr>
        <w:spacing w:line="600" w:lineRule="exact"/>
        <w:ind w:firstLine="3520" w:firstLineChars="11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投标单位（盖章）：</w:t>
      </w:r>
    </w:p>
    <w:p w14:paraId="0DE34BA6">
      <w:pPr>
        <w:spacing w:line="600" w:lineRule="exact"/>
        <w:ind w:firstLine="3520" w:firstLineChars="11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日期：</w:t>
      </w:r>
    </w:p>
    <w:p w14:paraId="7F3265A0">
      <w:pPr>
        <w:spacing w:line="600" w:lineRule="exact"/>
        <w:rPr>
          <w:rFonts w:ascii="方正小标宋简体" w:hAnsi="宋体" w:eastAsia="方正小标宋简体" w:cs="宋体"/>
          <w:b/>
          <w:bCs/>
          <w:sz w:val="32"/>
          <w:szCs w:val="32"/>
        </w:rPr>
      </w:pPr>
    </w:p>
    <w:p w14:paraId="15B94AE3">
      <w:pPr>
        <w:rPr>
          <w:rFonts w:ascii="方正小标宋简体" w:hAnsi="宋体" w:eastAsia="方正小标宋简体" w:cs="宋体"/>
          <w:b/>
          <w:bCs/>
          <w:sz w:val="32"/>
          <w:szCs w:val="32"/>
        </w:rPr>
      </w:pPr>
    </w:p>
    <w:p w14:paraId="22968A80">
      <w:pPr>
        <w:rPr>
          <w:rFonts w:ascii="方正小标宋简体" w:hAnsi="宋体" w:eastAsia="方正小标宋简体" w:cs="宋体"/>
          <w:b/>
          <w:bCs/>
          <w:sz w:val="32"/>
          <w:szCs w:val="32"/>
        </w:rPr>
      </w:pPr>
    </w:p>
    <w:p w14:paraId="7B27F811">
      <w:pPr>
        <w:pStyle w:val="11"/>
        <w:adjustRightInd w:val="0"/>
        <w:snapToGrid w:val="0"/>
        <w:spacing w:before="0" w:after="0" w:line="600" w:lineRule="exact"/>
        <w:jc w:val="left"/>
        <w:rPr>
          <w:rFonts w:ascii="方正仿宋_GBK" w:hAnsi="方正仿宋_GBK" w:eastAsia="方正仿宋_GBK" w:cs="方正仿宋_GBK"/>
          <w:kern w:val="1"/>
        </w:rPr>
      </w:pPr>
    </w:p>
    <w:p w14:paraId="34362323">
      <w:pPr>
        <w:pStyle w:val="11"/>
        <w:adjustRightInd w:val="0"/>
        <w:snapToGrid w:val="0"/>
        <w:spacing w:before="0" w:after="0" w:line="600" w:lineRule="exact"/>
        <w:jc w:val="left"/>
        <w:rPr>
          <w:rFonts w:ascii="方正仿宋_GBK" w:hAnsi="方正仿宋_GBK" w:eastAsia="方正仿宋_GBK" w:cs="方正仿宋_GBK"/>
          <w:kern w:val="1"/>
        </w:rPr>
      </w:pPr>
    </w:p>
    <w:p w14:paraId="2E8085E0">
      <w:pPr>
        <w:pStyle w:val="11"/>
        <w:adjustRightInd w:val="0"/>
        <w:snapToGrid w:val="0"/>
        <w:spacing w:before="0" w:after="0" w:line="600" w:lineRule="exact"/>
        <w:jc w:val="left"/>
        <w:rPr>
          <w:rFonts w:ascii="方正仿宋_GBK" w:hAnsi="方正仿宋_GBK" w:eastAsia="方正仿宋_GBK" w:cs="方正仿宋_GBK"/>
          <w:kern w:val="1"/>
        </w:rPr>
      </w:pPr>
    </w:p>
    <w:p w14:paraId="2938E8DB">
      <w:pPr>
        <w:pStyle w:val="11"/>
        <w:adjustRightInd w:val="0"/>
        <w:snapToGrid w:val="0"/>
        <w:spacing w:before="0" w:after="0" w:line="600" w:lineRule="exact"/>
        <w:jc w:val="left"/>
        <w:rPr>
          <w:rFonts w:ascii="方正仿宋_GBK" w:hAnsi="方正仿宋_GBK" w:eastAsia="方正仿宋_GBK" w:cs="方正仿宋_GBK"/>
          <w:kern w:val="1"/>
        </w:rPr>
      </w:pPr>
    </w:p>
    <w:p w14:paraId="08B7794E">
      <w:pPr>
        <w:pStyle w:val="11"/>
        <w:adjustRightInd w:val="0"/>
        <w:snapToGrid w:val="0"/>
        <w:spacing w:before="0" w:after="0" w:line="600" w:lineRule="exact"/>
        <w:jc w:val="left"/>
        <w:rPr>
          <w:rFonts w:ascii="方正仿宋_GBK" w:hAnsi="方正仿宋_GBK" w:eastAsia="方正仿宋_GBK" w:cs="方正仿宋_GBK"/>
          <w:kern w:val="1"/>
        </w:rPr>
      </w:pPr>
    </w:p>
    <w:p w14:paraId="40E7D8B9">
      <w:pPr>
        <w:pStyle w:val="11"/>
        <w:adjustRightInd w:val="0"/>
        <w:snapToGrid w:val="0"/>
        <w:spacing w:before="0" w:after="0" w:line="600" w:lineRule="exact"/>
        <w:jc w:val="left"/>
        <w:rPr>
          <w:rFonts w:ascii="方正仿宋_GBK" w:hAnsi="方正仿宋_GBK" w:eastAsia="方正仿宋_GBK" w:cs="方正仿宋_GBK"/>
          <w:kern w:val="1"/>
        </w:rPr>
      </w:pPr>
    </w:p>
    <w:p w14:paraId="0D78A76F">
      <w:pPr>
        <w:pStyle w:val="11"/>
        <w:adjustRightInd w:val="0"/>
        <w:snapToGrid w:val="0"/>
        <w:spacing w:before="0" w:after="0" w:line="600" w:lineRule="exact"/>
        <w:jc w:val="left"/>
        <w:rPr>
          <w:rFonts w:ascii="方正仿宋_GBK" w:hAnsi="方正仿宋_GBK" w:eastAsia="方正仿宋_GBK" w:cs="方正仿宋_GBK"/>
          <w:kern w:val="1"/>
        </w:rPr>
      </w:pPr>
    </w:p>
    <w:p w14:paraId="68C6BC10">
      <w:pPr>
        <w:pStyle w:val="11"/>
        <w:adjustRightInd w:val="0"/>
        <w:snapToGrid w:val="0"/>
        <w:spacing w:before="0" w:after="0" w:line="600" w:lineRule="exact"/>
        <w:jc w:val="left"/>
        <w:rPr>
          <w:rFonts w:ascii="方正仿宋_GBK" w:hAnsi="方正仿宋_GBK" w:eastAsia="方正仿宋_GBK" w:cs="方正仿宋_GBK"/>
          <w:b w:val="0"/>
        </w:rPr>
      </w:pPr>
      <w:r>
        <w:rPr>
          <w:rFonts w:hint="eastAsia" w:ascii="方正仿宋_GBK" w:hAnsi="方正仿宋_GBK" w:eastAsia="方正仿宋_GBK" w:cs="方正仿宋_GBK"/>
          <w:kern w:val="1"/>
        </w:rPr>
        <w:t>附件1</w:t>
      </w:r>
    </w:p>
    <w:p w14:paraId="1EC5DD76">
      <w:pPr>
        <w:pStyle w:val="11"/>
        <w:adjustRightInd w:val="0"/>
        <w:snapToGrid w:val="0"/>
        <w:spacing w:before="0" w:after="0" w:line="600" w:lineRule="exact"/>
        <w:rPr>
          <w:rFonts w:ascii="方正小标宋_GBK" w:hAnsi="方正小标宋_GBK" w:eastAsia="方正小标宋_GBK" w:cs="方正小标宋_GBK"/>
          <w:b w:val="0"/>
          <w:sz w:val="44"/>
          <w:szCs w:val="44"/>
        </w:rPr>
      </w:pPr>
      <w:r>
        <w:rPr>
          <w:rFonts w:hint="eastAsia" w:ascii="方正小标宋_GBK" w:hAnsi="方正小标宋_GBK" w:eastAsia="方正小标宋_GBK" w:cs="方正小标宋_GBK"/>
          <w:b w:val="0"/>
          <w:sz w:val="44"/>
          <w:szCs w:val="44"/>
        </w:rPr>
        <w:t xml:space="preserve"> </w:t>
      </w:r>
    </w:p>
    <w:p w14:paraId="314CFCFF">
      <w:pPr>
        <w:pStyle w:val="11"/>
        <w:adjustRightInd w:val="0"/>
        <w:snapToGrid w:val="0"/>
        <w:spacing w:before="0" w:after="0" w:line="600" w:lineRule="exact"/>
        <w:rPr>
          <w:rFonts w:ascii="方正小标宋_GBK" w:hAnsi="方正小标宋_GBK" w:eastAsia="方正小标宋_GBK" w:cs="方正小标宋_GBK"/>
          <w:b w:val="0"/>
          <w:sz w:val="44"/>
          <w:szCs w:val="44"/>
        </w:rPr>
      </w:pPr>
      <w:r>
        <w:rPr>
          <w:rFonts w:hint="eastAsia" w:ascii="方正小标宋_GBK" w:hAnsi="方正小标宋_GBK" w:eastAsia="方正小标宋_GBK" w:cs="方正小标宋_GBK"/>
          <w:b w:val="0"/>
          <w:sz w:val="44"/>
          <w:szCs w:val="44"/>
        </w:rPr>
        <w:t>供应商管理</w:t>
      </w:r>
    </w:p>
    <w:p w14:paraId="6A950833">
      <w:pPr>
        <w:spacing w:line="600" w:lineRule="exact"/>
      </w:pPr>
    </w:p>
    <w:p w14:paraId="46BDB06A">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 xml:space="preserve"> </w:t>
      </w:r>
      <w:r>
        <w:rPr>
          <w:rFonts w:hint="eastAsia" w:ascii="方正仿宋_GBK" w:hAnsi="方正仿宋_GBK" w:eastAsia="方正仿宋_GBK" w:cs="方正仿宋_GBK"/>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5ADF227C">
      <w:pPr>
        <w:tabs>
          <w:tab w:val="left" w:pos="2565"/>
        </w:tabs>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 供应商负面清单管理</w:t>
      </w:r>
    </w:p>
    <w:p w14:paraId="5BC82C6D">
      <w:pPr>
        <w:tabs>
          <w:tab w:val="left" w:pos="2565"/>
        </w:tabs>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color w:val="000000"/>
          <w:sz w:val="32"/>
          <w:szCs w:val="32"/>
        </w:rPr>
        <w:t>（一）</w:t>
      </w:r>
      <w:r>
        <w:rPr>
          <w:rFonts w:hint="eastAsia" w:ascii="方正楷体_GBK" w:hAnsi="方正楷体_GBK" w:eastAsia="方正楷体_GBK" w:cs="方正楷体_GBK"/>
          <w:sz w:val="32"/>
          <w:szCs w:val="32"/>
        </w:rPr>
        <w:t>管理职责</w:t>
      </w:r>
    </w:p>
    <w:p w14:paraId="118DD96E">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1.使用部门：负责提供技术参数或提出服务要求，对采购物资或服务的质量进行验收。</w:t>
      </w:r>
    </w:p>
    <w:p w14:paraId="45113A12">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861C409">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3.监管部门：负责对采购流程的合规性进行监督。</w:t>
      </w:r>
    </w:p>
    <w:p w14:paraId="433B324C">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审计风控部负责归口公司招投标负面清单，具体工作由海纳川各部室及直属单位共同承担。</w:t>
      </w:r>
    </w:p>
    <w:p w14:paraId="328ACF3B">
      <w:pPr>
        <w:tabs>
          <w:tab w:val="left" w:pos="2565"/>
        </w:tabs>
        <w:spacing w:line="600" w:lineRule="exact"/>
        <w:ind w:firstLine="640" w:firstLineChars="200"/>
        <w:rPr>
          <w:rFonts w:ascii="方正仿宋_GBK" w:hAnsi="方正仿宋_GBK" w:eastAsia="方正仿宋_GBK" w:cs="方正仿宋_GBK"/>
          <w:sz w:val="32"/>
          <w:szCs w:val="32"/>
        </w:rPr>
      </w:pPr>
    </w:p>
    <w:p w14:paraId="7C07B84C">
      <w:pPr>
        <w:tabs>
          <w:tab w:val="left" w:pos="2565"/>
        </w:tabs>
        <w:spacing w:line="600" w:lineRule="exact"/>
        <w:rPr>
          <w:rFonts w:ascii="方正仿宋简体" w:hAnsi="方正仿宋简体" w:eastAsia="方正仿宋简体" w:cs="方正仿宋简体"/>
          <w:sz w:val="32"/>
          <w:szCs w:val="32"/>
        </w:rPr>
      </w:pPr>
    </w:p>
    <w:p w14:paraId="15F68695">
      <w:pPr>
        <w:tabs>
          <w:tab w:val="left" w:pos="2565"/>
        </w:tabs>
        <w:spacing w:line="600" w:lineRule="exact"/>
        <w:rPr>
          <w:rFonts w:ascii="方正仿宋简体" w:hAnsi="方正仿宋简体" w:eastAsia="方正仿宋简体" w:cs="方正仿宋简体"/>
          <w:sz w:val="32"/>
          <w:szCs w:val="32"/>
        </w:rPr>
      </w:pPr>
    </w:p>
    <w:p w14:paraId="5360835A">
      <w:pPr>
        <w:pStyle w:val="5"/>
      </w:pPr>
    </w:p>
    <w:p w14:paraId="0D5E664D">
      <w:pPr>
        <w:tabs>
          <w:tab w:val="left" w:pos="2565"/>
        </w:tabs>
        <w:spacing w:line="600" w:lineRule="exact"/>
        <w:ind w:firstLine="640" w:firstLineChars="200"/>
        <w:rPr>
          <w:rFonts w:ascii="方正楷体_GBK" w:hAnsi="方正楷体_GBK" w:eastAsia="方正楷体_GBK" w:cs="方正楷体_GBK"/>
          <w:color w:val="000000"/>
          <w:sz w:val="32"/>
          <w:szCs w:val="32"/>
        </w:rPr>
      </w:pPr>
      <w:r>
        <w:rPr>
          <w:rFonts w:ascii="方正楷体_GBK" w:hAnsi="方正楷体_GBK" w:eastAsia="方正楷体_GBK" w:cs="方正楷体_GBK"/>
          <w:color w:val="000000"/>
          <w:sz w:val="32"/>
          <w:szCs w:val="32"/>
        </w:rPr>
        <w:pict>
          <v:shape id="图片 2" o:spid="_x0000_s1027" o:spt="75" type="#_x0000_t75" style="position:absolute;left:0pt;margin-left:-48.55pt;margin-top:104.9pt;height:663.9pt;width:507.6pt;mso-position-vertical-relative:page;mso-wrap-distance-bottom:0pt;mso-wrap-distance-left:9pt;mso-wrap-distance-right:9pt;mso-wrap-distance-top:0pt;z-index:251659264;mso-width-relative:page;mso-height-relative:page;" filled="f" o:preferrelative="t" stroked="f" coordsize="21600,21600">
            <v:path/>
            <v:fill on="f" focussize="0,0"/>
            <v:stroke on="f" joinstyle="miter"/>
            <v:imagedata r:id="rId5" o:title=""/>
            <o:lock v:ext="edit" aspectratio="t"/>
            <w10:wrap type="square"/>
          </v:shape>
        </w:pict>
      </w:r>
      <w:r>
        <w:rPr>
          <w:rFonts w:hint="eastAsia" w:ascii="方正楷体_GBK" w:hAnsi="方正楷体_GBK" w:eastAsia="方正楷体_GBK" w:cs="方正楷体_GBK"/>
          <w:color w:val="000000"/>
          <w:sz w:val="32"/>
          <w:szCs w:val="32"/>
        </w:rPr>
        <w:t>（二）负面清单确定流程</w:t>
      </w:r>
    </w:p>
    <w:p w14:paraId="58EC3B3E">
      <w:pPr>
        <w:tabs>
          <w:tab w:val="left" w:pos="2565"/>
        </w:tabs>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二、供应商积分管理</w:t>
      </w:r>
    </w:p>
    <w:p w14:paraId="705D9D66">
      <w:pPr>
        <w:tabs>
          <w:tab w:val="left" w:pos="2565"/>
        </w:tabs>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color w:val="000000"/>
          <w:sz w:val="32"/>
          <w:szCs w:val="32"/>
        </w:rPr>
        <w:t>（一）</w:t>
      </w:r>
      <w:r>
        <w:rPr>
          <w:rFonts w:hint="eastAsia" w:ascii="方正楷体_GBK" w:hAnsi="方正楷体_GBK" w:eastAsia="方正楷体_GBK" w:cs="方正楷体_GBK"/>
          <w:sz w:val="32"/>
          <w:szCs w:val="32"/>
        </w:rPr>
        <w:t>供应商积分考核</w:t>
      </w:r>
    </w:p>
    <w:p w14:paraId="701F24BE">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734B0568">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1.继续合作供应商：考核扣分介于0～7分之间，为可继续合作的供应商。</w:t>
      </w:r>
    </w:p>
    <w:p w14:paraId="40F2FE85">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2.限制合作供应商：考核扣分介于8～16分之间，为限制合作供应商。原辅材料采购3个月内、备品备件采购6个月内不接受该供应商投标或报价。 </w:t>
      </w:r>
    </w:p>
    <w:p w14:paraId="43377CA8">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3.列入负面清单供应商：考核扣分高于16分或单项扣10分，列入负面清单供应商，1年内不接受该供应商投标或报价。</w:t>
      </w:r>
    </w:p>
    <w:p w14:paraId="407D26D6">
      <w:pPr>
        <w:tabs>
          <w:tab w:val="left" w:pos="2565"/>
        </w:tabs>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（二）供应商考核方法</w:t>
      </w:r>
    </w:p>
    <w:p w14:paraId="0F6B6C38">
      <w:pPr>
        <w:tabs>
          <w:tab w:val="left" w:pos="2565"/>
        </w:tabs>
        <w:spacing w:line="60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1.建筑施工方</w:t>
      </w:r>
    </w:p>
    <w:p w14:paraId="6AF7D224">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（1）质量方面</w:t>
      </w:r>
    </w:p>
    <w:p w14:paraId="1C77CA2B">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①施工材料出现质量问题，及时调换，未影响生产的，单次扣1～3分；影响生产的，视严重程度单次扣5～10分。</w:t>
      </w:r>
    </w:p>
    <w:p w14:paraId="5B187FBD">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②施工材料存在质量问题，未能及时更换，单次扣10分。</w:t>
      </w:r>
    </w:p>
    <w:p w14:paraId="76AC5B6C">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③不能满足工程质量要求的，考核5-10分。</w:t>
      </w:r>
    </w:p>
    <w:p w14:paraId="231DC317">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（2）工期方面</w:t>
      </w:r>
    </w:p>
    <w:p w14:paraId="765A388E">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不能满足进度要求的，考核5-10分。</w:t>
      </w:r>
    </w:p>
    <w:p w14:paraId="1B752E34">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（3）安全方面</w:t>
      </w:r>
    </w:p>
    <w:p w14:paraId="2B6A6CA8">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现场施工人员不服从招标方安全管理的，考核5-10分。</w:t>
      </w:r>
    </w:p>
    <w:p w14:paraId="494CE8C0">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（4）售后方面</w:t>
      </w:r>
    </w:p>
    <w:p w14:paraId="342B680F">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①对我公司的售后服务要求不能及时响应，单次扣2分。</w:t>
      </w:r>
    </w:p>
    <w:p w14:paraId="61621194">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②售后人员不能及时解决问题，单次扣3分。</w:t>
      </w:r>
    </w:p>
    <w:p w14:paraId="2DC2542A">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③在质保期之内，拒绝提供售后服务，单次扣5分。</w:t>
      </w:r>
    </w:p>
    <w:p w14:paraId="73B0284B">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（5）资信方面</w:t>
      </w:r>
    </w:p>
    <w:p w14:paraId="5A17C210">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①中标之后拒绝签订合同或拒绝履行合同，视影响生产程度严重的单次扣5～10分。</w:t>
      </w:r>
    </w:p>
    <w:p w14:paraId="3B449133">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②交货后不能及时开具发票并送交至业务员，单次扣1分。</w:t>
      </w:r>
    </w:p>
    <w:p w14:paraId="5277C7FB">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③未按合同明细开票，弄虚作假，视严重程度单次扣5～10分。</w:t>
      </w:r>
    </w:p>
    <w:p w14:paraId="4C1E4D8D">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④注册信息及基本资质证书不属实，视严重程度单次扣3～10分。</w:t>
      </w:r>
    </w:p>
    <w:p w14:paraId="24BB9FC7">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⑤违反廉洁协议，视严重程度单次扣5～10分。</w:t>
      </w:r>
    </w:p>
    <w:p w14:paraId="2DC26923">
      <w:pPr>
        <w:tabs>
          <w:tab w:val="left" w:pos="2565"/>
        </w:tabs>
        <w:spacing w:line="60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2.备品备件供应商</w:t>
      </w:r>
    </w:p>
    <w:p w14:paraId="4D8A9B29">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（1）质量方面</w:t>
      </w:r>
    </w:p>
    <w:p w14:paraId="11944F03">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①所供产品出现质量问题，及时调换，未影响生产的，单次扣1～3分；影响生产的，视严重程度单次扣5～10分。</w:t>
      </w:r>
    </w:p>
    <w:p w14:paraId="71B20F15">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②所供产品存在质量问题，未能及时更换，单次扣10分。</w:t>
      </w:r>
    </w:p>
    <w:p w14:paraId="20AF6251">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③所供产品质量问题导致设备故障，视严重程度单次扣5～10分。</w:t>
      </w:r>
    </w:p>
    <w:p w14:paraId="42E13B71">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（2）交货方面</w:t>
      </w:r>
    </w:p>
    <w:p w14:paraId="7E4D00BD">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①交货时无质检报告或合格证等必要资料的，单次扣2分。</w:t>
      </w:r>
    </w:p>
    <w:p w14:paraId="439B068D">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②交货时未按规定包装的，单次扣1分。</w:t>
      </w:r>
    </w:p>
    <w:p w14:paraId="1A43E5E3">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③不能按照合同约定交货，除了按合同条款进行相应处罚外，未造成影响的，单次扣2分；造成影响的，视严重程度单次扣5～10分。</w:t>
      </w:r>
    </w:p>
    <w:p w14:paraId="7E41444B">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④交货过程中串通作假，视严重程度单次扣5～10分。</w:t>
      </w:r>
    </w:p>
    <w:p w14:paraId="3C050433">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（3）售后方面</w:t>
      </w:r>
    </w:p>
    <w:p w14:paraId="18EB5D5B">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①对我公司的售后服务要求不能及时响应，单次扣2分。</w:t>
      </w:r>
    </w:p>
    <w:p w14:paraId="666F6476">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②售后人员不能及时解决问题，单次扣3分。</w:t>
      </w:r>
    </w:p>
    <w:p w14:paraId="33F8D79E">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③在质保期之内，拒绝提供售后服务，单次扣5分。</w:t>
      </w:r>
    </w:p>
    <w:p w14:paraId="255B6BDA">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（4）资信方面</w:t>
      </w:r>
    </w:p>
    <w:p w14:paraId="32C4B2DD">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①中标之后拒绝签订合同或拒绝履行合同，视影响生产程度严重的单次扣5～10分。</w:t>
      </w:r>
    </w:p>
    <w:p w14:paraId="6F58263E">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②交货后不能及时开具发票并送交至业务员，单次扣1分。</w:t>
      </w:r>
    </w:p>
    <w:p w14:paraId="4E2E2025">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③未按合同明细开票，弄虚作假，视严重程度单次扣5～10分。</w:t>
      </w:r>
    </w:p>
    <w:p w14:paraId="1E62E7D2">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④注册信息及基本资质证书不属实，视严重程度单次扣3～10分。</w:t>
      </w:r>
    </w:p>
    <w:p w14:paraId="394C97E4">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⑤违反廉洁协议，视严重程度单次扣5～10分。</w:t>
      </w:r>
    </w:p>
    <w:p w14:paraId="2386D70D">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⑥因知识产权引起纠纷，除按合同规定执行外，视严重程度单次扣3～10分。</w:t>
      </w:r>
    </w:p>
    <w:p w14:paraId="018931EA">
      <w:pPr>
        <w:tabs>
          <w:tab w:val="left" w:pos="2565"/>
        </w:tabs>
        <w:spacing w:line="60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3.物流承运商</w:t>
      </w:r>
    </w:p>
    <w:p w14:paraId="5B66FCFD">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（1）车船要求方面</w:t>
      </w:r>
    </w:p>
    <w:p w14:paraId="33102A25">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①必须做到证照齐全，即车船有行驶证、道路运输证、罐检报告，人员有驾驶证、资格证、押运证等，如不全单次扣2～5分。</w:t>
      </w:r>
    </w:p>
    <w:p w14:paraId="29EF56AB">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②车船状况保持完好、设施齐全，发现缺损扣1～2分。</w:t>
      </w:r>
    </w:p>
    <w:p w14:paraId="2ED49403">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（2）计划完成方面</w:t>
      </w:r>
    </w:p>
    <w:p w14:paraId="085D9BBE">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运输单位须按发货计划安排车船完成运输任务，否则单次扣2分。</w:t>
      </w:r>
    </w:p>
    <w:p w14:paraId="62370596">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（3）资信方面</w:t>
      </w:r>
    </w:p>
    <w:p w14:paraId="7AE3D4C1">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①中标之后拒绝签订合同或拒绝履行合同，视影响运输严重程度单次扣3～10分。</w:t>
      </w:r>
    </w:p>
    <w:p w14:paraId="63CB35C0">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②不及时开具发票并送交至业务员，单次扣1分。</w:t>
      </w:r>
    </w:p>
    <w:p w14:paraId="49DF35A1">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③未按实际运输任务明细开票，弄虚作假，视严重程度单次扣5～10分。</w:t>
      </w:r>
    </w:p>
    <w:p w14:paraId="7B26DD60">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④注册信息及基本资质证书不属实，视严重程度单次扣3～10分。</w:t>
      </w:r>
    </w:p>
    <w:p w14:paraId="3A470DBB">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⑤违反廉洁协议，视严重程度单次扣5～10分。</w:t>
      </w:r>
    </w:p>
    <w:p w14:paraId="215FDE68">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三、从负面清单中消除的流程</w:t>
      </w:r>
    </w:p>
    <w:p w14:paraId="3942175E">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列入负面清单中的供应商只要通过整改，其产品或服务质量满足我司要求，原则上满一年以后可以申请从负面清单中消除。</w:t>
      </w:r>
    </w:p>
    <w:p w14:paraId="0985114B">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（一）供应商提出申请</w:t>
      </w:r>
    </w:p>
    <w:p w14:paraId="3C2ADC79">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1.供应商提出负面清单消除的书面申请。</w:t>
      </w:r>
    </w:p>
    <w:p w14:paraId="6E819D85">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2.供应商提供针对考核项的整改措施及效果等相关文件材料。</w:t>
      </w:r>
    </w:p>
    <w:p w14:paraId="631B5C19">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（二）确认与消除</w:t>
      </w:r>
    </w:p>
    <w:p w14:paraId="55524944">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1.采购部门牵头组织相关部门对供应商提供的文件材料进行确认，必要时组织现场考察；</w:t>
      </w:r>
    </w:p>
    <w:p w14:paraId="511BE8B7">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2.根据确认情况提出建议，报公司批准后从负面清单中消除。</w:t>
      </w:r>
    </w:p>
    <w:p w14:paraId="33AAB3F0">
      <w:pPr>
        <w:tabs>
          <w:tab w:val="left" w:pos="2565"/>
        </w:tabs>
        <w:spacing w:line="600" w:lineRule="exact"/>
        <w:ind w:firstLine="640" w:firstLineChars="200"/>
        <w:rPr>
          <w:rFonts w:ascii="方正仿宋_GBK" w:hAnsi="方正仿宋_GBK" w:eastAsia="方正仿宋_GBK" w:cs="方正仿宋_GBK"/>
          <w:sz w:val="32"/>
          <w:szCs w:val="32"/>
        </w:rPr>
      </w:pPr>
    </w:p>
    <w:p w14:paraId="6597F4CC">
      <w:pPr>
        <w:tabs>
          <w:tab w:val="left" w:pos="2565"/>
        </w:tabs>
        <w:spacing w:line="600" w:lineRule="exact"/>
        <w:ind w:firstLine="640" w:firstLineChars="200"/>
        <w:rPr>
          <w:rFonts w:ascii="方正仿宋_GBK" w:hAnsi="方正仿宋_GBK" w:eastAsia="方正仿宋_GBK" w:cs="方正仿宋_GBK"/>
          <w:sz w:val="32"/>
          <w:szCs w:val="32"/>
        </w:rPr>
      </w:pPr>
    </w:p>
    <w:p w14:paraId="66C213AB">
      <w:pPr>
        <w:spacing w:line="600" w:lineRule="exact"/>
        <w:ind w:firstLine="675"/>
        <w:rPr>
          <w:rFonts w:ascii="方正仿宋简体" w:hAnsi="方正仿宋简体" w:eastAsia="方正仿宋简体" w:cs="方正仿宋简体"/>
          <w:sz w:val="32"/>
          <w:szCs w:val="32"/>
        </w:rPr>
      </w:pPr>
    </w:p>
    <w:p w14:paraId="08DBF811">
      <w:pPr>
        <w:spacing w:line="600" w:lineRule="exact"/>
        <w:ind w:firstLine="675"/>
        <w:rPr>
          <w:rFonts w:ascii="方正仿宋简体" w:hAnsi="方正仿宋简体" w:eastAsia="方正仿宋简体" w:cs="方正仿宋简体"/>
          <w:sz w:val="32"/>
          <w:szCs w:val="32"/>
        </w:rPr>
      </w:pPr>
    </w:p>
    <w:p w14:paraId="4E475235">
      <w:pPr>
        <w:spacing w:line="600" w:lineRule="exact"/>
        <w:ind w:firstLine="675"/>
        <w:rPr>
          <w:rFonts w:ascii="方正仿宋简体" w:hAnsi="方正仿宋简体" w:eastAsia="方正仿宋简体" w:cs="方正仿宋简体"/>
          <w:sz w:val="32"/>
          <w:szCs w:val="32"/>
        </w:rPr>
      </w:pPr>
    </w:p>
    <w:p w14:paraId="084BBF43">
      <w:pPr>
        <w:spacing w:line="600" w:lineRule="exact"/>
        <w:ind w:firstLine="675"/>
        <w:rPr>
          <w:rFonts w:ascii="方正仿宋简体" w:hAnsi="方正仿宋简体" w:eastAsia="方正仿宋简体" w:cs="方正仿宋简体"/>
          <w:sz w:val="32"/>
          <w:szCs w:val="32"/>
        </w:rPr>
      </w:pPr>
    </w:p>
    <w:p w14:paraId="4371DFE0">
      <w:pPr>
        <w:spacing w:line="600" w:lineRule="exact"/>
        <w:ind w:firstLine="675"/>
        <w:rPr>
          <w:rFonts w:ascii="方正仿宋简体" w:hAnsi="方正仿宋简体" w:eastAsia="方正仿宋简体" w:cs="方正仿宋简体"/>
          <w:sz w:val="32"/>
          <w:szCs w:val="32"/>
        </w:rPr>
      </w:pPr>
    </w:p>
    <w:p w14:paraId="0A76F3EC">
      <w:pPr>
        <w:spacing w:line="600" w:lineRule="exact"/>
        <w:ind w:firstLine="675"/>
        <w:rPr>
          <w:rFonts w:ascii="方正仿宋简体" w:hAnsi="方正仿宋简体" w:eastAsia="方正仿宋简体" w:cs="方正仿宋简体"/>
          <w:sz w:val="32"/>
          <w:szCs w:val="32"/>
        </w:rPr>
      </w:pPr>
    </w:p>
    <w:p w14:paraId="326C5B98">
      <w:pPr>
        <w:spacing w:line="600" w:lineRule="exact"/>
        <w:ind w:firstLine="675"/>
        <w:rPr>
          <w:rFonts w:ascii="方正仿宋简体" w:hAnsi="方正仿宋简体" w:eastAsia="方正仿宋简体" w:cs="方正仿宋简体"/>
          <w:sz w:val="32"/>
          <w:szCs w:val="32"/>
        </w:rPr>
      </w:pPr>
    </w:p>
    <w:p w14:paraId="77D90DFC">
      <w:pPr>
        <w:spacing w:line="6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kern w:val="1"/>
          <w:sz w:val="32"/>
          <w:szCs w:val="32"/>
        </w:rPr>
        <w:t>附件2</w:t>
      </w:r>
    </w:p>
    <w:p w14:paraId="655D349D">
      <w:pPr>
        <w:spacing w:line="600" w:lineRule="exact"/>
        <w:jc w:val="center"/>
        <w:rPr>
          <w:sz w:val="44"/>
          <w:szCs w:val="44"/>
        </w:rPr>
      </w:pPr>
    </w:p>
    <w:p w14:paraId="5F6682C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轨道式集装箱门式起重机年度</w:t>
      </w:r>
    </w:p>
    <w:p w14:paraId="0359DE03">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维保内容及要求</w:t>
      </w:r>
    </w:p>
    <w:p w14:paraId="7237B658">
      <w:pPr>
        <w:spacing w:line="600" w:lineRule="exact"/>
      </w:pPr>
    </w:p>
    <w:p w14:paraId="1D259303">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kern w:val="1"/>
          <w:sz w:val="32"/>
          <w:szCs w:val="32"/>
        </w:rPr>
        <w:t>轨道式集装箱</w:t>
      </w:r>
      <w:r>
        <w:rPr>
          <w:rFonts w:hint="eastAsia" w:ascii="方正仿宋_GBK" w:hAnsi="方正仿宋_GBK" w:eastAsia="方正仿宋_GBK" w:cs="方正仿宋_GBK"/>
          <w:sz w:val="32"/>
          <w:szCs w:val="32"/>
        </w:rPr>
        <w:t>门式起重机年度维保包括：每月一次的月度维保检查、每季度一次的季度维保检查两部分，每次（含月、季）检查后的紧固、调整、调试，易损零部件的更换（包含相序继电器更换、限位开关更换、</w:t>
      </w:r>
      <w:r>
        <w:rPr>
          <w:rFonts w:hint="eastAsia" w:ascii="方正仿宋_GBK" w:hAnsi="方正仿宋_GBK" w:eastAsia="方正仿宋_GBK" w:cs="方正仿宋_GBK"/>
          <w:color w:val="FF0000"/>
          <w:sz w:val="32"/>
          <w:szCs w:val="32"/>
        </w:rPr>
        <w:t>吊钩秤检查等</w:t>
      </w:r>
      <w:r>
        <w:rPr>
          <w:rFonts w:hint="eastAsia" w:ascii="方正仿宋_GBK" w:hAnsi="方正仿宋_GBK" w:eastAsia="方正仿宋_GBK" w:cs="方正仿宋_GBK"/>
          <w:sz w:val="32"/>
          <w:szCs w:val="32"/>
        </w:rPr>
        <w:t xml:space="preserve">），包含在维保内容中，不另行计算费用。大件的检修与更换（包含减速机更换、旋锁轴更换、油马达更换、钢丝绳更换等）则按维修项目处理，另行计算费用。 </w:t>
      </w:r>
    </w:p>
    <w:p w14:paraId="08FE4B6D">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每月进行一次以润滑、调整间隙和检查起重机各部位状况、性能为主的月度维保检查，维保完成后出具《</w:t>
      </w:r>
      <w:r>
        <w:rPr>
          <w:rFonts w:hint="eastAsia" w:ascii="方正仿宋_GBK" w:hAnsi="方正仿宋_GBK" w:eastAsia="方正仿宋_GBK" w:cs="方正仿宋_GBK"/>
          <w:kern w:val="1"/>
          <w:sz w:val="32"/>
          <w:szCs w:val="32"/>
        </w:rPr>
        <w:t>轨道式集装箱</w:t>
      </w:r>
      <w:r>
        <w:rPr>
          <w:rFonts w:hint="eastAsia" w:ascii="方正仿宋_GBK" w:hAnsi="方正仿宋_GBK" w:eastAsia="方正仿宋_GBK" w:cs="方正仿宋_GBK"/>
          <w:sz w:val="32"/>
          <w:szCs w:val="32"/>
        </w:rPr>
        <w:t>门式起重机月度维保检查表》，经属地部门、计划运行部签字确认，作为支付维保费用的依据。每月一次的维保检查相对定在每月第三周的周二（半天～全天）进行，如若调整以甲方通知为准。</w:t>
      </w:r>
    </w:p>
    <w:p w14:paraId="3E86AFC4">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每季度进行一次对起重机易磨损、断裂、变形的各部件进行检查、调整和修理，以恢复其性能的季度维保检查，同时完成每月检查保养的全部内容，保养结束，由维保单位出具《</w:t>
      </w:r>
      <w:r>
        <w:rPr>
          <w:rFonts w:hint="eastAsia" w:ascii="方正仿宋_GBK" w:hAnsi="方正仿宋_GBK" w:eastAsia="方正仿宋_GBK" w:cs="方正仿宋_GBK"/>
          <w:kern w:val="1"/>
          <w:sz w:val="32"/>
          <w:szCs w:val="32"/>
        </w:rPr>
        <w:t>轨道式集装箱</w:t>
      </w:r>
      <w:r>
        <w:rPr>
          <w:rFonts w:hint="eastAsia" w:ascii="方正仿宋_GBK" w:hAnsi="方正仿宋_GBK" w:eastAsia="方正仿宋_GBK" w:cs="方正仿宋_GBK"/>
          <w:sz w:val="32"/>
          <w:szCs w:val="32"/>
        </w:rPr>
        <w:t>门式起重机季度维保检查表》，经属地部门、计划运行部签字确认，作为支付维保费用的依据。每季度一次的维保检查相对定在每季度第二个月第三周的周二（全天）进行，如若调整以甲方通知为准。</w:t>
      </w:r>
    </w:p>
    <w:p w14:paraId="5E5278B8">
      <w:pPr>
        <w:pStyle w:val="17"/>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1.月度维保检查的内容：</w:t>
      </w:r>
    </w:p>
    <w:p w14:paraId="5311AF4B">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机械部分：</w:t>
      </w:r>
    </w:p>
    <w:p w14:paraId="35BC444D">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（1）钢丝绳及滑轮组：检查钢丝绳断丝、磨损是否超限，绳端压板螺栓及绳夹是否松动；滑轮轴有无裂纹和变形。</w:t>
      </w:r>
    </w:p>
    <w:p w14:paraId="33FBD592">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卷筒部分：滚筒支撑、齿轮联轴器加注润滑脂；检查钢丝绳有无堆叠越槽现象，压板螺栓有无松动脱落现象；制动轮工作表面是否光滑，制动瓦块衬垫磨损是否符合规范要求；减速器油质是否清洁，油位是否在油标刻度线中间，箱体有无裂纹；联轴器轴线是否偏斜及轴向安装位置是否需要调整，联轴器的弹性体是否需要更换；对各铰点进行润滑。</w:t>
      </w:r>
    </w:p>
    <w:p w14:paraId="4E292363">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大车运行机构：检查大车车轮、轨道有无明显磨损或裂纹；各固定螺栓螺母有无松动脱落现象；制动器是否灵敏可靠，刹车片有无过度磨损；电机地脚螺栓有无松动现象；大车限位是否正常；减速器油质是否清洁，油位是否在油标刻度线中间，不足时添加；对各铰点进行润滑。</w:t>
      </w:r>
    </w:p>
    <w:p w14:paraId="5F9841CB">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（4）小车运行机构：检查小车轨道压板有无松动；小车车轮有无严重磨损或裂缝；检查小车运行终端行程限位是否正常；小车制动器各部是否完好。</w:t>
      </w:r>
    </w:p>
    <w:p w14:paraId="1F7FC3EE">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（5）检查水平滚轮及垂直滚轮：滑轮是否转动灵活，无严重滑移现象；轴承处注入润滑脂。</w:t>
      </w:r>
    </w:p>
    <w:p w14:paraId="1FA1D4E7">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（6）防风制动装置：有无破损、变形，是否准确到位，有无卡滞现象；对各铰点进行润滑。</w:t>
      </w:r>
    </w:p>
    <w:p w14:paraId="0EB355FF">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旋转吊具：检查装置动作是否灵活可靠，吊具回转是否正常，旋锁开闭是否可靠；滑轮制动防摇部分是否正常，必要时对钢丝绳进行调整；液压站油位、油压系统是否正常、过滤器有无堵塞现象；吊具上各关键连接螺栓和销轴无松动。</w:t>
      </w:r>
    </w:p>
    <w:p w14:paraId="2A5655CE">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（8）金属结构：检查侧梁与中间梁、侧梁与支腿、鞍梁与支腿连接螺栓是否有松动现象；主梁、支腿、鞍梁等关键结构件有无变形，焊缝有无开裂；平台扶梯有无异常变形、开裂、脱焊现象。</w:t>
      </w:r>
    </w:p>
    <w:p w14:paraId="18CDA88B">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（9）性能检查：检查缓冲器是否完好，对防碰功能进行测试；对起升动作、大车行走、小车行走性能进行调试，应符合要求。</w:t>
      </w:r>
    </w:p>
    <w:p w14:paraId="3B704D1B">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电气（仪表）部分：</w:t>
      </w:r>
    </w:p>
    <w:p w14:paraId="615DF0CE">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（1）电动机：检查引出线是否完好，连结是否可靠；各连接螺栓是否齐全，有无松动脱落；电机表面是否清洁，进风口有无尘土纤维等阻碍。</w:t>
      </w:r>
    </w:p>
    <w:p w14:paraId="493F0773">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（2）主令控制器和凸轮控制器：清扫内部灰尘和杂物，在所有转轴处加注少量的润滑油；检查动、静触头是否接触良好；各弹簧有无断裂及永久变形，其压力是否适中；操作时，各档位是否明确，轻便。</w:t>
      </w:r>
    </w:p>
    <w:p w14:paraId="775F992A">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接触器、继电器、电磁铁和限位器：打磨触头，消除烧蚀斑点，更换灼损严重触头，触头应接触良好，压力适中，灭弧罩应齐全良好，轴销无松动现象；工作时，吸合、分断准确，无卡滞，抖动现象，复位良好，无异常噪音。</w:t>
      </w:r>
    </w:p>
    <w:p w14:paraId="59B1920A">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（4）电阻器：检查表面有无赃物、锈蚀；螺栓连结是否松动；引线连接是否良好；电阻片，电阻丝有无断裂现象。</w:t>
      </w:r>
    </w:p>
    <w:p w14:paraId="39A9C359">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（5）熔断器：熔体容量选择是否正确，不得以钢丝或其他金属代替。</w:t>
      </w:r>
    </w:p>
    <w:p w14:paraId="1AC6B253">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（6）照明、音响及供电装置：照明音响装置是否齐全、完好；集电器是否接触良好，运行时有无严重火花；引线连接是否良好，有无异状；电缆和导线有无破损现象。</w:t>
      </w:r>
    </w:p>
    <w:p w14:paraId="770D08E6">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联动台：检查操作是否灵活，档位是否清晰，零位手感是否明确，有无随意拆除定位元器件；制动电磁铁：衔铁动作是否灵活准确、有无卡阻现象，吸合时铁芯接触器是否紧密接触，有无异常声响，电磁铁的中间气隙是否符合设计要求。</w:t>
      </w:r>
    </w:p>
    <w:p w14:paraId="482C7F41">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（8）电缆卷筒：滑块箱里的碳刷检查、滑环是否有点蚀等。</w:t>
      </w:r>
    </w:p>
    <w:p w14:paraId="0E9953C4">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2.季度维保检查的内容</w:t>
      </w:r>
    </w:p>
    <w:p w14:paraId="09FC1686">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除完成月度维保检查的全部内容外，还应有以下工作内容并达到要求：</w:t>
      </w:r>
    </w:p>
    <w:p w14:paraId="6DAB3236">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机械部分：</w:t>
      </w:r>
    </w:p>
    <w:p w14:paraId="25BED191">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（1）润滑：滚动轴承加润滑油；减速机放出全部脏油，清洗后加入新的润滑油；开式齿轮传动，清洗齿轮表面后重新加润滑脂。</w:t>
      </w:r>
    </w:p>
    <w:p w14:paraId="6B2D26C8">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（2）滑轮组：对滑轮拆卸清洗，检查滑轮轮槽磨损是否超限，轮缘有否有崩裂，滑轮</w:t>
      </w:r>
    </w:p>
    <w:p w14:paraId="59FBCA98">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有否卡阻现象；</w:t>
      </w:r>
    </w:p>
    <w:p w14:paraId="35C011F8">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卷筒部分：齿轮联轴器清洗后加注新润滑脂，检查是否有轴向位移等松动现象，每半年对磨损情况进行检查；检查制动器架，各销轴和制动轮磨损情况，对超限磨损件进行更换；减速器放出全部脏油，清洗后加入新的润滑油；</w:t>
      </w:r>
    </w:p>
    <w:p w14:paraId="4F31F9F6">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大车运行机构：检查大车运行情况，如车轮轮缘磨损较大，跑偏现象严重时，应调整轨道和车轮；检查制动器架，各销轴和制动轮磨损情况，对超限磨损件进行更换；减速器放出全部脏油，清洗后加入新的润滑油；</w:t>
      </w:r>
    </w:p>
    <w:p w14:paraId="51F5F3C0">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（5）小车运行机构：检查小车运行情况，如车轮轮缘磨损较大，跑偏现象严重时，应调整轨道和车轮；。</w:t>
      </w:r>
    </w:p>
    <w:p w14:paraId="2D1B0946">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（6）防风制动装置：修复或更换不合格件，动作正确、灵敏有效，静态试验合格。</w:t>
      </w:r>
    </w:p>
    <w:p w14:paraId="5F60A43B">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（7）旋转吊具：对旋锁装置连接螺栓和销轴等进行清洗、检查、紧固；检查液压站油质，每半年更换一次液压油；对偏载保护装置进行检查试验。</w:t>
      </w:r>
    </w:p>
    <w:p w14:paraId="4F27340C">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（8）金属结构：全面检查主梁、支腿、及其它构件，有无裂纹、明显变形和焊缝开裂现象，全部承载连接螺栓是否有松动。</w:t>
      </w:r>
    </w:p>
    <w:p w14:paraId="2C1327A3">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试车试验：分别开动各机构，先点动，后慢速，然后按额定速度作全程往返运转，各机构应运转正常，无异响、无异状；试验起升限位开关，终点行程开关应作用良好、动作准确。供电装置工作可靠，电机、制动器、轴承等的温升均应符合规定；超载限位器有效。</w:t>
      </w:r>
    </w:p>
    <w:p w14:paraId="2DC9D9B5">
      <w:pPr>
        <w:pStyle w:val="19"/>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电气（仪表）部分：</w:t>
      </w:r>
    </w:p>
    <w:p w14:paraId="7111DC7B">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（1）电缆悬挂装置：是否灵活运动和转动，张紧悬挂索并检查悬挂索情况，检查调整滑道接口的平顺性。</w:t>
      </w:r>
    </w:p>
    <w:p w14:paraId="01EE0B0D">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（2）电缆卷筒：转动是否灵活，电缆张紧力是否适度，检查架空滑线的平直度，与集电器接触情况是否正常。</w:t>
      </w:r>
    </w:p>
    <w:p w14:paraId="35493139">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（3）接地装置：接地线是否连接可靠，测量轨道接地电阻，以及起重机上任何一点的接地电阻均不得大于4Ω。</w:t>
      </w:r>
    </w:p>
    <w:p w14:paraId="40084C06">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（4）电机：每年第三个季度保养检查时间对电机轴承，加注润滑脂。</w:t>
      </w:r>
    </w:p>
    <w:p w14:paraId="0D5CAFB8">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（5）凸轮控制器电气间隙、漏电距离检查。</w:t>
      </w:r>
    </w:p>
    <w:p w14:paraId="72B69CAD">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（6）提升柜、大车柜、PLC柜等清灰检查。</w:t>
      </w:r>
    </w:p>
    <w:p w14:paraId="07600507">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吊钩秤：</w:t>
      </w:r>
    </w:p>
    <w:p w14:paraId="0234BE19">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（1）检查秤体是否有变形。</w:t>
      </w:r>
    </w:p>
    <w:p w14:paraId="21E0F6A6">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（2）检查卸扣、吊钩轴销连接状况，垂直方向接触面是否在中心点位置，并清理油污。</w:t>
      </w:r>
    </w:p>
    <w:p w14:paraId="21E449B6">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（3）检查4只称重传感器，清理油污。</w:t>
      </w:r>
    </w:p>
    <w:p w14:paraId="5607FE90">
      <w:pPr>
        <w:spacing w:line="600" w:lineRule="exact"/>
        <w:ind w:firstLine="675"/>
        <w:rPr>
          <w:rFonts w:ascii="方正仿宋简体" w:hAnsi="方正仿宋简体" w:eastAsia="方正仿宋简体" w:cs="方正仿宋简体"/>
          <w:sz w:val="32"/>
          <w:szCs w:val="32"/>
        </w:rPr>
      </w:pPr>
    </w:p>
    <w:p w14:paraId="0C4D48FC">
      <w:pPr>
        <w:spacing w:line="600" w:lineRule="exact"/>
        <w:jc w:val="left"/>
        <w:rPr>
          <w:rFonts w:ascii="方正仿宋简体" w:hAnsi="方正仿宋简体" w:eastAsia="方正仿宋简体" w:cs="方正仿宋简体"/>
          <w:color w:val="000000"/>
          <w:sz w:val="32"/>
          <w:szCs w:val="32"/>
        </w:rPr>
      </w:pPr>
    </w:p>
    <w:p w14:paraId="3BA6EF5F">
      <w:pPr>
        <w:pStyle w:val="8"/>
        <w:rPr>
          <w:rFonts w:ascii="方正黑体_GBK" w:hAnsi="方正黑体_GBK" w:eastAsia="方正黑体_GBK" w:cs="方正黑体_GBK"/>
          <w:sz w:val="32"/>
          <w:szCs w:val="32"/>
        </w:rPr>
      </w:pPr>
    </w:p>
    <w:p w14:paraId="5B040375">
      <w:pPr>
        <w:pStyle w:val="8"/>
        <w:rPr>
          <w:rFonts w:ascii="方正黑体_GBK" w:hAnsi="方正黑体_GBK" w:eastAsia="方正黑体_GBK" w:cs="方正黑体_GBK"/>
          <w:sz w:val="32"/>
          <w:szCs w:val="32"/>
        </w:rPr>
      </w:pPr>
    </w:p>
    <w:p w14:paraId="3AEFFE30">
      <w:pPr>
        <w:pStyle w:val="8"/>
        <w:rPr>
          <w:rFonts w:ascii="方正仿宋_GBK" w:hAnsi="方正仿宋_GBK" w:eastAsia="方正仿宋_GBK" w:cs="方正仿宋_GBK"/>
          <w:b/>
          <w:bCs/>
          <w:sz w:val="32"/>
          <w:szCs w:val="32"/>
        </w:rPr>
      </w:pPr>
    </w:p>
    <w:p w14:paraId="07EFFA47">
      <w:pPr>
        <w:pStyle w:val="8"/>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附表：</w:t>
      </w:r>
    </w:p>
    <w:p w14:paraId="63103B17">
      <w:pPr>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w:t>
      </w:r>
    </w:p>
    <w:p w14:paraId="19CC1E22">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轨道式集装箱门式起重机故障维修清单</w:t>
      </w:r>
    </w:p>
    <w:p w14:paraId="71D732C4">
      <w:pPr>
        <w:spacing w:line="600" w:lineRule="exact"/>
        <w:jc w:val="center"/>
        <w:rPr>
          <w:rFonts w:ascii="宋体" w:eastAsia="方正黑体_GBK" w:cs="宋体"/>
          <w:b/>
          <w:bCs/>
          <w:sz w:val="28"/>
          <w:szCs w:val="28"/>
        </w:rPr>
      </w:pPr>
      <w:r>
        <w:rPr>
          <w:rFonts w:hint="eastAsia" w:ascii="方正小标宋_GBK" w:hAnsi="方正小标宋_GBK" w:eastAsia="方正小标宋_GBK" w:cs="方正小标宋_GBK"/>
          <w:sz w:val="44"/>
          <w:szCs w:val="44"/>
        </w:rPr>
        <w:t xml:space="preserve"> </w:t>
      </w:r>
    </w:p>
    <w:tbl>
      <w:tblPr>
        <w:tblStyle w:val="13"/>
        <w:tblW w:w="8946" w:type="dxa"/>
        <w:tblInd w:w="93" w:type="dxa"/>
        <w:tblLayout w:type="fixed"/>
        <w:tblCellMar>
          <w:top w:w="0" w:type="dxa"/>
          <w:left w:w="108" w:type="dxa"/>
          <w:bottom w:w="0" w:type="dxa"/>
          <w:right w:w="108" w:type="dxa"/>
        </w:tblCellMar>
      </w:tblPr>
      <w:tblGrid>
        <w:gridCol w:w="682"/>
        <w:gridCol w:w="3302"/>
        <w:gridCol w:w="1276"/>
        <w:gridCol w:w="992"/>
        <w:gridCol w:w="1701"/>
        <w:gridCol w:w="993"/>
      </w:tblGrid>
      <w:tr w14:paraId="3372F9DA">
        <w:tblPrEx>
          <w:tblCellMar>
            <w:top w:w="0" w:type="dxa"/>
            <w:left w:w="108" w:type="dxa"/>
            <w:bottom w:w="0" w:type="dxa"/>
            <w:right w:w="108" w:type="dxa"/>
          </w:tblCellMar>
        </w:tblPrEx>
        <w:trPr>
          <w:trHeight w:val="52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62E16B6F">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序号</w:t>
            </w:r>
          </w:p>
        </w:tc>
        <w:tc>
          <w:tcPr>
            <w:tcW w:w="3302" w:type="dxa"/>
            <w:tcBorders>
              <w:top w:val="single" w:color="000000" w:sz="4" w:space="0"/>
              <w:left w:val="single" w:color="000000" w:sz="4" w:space="0"/>
              <w:bottom w:val="single" w:color="000000" w:sz="4" w:space="0"/>
              <w:right w:val="single" w:color="000000" w:sz="4" w:space="0"/>
            </w:tcBorders>
            <w:vAlign w:val="center"/>
          </w:tcPr>
          <w:p w14:paraId="1E9A8C0A">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故障内容</w:t>
            </w:r>
          </w:p>
        </w:tc>
        <w:tc>
          <w:tcPr>
            <w:tcW w:w="1276" w:type="dxa"/>
            <w:tcBorders>
              <w:top w:val="single" w:color="000000" w:sz="4" w:space="0"/>
              <w:left w:val="single" w:color="000000" w:sz="4" w:space="0"/>
              <w:bottom w:val="single" w:color="000000" w:sz="4" w:space="0"/>
              <w:right w:val="single" w:color="000000" w:sz="4" w:space="0"/>
            </w:tcBorders>
            <w:vAlign w:val="center"/>
          </w:tcPr>
          <w:p w14:paraId="7BD30B0D">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部位</w:t>
            </w:r>
          </w:p>
        </w:tc>
        <w:tc>
          <w:tcPr>
            <w:tcW w:w="992" w:type="dxa"/>
            <w:tcBorders>
              <w:top w:val="single" w:color="000000" w:sz="4" w:space="0"/>
              <w:left w:val="single" w:color="000000" w:sz="4" w:space="0"/>
              <w:bottom w:val="single" w:color="000000" w:sz="4" w:space="0"/>
              <w:right w:val="single" w:color="000000" w:sz="4" w:space="0"/>
            </w:tcBorders>
          </w:tcPr>
          <w:p w14:paraId="6FC78B86">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拟</w:t>
            </w:r>
            <w:r>
              <w:rPr>
                <w:rFonts w:ascii="仿宋" w:hAnsi="仿宋" w:eastAsia="仿宋" w:cs="仿宋"/>
                <w:spacing w:val="-4"/>
                <w:szCs w:val="21"/>
              </w:rPr>
              <w:t>检修</w:t>
            </w:r>
            <w:r>
              <w:rPr>
                <w:rFonts w:hint="eastAsia" w:ascii="仿宋" w:hAnsi="仿宋" w:eastAsia="仿宋" w:cs="仿宋"/>
                <w:spacing w:val="-4"/>
                <w:szCs w:val="21"/>
              </w:rPr>
              <w:t>频次</w:t>
            </w:r>
          </w:p>
        </w:tc>
        <w:tc>
          <w:tcPr>
            <w:tcW w:w="1701" w:type="dxa"/>
            <w:tcBorders>
              <w:top w:val="single" w:color="000000" w:sz="4" w:space="0"/>
              <w:left w:val="single" w:color="000000" w:sz="4" w:space="0"/>
              <w:bottom w:val="single" w:color="000000" w:sz="4" w:space="0"/>
              <w:right w:val="single" w:color="000000" w:sz="4" w:space="0"/>
            </w:tcBorders>
            <w:vAlign w:val="center"/>
          </w:tcPr>
          <w:p w14:paraId="06E476B6">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单价</w:t>
            </w:r>
          </w:p>
        </w:tc>
        <w:tc>
          <w:tcPr>
            <w:tcW w:w="993" w:type="dxa"/>
            <w:tcBorders>
              <w:top w:val="single" w:color="000000" w:sz="4" w:space="0"/>
              <w:left w:val="single" w:color="000000" w:sz="4" w:space="0"/>
              <w:bottom w:val="single" w:color="000000" w:sz="4" w:space="0"/>
              <w:right w:val="single" w:color="000000" w:sz="4" w:space="0"/>
            </w:tcBorders>
            <w:vAlign w:val="center"/>
          </w:tcPr>
          <w:p w14:paraId="5002C419">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合计</w:t>
            </w:r>
          </w:p>
        </w:tc>
      </w:tr>
      <w:tr w14:paraId="2E65E59F">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0BE9657A">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w:t>
            </w:r>
          </w:p>
        </w:tc>
        <w:tc>
          <w:tcPr>
            <w:tcW w:w="3302" w:type="dxa"/>
            <w:tcBorders>
              <w:top w:val="single" w:color="auto" w:sz="4" w:space="0"/>
              <w:left w:val="single" w:color="auto" w:sz="4" w:space="0"/>
              <w:bottom w:val="single" w:color="auto" w:sz="4" w:space="0"/>
              <w:right w:val="single" w:color="auto" w:sz="4" w:space="0"/>
            </w:tcBorders>
            <w:vAlign w:val="center"/>
          </w:tcPr>
          <w:p w14:paraId="553A8901">
            <w:pPr>
              <w:widowControl/>
              <w:jc w:val="left"/>
              <w:rPr>
                <w:rFonts w:ascii="MingLiU" w:hAnsi="MingLiU" w:eastAsia="MingLiU" w:cs="Arial"/>
                <w:kern w:val="0"/>
                <w:sz w:val="20"/>
              </w:rPr>
            </w:pPr>
            <w:r>
              <w:rPr>
                <w:rFonts w:hint="eastAsia" w:ascii="MingLiU" w:hAnsi="MingLiU" w:eastAsia="MingLiU" w:cs="Arial"/>
                <w:sz w:val="20"/>
              </w:rPr>
              <w:t>大车减速机</w:t>
            </w:r>
            <w:r>
              <w:rPr>
                <w:rFonts w:hint="eastAsia" w:cs="Arial"/>
                <w:sz w:val="20"/>
              </w:rPr>
              <w:t>（</w:t>
            </w:r>
            <w:r>
              <w:rPr>
                <w:rFonts w:hint="eastAsia" w:ascii="MingLiU" w:hAnsi="MingLiU" w:eastAsia="MingLiU" w:cs="Arial"/>
                <w:sz w:val="20"/>
              </w:rPr>
              <w:t>TKAT 108</w:t>
            </w:r>
            <w:r>
              <w:rPr>
                <w:rFonts w:hint="eastAsia" w:cs="Arial"/>
                <w:sz w:val="20"/>
              </w:rPr>
              <w:t>）</w:t>
            </w:r>
            <w:r>
              <w:rPr>
                <w:rFonts w:hint="eastAsia" w:ascii="MingLiU" w:hAnsi="MingLiU" w:eastAsia="MingLiU" w:cs="Arial"/>
                <w:sz w:val="20"/>
              </w:rPr>
              <w:t>更换</w:t>
            </w:r>
          </w:p>
        </w:tc>
        <w:tc>
          <w:tcPr>
            <w:tcW w:w="1276" w:type="dxa"/>
            <w:tcBorders>
              <w:top w:val="single" w:color="auto" w:sz="4" w:space="0"/>
              <w:left w:val="single" w:color="auto" w:sz="4" w:space="0"/>
              <w:bottom w:val="single" w:color="auto" w:sz="4" w:space="0"/>
              <w:right w:val="single" w:color="auto" w:sz="4" w:space="0"/>
            </w:tcBorders>
            <w:vAlign w:val="center"/>
          </w:tcPr>
          <w:p w14:paraId="34FA099A">
            <w:pPr>
              <w:widowControl/>
              <w:rPr>
                <w:rFonts w:cs="Arial"/>
                <w:kern w:val="0"/>
                <w:sz w:val="20"/>
              </w:rPr>
            </w:pPr>
            <w:r>
              <w:rPr>
                <w:rFonts w:hint="eastAsia" w:cs="Arial"/>
                <w:sz w:val="20"/>
              </w:rPr>
              <w:t>大车</w:t>
            </w:r>
          </w:p>
        </w:tc>
        <w:tc>
          <w:tcPr>
            <w:tcW w:w="992" w:type="dxa"/>
            <w:tcBorders>
              <w:top w:val="single" w:color="auto" w:sz="4" w:space="0"/>
              <w:left w:val="single" w:color="auto" w:sz="4" w:space="0"/>
              <w:bottom w:val="single" w:color="auto" w:sz="4" w:space="0"/>
              <w:right w:val="single" w:color="auto" w:sz="4" w:space="0"/>
            </w:tcBorders>
            <w:vAlign w:val="center"/>
          </w:tcPr>
          <w:p w14:paraId="2838527F">
            <w:pPr>
              <w:widowControl/>
              <w:jc w:val="center"/>
              <w:rPr>
                <w:rFonts w:ascii="PMingLiU" w:hAnsi="PMingLiU" w:eastAsia="PMingLiU" w:cs="Arial"/>
                <w:kern w:val="0"/>
                <w:sz w:val="20"/>
              </w:rPr>
            </w:pPr>
            <w:r>
              <w:rPr>
                <w:rFonts w:hint="eastAsia" w:ascii="PMingLiU" w:hAnsi="PMingLiU" w:eastAsia="PMingLiU" w:cs="Arial"/>
                <w:sz w:val="20"/>
              </w:rPr>
              <w:t>4</w:t>
            </w:r>
          </w:p>
        </w:tc>
        <w:tc>
          <w:tcPr>
            <w:tcW w:w="1701" w:type="dxa"/>
            <w:tcBorders>
              <w:top w:val="single" w:color="000000" w:sz="4" w:space="0"/>
              <w:left w:val="single" w:color="000000" w:sz="4" w:space="0"/>
              <w:bottom w:val="single" w:color="000000" w:sz="4" w:space="0"/>
              <w:right w:val="single" w:color="000000" w:sz="4" w:space="0"/>
            </w:tcBorders>
            <w:vAlign w:val="center"/>
          </w:tcPr>
          <w:p w14:paraId="12940E01">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3B49634F">
            <w:pPr>
              <w:pStyle w:val="18"/>
              <w:spacing w:line="560" w:lineRule="exact"/>
              <w:ind w:left="202" w:hanging="202" w:hangingChars="100"/>
              <w:rPr>
                <w:rFonts w:ascii="仿宋" w:hAnsi="仿宋" w:eastAsia="仿宋" w:cs="仿宋"/>
                <w:spacing w:val="-4"/>
                <w:szCs w:val="21"/>
              </w:rPr>
            </w:pPr>
          </w:p>
        </w:tc>
      </w:tr>
      <w:tr w14:paraId="06AAD3B0">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0BA9B2A4">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2</w:t>
            </w:r>
          </w:p>
        </w:tc>
        <w:tc>
          <w:tcPr>
            <w:tcW w:w="3302" w:type="dxa"/>
            <w:tcBorders>
              <w:top w:val="nil"/>
              <w:left w:val="single" w:color="auto" w:sz="4" w:space="0"/>
              <w:bottom w:val="single" w:color="auto" w:sz="4" w:space="0"/>
              <w:right w:val="single" w:color="auto" w:sz="4" w:space="0"/>
            </w:tcBorders>
            <w:vAlign w:val="center"/>
          </w:tcPr>
          <w:p w14:paraId="6E7B837F">
            <w:pPr>
              <w:rPr>
                <w:rFonts w:ascii="MingLiU" w:hAnsi="MingLiU" w:eastAsia="MingLiU" w:cs="Arial"/>
                <w:sz w:val="20"/>
              </w:rPr>
            </w:pPr>
            <w:r>
              <w:rPr>
                <w:rFonts w:hint="eastAsia" w:ascii="MingLiU" w:hAnsi="MingLiU" w:eastAsia="MingLiU" w:cs="Arial"/>
                <w:sz w:val="20"/>
              </w:rPr>
              <w:t>大车减速机与车轮连接轴套更换,4</w:t>
            </w:r>
            <w:r>
              <w:rPr>
                <w:rFonts w:hint="eastAsia" w:cs="Arial"/>
                <w:sz w:val="20"/>
              </w:rPr>
              <w:t>套</w:t>
            </w:r>
            <w:r>
              <w:rPr>
                <w:rFonts w:hint="eastAsia" w:ascii="MingLiU" w:hAnsi="MingLiU" w:eastAsia="MingLiU" w:cs="Arial"/>
                <w:sz w:val="20"/>
              </w:rPr>
              <w:t>/</w:t>
            </w:r>
            <w:r>
              <w:rPr>
                <w:rFonts w:hint="eastAsia" w:cs="Arial"/>
                <w:sz w:val="20"/>
              </w:rPr>
              <w:t>次</w:t>
            </w:r>
          </w:p>
        </w:tc>
        <w:tc>
          <w:tcPr>
            <w:tcW w:w="1276" w:type="dxa"/>
            <w:tcBorders>
              <w:top w:val="nil"/>
              <w:left w:val="single" w:color="auto" w:sz="4" w:space="0"/>
              <w:bottom w:val="single" w:color="auto" w:sz="4" w:space="0"/>
              <w:right w:val="single" w:color="auto" w:sz="4" w:space="0"/>
            </w:tcBorders>
            <w:vAlign w:val="center"/>
          </w:tcPr>
          <w:p w14:paraId="79BA1D1A">
            <w:pPr>
              <w:rPr>
                <w:rFonts w:cs="Arial"/>
                <w:sz w:val="20"/>
              </w:rPr>
            </w:pPr>
            <w:r>
              <w:rPr>
                <w:rFonts w:hint="eastAsia" w:cs="Arial"/>
                <w:sz w:val="20"/>
              </w:rPr>
              <w:t>大车</w:t>
            </w:r>
          </w:p>
        </w:tc>
        <w:tc>
          <w:tcPr>
            <w:tcW w:w="992" w:type="dxa"/>
            <w:tcBorders>
              <w:top w:val="nil"/>
              <w:left w:val="single" w:color="auto" w:sz="4" w:space="0"/>
              <w:bottom w:val="single" w:color="auto" w:sz="4" w:space="0"/>
              <w:right w:val="single" w:color="auto" w:sz="4" w:space="0"/>
            </w:tcBorders>
            <w:vAlign w:val="center"/>
          </w:tcPr>
          <w:p w14:paraId="4C9BBDF4">
            <w:pPr>
              <w:jc w:val="center"/>
              <w:rPr>
                <w:rFonts w:ascii="PMingLiU" w:hAnsi="PMingLiU" w:cs="Arial"/>
                <w:sz w:val="20"/>
              </w:rPr>
            </w:pPr>
            <w:r>
              <w:rPr>
                <w:rFonts w:hint="eastAsia" w:ascii="PMingLiU" w:hAnsi="PMingLiU" w:cs="Arial"/>
                <w:color w:val="FF00FF"/>
                <w:sz w:val="20"/>
              </w:rPr>
              <w:t>16</w:t>
            </w:r>
          </w:p>
        </w:tc>
        <w:tc>
          <w:tcPr>
            <w:tcW w:w="1701" w:type="dxa"/>
            <w:tcBorders>
              <w:top w:val="single" w:color="000000" w:sz="4" w:space="0"/>
              <w:left w:val="single" w:color="000000" w:sz="4" w:space="0"/>
              <w:bottom w:val="single" w:color="000000" w:sz="4" w:space="0"/>
              <w:right w:val="single" w:color="000000" w:sz="4" w:space="0"/>
            </w:tcBorders>
            <w:vAlign w:val="center"/>
          </w:tcPr>
          <w:p w14:paraId="5D0665DB">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6D18D27">
            <w:pPr>
              <w:pStyle w:val="18"/>
              <w:spacing w:line="560" w:lineRule="exact"/>
              <w:ind w:left="202" w:hanging="202" w:hangingChars="100"/>
              <w:rPr>
                <w:rFonts w:ascii="仿宋" w:hAnsi="仿宋" w:eastAsia="仿宋" w:cs="仿宋"/>
                <w:spacing w:val="-4"/>
                <w:szCs w:val="21"/>
              </w:rPr>
            </w:pPr>
          </w:p>
        </w:tc>
      </w:tr>
      <w:tr w14:paraId="518A02C3">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2A55E06C">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3</w:t>
            </w:r>
          </w:p>
        </w:tc>
        <w:tc>
          <w:tcPr>
            <w:tcW w:w="3302" w:type="dxa"/>
            <w:tcBorders>
              <w:top w:val="nil"/>
              <w:left w:val="single" w:color="auto" w:sz="4" w:space="0"/>
              <w:bottom w:val="single" w:color="auto" w:sz="4" w:space="0"/>
              <w:right w:val="single" w:color="auto" w:sz="4" w:space="0"/>
            </w:tcBorders>
            <w:vAlign w:val="center"/>
          </w:tcPr>
          <w:p w14:paraId="0FF52A7B">
            <w:pPr>
              <w:rPr>
                <w:rFonts w:ascii="MingLiU" w:hAnsi="MingLiU" w:eastAsia="MingLiU" w:cs="Arial"/>
                <w:sz w:val="20"/>
              </w:rPr>
            </w:pPr>
            <w:r>
              <w:rPr>
                <w:rFonts w:hint="eastAsia" w:ascii="MingLiU" w:hAnsi="MingLiU" w:eastAsia="MingLiU" w:cs="Arial"/>
                <w:sz w:val="20"/>
              </w:rPr>
              <w:t>大车减速机更换输入轴（含轴承、油封）</w:t>
            </w:r>
          </w:p>
        </w:tc>
        <w:tc>
          <w:tcPr>
            <w:tcW w:w="1276" w:type="dxa"/>
            <w:tcBorders>
              <w:top w:val="nil"/>
              <w:left w:val="single" w:color="auto" w:sz="4" w:space="0"/>
              <w:bottom w:val="single" w:color="auto" w:sz="4" w:space="0"/>
              <w:right w:val="single" w:color="auto" w:sz="4" w:space="0"/>
            </w:tcBorders>
            <w:vAlign w:val="center"/>
          </w:tcPr>
          <w:p w14:paraId="69F3ED83">
            <w:pPr>
              <w:rPr>
                <w:rFonts w:cs="Arial"/>
                <w:sz w:val="20"/>
              </w:rPr>
            </w:pPr>
            <w:r>
              <w:rPr>
                <w:rFonts w:hint="eastAsia" w:cs="Arial"/>
                <w:sz w:val="20"/>
              </w:rPr>
              <w:t>大车</w:t>
            </w:r>
          </w:p>
        </w:tc>
        <w:tc>
          <w:tcPr>
            <w:tcW w:w="992" w:type="dxa"/>
            <w:tcBorders>
              <w:top w:val="nil"/>
              <w:left w:val="single" w:color="auto" w:sz="4" w:space="0"/>
              <w:bottom w:val="single" w:color="auto" w:sz="4" w:space="0"/>
              <w:right w:val="single" w:color="auto" w:sz="4" w:space="0"/>
            </w:tcBorders>
            <w:vAlign w:val="center"/>
          </w:tcPr>
          <w:p w14:paraId="396BBBE9">
            <w:pPr>
              <w:jc w:val="center"/>
              <w:rPr>
                <w:rFonts w:ascii="PMingLiU" w:hAnsi="PMingLiU" w:eastAsia="PMingLiU" w:cs="Arial"/>
                <w:sz w:val="20"/>
              </w:rPr>
            </w:pPr>
            <w:r>
              <w:rPr>
                <w:rFonts w:hint="eastAsia" w:ascii="PMingLiU" w:hAnsi="PMingLiU"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52E8BD7D">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F6ECBEC">
            <w:pPr>
              <w:pStyle w:val="18"/>
              <w:spacing w:line="560" w:lineRule="exact"/>
              <w:ind w:left="202" w:hanging="202" w:hangingChars="100"/>
              <w:rPr>
                <w:rFonts w:ascii="仿宋" w:hAnsi="仿宋" w:eastAsia="仿宋" w:cs="仿宋"/>
                <w:spacing w:val="-4"/>
                <w:szCs w:val="21"/>
              </w:rPr>
            </w:pPr>
          </w:p>
        </w:tc>
      </w:tr>
      <w:tr w14:paraId="19651A54">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3F085D5C">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4</w:t>
            </w:r>
          </w:p>
        </w:tc>
        <w:tc>
          <w:tcPr>
            <w:tcW w:w="3302" w:type="dxa"/>
            <w:tcBorders>
              <w:top w:val="nil"/>
              <w:left w:val="single" w:color="auto" w:sz="4" w:space="0"/>
              <w:bottom w:val="single" w:color="auto" w:sz="4" w:space="0"/>
              <w:right w:val="single" w:color="auto" w:sz="4" w:space="0"/>
            </w:tcBorders>
            <w:vAlign w:val="center"/>
          </w:tcPr>
          <w:p w14:paraId="0E34D69F">
            <w:pPr>
              <w:rPr>
                <w:rFonts w:ascii="MingLiU" w:hAnsi="MingLiU" w:eastAsia="MingLiU" w:cs="Arial"/>
                <w:sz w:val="20"/>
              </w:rPr>
            </w:pPr>
            <w:r>
              <w:rPr>
                <w:rFonts w:hint="eastAsia" w:ascii="MingLiU" w:hAnsi="MingLiU" w:eastAsia="MingLiU" w:cs="Arial"/>
                <w:sz w:val="20"/>
              </w:rPr>
              <w:t>大车刹车更换电磁失电制动器</w:t>
            </w:r>
          </w:p>
        </w:tc>
        <w:tc>
          <w:tcPr>
            <w:tcW w:w="1276" w:type="dxa"/>
            <w:tcBorders>
              <w:top w:val="nil"/>
              <w:left w:val="single" w:color="auto" w:sz="4" w:space="0"/>
              <w:bottom w:val="single" w:color="auto" w:sz="4" w:space="0"/>
              <w:right w:val="single" w:color="auto" w:sz="4" w:space="0"/>
            </w:tcBorders>
            <w:vAlign w:val="center"/>
          </w:tcPr>
          <w:p w14:paraId="1F8A5497">
            <w:pPr>
              <w:rPr>
                <w:rFonts w:cs="Arial"/>
                <w:sz w:val="20"/>
              </w:rPr>
            </w:pPr>
            <w:r>
              <w:rPr>
                <w:rFonts w:hint="eastAsia" w:cs="Arial"/>
                <w:sz w:val="20"/>
              </w:rPr>
              <w:t>大车</w:t>
            </w:r>
          </w:p>
        </w:tc>
        <w:tc>
          <w:tcPr>
            <w:tcW w:w="992" w:type="dxa"/>
            <w:tcBorders>
              <w:top w:val="nil"/>
              <w:left w:val="single" w:color="auto" w:sz="4" w:space="0"/>
              <w:bottom w:val="single" w:color="auto" w:sz="4" w:space="0"/>
              <w:right w:val="single" w:color="auto" w:sz="4" w:space="0"/>
            </w:tcBorders>
            <w:vAlign w:val="center"/>
          </w:tcPr>
          <w:p w14:paraId="254444B0">
            <w:pPr>
              <w:jc w:val="center"/>
              <w:rPr>
                <w:rFonts w:ascii="PMingLiU" w:hAnsi="PMingLiU" w:eastAsia="PMingLiU" w:cs="Arial"/>
                <w:sz w:val="20"/>
              </w:rPr>
            </w:pPr>
            <w:r>
              <w:rPr>
                <w:rFonts w:hint="eastAsia" w:ascii="PMingLiU" w:hAnsi="PMingLiU" w:eastAsia="PMingLiU" w:cs="Arial"/>
                <w:sz w:val="20"/>
              </w:rPr>
              <w:t>4</w:t>
            </w:r>
          </w:p>
        </w:tc>
        <w:tc>
          <w:tcPr>
            <w:tcW w:w="1701" w:type="dxa"/>
            <w:tcBorders>
              <w:top w:val="single" w:color="000000" w:sz="4" w:space="0"/>
              <w:left w:val="single" w:color="000000" w:sz="4" w:space="0"/>
              <w:bottom w:val="single" w:color="000000" w:sz="4" w:space="0"/>
              <w:right w:val="single" w:color="000000" w:sz="4" w:space="0"/>
            </w:tcBorders>
            <w:vAlign w:val="center"/>
          </w:tcPr>
          <w:p w14:paraId="4DA5FC88">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1E1132C9">
            <w:pPr>
              <w:pStyle w:val="18"/>
              <w:spacing w:line="560" w:lineRule="exact"/>
              <w:ind w:left="202" w:hanging="202" w:hangingChars="100"/>
              <w:rPr>
                <w:rFonts w:ascii="仿宋" w:hAnsi="仿宋" w:eastAsia="仿宋" w:cs="仿宋"/>
                <w:spacing w:val="-4"/>
                <w:szCs w:val="21"/>
              </w:rPr>
            </w:pPr>
          </w:p>
        </w:tc>
      </w:tr>
      <w:tr w14:paraId="2CFD4133">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5745B91E">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5</w:t>
            </w:r>
          </w:p>
        </w:tc>
        <w:tc>
          <w:tcPr>
            <w:tcW w:w="3302" w:type="dxa"/>
            <w:tcBorders>
              <w:top w:val="nil"/>
              <w:left w:val="single" w:color="auto" w:sz="4" w:space="0"/>
              <w:bottom w:val="single" w:color="auto" w:sz="4" w:space="0"/>
              <w:right w:val="single" w:color="auto" w:sz="4" w:space="0"/>
            </w:tcBorders>
            <w:vAlign w:val="center"/>
          </w:tcPr>
          <w:p w14:paraId="1F4AB4B7">
            <w:pPr>
              <w:rPr>
                <w:rFonts w:ascii="MingLiU" w:hAnsi="MingLiU" w:eastAsia="MingLiU" w:cs="Arial"/>
                <w:sz w:val="20"/>
              </w:rPr>
            </w:pPr>
            <w:r>
              <w:rPr>
                <w:rFonts w:hint="eastAsia" w:ascii="MingLiU" w:hAnsi="MingLiU" w:eastAsia="MingLiU" w:cs="Arial"/>
                <w:sz w:val="20"/>
              </w:rPr>
              <w:t>大车</w:t>
            </w:r>
            <w:r>
              <w:rPr>
                <w:rFonts w:hint="eastAsia" w:cs="Arial"/>
                <w:sz w:val="20"/>
              </w:rPr>
              <w:t>运行</w:t>
            </w:r>
            <w:r>
              <w:rPr>
                <w:rFonts w:hint="eastAsia" w:ascii="MingLiU" w:hAnsi="MingLiU" w:eastAsia="MingLiU" w:cs="Arial"/>
                <w:sz w:val="20"/>
              </w:rPr>
              <w:t>制动器更换</w:t>
            </w:r>
          </w:p>
        </w:tc>
        <w:tc>
          <w:tcPr>
            <w:tcW w:w="1276" w:type="dxa"/>
            <w:tcBorders>
              <w:top w:val="nil"/>
              <w:left w:val="single" w:color="auto" w:sz="4" w:space="0"/>
              <w:bottom w:val="single" w:color="auto" w:sz="4" w:space="0"/>
              <w:right w:val="single" w:color="auto" w:sz="4" w:space="0"/>
            </w:tcBorders>
            <w:vAlign w:val="center"/>
          </w:tcPr>
          <w:p w14:paraId="597C06CA">
            <w:pPr>
              <w:rPr>
                <w:rFonts w:cs="Arial"/>
                <w:sz w:val="20"/>
              </w:rPr>
            </w:pPr>
            <w:r>
              <w:rPr>
                <w:rFonts w:hint="eastAsia" w:cs="Arial"/>
                <w:sz w:val="20"/>
              </w:rPr>
              <w:t>大车</w:t>
            </w:r>
          </w:p>
        </w:tc>
        <w:tc>
          <w:tcPr>
            <w:tcW w:w="992" w:type="dxa"/>
            <w:tcBorders>
              <w:top w:val="nil"/>
              <w:left w:val="single" w:color="auto" w:sz="4" w:space="0"/>
              <w:bottom w:val="single" w:color="auto" w:sz="4" w:space="0"/>
              <w:right w:val="single" w:color="auto" w:sz="4" w:space="0"/>
            </w:tcBorders>
            <w:vAlign w:val="center"/>
          </w:tcPr>
          <w:p w14:paraId="38F0A131">
            <w:pPr>
              <w:jc w:val="center"/>
              <w:rPr>
                <w:rFonts w:ascii="PMingLiU" w:hAnsi="PMingLiU" w:eastAsia="PMingLiU" w:cs="Arial"/>
                <w:sz w:val="20"/>
              </w:rPr>
            </w:pPr>
            <w:r>
              <w:rPr>
                <w:rFonts w:hint="eastAsia" w:ascii="PMingLiU" w:hAnsi="PMingLiU" w:eastAsia="PMingLiU" w:cs="Arial"/>
                <w:sz w:val="20"/>
              </w:rPr>
              <w:t>2</w:t>
            </w:r>
          </w:p>
        </w:tc>
        <w:tc>
          <w:tcPr>
            <w:tcW w:w="1701" w:type="dxa"/>
            <w:tcBorders>
              <w:top w:val="single" w:color="000000" w:sz="4" w:space="0"/>
              <w:left w:val="single" w:color="000000" w:sz="4" w:space="0"/>
              <w:bottom w:val="single" w:color="000000" w:sz="4" w:space="0"/>
              <w:right w:val="single" w:color="000000" w:sz="4" w:space="0"/>
            </w:tcBorders>
            <w:vAlign w:val="center"/>
          </w:tcPr>
          <w:p w14:paraId="29A1BF44">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4211E11">
            <w:pPr>
              <w:pStyle w:val="18"/>
              <w:spacing w:line="560" w:lineRule="exact"/>
              <w:ind w:left="202" w:hanging="202" w:hangingChars="100"/>
              <w:rPr>
                <w:rFonts w:ascii="仿宋" w:hAnsi="仿宋" w:eastAsia="仿宋" w:cs="仿宋"/>
                <w:spacing w:val="-4"/>
                <w:szCs w:val="21"/>
              </w:rPr>
            </w:pPr>
          </w:p>
        </w:tc>
      </w:tr>
      <w:tr w14:paraId="3B5941FB">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30BEFA40">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6</w:t>
            </w:r>
          </w:p>
        </w:tc>
        <w:tc>
          <w:tcPr>
            <w:tcW w:w="3302" w:type="dxa"/>
            <w:tcBorders>
              <w:top w:val="nil"/>
              <w:left w:val="single" w:color="auto" w:sz="4" w:space="0"/>
              <w:bottom w:val="single" w:color="auto" w:sz="4" w:space="0"/>
              <w:right w:val="single" w:color="auto" w:sz="4" w:space="0"/>
            </w:tcBorders>
            <w:vAlign w:val="center"/>
          </w:tcPr>
          <w:p w14:paraId="66A7BD1D">
            <w:pPr>
              <w:rPr>
                <w:rFonts w:ascii="MingLiU" w:hAnsi="MingLiU" w:eastAsia="MingLiU" w:cs="Arial"/>
                <w:sz w:val="20"/>
              </w:rPr>
            </w:pPr>
            <w:r>
              <w:rPr>
                <w:rFonts w:hint="eastAsia" w:ascii="MingLiU" w:hAnsi="MingLiU" w:eastAsia="MingLiU" w:cs="Arial"/>
                <w:sz w:val="20"/>
              </w:rPr>
              <w:t>大车电机更换</w:t>
            </w:r>
            <w:r>
              <w:rPr>
                <w:rFonts w:hint="eastAsia" w:cs="Arial"/>
                <w:sz w:val="20"/>
              </w:rPr>
              <w:t>（</w:t>
            </w:r>
            <w:r>
              <w:rPr>
                <w:rFonts w:hint="eastAsia" w:ascii="MingLiU" w:hAnsi="MingLiU" w:eastAsia="MingLiU" w:cs="Arial"/>
                <w:sz w:val="20"/>
              </w:rPr>
              <w:t>11KW</w:t>
            </w:r>
            <w:r>
              <w:rPr>
                <w:rFonts w:hint="eastAsia" w:cs="Arial"/>
                <w:sz w:val="20"/>
              </w:rPr>
              <w:t>）</w:t>
            </w:r>
          </w:p>
        </w:tc>
        <w:tc>
          <w:tcPr>
            <w:tcW w:w="1276" w:type="dxa"/>
            <w:tcBorders>
              <w:top w:val="nil"/>
              <w:left w:val="single" w:color="auto" w:sz="4" w:space="0"/>
              <w:bottom w:val="single" w:color="auto" w:sz="4" w:space="0"/>
              <w:right w:val="single" w:color="auto" w:sz="4" w:space="0"/>
            </w:tcBorders>
            <w:vAlign w:val="center"/>
          </w:tcPr>
          <w:p w14:paraId="6692CA5C">
            <w:pPr>
              <w:rPr>
                <w:rFonts w:cs="Arial"/>
                <w:sz w:val="20"/>
              </w:rPr>
            </w:pPr>
            <w:r>
              <w:rPr>
                <w:rFonts w:hint="eastAsia" w:cs="Arial"/>
                <w:sz w:val="20"/>
              </w:rPr>
              <w:t>大车</w:t>
            </w:r>
          </w:p>
        </w:tc>
        <w:tc>
          <w:tcPr>
            <w:tcW w:w="992" w:type="dxa"/>
            <w:tcBorders>
              <w:top w:val="nil"/>
              <w:left w:val="single" w:color="auto" w:sz="4" w:space="0"/>
              <w:bottom w:val="single" w:color="auto" w:sz="4" w:space="0"/>
              <w:right w:val="single" w:color="auto" w:sz="4" w:space="0"/>
            </w:tcBorders>
            <w:vAlign w:val="center"/>
          </w:tcPr>
          <w:p w14:paraId="41836C0D">
            <w:pPr>
              <w:jc w:val="center"/>
              <w:rPr>
                <w:rFonts w:ascii="PMingLiU" w:hAnsi="PMingLiU" w:eastAsia="PMingLiU" w:cs="Arial"/>
                <w:sz w:val="20"/>
              </w:rPr>
            </w:pPr>
            <w:r>
              <w:rPr>
                <w:rFonts w:hint="eastAsia" w:ascii="PMingLiU" w:hAnsi="PMingLiU" w:eastAsia="PMingLiU" w:cs="Arial"/>
                <w:sz w:val="20"/>
              </w:rPr>
              <w:t>4</w:t>
            </w:r>
          </w:p>
        </w:tc>
        <w:tc>
          <w:tcPr>
            <w:tcW w:w="1701" w:type="dxa"/>
            <w:tcBorders>
              <w:top w:val="single" w:color="000000" w:sz="4" w:space="0"/>
              <w:left w:val="single" w:color="000000" w:sz="4" w:space="0"/>
              <w:bottom w:val="single" w:color="000000" w:sz="4" w:space="0"/>
              <w:right w:val="single" w:color="000000" w:sz="4" w:space="0"/>
            </w:tcBorders>
            <w:vAlign w:val="center"/>
          </w:tcPr>
          <w:p w14:paraId="253F0A0D">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2C38D1E">
            <w:pPr>
              <w:pStyle w:val="18"/>
              <w:spacing w:line="560" w:lineRule="exact"/>
              <w:ind w:left="202" w:hanging="202" w:hangingChars="100"/>
              <w:rPr>
                <w:rFonts w:ascii="仿宋" w:hAnsi="仿宋" w:eastAsia="仿宋" w:cs="仿宋"/>
                <w:spacing w:val="-4"/>
                <w:szCs w:val="21"/>
              </w:rPr>
            </w:pPr>
          </w:p>
        </w:tc>
      </w:tr>
      <w:tr w14:paraId="47164435">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7305B2DD">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7</w:t>
            </w:r>
          </w:p>
        </w:tc>
        <w:tc>
          <w:tcPr>
            <w:tcW w:w="3302" w:type="dxa"/>
            <w:tcBorders>
              <w:top w:val="nil"/>
              <w:left w:val="single" w:color="auto" w:sz="4" w:space="0"/>
              <w:bottom w:val="single" w:color="auto" w:sz="4" w:space="0"/>
              <w:right w:val="single" w:color="auto" w:sz="4" w:space="0"/>
            </w:tcBorders>
            <w:vAlign w:val="center"/>
          </w:tcPr>
          <w:p w14:paraId="6298BCE6">
            <w:pPr>
              <w:rPr>
                <w:rFonts w:ascii="MingLiU" w:hAnsi="MingLiU" w:eastAsia="MingLiU" w:cs="Arial"/>
                <w:sz w:val="20"/>
              </w:rPr>
            </w:pPr>
            <w:r>
              <w:rPr>
                <w:rFonts w:hint="eastAsia" w:ascii="MingLiU" w:hAnsi="MingLiU" w:eastAsia="MingLiU" w:cs="Arial"/>
                <w:sz w:val="20"/>
              </w:rPr>
              <w:t>小车运行制动器更换</w:t>
            </w:r>
          </w:p>
        </w:tc>
        <w:tc>
          <w:tcPr>
            <w:tcW w:w="1276" w:type="dxa"/>
            <w:tcBorders>
              <w:top w:val="nil"/>
              <w:left w:val="single" w:color="auto" w:sz="4" w:space="0"/>
              <w:bottom w:val="single" w:color="auto" w:sz="4" w:space="0"/>
              <w:right w:val="single" w:color="auto" w:sz="4" w:space="0"/>
            </w:tcBorders>
            <w:vAlign w:val="center"/>
          </w:tcPr>
          <w:p w14:paraId="4D9FE248">
            <w:pPr>
              <w:rPr>
                <w:rFonts w:cs="Arial"/>
                <w:sz w:val="20"/>
              </w:rPr>
            </w:pPr>
            <w:r>
              <w:rPr>
                <w:rFonts w:hint="eastAsia" w:cs="Arial"/>
                <w:sz w:val="20"/>
              </w:rPr>
              <w:t>小车</w:t>
            </w:r>
          </w:p>
        </w:tc>
        <w:tc>
          <w:tcPr>
            <w:tcW w:w="992" w:type="dxa"/>
            <w:tcBorders>
              <w:top w:val="nil"/>
              <w:left w:val="single" w:color="auto" w:sz="4" w:space="0"/>
              <w:bottom w:val="single" w:color="auto" w:sz="4" w:space="0"/>
              <w:right w:val="single" w:color="auto" w:sz="4" w:space="0"/>
            </w:tcBorders>
            <w:vAlign w:val="center"/>
          </w:tcPr>
          <w:p w14:paraId="1ED315CF">
            <w:pPr>
              <w:jc w:val="center"/>
              <w:rPr>
                <w:rFonts w:ascii="PMingLiU" w:hAnsi="PMingLiU" w:eastAsia="PMingLiU" w:cs="Arial"/>
                <w:sz w:val="20"/>
              </w:rPr>
            </w:pPr>
            <w:r>
              <w:rPr>
                <w:rFonts w:hint="eastAsia" w:ascii="PMingLiU" w:hAnsi="PMingLiU" w:eastAsia="PMingLiU" w:cs="Arial"/>
                <w:sz w:val="20"/>
              </w:rPr>
              <w:t>2</w:t>
            </w:r>
          </w:p>
        </w:tc>
        <w:tc>
          <w:tcPr>
            <w:tcW w:w="1701" w:type="dxa"/>
            <w:tcBorders>
              <w:top w:val="single" w:color="000000" w:sz="4" w:space="0"/>
              <w:left w:val="single" w:color="000000" w:sz="4" w:space="0"/>
              <w:bottom w:val="single" w:color="000000" w:sz="4" w:space="0"/>
              <w:right w:val="single" w:color="000000" w:sz="4" w:space="0"/>
            </w:tcBorders>
            <w:vAlign w:val="center"/>
          </w:tcPr>
          <w:p w14:paraId="6CB80455">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92DDA47">
            <w:pPr>
              <w:pStyle w:val="18"/>
              <w:spacing w:line="560" w:lineRule="exact"/>
              <w:ind w:left="202" w:hanging="202" w:hangingChars="100"/>
              <w:rPr>
                <w:rFonts w:ascii="仿宋" w:hAnsi="仿宋" w:eastAsia="仿宋" w:cs="仿宋"/>
                <w:spacing w:val="-4"/>
                <w:szCs w:val="21"/>
              </w:rPr>
            </w:pPr>
          </w:p>
        </w:tc>
      </w:tr>
      <w:tr w14:paraId="05C70514">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7F4EAF0F">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8</w:t>
            </w:r>
          </w:p>
        </w:tc>
        <w:tc>
          <w:tcPr>
            <w:tcW w:w="3302" w:type="dxa"/>
            <w:tcBorders>
              <w:top w:val="nil"/>
              <w:left w:val="single" w:color="auto" w:sz="4" w:space="0"/>
              <w:bottom w:val="single" w:color="auto" w:sz="4" w:space="0"/>
              <w:right w:val="single" w:color="auto" w:sz="4" w:space="0"/>
            </w:tcBorders>
            <w:vAlign w:val="center"/>
          </w:tcPr>
          <w:p w14:paraId="62886AA6">
            <w:pPr>
              <w:rPr>
                <w:rFonts w:ascii="MingLiU" w:hAnsi="MingLiU" w:eastAsia="MingLiU" w:cs="Arial"/>
                <w:sz w:val="20"/>
              </w:rPr>
            </w:pPr>
            <w:r>
              <w:rPr>
                <w:rFonts w:hint="eastAsia" w:ascii="MingLiU" w:hAnsi="MingLiU" w:eastAsia="MingLiU" w:cs="Arial"/>
                <w:sz w:val="20"/>
              </w:rPr>
              <w:t>司机室大车（小车）操作手柄更换</w:t>
            </w:r>
          </w:p>
        </w:tc>
        <w:tc>
          <w:tcPr>
            <w:tcW w:w="1276" w:type="dxa"/>
            <w:tcBorders>
              <w:top w:val="nil"/>
              <w:left w:val="single" w:color="auto" w:sz="4" w:space="0"/>
              <w:bottom w:val="single" w:color="auto" w:sz="4" w:space="0"/>
              <w:right w:val="single" w:color="auto" w:sz="4" w:space="0"/>
            </w:tcBorders>
            <w:vAlign w:val="center"/>
          </w:tcPr>
          <w:p w14:paraId="043300B0">
            <w:pPr>
              <w:rPr>
                <w:rFonts w:cs="Arial"/>
                <w:sz w:val="20"/>
              </w:rPr>
            </w:pPr>
            <w:r>
              <w:rPr>
                <w:rFonts w:hint="eastAsia" w:cs="Arial"/>
                <w:sz w:val="20"/>
              </w:rPr>
              <w:t>司机室</w:t>
            </w:r>
          </w:p>
        </w:tc>
        <w:tc>
          <w:tcPr>
            <w:tcW w:w="992" w:type="dxa"/>
            <w:tcBorders>
              <w:top w:val="nil"/>
              <w:left w:val="single" w:color="auto" w:sz="4" w:space="0"/>
              <w:bottom w:val="single" w:color="auto" w:sz="4" w:space="0"/>
              <w:right w:val="single" w:color="auto" w:sz="4" w:space="0"/>
            </w:tcBorders>
            <w:vAlign w:val="center"/>
          </w:tcPr>
          <w:p w14:paraId="5ACA2905">
            <w:pPr>
              <w:jc w:val="center"/>
              <w:rPr>
                <w:rFonts w:ascii="PMingLiU" w:hAnsi="PMingLiU" w:cs="Arial"/>
                <w:sz w:val="20"/>
              </w:rPr>
            </w:pPr>
            <w:r>
              <w:rPr>
                <w:rFonts w:hint="eastAsia" w:ascii="PMingLiU" w:hAnsi="PMingLiU" w:cs="Arial"/>
                <w:color w:val="FF00FF"/>
                <w:sz w:val="20"/>
              </w:rPr>
              <w:t>4</w:t>
            </w:r>
          </w:p>
        </w:tc>
        <w:tc>
          <w:tcPr>
            <w:tcW w:w="1701" w:type="dxa"/>
            <w:tcBorders>
              <w:top w:val="single" w:color="000000" w:sz="4" w:space="0"/>
              <w:left w:val="single" w:color="000000" w:sz="4" w:space="0"/>
              <w:bottom w:val="single" w:color="000000" w:sz="4" w:space="0"/>
              <w:right w:val="single" w:color="000000" w:sz="4" w:space="0"/>
            </w:tcBorders>
            <w:vAlign w:val="center"/>
          </w:tcPr>
          <w:p w14:paraId="153EDF2B">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9717BD3">
            <w:pPr>
              <w:pStyle w:val="18"/>
              <w:spacing w:line="560" w:lineRule="exact"/>
              <w:ind w:left="202" w:hanging="202" w:hangingChars="100"/>
              <w:rPr>
                <w:rFonts w:ascii="仿宋" w:hAnsi="仿宋" w:eastAsia="仿宋" w:cs="仿宋"/>
                <w:spacing w:val="-4"/>
                <w:szCs w:val="21"/>
              </w:rPr>
            </w:pPr>
          </w:p>
        </w:tc>
      </w:tr>
      <w:tr w14:paraId="0A7B7965">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71520DDC">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9</w:t>
            </w:r>
          </w:p>
        </w:tc>
        <w:tc>
          <w:tcPr>
            <w:tcW w:w="3302" w:type="dxa"/>
            <w:tcBorders>
              <w:top w:val="nil"/>
              <w:left w:val="single" w:color="auto" w:sz="4" w:space="0"/>
              <w:bottom w:val="single" w:color="auto" w:sz="4" w:space="0"/>
              <w:right w:val="single" w:color="auto" w:sz="4" w:space="0"/>
            </w:tcBorders>
            <w:vAlign w:val="center"/>
          </w:tcPr>
          <w:p w14:paraId="43C2087A">
            <w:pPr>
              <w:rPr>
                <w:rFonts w:ascii="MingLiU" w:hAnsi="MingLiU" w:eastAsia="MingLiU" w:cs="Arial"/>
                <w:sz w:val="20"/>
              </w:rPr>
            </w:pPr>
            <w:r>
              <w:rPr>
                <w:rFonts w:hint="eastAsia" w:ascii="MingLiU" w:hAnsi="MingLiU" w:eastAsia="MingLiU" w:cs="Arial"/>
                <w:sz w:val="20"/>
              </w:rPr>
              <w:t>电缆滑车拉绳更换</w:t>
            </w:r>
          </w:p>
        </w:tc>
        <w:tc>
          <w:tcPr>
            <w:tcW w:w="1276" w:type="dxa"/>
            <w:tcBorders>
              <w:top w:val="nil"/>
              <w:left w:val="single" w:color="auto" w:sz="4" w:space="0"/>
              <w:bottom w:val="single" w:color="auto" w:sz="4" w:space="0"/>
              <w:right w:val="single" w:color="auto" w:sz="4" w:space="0"/>
            </w:tcBorders>
            <w:vAlign w:val="center"/>
          </w:tcPr>
          <w:p w14:paraId="3CBF6680">
            <w:pPr>
              <w:rPr>
                <w:rFonts w:cs="Arial"/>
                <w:sz w:val="20"/>
              </w:rPr>
            </w:pPr>
            <w:r>
              <w:rPr>
                <w:rFonts w:hint="eastAsia" w:cs="Arial"/>
                <w:sz w:val="20"/>
              </w:rPr>
              <w:t>机房</w:t>
            </w:r>
          </w:p>
        </w:tc>
        <w:tc>
          <w:tcPr>
            <w:tcW w:w="992" w:type="dxa"/>
            <w:tcBorders>
              <w:top w:val="nil"/>
              <w:left w:val="single" w:color="auto" w:sz="4" w:space="0"/>
              <w:bottom w:val="single" w:color="auto" w:sz="4" w:space="0"/>
              <w:right w:val="single" w:color="auto" w:sz="4" w:space="0"/>
            </w:tcBorders>
            <w:vAlign w:val="center"/>
          </w:tcPr>
          <w:p w14:paraId="58F9CE3A">
            <w:pPr>
              <w:jc w:val="center"/>
              <w:rPr>
                <w:rFonts w:ascii="PMingLiU" w:hAnsi="PMingLiU" w:eastAsia="PMingLiU" w:cs="Arial"/>
                <w:sz w:val="20"/>
              </w:rPr>
            </w:pPr>
            <w:r>
              <w:rPr>
                <w:rFonts w:hint="eastAsia" w:ascii="PMingLiU" w:hAnsi="PMingLiU"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5C2730FF">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05B5222">
            <w:pPr>
              <w:pStyle w:val="18"/>
              <w:spacing w:line="560" w:lineRule="exact"/>
              <w:ind w:left="202" w:hanging="202" w:hangingChars="100"/>
              <w:rPr>
                <w:rFonts w:ascii="仿宋" w:hAnsi="仿宋" w:eastAsia="仿宋" w:cs="仿宋"/>
                <w:spacing w:val="-4"/>
                <w:szCs w:val="21"/>
              </w:rPr>
            </w:pPr>
          </w:p>
        </w:tc>
      </w:tr>
      <w:tr w14:paraId="47CAFE28">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521F03BE">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10</w:t>
            </w:r>
          </w:p>
        </w:tc>
        <w:tc>
          <w:tcPr>
            <w:tcW w:w="3302" w:type="dxa"/>
            <w:tcBorders>
              <w:top w:val="nil"/>
              <w:left w:val="single" w:color="auto" w:sz="4" w:space="0"/>
              <w:bottom w:val="single" w:color="auto" w:sz="4" w:space="0"/>
              <w:right w:val="single" w:color="auto" w:sz="4" w:space="0"/>
            </w:tcBorders>
            <w:vAlign w:val="center"/>
          </w:tcPr>
          <w:p w14:paraId="7754C11A">
            <w:pPr>
              <w:rPr>
                <w:rFonts w:ascii="MingLiU" w:hAnsi="MingLiU" w:eastAsia="MingLiU" w:cs="Arial"/>
                <w:sz w:val="20"/>
              </w:rPr>
            </w:pPr>
            <w:r>
              <w:rPr>
                <w:rFonts w:hint="eastAsia" w:ascii="MingLiU" w:hAnsi="MingLiU" w:eastAsia="MingLiU" w:cs="Arial"/>
                <w:sz w:val="20"/>
              </w:rPr>
              <w:t>吊具钢丝绳更换</w:t>
            </w:r>
          </w:p>
        </w:tc>
        <w:tc>
          <w:tcPr>
            <w:tcW w:w="1276" w:type="dxa"/>
            <w:tcBorders>
              <w:top w:val="nil"/>
              <w:left w:val="single" w:color="auto" w:sz="4" w:space="0"/>
              <w:bottom w:val="single" w:color="auto" w:sz="4" w:space="0"/>
              <w:right w:val="single" w:color="auto" w:sz="4" w:space="0"/>
            </w:tcBorders>
            <w:vAlign w:val="center"/>
          </w:tcPr>
          <w:p w14:paraId="7E10F818">
            <w:pPr>
              <w:rPr>
                <w:rFonts w:cs="Arial"/>
                <w:sz w:val="20"/>
              </w:rPr>
            </w:pPr>
            <w:r>
              <w:rPr>
                <w:rFonts w:hint="eastAsia" w:cs="Arial"/>
                <w:sz w:val="20"/>
              </w:rPr>
              <w:t>机房</w:t>
            </w:r>
          </w:p>
        </w:tc>
        <w:tc>
          <w:tcPr>
            <w:tcW w:w="992" w:type="dxa"/>
            <w:tcBorders>
              <w:top w:val="nil"/>
              <w:left w:val="single" w:color="auto" w:sz="4" w:space="0"/>
              <w:bottom w:val="single" w:color="auto" w:sz="4" w:space="0"/>
              <w:right w:val="single" w:color="auto" w:sz="4" w:space="0"/>
            </w:tcBorders>
            <w:vAlign w:val="center"/>
          </w:tcPr>
          <w:p w14:paraId="339BA4A1">
            <w:pPr>
              <w:jc w:val="center"/>
              <w:rPr>
                <w:rFonts w:ascii="PMingLiU" w:hAnsi="PMingLiU" w:eastAsia="PMingLiU" w:cs="Arial"/>
                <w:sz w:val="20"/>
              </w:rPr>
            </w:pPr>
            <w:r>
              <w:rPr>
                <w:rFonts w:hint="eastAsia" w:ascii="PMingLiU" w:hAnsi="PMingLiU"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321543A5">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99FF0C8">
            <w:pPr>
              <w:pStyle w:val="18"/>
              <w:spacing w:line="560" w:lineRule="exact"/>
              <w:ind w:left="202" w:hanging="202" w:hangingChars="100"/>
              <w:rPr>
                <w:rFonts w:ascii="仿宋" w:hAnsi="仿宋" w:eastAsia="仿宋" w:cs="仿宋"/>
                <w:spacing w:val="-4"/>
                <w:szCs w:val="21"/>
              </w:rPr>
            </w:pPr>
          </w:p>
        </w:tc>
      </w:tr>
      <w:tr w14:paraId="7B506C1A">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7A96AE6C">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11</w:t>
            </w:r>
          </w:p>
        </w:tc>
        <w:tc>
          <w:tcPr>
            <w:tcW w:w="3302" w:type="dxa"/>
            <w:tcBorders>
              <w:top w:val="nil"/>
              <w:left w:val="single" w:color="auto" w:sz="4" w:space="0"/>
              <w:bottom w:val="single" w:color="auto" w:sz="4" w:space="0"/>
              <w:right w:val="single" w:color="auto" w:sz="4" w:space="0"/>
            </w:tcBorders>
            <w:vAlign w:val="center"/>
          </w:tcPr>
          <w:p w14:paraId="62A1126E">
            <w:pPr>
              <w:rPr>
                <w:rFonts w:ascii="MingLiU" w:hAnsi="MingLiU" w:eastAsia="MingLiU" w:cs="Arial"/>
                <w:sz w:val="20"/>
              </w:rPr>
            </w:pPr>
            <w:r>
              <w:rPr>
                <w:rFonts w:hint="eastAsia" w:ascii="MingLiU" w:hAnsi="MingLiU" w:eastAsia="MingLiU" w:cs="Arial"/>
                <w:sz w:val="20"/>
              </w:rPr>
              <w:t>液压马达及DN15油管更换</w:t>
            </w:r>
            <w:r>
              <w:rPr>
                <w:rFonts w:hint="eastAsia" w:cs="Arial"/>
                <w:sz w:val="20"/>
              </w:rPr>
              <w:t>（</w:t>
            </w:r>
            <w:r>
              <w:rPr>
                <w:rFonts w:hint="eastAsia" w:ascii="MingLiU" w:hAnsi="MingLiU" w:eastAsia="MingLiU" w:cs="Arial"/>
                <w:sz w:val="20"/>
              </w:rPr>
              <w:t>1</w:t>
            </w:r>
            <w:r>
              <w:rPr>
                <w:rFonts w:hint="eastAsia" w:cs="Arial"/>
                <w:sz w:val="20"/>
              </w:rPr>
              <w:t>米</w:t>
            </w:r>
            <w:r>
              <w:rPr>
                <w:rFonts w:hint="eastAsia" w:ascii="MingLiU" w:hAnsi="MingLiU" w:eastAsia="MingLiU" w:cs="Arial"/>
                <w:sz w:val="20"/>
              </w:rPr>
              <w:t>/</w:t>
            </w:r>
            <w:r>
              <w:rPr>
                <w:rFonts w:hint="eastAsia" w:cs="Arial"/>
                <w:sz w:val="20"/>
              </w:rPr>
              <w:t>根）</w:t>
            </w:r>
          </w:p>
        </w:tc>
        <w:tc>
          <w:tcPr>
            <w:tcW w:w="1276" w:type="dxa"/>
            <w:tcBorders>
              <w:top w:val="nil"/>
              <w:left w:val="single" w:color="auto" w:sz="4" w:space="0"/>
              <w:bottom w:val="single" w:color="auto" w:sz="4" w:space="0"/>
              <w:right w:val="single" w:color="auto" w:sz="4" w:space="0"/>
            </w:tcBorders>
            <w:vAlign w:val="center"/>
          </w:tcPr>
          <w:p w14:paraId="52D152B7">
            <w:pPr>
              <w:rPr>
                <w:rFonts w:cs="Arial"/>
                <w:sz w:val="20"/>
              </w:rPr>
            </w:pPr>
            <w:r>
              <w:rPr>
                <w:rFonts w:hint="eastAsia" w:cs="Arial"/>
                <w:sz w:val="20"/>
              </w:rPr>
              <w:t>吊具</w:t>
            </w:r>
          </w:p>
        </w:tc>
        <w:tc>
          <w:tcPr>
            <w:tcW w:w="992" w:type="dxa"/>
            <w:tcBorders>
              <w:top w:val="nil"/>
              <w:left w:val="single" w:color="auto" w:sz="4" w:space="0"/>
              <w:bottom w:val="single" w:color="auto" w:sz="4" w:space="0"/>
              <w:right w:val="single" w:color="auto" w:sz="4" w:space="0"/>
            </w:tcBorders>
            <w:vAlign w:val="center"/>
          </w:tcPr>
          <w:p w14:paraId="7923B709">
            <w:pPr>
              <w:jc w:val="center"/>
              <w:rPr>
                <w:rFonts w:ascii="PMingLiU" w:hAnsi="PMingLiU" w:eastAsia="PMingLiU" w:cs="Arial"/>
                <w:sz w:val="20"/>
              </w:rPr>
            </w:pPr>
            <w:r>
              <w:rPr>
                <w:rFonts w:hint="eastAsia" w:ascii="PMingLiU" w:hAnsi="PMingLiU" w:eastAsia="PMingLiU" w:cs="Arial"/>
                <w:sz w:val="20"/>
              </w:rPr>
              <w:t>2</w:t>
            </w:r>
          </w:p>
        </w:tc>
        <w:tc>
          <w:tcPr>
            <w:tcW w:w="1701" w:type="dxa"/>
            <w:tcBorders>
              <w:top w:val="single" w:color="000000" w:sz="4" w:space="0"/>
              <w:left w:val="single" w:color="000000" w:sz="4" w:space="0"/>
              <w:bottom w:val="single" w:color="000000" w:sz="4" w:space="0"/>
              <w:right w:val="single" w:color="000000" w:sz="4" w:space="0"/>
            </w:tcBorders>
            <w:vAlign w:val="center"/>
          </w:tcPr>
          <w:p w14:paraId="0355005A">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537AB48C">
            <w:pPr>
              <w:pStyle w:val="18"/>
              <w:spacing w:line="560" w:lineRule="exact"/>
              <w:ind w:left="202" w:hanging="202" w:hangingChars="100"/>
              <w:rPr>
                <w:rFonts w:ascii="仿宋" w:hAnsi="仿宋" w:eastAsia="仿宋" w:cs="仿宋"/>
                <w:spacing w:val="-4"/>
                <w:szCs w:val="21"/>
              </w:rPr>
            </w:pPr>
          </w:p>
        </w:tc>
      </w:tr>
      <w:tr w14:paraId="4557593E">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2A1ACD99">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12</w:t>
            </w:r>
          </w:p>
        </w:tc>
        <w:tc>
          <w:tcPr>
            <w:tcW w:w="3302" w:type="dxa"/>
            <w:tcBorders>
              <w:top w:val="nil"/>
              <w:left w:val="single" w:color="auto" w:sz="4" w:space="0"/>
              <w:bottom w:val="single" w:color="auto" w:sz="4" w:space="0"/>
              <w:right w:val="single" w:color="auto" w:sz="4" w:space="0"/>
            </w:tcBorders>
            <w:vAlign w:val="center"/>
          </w:tcPr>
          <w:p w14:paraId="3420337F">
            <w:pPr>
              <w:rPr>
                <w:rFonts w:ascii="MingLiU" w:hAnsi="MingLiU" w:eastAsia="MingLiU" w:cs="Arial"/>
                <w:sz w:val="20"/>
              </w:rPr>
            </w:pPr>
            <w:r>
              <w:rPr>
                <w:rFonts w:hint="eastAsia" w:ascii="MingLiU" w:hAnsi="MingLiU" w:eastAsia="MingLiU" w:cs="Arial"/>
                <w:sz w:val="20"/>
              </w:rPr>
              <w:t>吊具顶销（旋锁轴）更换</w:t>
            </w:r>
          </w:p>
        </w:tc>
        <w:tc>
          <w:tcPr>
            <w:tcW w:w="1276" w:type="dxa"/>
            <w:tcBorders>
              <w:top w:val="nil"/>
              <w:left w:val="single" w:color="auto" w:sz="4" w:space="0"/>
              <w:bottom w:val="single" w:color="auto" w:sz="4" w:space="0"/>
              <w:right w:val="single" w:color="auto" w:sz="4" w:space="0"/>
            </w:tcBorders>
            <w:vAlign w:val="center"/>
          </w:tcPr>
          <w:p w14:paraId="6CC711C7">
            <w:pPr>
              <w:rPr>
                <w:rFonts w:cs="Arial"/>
                <w:sz w:val="20"/>
              </w:rPr>
            </w:pPr>
            <w:r>
              <w:rPr>
                <w:rFonts w:hint="eastAsia" w:cs="Arial"/>
                <w:sz w:val="20"/>
              </w:rPr>
              <w:t>吊具</w:t>
            </w:r>
          </w:p>
        </w:tc>
        <w:tc>
          <w:tcPr>
            <w:tcW w:w="992" w:type="dxa"/>
            <w:tcBorders>
              <w:top w:val="nil"/>
              <w:left w:val="single" w:color="auto" w:sz="4" w:space="0"/>
              <w:bottom w:val="single" w:color="auto" w:sz="4" w:space="0"/>
              <w:right w:val="single" w:color="auto" w:sz="4" w:space="0"/>
            </w:tcBorders>
            <w:vAlign w:val="center"/>
          </w:tcPr>
          <w:p w14:paraId="341549B7">
            <w:pPr>
              <w:jc w:val="center"/>
              <w:rPr>
                <w:rFonts w:ascii="PMingLiU" w:hAnsi="PMingLiU" w:eastAsia="PMingLiU" w:cs="Arial"/>
                <w:sz w:val="20"/>
              </w:rPr>
            </w:pPr>
            <w:r>
              <w:rPr>
                <w:rFonts w:hint="eastAsia" w:ascii="PMingLiU" w:hAnsi="PMingLiU"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3BAABC8D">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960647B">
            <w:pPr>
              <w:pStyle w:val="18"/>
              <w:spacing w:line="560" w:lineRule="exact"/>
              <w:ind w:left="202" w:hanging="202" w:hangingChars="100"/>
              <w:rPr>
                <w:rFonts w:ascii="仿宋" w:hAnsi="仿宋" w:eastAsia="仿宋" w:cs="仿宋"/>
                <w:spacing w:val="-4"/>
                <w:szCs w:val="21"/>
              </w:rPr>
            </w:pPr>
          </w:p>
        </w:tc>
      </w:tr>
      <w:tr w14:paraId="51A291EE">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4E268F96">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w:t>
            </w:r>
            <w:r>
              <w:rPr>
                <w:rFonts w:ascii="仿宋" w:hAnsi="仿宋" w:eastAsia="仿宋" w:cs="仿宋"/>
                <w:spacing w:val="-4"/>
                <w:szCs w:val="21"/>
              </w:rPr>
              <w:t>3</w:t>
            </w:r>
          </w:p>
        </w:tc>
        <w:tc>
          <w:tcPr>
            <w:tcW w:w="3302" w:type="dxa"/>
            <w:tcBorders>
              <w:top w:val="nil"/>
              <w:left w:val="single" w:color="auto" w:sz="4" w:space="0"/>
              <w:bottom w:val="single" w:color="auto" w:sz="4" w:space="0"/>
              <w:right w:val="single" w:color="auto" w:sz="4" w:space="0"/>
            </w:tcBorders>
            <w:vAlign w:val="center"/>
          </w:tcPr>
          <w:p w14:paraId="4CD4CB41">
            <w:pPr>
              <w:rPr>
                <w:rFonts w:ascii="MingLiU" w:hAnsi="MingLiU" w:eastAsia="MingLiU" w:cs="Arial"/>
                <w:sz w:val="20"/>
              </w:rPr>
            </w:pPr>
            <w:r>
              <w:rPr>
                <w:rFonts w:hint="eastAsia" w:ascii="MingLiU" w:hAnsi="MingLiU" w:eastAsia="MingLiU" w:cs="Arial"/>
                <w:sz w:val="20"/>
              </w:rPr>
              <w:t>吊具顶销感应器更换</w:t>
            </w:r>
          </w:p>
        </w:tc>
        <w:tc>
          <w:tcPr>
            <w:tcW w:w="1276" w:type="dxa"/>
            <w:tcBorders>
              <w:top w:val="nil"/>
              <w:left w:val="single" w:color="auto" w:sz="4" w:space="0"/>
              <w:bottom w:val="single" w:color="auto" w:sz="4" w:space="0"/>
              <w:right w:val="single" w:color="auto" w:sz="4" w:space="0"/>
            </w:tcBorders>
            <w:vAlign w:val="center"/>
          </w:tcPr>
          <w:p w14:paraId="3E567C41">
            <w:pPr>
              <w:rPr>
                <w:rFonts w:cs="Arial"/>
                <w:sz w:val="20"/>
              </w:rPr>
            </w:pPr>
            <w:r>
              <w:rPr>
                <w:rFonts w:hint="eastAsia" w:cs="Arial"/>
                <w:sz w:val="20"/>
              </w:rPr>
              <w:t>吊具</w:t>
            </w:r>
          </w:p>
        </w:tc>
        <w:tc>
          <w:tcPr>
            <w:tcW w:w="992" w:type="dxa"/>
            <w:tcBorders>
              <w:top w:val="nil"/>
              <w:left w:val="single" w:color="auto" w:sz="4" w:space="0"/>
              <w:bottom w:val="single" w:color="auto" w:sz="4" w:space="0"/>
              <w:right w:val="single" w:color="auto" w:sz="4" w:space="0"/>
            </w:tcBorders>
            <w:vAlign w:val="center"/>
          </w:tcPr>
          <w:p w14:paraId="5FBD95DC">
            <w:pPr>
              <w:jc w:val="center"/>
              <w:rPr>
                <w:rFonts w:ascii="PMingLiU" w:hAnsi="PMingLiU" w:eastAsia="PMingLiU" w:cs="Arial"/>
                <w:sz w:val="20"/>
              </w:rPr>
            </w:pPr>
            <w:r>
              <w:rPr>
                <w:rFonts w:hint="eastAsia" w:ascii="PMingLiU" w:hAnsi="PMingLiU"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5A340EF8">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3EB771F4">
            <w:pPr>
              <w:pStyle w:val="18"/>
              <w:spacing w:line="560" w:lineRule="exact"/>
              <w:ind w:left="202" w:hanging="202" w:hangingChars="100"/>
              <w:rPr>
                <w:rFonts w:ascii="仿宋" w:hAnsi="仿宋" w:eastAsia="仿宋" w:cs="仿宋"/>
                <w:spacing w:val="-4"/>
                <w:szCs w:val="21"/>
              </w:rPr>
            </w:pPr>
          </w:p>
        </w:tc>
      </w:tr>
      <w:tr w14:paraId="65A452F9">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4D17FD47">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w:t>
            </w:r>
            <w:r>
              <w:rPr>
                <w:rFonts w:ascii="仿宋" w:hAnsi="仿宋" w:eastAsia="仿宋" w:cs="仿宋"/>
                <w:spacing w:val="-4"/>
                <w:szCs w:val="21"/>
              </w:rPr>
              <w:t>4</w:t>
            </w:r>
          </w:p>
        </w:tc>
        <w:tc>
          <w:tcPr>
            <w:tcW w:w="3302" w:type="dxa"/>
            <w:tcBorders>
              <w:top w:val="nil"/>
              <w:left w:val="single" w:color="auto" w:sz="4" w:space="0"/>
              <w:bottom w:val="single" w:color="auto" w:sz="4" w:space="0"/>
              <w:right w:val="single" w:color="auto" w:sz="4" w:space="0"/>
            </w:tcBorders>
            <w:vAlign w:val="center"/>
          </w:tcPr>
          <w:p w14:paraId="33F7C0DF">
            <w:pPr>
              <w:rPr>
                <w:rFonts w:ascii="MingLiU" w:hAnsi="MingLiU" w:eastAsia="MingLiU" w:cs="Arial"/>
                <w:sz w:val="20"/>
              </w:rPr>
            </w:pPr>
            <w:r>
              <w:rPr>
                <w:rFonts w:hint="eastAsia" w:ascii="MingLiU" w:hAnsi="MingLiU" w:eastAsia="MingLiU" w:cs="Arial"/>
                <w:sz w:val="20"/>
              </w:rPr>
              <w:t>变频器通讯卡</w:t>
            </w:r>
            <w:r>
              <w:rPr>
                <w:rFonts w:hint="eastAsia" w:cs="Arial"/>
                <w:sz w:val="20"/>
              </w:rPr>
              <w:t>（</w:t>
            </w:r>
            <w:r>
              <w:rPr>
                <w:rFonts w:hint="eastAsia" w:ascii="MingLiU" w:hAnsi="MingLiU" w:eastAsia="MingLiU" w:cs="Arial"/>
                <w:sz w:val="20"/>
              </w:rPr>
              <w:t>RPBA—01</w:t>
            </w:r>
            <w:r>
              <w:rPr>
                <w:rFonts w:hint="eastAsia" w:cs="Arial"/>
                <w:sz w:val="20"/>
              </w:rPr>
              <w:t>）</w:t>
            </w:r>
            <w:r>
              <w:rPr>
                <w:rFonts w:hint="eastAsia" w:ascii="MingLiU" w:hAnsi="MingLiU" w:eastAsia="MingLiU" w:cs="Arial"/>
                <w:sz w:val="20"/>
              </w:rPr>
              <w:t>维修更换</w:t>
            </w:r>
          </w:p>
        </w:tc>
        <w:tc>
          <w:tcPr>
            <w:tcW w:w="1276" w:type="dxa"/>
            <w:tcBorders>
              <w:top w:val="nil"/>
              <w:left w:val="single" w:color="auto" w:sz="4" w:space="0"/>
              <w:bottom w:val="single" w:color="auto" w:sz="4" w:space="0"/>
              <w:right w:val="single" w:color="auto" w:sz="4" w:space="0"/>
            </w:tcBorders>
            <w:vAlign w:val="center"/>
          </w:tcPr>
          <w:p w14:paraId="6ADD863F">
            <w:pPr>
              <w:rPr>
                <w:rFonts w:cs="Arial"/>
                <w:sz w:val="20"/>
              </w:rPr>
            </w:pPr>
            <w:r>
              <w:rPr>
                <w:rFonts w:hint="eastAsia" w:cs="Arial"/>
                <w:sz w:val="20"/>
              </w:rPr>
              <w:t>电气</w:t>
            </w:r>
          </w:p>
        </w:tc>
        <w:tc>
          <w:tcPr>
            <w:tcW w:w="992" w:type="dxa"/>
            <w:tcBorders>
              <w:top w:val="nil"/>
              <w:left w:val="single" w:color="auto" w:sz="4" w:space="0"/>
              <w:bottom w:val="single" w:color="auto" w:sz="4" w:space="0"/>
              <w:right w:val="single" w:color="auto" w:sz="4" w:space="0"/>
            </w:tcBorders>
            <w:vAlign w:val="center"/>
          </w:tcPr>
          <w:p w14:paraId="0F9C4881">
            <w:pPr>
              <w:jc w:val="center"/>
              <w:rPr>
                <w:rFonts w:ascii="PMingLiU" w:hAnsi="PMingLiU" w:cs="Arial"/>
                <w:sz w:val="20"/>
              </w:rPr>
            </w:pPr>
            <w:r>
              <w:rPr>
                <w:rFonts w:hint="eastAsia" w:ascii="PMingLiU" w:hAnsi="PMingLiU" w:cs="Arial"/>
                <w:color w:val="FF00FF"/>
                <w:sz w:val="20"/>
              </w:rPr>
              <w:t>2</w:t>
            </w:r>
          </w:p>
        </w:tc>
        <w:tc>
          <w:tcPr>
            <w:tcW w:w="1701" w:type="dxa"/>
            <w:tcBorders>
              <w:top w:val="single" w:color="000000" w:sz="4" w:space="0"/>
              <w:left w:val="single" w:color="000000" w:sz="4" w:space="0"/>
              <w:bottom w:val="single" w:color="000000" w:sz="4" w:space="0"/>
              <w:right w:val="single" w:color="000000" w:sz="4" w:space="0"/>
            </w:tcBorders>
            <w:vAlign w:val="center"/>
          </w:tcPr>
          <w:p w14:paraId="0C14A810">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97D71C1">
            <w:pPr>
              <w:pStyle w:val="18"/>
              <w:spacing w:line="560" w:lineRule="exact"/>
              <w:ind w:left="202" w:hanging="202" w:hangingChars="100"/>
              <w:rPr>
                <w:rFonts w:ascii="仿宋" w:hAnsi="仿宋" w:eastAsia="仿宋" w:cs="仿宋"/>
                <w:spacing w:val="-4"/>
                <w:szCs w:val="21"/>
              </w:rPr>
            </w:pPr>
          </w:p>
        </w:tc>
      </w:tr>
      <w:tr w14:paraId="705323E9">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47B84E9E">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w:t>
            </w:r>
            <w:r>
              <w:rPr>
                <w:rFonts w:ascii="仿宋" w:hAnsi="仿宋" w:eastAsia="仿宋" w:cs="仿宋"/>
                <w:spacing w:val="-4"/>
                <w:szCs w:val="21"/>
              </w:rPr>
              <w:t>5</w:t>
            </w:r>
          </w:p>
        </w:tc>
        <w:tc>
          <w:tcPr>
            <w:tcW w:w="3302" w:type="dxa"/>
            <w:tcBorders>
              <w:top w:val="nil"/>
              <w:left w:val="single" w:color="auto" w:sz="4" w:space="0"/>
              <w:bottom w:val="single" w:color="auto" w:sz="4" w:space="0"/>
              <w:right w:val="single" w:color="auto" w:sz="4" w:space="0"/>
            </w:tcBorders>
            <w:vAlign w:val="center"/>
          </w:tcPr>
          <w:p w14:paraId="60C0C039">
            <w:pPr>
              <w:rPr>
                <w:rFonts w:ascii="MingLiU" w:hAnsi="MingLiU" w:eastAsia="MingLiU" w:cs="Arial"/>
                <w:sz w:val="20"/>
              </w:rPr>
            </w:pPr>
            <w:r>
              <w:rPr>
                <w:rFonts w:hint="eastAsia" w:ascii="MingLiU" w:hAnsi="MingLiU" w:eastAsia="MingLiU" w:cs="Arial"/>
                <w:sz w:val="20"/>
              </w:rPr>
              <w:t>大车各光电感应器更换</w:t>
            </w:r>
          </w:p>
        </w:tc>
        <w:tc>
          <w:tcPr>
            <w:tcW w:w="1276" w:type="dxa"/>
            <w:tcBorders>
              <w:top w:val="nil"/>
              <w:left w:val="single" w:color="auto" w:sz="4" w:space="0"/>
              <w:bottom w:val="single" w:color="auto" w:sz="4" w:space="0"/>
              <w:right w:val="single" w:color="auto" w:sz="4" w:space="0"/>
            </w:tcBorders>
            <w:vAlign w:val="center"/>
          </w:tcPr>
          <w:p w14:paraId="7BEA7751">
            <w:pPr>
              <w:rPr>
                <w:rFonts w:cs="Arial"/>
                <w:sz w:val="20"/>
              </w:rPr>
            </w:pPr>
            <w:r>
              <w:rPr>
                <w:rFonts w:hint="eastAsia" w:cs="Arial"/>
                <w:sz w:val="20"/>
              </w:rPr>
              <w:t>大车</w:t>
            </w:r>
          </w:p>
        </w:tc>
        <w:tc>
          <w:tcPr>
            <w:tcW w:w="992" w:type="dxa"/>
            <w:tcBorders>
              <w:top w:val="nil"/>
              <w:left w:val="single" w:color="auto" w:sz="4" w:space="0"/>
              <w:bottom w:val="single" w:color="auto" w:sz="4" w:space="0"/>
              <w:right w:val="single" w:color="auto" w:sz="4" w:space="0"/>
            </w:tcBorders>
            <w:vAlign w:val="center"/>
          </w:tcPr>
          <w:p w14:paraId="62C8D694">
            <w:pPr>
              <w:jc w:val="center"/>
              <w:rPr>
                <w:rFonts w:ascii="PMingLiU" w:hAnsi="PMingLiU" w:eastAsia="PMingLiU" w:cs="Arial"/>
                <w:sz w:val="20"/>
              </w:rPr>
            </w:pPr>
            <w:r>
              <w:rPr>
                <w:rFonts w:hint="eastAsia" w:ascii="PMingLiU" w:hAnsi="PMingLiU" w:eastAsia="PMingLiU" w:cs="Arial"/>
                <w:sz w:val="20"/>
              </w:rPr>
              <w:t>4</w:t>
            </w:r>
          </w:p>
        </w:tc>
        <w:tc>
          <w:tcPr>
            <w:tcW w:w="1701" w:type="dxa"/>
            <w:tcBorders>
              <w:top w:val="single" w:color="000000" w:sz="4" w:space="0"/>
              <w:left w:val="single" w:color="000000" w:sz="4" w:space="0"/>
              <w:bottom w:val="single" w:color="000000" w:sz="4" w:space="0"/>
              <w:right w:val="single" w:color="000000" w:sz="4" w:space="0"/>
            </w:tcBorders>
            <w:vAlign w:val="center"/>
          </w:tcPr>
          <w:p w14:paraId="36A53396">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E145BFB">
            <w:pPr>
              <w:pStyle w:val="18"/>
              <w:spacing w:line="560" w:lineRule="exact"/>
              <w:ind w:left="202" w:hanging="202" w:hangingChars="100"/>
              <w:rPr>
                <w:rFonts w:ascii="仿宋" w:hAnsi="仿宋" w:eastAsia="仿宋" w:cs="仿宋"/>
                <w:spacing w:val="-4"/>
                <w:szCs w:val="21"/>
              </w:rPr>
            </w:pPr>
          </w:p>
        </w:tc>
      </w:tr>
      <w:tr w14:paraId="4E076E24">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2226BD50">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w:t>
            </w:r>
            <w:r>
              <w:rPr>
                <w:rFonts w:ascii="仿宋" w:hAnsi="仿宋" w:eastAsia="仿宋" w:cs="仿宋"/>
                <w:spacing w:val="-4"/>
                <w:szCs w:val="21"/>
              </w:rPr>
              <w:t>6</w:t>
            </w:r>
          </w:p>
        </w:tc>
        <w:tc>
          <w:tcPr>
            <w:tcW w:w="3302" w:type="dxa"/>
            <w:tcBorders>
              <w:top w:val="nil"/>
              <w:left w:val="single" w:color="auto" w:sz="4" w:space="0"/>
              <w:bottom w:val="single" w:color="auto" w:sz="4" w:space="0"/>
              <w:right w:val="single" w:color="auto" w:sz="4" w:space="0"/>
            </w:tcBorders>
            <w:vAlign w:val="center"/>
          </w:tcPr>
          <w:p w14:paraId="1B965503">
            <w:pPr>
              <w:rPr>
                <w:rFonts w:ascii="MingLiU" w:hAnsi="MingLiU" w:eastAsia="MingLiU" w:cs="Arial"/>
                <w:sz w:val="20"/>
              </w:rPr>
            </w:pPr>
            <w:r>
              <w:rPr>
                <w:rFonts w:hint="eastAsia" w:ascii="MingLiU" w:hAnsi="MingLiU" w:eastAsia="MingLiU" w:cs="Arial"/>
                <w:sz w:val="20"/>
              </w:rPr>
              <w:t>大车夹轮制动器</w:t>
            </w:r>
            <w:r>
              <w:rPr>
                <w:rFonts w:hint="eastAsia" w:cs="Arial"/>
                <w:sz w:val="20"/>
              </w:rPr>
              <w:t>（</w:t>
            </w:r>
            <w:r>
              <w:rPr>
                <w:rFonts w:hint="eastAsia" w:ascii="MingLiU" w:hAnsi="MingLiU" w:eastAsia="MingLiU" w:cs="Arial"/>
                <w:sz w:val="20"/>
              </w:rPr>
              <w:t>JLQ75</w:t>
            </w:r>
            <w:r>
              <w:rPr>
                <w:rFonts w:hint="eastAsia" w:cs="Arial"/>
                <w:sz w:val="20"/>
              </w:rPr>
              <w:t>）</w:t>
            </w:r>
            <w:r>
              <w:rPr>
                <w:rFonts w:hint="eastAsia" w:ascii="MingLiU" w:hAnsi="MingLiU" w:eastAsia="MingLiU" w:cs="Arial"/>
                <w:sz w:val="20"/>
              </w:rPr>
              <w:t>故障维修</w:t>
            </w:r>
          </w:p>
        </w:tc>
        <w:tc>
          <w:tcPr>
            <w:tcW w:w="1276" w:type="dxa"/>
            <w:tcBorders>
              <w:top w:val="nil"/>
              <w:left w:val="single" w:color="auto" w:sz="4" w:space="0"/>
              <w:bottom w:val="single" w:color="auto" w:sz="4" w:space="0"/>
              <w:right w:val="single" w:color="auto" w:sz="4" w:space="0"/>
            </w:tcBorders>
            <w:vAlign w:val="center"/>
          </w:tcPr>
          <w:p w14:paraId="2FC43C1A">
            <w:pPr>
              <w:rPr>
                <w:rFonts w:cs="Arial"/>
                <w:sz w:val="20"/>
              </w:rPr>
            </w:pPr>
            <w:r>
              <w:rPr>
                <w:rFonts w:hint="eastAsia" w:cs="Arial"/>
                <w:sz w:val="20"/>
              </w:rPr>
              <w:t>大车</w:t>
            </w:r>
          </w:p>
        </w:tc>
        <w:tc>
          <w:tcPr>
            <w:tcW w:w="992" w:type="dxa"/>
            <w:tcBorders>
              <w:top w:val="nil"/>
              <w:left w:val="single" w:color="auto" w:sz="4" w:space="0"/>
              <w:bottom w:val="single" w:color="auto" w:sz="4" w:space="0"/>
              <w:right w:val="single" w:color="auto" w:sz="4" w:space="0"/>
            </w:tcBorders>
            <w:vAlign w:val="center"/>
          </w:tcPr>
          <w:p w14:paraId="51346CB4">
            <w:pPr>
              <w:jc w:val="center"/>
              <w:rPr>
                <w:rFonts w:ascii="PMingLiU" w:hAnsi="PMingLiU" w:eastAsia="PMingLiU" w:cs="Arial"/>
                <w:sz w:val="20"/>
              </w:rPr>
            </w:pPr>
            <w:r>
              <w:rPr>
                <w:rFonts w:hint="eastAsia" w:ascii="PMingLiU" w:hAnsi="PMingLiU" w:eastAsia="PMingLiU" w:cs="Arial"/>
                <w:sz w:val="20"/>
              </w:rPr>
              <w:t>4</w:t>
            </w:r>
          </w:p>
        </w:tc>
        <w:tc>
          <w:tcPr>
            <w:tcW w:w="1701" w:type="dxa"/>
            <w:tcBorders>
              <w:top w:val="single" w:color="000000" w:sz="4" w:space="0"/>
              <w:left w:val="single" w:color="000000" w:sz="4" w:space="0"/>
              <w:bottom w:val="single" w:color="000000" w:sz="4" w:space="0"/>
              <w:right w:val="single" w:color="000000" w:sz="4" w:space="0"/>
            </w:tcBorders>
            <w:vAlign w:val="center"/>
          </w:tcPr>
          <w:p w14:paraId="42297678">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5164E5BF">
            <w:pPr>
              <w:pStyle w:val="18"/>
              <w:spacing w:line="560" w:lineRule="exact"/>
              <w:ind w:left="202" w:hanging="202" w:hangingChars="100"/>
              <w:rPr>
                <w:rFonts w:ascii="仿宋" w:hAnsi="仿宋" w:eastAsia="仿宋" w:cs="仿宋"/>
                <w:spacing w:val="-4"/>
                <w:szCs w:val="21"/>
              </w:rPr>
            </w:pPr>
          </w:p>
        </w:tc>
      </w:tr>
      <w:tr w14:paraId="54E841D5">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72BB4C1D">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w:t>
            </w:r>
            <w:r>
              <w:rPr>
                <w:rFonts w:ascii="仿宋" w:hAnsi="仿宋" w:eastAsia="仿宋" w:cs="仿宋"/>
                <w:spacing w:val="-4"/>
                <w:szCs w:val="21"/>
              </w:rPr>
              <w:t>7</w:t>
            </w:r>
          </w:p>
        </w:tc>
        <w:tc>
          <w:tcPr>
            <w:tcW w:w="3302" w:type="dxa"/>
            <w:tcBorders>
              <w:top w:val="nil"/>
              <w:left w:val="single" w:color="auto" w:sz="4" w:space="0"/>
              <w:bottom w:val="single" w:color="auto" w:sz="4" w:space="0"/>
              <w:right w:val="single" w:color="auto" w:sz="4" w:space="0"/>
            </w:tcBorders>
            <w:vAlign w:val="center"/>
          </w:tcPr>
          <w:p w14:paraId="1FF6B3B9">
            <w:pPr>
              <w:rPr>
                <w:rFonts w:ascii="MingLiU" w:hAnsi="MingLiU" w:eastAsia="MingLiU" w:cs="Arial"/>
                <w:sz w:val="20"/>
              </w:rPr>
            </w:pPr>
            <w:r>
              <w:rPr>
                <w:rFonts w:hint="eastAsia" w:ascii="MingLiU" w:hAnsi="MingLiU" w:eastAsia="MingLiU" w:cs="Arial"/>
                <w:sz w:val="20"/>
              </w:rPr>
              <w:t>大车行走车轮轴承</w:t>
            </w:r>
            <w:r>
              <w:rPr>
                <w:rFonts w:hint="eastAsia" w:cs="Arial"/>
                <w:sz w:val="20"/>
              </w:rPr>
              <w:t>（</w:t>
            </w:r>
            <w:r>
              <w:rPr>
                <w:rFonts w:hint="eastAsia" w:ascii="MingLiU" w:hAnsi="MingLiU" w:eastAsia="MingLiU" w:cs="Arial"/>
                <w:sz w:val="20"/>
              </w:rPr>
              <w:t>32224</w:t>
            </w:r>
            <w:r>
              <w:rPr>
                <w:rFonts w:hint="eastAsia" w:cs="Arial"/>
                <w:sz w:val="20"/>
              </w:rPr>
              <w:t>）</w:t>
            </w:r>
            <w:r>
              <w:rPr>
                <w:rFonts w:hint="eastAsia" w:ascii="MingLiU" w:hAnsi="MingLiU" w:eastAsia="MingLiU" w:cs="Arial"/>
                <w:sz w:val="20"/>
              </w:rPr>
              <w:t>更换</w:t>
            </w:r>
          </w:p>
        </w:tc>
        <w:tc>
          <w:tcPr>
            <w:tcW w:w="1276" w:type="dxa"/>
            <w:tcBorders>
              <w:top w:val="nil"/>
              <w:left w:val="single" w:color="auto" w:sz="4" w:space="0"/>
              <w:bottom w:val="single" w:color="auto" w:sz="4" w:space="0"/>
              <w:right w:val="single" w:color="auto" w:sz="4" w:space="0"/>
            </w:tcBorders>
            <w:vAlign w:val="center"/>
          </w:tcPr>
          <w:p w14:paraId="5231C3AF">
            <w:pPr>
              <w:rPr>
                <w:rFonts w:cs="Arial"/>
                <w:sz w:val="20"/>
              </w:rPr>
            </w:pPr>
            <w:r>
              <w:rPr>
                <w:rFonts w:hint="eastAsia" w:cs="Arial"/>
                <w:sz w:val="20"/>
              </w:rPr>
              <w:t>大车</w:t>
            </w:r>
          </w:p>
        </w:tc>
        <w:tc>
          <w:tcPr>
            <w:tcW w:w="992" w:type="dxa"/>
            <w:tcBorders>
              <w:top w:val="nil"/>
              <w:left w:val="single" w:color="auto" w:sz="4" w:space="0"/>
              <w:bottom w:val="single" w:color="auto" w:sz="4" w:space="0"/>
              <w:right w:val="single" w:color="auto" w:sz="4" w:space="0"/>
            </w:tcBorders>
            <w:vAlign w:val="center"/>
          </w:tcPr>
          <w:p w14:paraId="08924234">
            <w:pPr>
              <w:jc w:val="center"/>
              <w:rPr>
                <w:rFonts w:ascii="PMingLiU" w:hAnsi="PMingLiU" w:eastAsia="PMingLiU" w:cs="Arial"/>
                <w:sz w:val="20"/>
              </w:rPr>
            </w:pPr>
            <w:r>
              <w:rPr>
                <w:rFonts w:hint="eastAsia" w:ascii="PMingLiU" w:hAnsi="PMingLiU"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17471969">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6A70B01">
            <w:pPr>
              <w:pStyle w:val="18"/>
              <w:spacing w:line="560" w:lineRule="exact"/>
              <w:ind w:left="202" w:hanging="202" w:hangingChars="100"/>
              <w:rPr>
                <w:rFonts w:ascii="仿宋" w:hAnsi="仿宋" w:eastAsia="仿宋" w:cs="仿宋"/>
                <w:spacing w:val="-4"/>
                <w:szCs w:val="21"/>
              </w:rPr>
            </w:pPr>
          </w:p>
        </w:tc>
      </w:tr>
      <w:tr w14:paraId="6D4E70D9">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29C7DEDB">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1</w:t>
            </w:r>
            <w:r>
              <w:rPr>
                <w:rFonts w:ascii="仿宋" w:hAnsi="仿宋" w:eastAsia="仿宋" w:cs="仿宋"/>
                <w:spacing w:val="-4"/>
                <w:szCs w:val="21"/>
              </w:rPr>
              <w:t>8</w:t>
            </w:r>
          </w:p>
        </w:tc>
        <w:tc>
          <w:tcPr>
            <w:tcW w:w="3302" w:type="dxa"/>
            <w:tcBorders>
              <w:top w:val="nil"/>
              <w:left w:val="single" w:color="auto" w:sz="4" w:space="0"/>
              <w:bottom w:val="single" w:color="auto" w:sz="4" w:space="0"/>
              <w:right w:val="single" w:color="auto" w:sz="4" w:space="0"/>
            </w:tcBorders>
            <w:vAlign w:val="center"/>
          </w:tcPr>
          <w:p w14:paraId="789B597D">
            <w:pPr>
              <w:rPr>
                <w:rFonts w:ascii="MingLiU" w:hAnsi="MingLiU" w:eastAsia="MingLiU" w:cs="Arial"/>
                <w:sz w:val="20"/>
              </w:rPr>
            </w:pPr>
            <w:r>
              <w:rPr>
                <w:rFonts w:hint="eastAsia" w:ascii="MingLiU" w:hAnsi="MingLiU" w:eastAsia="MingLiU" w:cs="Arial"/>
                <w:sz w:val="20"/>
              </w:rPr>
              <w:t>门吊各限位器</w:t>
            </w:r>
            <w:r>
              <w:rPr>
                <w:rFonts w:hint="eastAsia" w:cs="Arial"/>
                <w:sz w:val="20"/>
              </w:rPr>
              <w:t>（</w:t>
            </w:r>
            <w:r>
              <w:rPr>
                <w:rFonts w:hint="eastAsia" w:ascii="MingLiU" w:hAnsi="MingLiU" w:eastAsia="MingLiU" w:cs="Arial"/>
                <w:sz w:val="20"/>
              </w:rPr>
              <w:t>Tend TZ5104</w:t>
            </w:r>
            <w:r>
              <w:rPr>
                <w:rFonts w:hint="eastAsia" w:cs="Arial"/>
                <w:sz w:val="20"/>
              </w:rPr>
              <w:t>）</w:t>
            </w:r>
            <w:r>
              <w:rPr>
                <w:rFonts w:hint="eastAsia" w:ascii="MingLiU" w:hAnsi="MingLiU" w:eastAsia="MingLiU" w:cs="Arial"/>
                <w:sz w:val="20"/>
              </w:rPr>
              <w:t>更换</w:t>
            </w:r>
          </w:p>
        </w:tc>
        <w:tc>
          <w:tcPr>
            <w:tcW w:w="1276" w:type="dxa"/>
            <w:tcBorders>
              <w:top w:val="nil"/>
              <w:left w:val="single" w:color="auto" w:sz="4" w:space="0"/>
              <w:bottom w:val="single" w:color="auto" w:sz="4" w:space="0"/>
              <w:right w:val="single" w:color="auto" w:sz="4" w:space="0"/>
            </w:tcBorders>
            <w:vAlign w:val="center"/>
          </w:tcPr>
          <w:p w14:paraId="1B8C52B1">
            <w:pPr>
              <w:rPr>
                <w:rFonts w:cs="Arial"/>
                <w:sz w:val="20"/>
              </w:rPr>
            </w:pPr>
            <w:r>
              <w:rPr>
                <w:rFonts w:hint="eastAsia" w:cs="Arial"/>
                <w:sz w:val="20"/>
              </w:rPr>
              <w:t>大车</w:t>
            </w:r>
          </w:p>
        </w:tc>
        <w:tc>
          <w:tcPr>
            <w:tcW w:w="992" w:type="dxa"/>
            <w:tcBorders>
              <w:top w:val="nil"/>
              <w:left w:val="single" w:color="auto" w:sz="4" w:space="0"/>
              <w:bottom w:val="single" w:color="auto" w:sz="4" w:space="0"/>
              <w:right w:val="single" w:color="auto" w:sz="4" w:space="0"/>
            </w:tcBorders>
            <w:vAlign w:val="center"/>
          </w:tcPr>
          <w:p w14:paraId="16E691C5">
            <w:pPr>
              <w:jc w:val="center"/>
              <w:rPr>
                <w:rFonts w:ascii="PMingLiU" w:hAnsi="PMingLiU" w:eastAsia="PMingLiU" w:cs="Arial"/>
                <w:sz w:val="20"/>
              </w:rPr>
            </w:pPr>
            <w:r>
              <w:rPr>
                <w:rFonts w:hint="eastAsia" w:ascii="PMingLiU" w:hAnsi="PMingLiU" w:eastAsia="PMingLiU" w:cs="Arial"/>
                <w:sz w:val="20"/>
              </w:rPr>
              <w:t>10</w:t>
            </w:r>
          </w:p>
        </w:tc>
        <w:tc>
          <w:tcPr>
            <w:tcW w:w="1701" w:type="dxa"/>
            <w:tcBorders>
              <w:top w:val="single" w:color="000000" w:sz="4" w:space="0"/>
              <w:left w:val="single" w:color="000000" w:sz="4" w:space="0"/>
              <w:bottom w:val="single" w:color="000000" w:sz="4" w:space="0"/>
              <w:right w:val="single" w:color="000000" w:sz="4" w:space="0"/>
            </w:tcBorders>
            <w:vAlign w:val="center"/>
          </w:tcPr>
          <w:p w14:paraId="12C3CEA2">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59C2DCAE">
            <w:pPr>
              <w:pStyle w:val="18"/>
              <w:spacing w:line="560" w:lineRule="exact"/>
              <w:ind w:left="202" w:hanging="202" w:hangingChars="100"/>
              <w:rPr>
                <w:rFonts w:ascii="仿宋" w:hAnsi="仿宋" w:eastAsia="仿宋" w:cs="仿宋"/>
                <w:spacing w:val="-4"/>
                <w:szCs w:val="21"/>
              </w:rPr>
            </w:pPr>
          </w:p>
        </w:tc>
      </w:tr>
      <w:tr w14:paraId="79134AD5">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2A7E4951">
            <w:pPr>
              <w:pStyle w:val="18"/>
              <w:spacing w:line="560" w:lineRule="exact"/>
              <w:ind w:left="202" w:hanging="202" w:hangingChars="100"/>
              <w:rPr>
                <w:rFonts w:ascii="仿宋" w:hAnsi="仿宋" w:eastAsia="仿宋" w:cs="仿宋"/>
                <w:spacing w:val="-4"/>
                <w:szCs w:val="21"/>
              </w:rPr>
            </w:pPr>
            <w:r>
              <w:rPr>
                <w:rFonts w:ascii="仿宋" w:hAnsi="仿宋" w:eastAsia="仿宋" w:cs="仿宋"/>
                <w:spacing w:val="-4"/>
                <w:szCs w:val="21"/>
              </w:rPr>
              <w:t>19</w:t>
            </w:r>
          </w:p>
        </w:tc>
        <w:tc>
          <w:tcPr>
            <w:tcW w:w="3302" w:type="dxa"/>
            <w:tcBorders>
              <w:top w:val="nil"/>
              <w:left w:val="single" w:color="auto" w:sz="4" w:space="0"/>
              <w:bottom w:val="single" w:color="auto" w:sz="4" w:space="0"/>
              <w:right w:val="single" w:color="auto" w:sz="4" w:space="0"/>
            </w:tcBorders>
            <w:vAlign w:val="center"/>
          </w:tcPr>
          <w:p w14:paraId="1C3B6044">
            <w:pPr>
              <w:rPr>
                <w:rFonts w:ascii="MingLiU" w:hAnsi="MingLiU" w:eastAsia="MingLiU" w:cs="Arial"/>
                <w:sz w:val="20"/>
              </w:rPr>
            </w:pPr>
            <w:r>
              <w:rPr>
                <w:rFonts w:hint="eastAsia" w:ascii="MingLiU" w:hAnsi="MingLiU" w:eastAsia="MingLiU" w:cs="Arial"/>
                <w:sz w:val="20"/>
              </w:rPr>
              <w:t>门吊线路故障检查处理</w:t>
            </w:r>
          </w:p>
        </w:tc>
        <w:tc>
          <w:tcPr>
            <w:tcW w:w="1276" w:type="dxa"/>
            <w:tcBorders>
              <w:top w:val="nil"/>
              <w:left w:val="single" w:color="auto" w:sz="4" w:space="0"/>
              <w:bottom w:val="single" w:color="auto" w:sz="4" w:space="0"/>
              <w:right w:val="single" w:color="auto" w:sz="4" w:space="0"/>
            </w:tcBorders>
            <w:vAlign w:val="center"/>
          </w:tcPr>
          <w:p w14:paraId="5FA0A1BE">
            <w:pPr>
              <w:rPr>
                <w:rFonts w:cs="Arial"/>
                <w:sz w:val="20"/>
              </w:rPr>
            </w:pPr>
            <w:r>
              <w:rPr>
                <w:rFonts w:hint="eastAsia" w:cs="Arial"/>
                <w:sz w:val="20"/>
              </w:rPr>
              <w:t>电气</w:t>
            </w:r>
          </w:p>
        </w:tc>
        <w:tc>
          <w:tcPr>
            <w:tcW w:w="992" w:type="dxa"/>
            <w:tcBorders>
              <w:top w:val="nil"/>
              <w:left w:val="single" w:color="auto" w:sz="4" w:space="0"/>
              <w:bottom w:val="single" w:color="auto" w:sz="4" w:space="0"/>
              <w:right w:val="single" w:color="auto" w:sz="4" w:space="0"/>
            </w:tcBorders>
            <w:vAlign w:val="center"/>
          </w:tcPr>
          <w:p w14:paraId="5E983420">
            <w:pPr>
              <w:jc w:val="center"/>
              <w:rPr>
                <w:rFonts w:ascii="PMingLiU" w:hAnsi="PMingLiU" w:eastAsia="PMingLiU" w:cs="Arial"/>
                <w:sz w:val="20"/>
              </w:rPr>
            </w:pPr>
            <w:r>
              <w:rPr>
                <w:rFonts w:hint="eastAsia" w:ascii="PMingLiU" w:hAnsi="PMingLiU" w:eastAsia="PMingLiU" w:cs="Arial"/>
                <w:sz w:val="20"/>
              </w:rPr>
              <w:t>4</w:t>
            </w:r>
          </w:p>
        </w:tc>
        <w:tc>
          <w:tcPr>
            <w:tcW w:w="1701" w:type="dxa"/>
            <w:tcBorders>
              <w:top w:val="single" w:color="000000" w:sz="4" w:space="0"/>
              <w:left w:val="single" w:color="000000" w:sz="4" w:space="0"/>
              <w:bottom w:val="single" w:color="000000" w:sz="4" w:space="0"/>
              <w:right w:val="single" w:color="000000" w:sz="4" w:space="0"/>
            </w:tcBorders>
            <w:vAlign w:val="center"/>
          </w:tcPr>
          <w:p w14:paraId="72156782">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1C61A2AE">
            <w:pPr>
              <w:pStyle w:val="18"/>
              <w:spacing w:line="560" w:lineRule="exact"/>
              <w:ind w:left="202" w:hanging="202" w:hangingChars="100"/>
              <w:rPr>
                <w:rFonts w:ascii="仿宋" w:hAnsi="仿宋" w:eastAsia="仿宋" w:cs="仿宋"/>
                <w:spacing w:val="-4"/>
                <w:szCs w:val="21"/>
              </w:rPr>
            </w:pPr>
          </w:p>
        </w:tc>
      </w:tr>
      <w:tr w14:paraId="250885AB">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2C8FE5BE">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2</w:t>
            </w:r>
            <w:r>
              <w:rPr>
                <w:rFonts w:ascii="仿宋" w:hAnsi="仿宋" w:eastAsia="仿宋" w:cs="仿宋"/>
                <w:spacing w:val="-4"/>
                <w:szCs w:val="21"/>
              </w:rPr>
              <w:t>0</w:t>
            </w:r>
          </w:p>
        </w:tc>
        <w:tc>
          <w:tcPr>
            <w:tcW w:w="3302" w:type="dxa"/>
            <w:tcBorders>
              <w:top w:val="nil"/>
              <w:left w:val="single" w:color="auto" w:sz="4" w:space="0"/>
              <w:bottom w:val="single" w:color="auto" w:sz="4" w:space="0"/>
              <w:right w:val="single" w:color="auto" w:sz="4" w:space="0"/>
            </w:tcBorders>
            <w:vAlign w:val="center"/>
          </w:tcPr>
          <w:p w14:paraId="62F30651">
            <w:pPr>
              <w:rPr>
                <w:rFonts w:ascii="MingLiU" w:hAnsi="MingLiU" w:eastAsia="MingLiU" w:cs="Arial"/>
                <w:sz w:val="20"/>
              </w:rPr>
            </w:pPr>
            <w:r>
              <w:rPr>
                <w:rFonts w:hint="eastAsia" w:ascii="MingLiU" w:hAnsi="MingLiU" w:eastAsia="MingLiU" w:cs="Arial"/>
                <w:sz w:val="20"/>
              </w:rPr>
              <w:t>小车行走机构故障修复</w:t>
            </w:r>
          </w:p>
        </w:tc>
        <w:tc>
          <w:tcPr>
            <w:tcW w:w="1276" w:type="dxa"/>
            <w:tcBorders>
              <w:top w:val="nil"/>
              <w:left w:val="single" w:color="auto" w:sz="4" w:space="0"/>
              <w:bottom w:val="single" w:color="auto" w:sz="4" w:space="0"/>
              <w:right w:val="single" w:color="auto" w:sz="4" w:space="0"/>
            </w:tcBorders>
            <w:vAlign w:val="center"/>
          </w:tcPr>
          <w:p w14:paraId="3C211C94">
            <w:pPr>
              <w:rPr>
                <w:rFonts w:cs="Arial"/>
                <w:sz w:val="20"/>
              </w:rPr>
            </w:pPr>
            <w:r>
              <w:rPr>
                <w:rFonts w:hint="eastAsia" w:cs="Arial"/>
                <w:sz w:val="20"/>
              </w:rPr>
              <w:t>小车</w:t>
            </w:r>
          </w:p>
        </w:tc>
        <w:tc>
          <w:tcPr>
            <w:tcW w:w="992" w:type="dxa"/>
            <w:tcBorders>
              <w:top w:val="nil"/>
              <w:left w:val="single" w:color="auto" w:sz="4" w:space="0"/>
              <w:bottom w:val="single" w:color="auto" w:sz="4" w:space="0"/>
              <w:right w:val="single" w:color="auto" w:sz="4" w:space="0"/>
            </w:tcBorders>
            <w:vAlign w:val="center"/>
          </w:tcPr>
          <w:p w14:paraId="7BB9D774">
            <w:pPr>
              <w:jc w:val="center"/>
              <w:rPr>
                <w:rFonts w:ascii="PMingLiU" w:hAnsi="PMingLiU" w:eastAsia="PMingLiU" w:cs="Arial"/>
                <w:sz w:val="20"/>
              </w:rPr>
            </w:pPr>
            <w:r>
              <w:rPr>
                <w:rFonts w:hint="eastAsia" w:ascii="PMingLiU" w:hAnsi="PMingLiU" w:eastAsia="PMingLiU" w:cs="Arial"/>
                <w:sz w:val="20"/>
              </w:rPr>
              <w:t>4</w:t>
            </w:r>
          </w:p>
        </w:tc>
        <w:tc>
          <w:tcPr>
            <w:tcW w:w="1701" w:type="dxa"/>
            <w:tcBorders>
              <w:top w:val="single" w:color="000000" w:sz="4" w:space="0"/>
              <w:left w:val="single" w:color="000000" w:sz="4" w:space="0"/>
              <w:bottom w:val="single" w:color="000000" w:sz="4" w:space="0"/>
              <w:right w:val="single" w:color="000000" w:sz="4" w:space="0"/>
            </w:tcBorders>
            <w:vAlign w:val="center"/>
          </w:tcPr>
          <w:p w14:paraId="01151FC4">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1237917E">
            <w:pPr>
              <w:pStyle w:val="18"/>
              <w:spacing w:line="560" w:lineRule="exact"/>
              <w:ind w:left="202" w:hanging="202" w:hangingChars="100"/>
              <w:rPr>
                <w:rFonts w:ascii="仿宋" w:hAnsi="仿宋" w:eastAsia="仿宋" w:cs="仿宋"/>
                <w:spacing w:val="-4"/>
                <w:szCs w:val="21"/>
              </w:rPr>
            </w:pPr>
          </w:p>
        </w:tc>
      </w:tr>
      <w:tr w14:paraId="59E32CBA">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061BCBE9">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2</w:t>
            </w:r>
            <w:r>
              <w:rPr>
                <w:rFonts w:ascii="仿宋" w:hAnsi="仿宋" w:eastAsia="仿宋" w:cs="仿宋"/>
                <w:spacing w:val="-4"/>
                <w:szCs w:val="21"/>
              </w:rPr>
              <w:t>1</w:t>
            </w:r>
          </w:p>
        </w:tc>
        <w:tc>
          <w:tcPr>
            <w:tcW w:w="3302" w:type="dxa"/>
            <w:tcBorders>
              <w:top w:val="nil"/>
              <w:left w:val="single" w:color="auto" w:sz="4" w:space="0"/>
              <w:bottom w:val="single" w:color="auto" w:sz="4" w:space="0"/>
              <w:right w:val="single" w:color="auto" w:sz="4" w:space="0"/>
            </w:tcBorders>
            <w:vAlign w:val="center"/>
          </w:tcPr>
          <w:p w14:paraId="314F2CBA">
            <w:pPr>
              <w:rPr>
                <w:rFonts w:ascii="MingLiU" w:hAnsi="MingLiU" w:eastAsia="MingLiU" w:cs="Arial"/>
                <w:sz w:val="20"/>
              </w:rPr>
            </w:pPr>
            <w:r>
              <w:rPr>
                <w:rFonts w:hint="eastAsia" w:ascii="MingLiU" w:hAnsi="MingLiU" w:eastAsia="MingLiU" w:cs="Arial"/>
                <w:sz w:val="20"/>
              </w:rPr>
              <w:t>门吊电缆卷盘故障处理维修</w:t>
            </w:r>
          </w:p>
        </w:tc>
        <w:tc>
          <w:tcPr>
            <w:tcW w:w="1276" w:type="dxa"/>
            <w:tcBorders>
              <w:top w:val="nil"/>
              <w:left w:val="single" w:color="auto" w:sz="4" w:space="0"/>
              <w:bottom w:val="single" w:color="auto" w:sz="4" w:space="0"/>
              <w:right w:val="single" w:color="auto" w:sz="4" w:space="0"/>
            </w:tcBorders>
            <w:vAlign w:val="center"/>
          </w:tcPr>
          <w:p w14:paraId="3313FEAF">
            <w:pPr>
              <w:rPr>
                <w:rFonts w:cs="Arial"/>
                <w:sz w:val="20"/>
              </w:rPr>
            </w:pPr>
            <w:r>
              <w:rPr>
                <w:rFonts w:hint="eastAsia" w:cs="Arial"/>
                <w:sz w:val="20"/>
              </w:rPr>
              <w:t>大车</w:t>
            </w:r>
          </w:p>
        </w:tc>
        <w:tc>
          <w:tcPr>
            <w:tcW w:w="992" w:type="dxa"/>
            <w:tcBorders>
              <w:top w:val="nil"/>
              <w:left w:val="single" w:color="auto" w:sz="4" w:space="0"/>
              <w:bottom w:val="single" w:color="auto" w:sz="4" w:space="0"/>
              <w:right w:val="single" w:color="auto" w:sz="4" w:space="0"/>
            </w:tcBorders>
            <w:vAlign w:val="center"/>
          </w:tcPr>
          <w:p w14:paraId="75C36ECB">
            <w:pPr>
              <w:jc w:val="center"/>
              <w:rPr>
                <w:rFonts w:ascii="PMingLiU" w:hAnsi="PMingLiU" w:eastAsia="PMingLiU" w:cs="Arial"/>
                <w:sz w:val="20"/>
              </w:rPr>
            </w:pPr>
            <w:r>
              <w:rPr>
                <w:rFonts w:hint="eastAsia" w:ascii="PMingLiU" w:hAnsi="PMingLiU"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05CAF5E3">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78658FE">
            <w:pPr>
              <w:pStyle w:val="18"/>
              <w:spacing w:line="560" w:lineRule="exact"/>
              <w:ind w:left="202" w:hanging="202" w:hangingChars="100"/>
              <w:rPr>
                <w:rFonts w:ascii="仿宋" w:hAnsi="仿宋" w:eastAsia="仿宋" w:cs="仿宋"/>
                <w:spacing w:val="-4"/>
                <w:szCs w:val="21"/>
              </w:rPr>
            </w:pPr>
          </w:p>
        </w:tc>
      </w:tr>
      <w:tr w14:paraId="7C9EA101">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04B59754">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2</w:t>
            </w:r>
            <w:r>
              <w:rPr>
                <w:rFonts w:ascii="仿宋" w:hAnsi="仿宋" w:eastAsia="仿宋" w:cs="仿宋"/>
                <w:spacing w:val="-4"/>
                <w:szCs w:val="21"/>
              </w:rPr>
              <w:t>2</w:t>
            </w:r>
          </w:p>
        </w:tc>
        <w:tc>
          <w:tcPr>
            <w:tcW w:w="3302" w:type="dxa"/>
            <w:tcBorders>
              <w:top w:val="nil"/>
              <w:left w:val="single" w:color="auto" w:sz="4" w:space="0"/>
              <w:bottom w:val="single" w:color="auto" w:sz="4" w:space="0"/>
              <w:right w:val="single" w:color="auto" w:sz="4" w:space="0"/>
            </w:tcBorders>
            <w:vAlign w:val="center"/>
          </w:tcPr>
          <w:p w14:paraId="5C59D296">
            <w:pPr>
              <w:rPr>
                <w:rFonts w:ascii="MingLiU" w:hAnsi="MingLiU" w:eastAsia="MingLiU" w:cs="Arial"/>
                <w:sz w:val="20"/>
              </w:rPr>
            </w:pPr>
            <w:r>
              <w:rPr>
                <w:rFonts w:hint="eastAsia" w:ascii="MingLiU" w:hAnsi="MingLiU" w:eastAsia="MingLiU" w:cs="Arial"/>
                <w:sz w:val="20"/>
              </w:rPr>
              <w:t>门吊电缆卷盘电缆滑轮更换</w:t>
            </w:r>
          </w:p>
        </w:tc>
        <w:tc>
          <w:tcPr>
            <w:tcW w:w="1276" w:type="dxa"/>
            <w:tcBorders>
              <w:top w:val="nil"/>
              <w:left w:val="single" w:color="auto" w:sz="4" w:space="0"/>
              <w:bottom w:val="single" w:color="auto" w:sz="4" w:space="0"/>
              <w:right w:val="single" w:color="auto" w:sz="4" w:space="0"/>
            </w:tcBorders>
            <w:vAlign w:val="center"/>
          </w:tcPr>
          <w:p w14:paraId="0050627A">
            <w:pPr>
              <w:rPr>
                <w:rFonts w:cs="Arial"/>
                <w:sz w:val="20"/>
              </w:rPr>
            </w:pPr>
            <w:r>
              <w:rPr>
                <w:rFonts w:hint="eastAsia" w:cs="Arial"/>
                <w:sz w:val="20"/>
              </w:rPr>
              <w:t>大车</w:t>
            </w:r>
          </w:p>
        </w:tc>
        <w:tc>
          <w:tcPr>
            <w:tcW w:w="992" w:type="dxa"/>
            <w:tcBorders>
              <w:top w:val="nil"/>
              <w:left w:val="single" w:color="auto" w:sz="4" w:space="0"/>
              <w:bottom w:val="single" w:color="auto" w:sz="4" w:space="0"/>
              <w:right w:val="single" w:color="auto" w:sz="4" w:space="0"/>
            </w:tcBorders>
            <w:vAlign w:val="center"/>
          </w:tcPr>
          <w:p w14:paraId="0A03CC61">
            <w:pPr>
              <w:jc w:val="center"/>
              <w:rPr>
                <w:rFonts w:ascii="PMingLiU" w:hAnsi="PMingLiU" w:eastAsia="PMingLiU" w:cs="Arial"/>
                <w:sz w:val="20"/>
              </w:rPr>
            </w:pPr>
            <w:r>
              <w:rPr>
                <w:rFonts w:hint="eastAsia" w:ascii="PMingLiU" w:hAnsi="PMingLiU"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7548772A">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1F65CF4">
            <w:pPr>
              <w:pStyle w:val="18"/>
              <w:spacing w:line="560" w:lineRule="exact"/>
              <w:ind w:left="202" w:hanging="202" w:hangingChars="100"/>
              <w:rPr>
                <w:rFonts w:ascii="仿宋" w:hAnsi="仿宋" w:eastAsia="仿宋" w:cs="仿宋"/>
                <w:spacing w:val="-4"/>
                <w:szCs w:val="21"/>
              </w:rPr>
            </w:pPr>
          </w:p>
        </w:tc>
      </w:tr>
      <w:tr w14:paraId="40A08200">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662874BD">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2</w:t>
            </w:r>
            <w:r>
              <w:rPr>
                <w:rFonts w:ascii="仿宋" w:hAnsi="仿宋" w:eastAsia="仿宋" w:cs="仿宋"/>
                <w:spacing w:val="-4"/>
                <w:szCs w:val="21"/>
              </w:rPr>
              <w:t>3</w:t>
            </w:r>
          </w:p>
        </w:tc>
        <w:tc>
          <w:tcPr>
            <w:tcW w:w="3302" w:type="dxa"/>
            <w:tcBorders>
              <w:top w:val="nil"/>
              <w:left w:val="single" w:color="auto" w:sz="4" w:space="0"/>
              <w:bottom w:val="single" w:color="auto" w:sz="4" w:space="0"/>
              <w:right w:val="single" w:color="auto" w:sz="4" w:space="0"/>
            </w:tcBorders>
            <w:vAlign w:val="center"/>
          </w:tcPr>
          <w:p w14:paraId="328B7B28">
            <w:pPr>
              <w:rPr>
                <w:rFonts w:ascii="MingLiU" w:hAnsi="MingLiU" w:eastAsia="MingLiU" w:cs="Arial"/>
                <w:sz w:val="20"/>
              </w:rPr>
            </w:pPr>
            <w:r>
              <w:rPr>
                <w:rFonts w:hint="eastAsia" w:ascii="MingLiU" w:hAnsi="MingLiU" w:eastAsia="MingLiU" w:cs="Arial"/>
                <w:sz w:val="20"/>
              </w:rPr>
              <w:t>大车轨道磨损、松动调整（1根）</w:t>
            </w:r>
            <w:r>
              <w:rPr>
                <w:rFonts w:hint="eastAsia" w:cs="Arial"/>
                <w:sz w:val="20"/>
              </w:rPr>
              <w:t>，轨道为：</w:t>
            </w:r>
            <w:r>
              <w:rPr>
                <w:rFonts w:hint="eastAsia" w:ascii="MingLiU" w:hAnsi="MingLiU" w:eastAsia="MingLiU" w:cs="Arial"/>
                <w:sz w:val="20"/>
              </w:rPr>
              <w:t>P50钢轨</w:t>
            </w:r>
            <w:r>
              <w:rPr>
                <w:rFonts w:hint="eastAsia" w:cs="Arial"/>
                <w:sz w:val="20"/>
              </w:rPr>
              <w:t>，</w:t>
            </w:r>
            <w:r>
              <w:rPr>
                <w:rFonts w:hint="eastAsia" w:ascii="MingLiU" w:hAnsi="MingLiU" w:eastAsia="MingLiU" w:cs="Arial"/>
                <w:sz w:val="20"/>
              </w:rPr>
              <w:t>26米/根</w:t>
            </w:r>
          </w:p>
        </w:tc>
        <w:tc>
          <w:tcPr>
            <w:tcW w:w="1276" w:type="dxa"/>
            <w:tcBorders>
              <w:top w:val="nil"/>
              <w:left w:val="single" w:color="auto" w:sz="4" w:space="0"/>
              <w:bottom w:val="single" w:color="auto" w:sz="4" w:space="0"/>
              <w:right w:val="single" w:color="auto" w:sz="4" w:space="0"/>
            </w:tcBorders>
            <w:vAlign w:val="center"/>
          </w:tcPr>
          <w:p w14:paraId="247DEA8E">
            <w:pPr>
              <w:rPr>
                <w:rFonts w:cs="Arial"/>
                <w:sz w:val="20"/>
              </w:rPr>
            </w:pPr>
            <w:r>
              <w:rPr>
                <w:rFonts w:hint="eastAsia" w:cs="Arial"/>
                <w:sz w:val="20"/>
              </w:rPr>
              <w:t>轨道</w:t>
            </w:r>
          </w:p>
        </w:tc>
        <w:tc>
          <w:tcPr>
            <w:tcW w:w="992" w:type="dxa"/>
            <w:tcBorders>
              <w:top w:val="nil"/>
              <w:left w:val="single" w:color="auto" w:sz="4" w:space="0"/>
              <w:bottom w:val="single" w:color="auto" w:sz="4" w:space="0"/>
              <w:right w:val="single" w:color="auto" w:sz="4" w:space="0"/>
            </w:tcBorders>
            <w:vAlign w:val="center"/>
          </w:tcPr>
          <w:p w14:paraId="0ED93F59">
            <w:pPr>
              <w:jc w:val="center"/>
              <w:rPr>
                <w:rFonts w:ascii="PMingLiU" w:hAnsi="PMingLiU" w:eastAsia="PMingLiU" w:cs="Arial"/>
                <w:sz w:val="20"/>
              </w:rPr>
            </w:pPr>
            <w:r>
              <w:rPr>
                <w:rFonts w:hint="eastAsia" w:ascii="PMingLiU" w:hAnsi="PMingLiU" w:eastAsia="PMingLiU" w:cs="Arial"/>
                <w:sz w:val="20"/>
              </w:rPr>
              <w:t>10</w:t>
            </w:r>
          </w:p>
        </w:tc>
        <w:tc>
          <w:tcPr>
            <w:tcW w:w="1701" w:type="dxa"/>
            <w:tcBorders>
              <w:top w:val="single" w:color="000000" w:sz="4" w:space="0"/>
              <w:left w:val="single" w:color="000000" w:sz="4" w:space="0"/>
              <w:bottom w:val="single" w:color="000000" w:sz="4" w:space="0"/>
              <w:right w:val="single" w:color="000000" w:sz="4" w:space="0"/>
            </w:tcBorders>
            <w:vAlign w:val="center"/>
          </w:tcPr>
          <w:p w14:paraId="07FE8D81">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57626CAB">
            <w:pPr>
              <w:pStyle w:val="18"/>
              <w:spacing w:line="560" w:lineRule="exact"/>
              <w:ind w:left="202" w:hanging="202" w:hangingChars="100"/>
              <w:rPr>
                <w:rFonts w:ascii="仿宋" w:hAnsi="仿宋" w:eastAsia="仿宋" w:cs="仿宋"/>
                <w:spacing w:val="-4"/>
                <w:szCs w:val="21"/>
              </w:rPr>
            </w:pPr>
          </w:p>
        </w:tc>
      </w:tr>
      <w:tr w14:paraId="334CA670">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3CC06A6D">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2</w:t>
            </w:r>
            <w:r>
              <w:rPr>
                <w:rFonts w:ascii="仿宋" w:hAnsi="仿宋" w:eastAsia="仿宋" w:cs="仿宋"/>
                <w:spacing w:val="-4"/>
                <w:szCs w:val="21"/>
              </w:rPr>
              <w:t>4</w:t>
            </w:r>
          </w:p>
        </w:tc>
        <w:tc>
          <w:tcPr>
            <w:tcW w:w="3302" w:type="dxa"/>
            <w:tcBorders>
              <w:top w:val="nil"/>
              <w:left w:val="single" w:color="auto" w:sz="4" w:space="0"/>
              <w:bottom w:val="single" w:color="auto" w:sz="4" w:space="0"/>
              <w:right w:val="single" w:color="auto" w:sz="4" w:space="0"/>
            </w:tcBorders>
            <w:vAlign w:val="center"/>
          </w:tcPr>
          <w:p w14:paraId="1A1FFCB9">
            <w:pPr>
              <w:rPr>
                <w:rFonts w:ascii="宋体" w:hAnsi="宋体" w:cs="Arial"/>
                <w:sz w:val="20"/>
              </w:rPr>
            </w:pPr>
            <w:r>
              <w:rPr>
                <w:rFonts w:hint="eastAsia" w:cs="Arial"/>
                <w:sz w:val="20"/>
              </w:rPr>
              <w:t>大车车轮调整，车轮重量350kg/只</w:t>
            </w:r>
          </w:p>
        </w:tc>
        <w:tc>
          <w:tcPr>
            <w:tcW w:w="1276" w:type="dxa"/>
            <w:tcBorders>
              <w:top w:val="nil"/>
              <w:left w:val="single" w:color="auto" w:sz="4" w:space="0"/>
              <w:bottom w:val="single" w:color="auto" w:sz="4" w:space="0"/>
              <w:right w:val="single" w:color="auto" w:sz="4" w:space="0"/>
            </w:tcBorders>
            <w:vAlign w:val="center"/>
          </w:tcPr>
          <w:p w14:paraId="094B8761">
            <w:pPr>
              <w:rPr>
                <w:rFonts w:cs="Arial"/>
                <w:sz w:val="20"/>
              </w:rPr>
            </w:pPr>
            <w:r>
              <w:rPr>
                <w:rFonts w:hint="eastAsia" w:cs="Arial"/>
                <w:sz w:val="20"/>
              </w:rPr>
              <w:t>大车</w:t>
            </w:r>
          </w:p>
        </w:tc>
        <w:tc>
          <w:tcPr>
            <w:tcW w:w="992" w:type="dxa"/>
            <w:tcBorders>
              <w:top w:val="nil"/>
              <w:left w:val="single" w:color="auto" w:sz="4" w:space="0"/>
              <w:bottom w:val="single" w:color="auto" w:sz="4" w:space="0"/>
              <w:right w:val="single" w:color="auto" w:sz="4" w:space="0"/>
            </w:tcBorders>
            <w:vAlign w:val="center"/>
          </w:tcPr>
          <w:p w14:paraId="6D1EB8AA">
            <w:pPr>
              <w:jc w:val="center"/>
              <w:rPr>
                <w:rFonts w:ascii="PMingLiU" w:hAnsi="PMingLiU" w:cs="Arial"/>
                <w:sz w:val="20"/>
              </w:rPr>
            </w:pPr>
            <w:r>
              <w:rPr>
                <w:rFonts w:hint="eastAsia" w:ascii="PMingLiU" w:hAnsi="PMingLiU" w:cs="Arial"/>
                <w:color w:val="FF00FF"/>
                <w:sz w:val="20"/>
              </w:rPr>
              <w:t>4</w:t>
            </w:r>
          </w:p>
        </w:tc>
        <w:tc>
          <w:tcPr>
            <w:tcW w:w="1701" w:type="dxa"/>
            <w:tcBorders>
              <w:top w:val="single" w:color="000000" w:sz="4" w:space="0"/>
              <w:left w:val="single" w:color="000000" w:sz="4" w:space="0"/>
              <w:bottom w:val="single" w:color="000000" w:sz="4" w:space="0"/>
              <w:right w:val="single" w:color="000000" w:sz="4" w:space="0"/>
            </w:tcBorders>
            <w:vAlign w:val="center"/>
          </w:tcPr>
          <w:p w14:paraId="25844967">
            <w:pPr>
              <w:widowControl/>
              <w:jc w:val="center"/>
              <w:textAlignment w:val="center"/>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33A5EA69">
            <w:pPr>
              <w:widowControl/>
              <w:jc w:val="right"/>
              <w:textAlignment w:val="center"/>
              <w:rPr>
                <w:rFonts w:ascii="仿宋" w:hAnsi="仿宋" w:eastAsia="仿宋" w:cs="仿宋"/>
                <w:spacing w:val="-4"/>
                <w:szCs w:val="21"/>
              </w:rPr>
            </w:pPr>
          </w:p>
        </w:tc>
      </w:tr>
      <w:tr w14:paraId="33993364">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58F908C1">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2</w:t>
            </w:r>
            <w:r>
              <w:rPr>
                <w:rFonts w:ascii="仿宋" w:hAnsi="仿宋" w:eastAsia="仿宋" w:cs="仿宋"/>
                <w:spacing w:val="-4"/>
                <w:szCs w:val="21"/>
              </w:rPr>
              <w:t>5</w:t>
            </w:r>
          </w:p>
        </w:tc>
        <w:tc>
          <w:tcPr>
            <w:tcW w:w="3302" w:type="dxa"/>
            <w:tcBorders>
              <w:top w:val="nil"/>
              <w:left w:val="single" w:color="auto" w:sz="4" w:space="0"/>
              <w:bottom w:val="single" w:color="auto" w:sz="4" w:space="0"/>
              <w:right w:val="single" w:color="auto" w:sz="4" w:space="0"/>
            </w:tcBorders>
            <w:vAlign w:val="center"/>
          </w:tcPr>
          <w:p w14:paraId="2B278EAF">
            <w:pPr>
              <w:rPr>
                <w:rFonts w:ascii="MingLiU" w:hAnsi="MingLiU" w:eastAsia="MingLiU" w:cs="Arial"/>
                <w:sz w:val="20"/>
              </w:rPr>
            </w:pPr>
            <w:r>
              <w:rPr>
                <w:rFonts w:hint="eastAsia" w:ascii="MingLiU" w:hAnsi="MingLiU" w:eastAsia="MingLiU" w:cs="Arial"/>
                <w:sz w:val="20"/>
              </w:rPr>
              <w:t>门吊风速仪更换</w:t>
            </w:r>
          </w:p>
        </w:tc>
        <w:tc>
          <w:tcPr>
            <w:tcW w:w="1276" w:type="dxa"/>
            <w:tcBorders>
              <w:top w:val="nil"/>
              <w:left w:val="single" w:color="auto" w:sz="4" w:space="0"/>
              <w:bottom w:val="single" w:color="auto" w:sz="4" w:space="0"/>
              <w:right w:val="single" w:color="auto" w:sz="4" w:space="0"/>
            </w:tcBorders>
            <w:vAlign w:val="center"/>
          </w:tcPr>
          <w:p w14:paraId="636B4B99">
            <w:pPr>
              <w:rPr>
                <w:rFonts w:cs="Arial"/>
                <w:sz w:val="20"/>
              </w:rPr>
            </w:pPr>
            <w:r>
              <w:rPr>
                <w:rFonts w:hint="eastAsia" w:cs="Arial"/>
                <w:sz w:val="20"/>
              </w:rPr>
              <w:t>门吊桁架</w:t>
            </w:r>
          </w:p>
        </w:tc>
        <w:tc>
          <w:tcPr>
            <w:tcW w:w="992" w:type="dxa"/>
            <w:tcBorders>
              <w:top w:val="nil"/>
              <w:left w:val="single" w:color="auto" w:sz="4" w:space="0"/>
              <w:bottom w:val="single" w:color="auto" w:sz="4" w:space="0"/>
              <w:right w:val="single" w:color="auto" w:sz="4" w:space="0"/>
            </w:tcBorders>
            <w:vAlign w:val="center"/>
          </w:tcPr>
          <w:p w14:paraId="51D0A80D">
            <w:pPr>
              <w:jc w:val="center"/>
              <w:rPr>
                <w:rFonts w:ascii="PMingLiU" w:hAnsi="PMingLiU" w:eastAsia="PMingLiU" w:cs="Arial"/>
                <w:sz w:val="20"/>
              </w:rPr>
            </w:pPr>
            <w:r>
              <w:rPr>
                <w:rFonts w:hint="eastAsia" w:ascii="PMingLiU" w:hAnsi="PMingLiU"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4C1A4FAC">
            <w:pPr>
              <w:widowControl/>
              <w:jc w:val="center"/>
              <w:textAlignment w:val="center"/>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8A9484F">
            <w:pPr>
              <w:widowControl/>
              <w:jc w:val="right"/>
              <w:textAlignment w:val="center"/>
              <w:rPr>
                <w:rFonts w:ascii="仿宋" w:hAnsi="仿宋" w:eastAsia="仿宋" w:cs="仿宋"/>
                <w:spacing w:val="-4"/>
                <w:szCs w:val="21"/>
              </w:rPr>
            </w:pPr>
          </w:p>
        </w:tc>
      </w:tr>
      <w:tr w14:paraId="2BC65EDC">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4E1DFD2D">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2</w:t>
            </w:r>
            <w:r>
              <w:rPr>
                <w:rFonts w:ascii="仿宋" w:hAnsi="仿宋" w:eastAsia="仿宋" w:cs="仿宋"/>
                <w:spacing w:val="-4"/>
                <w:szCs w:val="21"/>
              </w:rPr>
              <w:t>6</w:t>
            </w:r>
          </w:p>
        </w:tc>
        <w:tc>
          <w:tcPr>
            <w:tcW w:w="3302" w:type="dxa"/>
            <w:tcBorders>
              <w:top w:val="nil"/>
              <w:left w:val="single" w:color="auto" w:sz="4" w:space="0"/>
              <w:bottom w:val="single" w:color="auto" w:sz="4" w:space="0"/>
              <w:right w:val="single" w:color="auto" w:sz="4" w:space="0"/>
            </w:tcBorders>
            <w:vAlign w:val="center"/>
          </w:tcPr>
          <w:p w14:paraId="2CC29A83">
            <w:pPr>
              <w:rPr>
                <w:rFonts w:ascii="MingLiU" w:hAnsi="MingLiU" w:eastAsia="MingLiU" w:cs="Arial"/>
                <w:sz w:val="20"/>
              </w:rPr>
            </w:pPr>
            <w:r>
              <w:rPr>
                <w:rFonts w:hint="eastAsia" w:ascii="MingLiU" w:hAnsi="MingLiU" w:eastAsia="MingLiU" w:cs="Arial"/>
                <w:sz w:val="20"/>
              </w:rPr>
              <w:t>小车滑车电缆线更换</w:t>
            </w:r>
          </w:p>
        </w:tc>
        <w:tc>
          <w:tcPr>
            <w:tcW w:w="1276" w:type="dxa"/>
            <w:tcBorders>
              <w:top w:val="nil"/>
              <w:left w:val="single" w:color="auto" w:sz="4" w:space="0"/>
              <w:bottom w:val="single" w:color="auto" w:sz="4" w:space="0"/>
              <w:right w:val="single" w:color="auto" w:sz="4" w:space="0"/>
            </w:tcBorders>
            <w:vAlign w:val="center"/>
          </w:tcPr>
          <w:p w14:paraId="23A0F8D3">
            <w:pPr>
              <w:rPr>
                <w:rFonts w:cs="Arial"/>
                <w:sz w:val="20"/>
              </w:rPr>
            </w:pPr>
            <w:r>
              <w:rPr>
                <w:rFonts w:hint="eastAsia" w:cs="Arial"/>
                <w:sz w:val="20"/>
              </w:rPr>
              <w:t>小车</w:t>
            </w:r>
          </w:p>
        </w:tc>
        <w:tc>
          <w:tcPr>
            <w:tcW w:w="992" w:type="dxa"/>
            <w:tcBorders>
              <w:top w:val="nil"/>
              <w:left w:val="single" w:color="auto" w:sz="4" w:space="0"/>
              <w:bottom w:val="single" w:color="auto" w:sz="4" w:space="0"/>
              <w:right w:val="single" w:color="auto" w:sz="4" w:space="0"/>
            </w:tcBorders>
            <w:vAlign w:val="center"/>
          </w:tcPr>
          <w:p w14:paraId="53D25907">
            <w:pPr>
              <w:jc w:val="center"/>
              <w:rPr>
                <w:rFonts w:ascii="PMingLiU" w:hAnsi="PMingLiU" w:eastAsia="PMingLiU" w:cs="Arial"/>
                <w:sz w:val="20"/>
              </w:rPr>
            </w:pPr>
            <w:r>
              <w:rPr>
                <w:rFonts w:hint="eastAsia" w:ascii="PMingLiU" w:hAnsi="PMingLiU"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4F4C3F19">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6AF57D35">
            <w:pPr>
              <w:pStyle w:val="18"/>
              <w:spacing w:line="560" w:lineRule="exact"/>
              <w:ind w:left="202" w:hanging="202" w:hangingChars="100"/>
              <w:rPr>
                <w:rFonts w:ascii="仿宋" w:hAnsi="仿宋" w:eastAsia="仿宋" w:cs="仿宋"/>
                <w:spacing w:val="-4"/>
                <w:szCs w:val="21"/>
              </w:rPr>
            </w:pPr>
          </w:p>
        </w:tc>
      </w:tr>
      <w:tr w14:paraId="0488B7FB">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5ACFB24C">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2</w:t>
            </w:r>
            <w:r>
              <w:rPr>
                <w:rFonts w:ascii="仿宋" w:hAnsi="仿宋" w:eastAsia="仿宋" w:cs="仿宋"/>
                <w:spacing w:val="-4"/>
                <w:szCs w:val="21"/>
              </w:rPr>
              <w:t>7</w:t>
            </w:r>
          </w:p>
        </w:tc>
        <w:tc>
          <w:tcPr>
            <w:tcW w:w="3302" w:type="dxa"/>
            <w:tcBorders>
              <w:top w:val="nil"/>
              <w:left w:val="single" w:color="auto" w:sz="4" w:space="0"/>
              <w:bottom w:val="single" w:color="auto" w:sz="4" w:space="0"/>
              <w:right w:val="single" w:color="auto" w:sz="4" w:space="0"/>
            </w:tcBorders>
            <w:vAlign w:val="center"/>
          </w:tcPr>
          <w:p w14:paraId="083BDAE7">
            <w:pPr>
              <w:rPr>
                <w:rFonts w:ascii="宋体" w:hAnsi="宋体" w:cs="Arial"/>
                <w:sz w:val="20"/>
              </w:rPr>
            </w:pPr>
            <w:r>
              <w:rPr>
                <w:rFonts w:hint="eastAsia" w:cs="Arial"/>
                <w:sz w:val="20"/>
              </w:rPr>
              <w:t>更换热继电器（3RU6126-4EB1）</w:t>
            </w:r>
          </w:p>
        </w:tc>
        <w:tc>
          <w:tcPr>
            <w:tcW w:w="1276" w:type="dxa"/>
            <w:tcBorders>
              <w:top w:val="nil"/>
              <w:left w:val="single" w:color="auto" w:sz="4" w:space="0"/>
              <w:bottom w:val="single" w:color="auto" w:sz="4" w:space="0"/>
              <w:right w:val="single" w:color="auto" w:sz="4" w:space="0"/>
            </w:tcBorders>
            <w:vAlign w:val="center"/>
          </w:tcPr>
          <w:p w14:paraId="47902A1E">
            <w:pPr>
              <w:rPr>
                <w:rFonts w:cs="Arial"/>
                <w:sz w:val="20"/>
              </w:rPr>
            </w:pPr>
            <w:r>
              <w:rPr>
                <w:rFonts w:hint="eastAsia" w:cs="Arial"/>
                <w:sz w:val="20"/>
              </w:rPr>
              <w:t>电气</w:t>
            </w:r>
          </w:p>
        </w:tc>
        <w:tc>
          <w:tcPr>
            <w:tcW w:w="992" w:type="dxa"/>
            <w:tcBorders>
              <w:top w:val="nil"/>
              <w:left w:val="single" w:color="auto" w:sz="4" w:space="0"/>
              <w:bottom w:val="single" w:color="auto" w:sz="4" w:space="0"/>
              <w:right w:val="single" w:color="auto" w:sz="4" w:space="0"/>
            </w:tcBorders>
            <w:vAlign w:val="center"/>
          </w:tcPr>
          <w:p w14:paraId="5FEFE43D">
            <w:pPr>
              <w:jc w:val="center"/>
              <w:rPr>
                <w:rFonts w:ascii="PMingLiU" w:hAnsi="PMingLiU" w:eastAsia="PMingLiU" w:cs="Arial"/>
                <w:sz w:val="20"/>
              </w:rPr>
            </w:pPr>
            <w:r>
              <w:rPr>
                <w:rFonts w:hint="eastAsia" w:ascii="PMingLiU" w:hAnsi="PMingLiU"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13EFEC3F">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1168782">
            <w:pPr>
              <w:pStyle w:val="18"/>
              <w:spacing w:line="560" w:lineRule="exact"/>
              <w:ind w:left="202" w:hanging="202" w:hangingChars="100"/>
              <w:rPr>
                <w:rFonts w:ascii="仿宋" w:hAnsi="仿宋" w:eastAsia="仿宋" w:cs="仿宋"/>
                <w:spacing w:val="-4"/>
                <w:szCs w:val="21"/>
              </w:rPr>
            </w:pPr>
          </w:p>
        </w:tc>
      </w:tr>
      <w:tr w14:paraId="5F588AC3">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08E88D24">
            <w:pPr>
              <w:pStyle w:val="18"/>
              <w:spacing w:line="560" w:lineRule="exact"/>
              <w:ind w:left="202" w:hanging="202" w:hangingChars="100"/>
              <w:rPr>
                <w:rFonts w:ascii="仿宋" w:hAnsi="仿宋" w:eastAsia="仿宋" w:cs="仿宋"/>
                <w:spacing w:val="-4"/>
                <w:szCs w:val="21"/>
              </w:rPr>
            </w:pPr>
            <w:r>
              <w:rPr>
                <w:rFonts w:ascii="仿宋" w:hAnsi="仿宋" w:eastAsia="仿宋" w:cs="仿宋"/>
                <w:spacing w:val="-4"/>
                <w:szCs w:val="21"/>
              </w:rPr>
              <w:t>28</w:t>
            </w:r>
          </w:p>
        </w:tc>
        <w:tc>
          <w:tcPr>
            <w:tcW w:w="3302" w:type="dxa"/>
            <w:tcBorders>
              <w:top w:val="nil"/>
              <w:left w:val="single" w:color="auto" w:sz="4" w:space="0"/>
              <w:bottom w:val="single" w:color="auto" w:sz="4" w:space="0"/>
              <w:right w:val="single" w:color="auto" w:sz="4" w:space="0"/>
            </w:tcBorders>
            <w:vAlign w:val="center"/>
          </w:tcPr>
          <w:p w14:paraId="479A7F3A">
            <w:pPr>
              <w:rPr>
                <w:rFonts w:ascii="MingLiU" w:hAnsi="MingLiU" w:eastAsia="MingLiU" w:cs="Arial"/>
                <w:sz w:val="20"/>
              </w:rPr>
            </w:pPr>
            <w:r>
              <w:rPr>
                <w:rFonts w:hint="eastAsia" w:ascii="MingLiU" w:hAnsi="MingLiU" w:eastAsia="MingLiU" w:cs="Arial"/>
                <w:sz w:val="20"/>
              </w:rPr>
              <w:t>更换控制继电器(DY2N-J/AC220V+STF08A)</w:t>
            </w:r>
          </w:p>
        </w:tc>
        <w:tc>
          <w:tcPr>
            <w:tcW w:w="1276" w:type="dxa"/>
            <w:tcBorders>
              <w:top w:val="nil"/>
              <w:left w:val="single" w:color="auto" w:sz="4" w:space="0"/>
              <w:bottom w:val="single" w:color="auto" w:sz="4" w:space="0"/>
              <w:right w:val="single" w:color="auto" w:sz="4" w:space="0"/>
            </w:tcBorders>
            <w:vAlign w:val="center"/>
          </w:tcPr>
          <w:p w14:paraId="7140CB78">
            <w:pPr>
              <w:rPr>
                <w:rFonts w:cs="Arial"/>
                <w:sz w:val="20"/>
              </w:rPr>
            </w:pPr>
            <w:r>
              <w:rPr>
                <w:rFonts w:hint="eastAsia" w:cs="Arial"/>
                <w:sz w:val="20"/>
              </w:rPr>
              <w:t>电气</w:t>
            </w:r>
          </w:p>
        </w:tc>
        <w:tc>
          <w:tcPr>
            <w:tcW w:w="992" w:type="dxa"/>
            <w:tcBorders>
              <w:top w:val="nil"/>
              <w:left w:val="single" w:color="auto" w:sz="4" w:space="0"/>
              <w:bottom w:val="single" w:color="auto" w:sz="4" w:space="0"/>
              <w:right w:val="single" w:color="auto" w:sz="4" w:space="0"/>
            </w:tcBorders>
            <w:vAlign w:val="center"/>
          </w:tcPr>
          <w:p w14:paraId="013A9443">
            <w:pPr>
              <w:jc w:val="center"/>
              <w:rPr>
                <w:rFonts w:ascii="PMingLiU" w:hAnsi="PMingLiU" w:eastAsia="PMingLiU" w:cs="Arial"/>
                <w:sz w:val="20"/>
              </w:rPr>
            </w:pPr>
            <w:r>
              <w:rPr>
                <w:rFonts w:hint="eastAsia" w:ascii="PMingLiU" w:hAnsi="PMingLiU"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7E0001CA">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BDF0816">
            <w:pPr>
              <w:pStyle w:val="18"/>
              <w:spacing w:line="560" w:lineRule="exact"/>
              <w:ind w:left="202" w:hanging="202" w:hangingChars="100"/>
              <w:rPr>
                <w:rFonts w:ascii="仿宋" w:hAnsi="仿宋" w:eastAsia="仿宋" w:cs="仿宋"/>
                <w:spacing w:val="-4"/>
                <w:szCs w:val="21"/>
              </w:rPr>
            </w:pPr>
          </w:p>
        </w:tc>
      </w:tr>
      <w:tr w14:paraId="6FF29069">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788DF04A">
            <w:pPr>
              <w:pStyle w:val="18"/>
              <w:spacing w:line="560" w:lineRule="exact"/>
              <w:ind w:left="202" w:hanging="202" w:hangingChars="100"/>
              <w:rPr>
                <w:rFonts w:ascii="仿宋" w:hAnsi="仿宋" w:eastAsia="仿宋" w:cs="仿宋"/>
                <w:spacing w:val="-4"/>
                <w:szCs w:val="21"/>
              </w:rPr>
            </w:pPr>
            <w:r>
              <w:rPr>
                <w:rFonts w:ascii="仿宋" w:hAnsi="仿宋" w:eastAsia="仿宋" w:cs="仿宋"/>
                <w:spacing w:val="-4"/>
                <w:szCs w:val="21"/>
              </w:rPr>
              <w:t>29</w:t>
            </w:r>
          </w:p>
        </w:tc>
        <w:tc>
          <w:tcPr>
            <w:tcW w:w="3302" w:type="dxa"/>
            <w:tcBorders>
              <w:top w:val="nil"/>
              <w:left w:val="single" w:color="auto" w:sz="4" w:space="0"/>
              <w:bottom w:val="single" w:color="auto" w:sz="4" w:space="0"/>
              <w:right w:val="single" w:color="auto" w:sz="4" w:space="0"/>
            </w:tcBorders>
            <w:vAlign w:val="center"/>
          </w:tcPr>
          <w:p w14:paraId="7630D1BD">
            <w:pPr>
              <w:rPr>
                <w:rFonts w:ascii="宋体" w:hAnsi="宋体" w:cs="Arial"/>
                <w:sz w:val="20"/>
              </w:rPr>
            </w:pPr>
            <w:r>
              <w:rPr>
                <w:rFonts w:hint="eastAsia" w:cs="Arial"/>
                <w:sz w:val="20"/>
              </w:rPr>
              <w:t>更换接近开关（</w:t>
            </w:r>
            <w:r>
              <w:rPr>
                <w:rFonts w:hint="eastAsia" w:ascii="MingLiU" w:hAnsi="MingLiU" w:eastAsia="MingLiU" w:cs="Arial"/>
                <w:sz w:val="20"/>
              </w:rPr>
              <w:t>TURCK Bi10-M30-AZ3X</w:t>
            </w:r>
            <w:r>
              <w:rPr>
                <w:rFonts w:hint="eastAsia" w:cs="Arial"/>
                <w:sz w:val="20"/>
              </w:rPr>
              <w:t>）</w:t>
            </w:r>
          </w:p>
        </w:tc>
        <w:tc>
          <w:tcPr>
            <w:tcW w:w="1276" w:type="dxa"/>
            <w:tcBorders>
              <w:top w:val="nil"/>
              <w:left w:val="single" w:color="auto" w:sz="4" w:space="0"/>
              <w:bottom w:val="single" w:color="auto" w:sz="4" w:space="0"/>
              <w:right w:val="single" w:color="auto" w:sz="4" w:space="0"/>
            </w:tcBorders>
            <w:vAlign w:val="center"/>
          </w:tcPr>
          <w:p w14:paraId="4C36F0E1">
            <w:pPr>
              <w:rPr>
                <w:rFonts w:cs="Arial"/>
                <w:sz w:val="20"/>
              </w:rPr>
            </w:pPr>
            <w:r>
              <w:rPr>
                <w:rFonts w:hint="eastAsia" w:cs="Arial"/>
                <w:sz w:val="20"/>
              </w:rPr>
              <w:t>电气</w:t>
            </w:r>
          </w:p>
        </w:tc>
        <w:tc>
          <w:tcPr>
            <w:tcW w:w="992" w:type="dxa"/>
            <w:tcBorders>
              <w:top w:val="nil"/>
              <w:left w:val="single" w:color="auto" w:sz="4" w:space="0"/>
              <w:bottom w:val="single" w:color="auto" w:sz="4" w:space="0"/>
              <w:right w:val="single" w:color="auto" w:sz="4" w:space="0"/>
            </w:tcBorders>
            <w:vAlign w:val="center"/>
          </w:tcPr>
          <w:p w14:paraId="7B3ECAF4">
            <w:pPr>
              <w:jc w:val="center"/>
              <w:rPr>
                <w:rFonts w:ascii="PMingLiU" w:hAnsi="PMingLiU" w:eastAsia="PMingLiU" w:cs="Arial"/>
                <w:sz w:val="20"/>
              </w:rPr>
            </w:pPr>
            <w:r>
              <w:rPr>
                <w:rFonts w:hint="eastAsia" w:ascii="PMingLiU" w:hAnsi="PMingLiU" w:eastAsia="PMingLiU" w:cs="Arial"/>
                <w:sz w:val="20"/>
              </w:rPr>
              <w:t>4</w:t>
            </w:r>
          </w:p>
        </w:tc>
        <w:tc>
          <w:tcPr>
            <w:tcW w:w="1701" w:type="dxa"/>
            <w:tcBorders>
              <w:top w:val="single" w:color="000000" w:sz="4" w:space="0"/>
              <w:left w:val="single" w:color="000000" w:sz="4" w:space="0"/>
              <w:bottom w:val="single" w:color="000000" w:sz="4" w:space="0"/>
              <w:right w:val="single" w:color="000000" w:sz="4" w:space="0"/>
            </w:tcBorders>
            <w:vAlign w:val="center"/>
          </w:tcPr>
          <w:p w14:paraId="0D38EE80">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141B9EF1">
            <w:pPr>
              <w:pStyle w:val="18"/>
              <w:spacing w:line="560" w:lineRule="exact"/>
              <w:ind w:left="202" w:hanging="202" w:hangingChars="100"/>
              <w:rPr>
                <w:rFonts w:ascii="仿宋" w:hAnsi="仿宋" w:eastAsia="仿宋" w:cs="仿宋"/>
                <w:spacing w:val="-4"/>
                <w:szCs w:val="21"/>
              </w:rPr>
            </w:pPr>
          </w:p>
        </w:tc>
      </w:tr>
      <w:tr w14:paraId="1C578B19">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1AA505A6">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3</w:t>
            </w:r>
            <w:r>
              <w:rPr>
                <w:rFonts w:ascii="仿宋" w:hAnsi="仿宋" w:eastAsia="仿宋" w:cs="仿宋"/>
                <w:spacing w:val="-4"/>
                <w:szCs w:val="21"/>
              </w:rPr>
              <w:t>0</w:t>
            </w:r>
          </w:p>
        </w:tc>
        <w:tc>
          <w:tcPr>
            <w:tcW w:w="3302" w:type="dxa"/>
            <w:tcBorders>
              <w:top w:val="nil"/>
              <w:left w:val="single" w:color="auto" w:sz="4" w:space="0"/>
              <w:bottom w:val="single" w:color="auto" w:sz="4" w:space="0"/>
              <w:right w:val="single" w:color="auto" w:sz="4" w:space="0"/>
            </w:tcBorders>
            <w:vAlign w:val="center"/>
          </w:tcPr>
          <w:p w14:paraId="73E9CC7E">
            <w:pPr>
              <w:rPr>
                <w:rFonts w:cs="Arial"/>
                <w:sz w:val="20"/>
              </w:rPr>
            </w:pPr>
            <w:r>
              <w:rPr>
                <w:rFonts w:hint="eastAsia" w:cs="Arial"/>
                <w:sz w:val="20"/>
              </w:rPr>
              <w:t>大车电机散热风扇敷设4</w:t>
            </w:r>
            <w:r>
              <w:rPr>
                <w:rFonts w:ascii="Arial" w:hAnsi="Arial" w:cs="Arial"/>
                <w:sz w:val="20"/>
              </w:rPr>
              <w:t>×</w:t>
            </w:r>
            <w:r>
              <w:rPr>
                <w:rFonts w:hint="eastAsia" w:cs="Arial"/>
                <w:sz w:val="20"/>
              </w:rPr>
              <w:t>1㎡的电缆，共150米</w:t>
            </w:r>
          </w:p>
        </w:tc>
        <w:tc>
          <w:tcPr>
            <w:tcW w:w="1276" w:type="dxa"/>
            <w:tcBorders>
              <w:top w:val="nil"/>
              <w:left w:val="single" w:color="auto" w:sz="4" w:space="0"/>
              <w:bottom w:val="single" w:color="auto" w:sz="4" w:space="0"/>
              <w:right w:val="single" w:color="auto" w:sz="4" w:space="0"/>
            </w:tcBorders>
            <w:vAlign w:val="center"/>
          </w:tcPr>
          <w:p w14:paraId="5C32ED9E">
            <w:pPr>
              <w:rPr>
                <w:rFonts w:cs="Arial"/>
                <w:sz w:val="20"/>
              </w:rPr>
            </w:pPr>
            <w:r>
              <w:rPr>
                <w:rFonts w:hint="eastAsia" w:cs="Arial"/>
                <w:sz w:val="20"/>
              </w:rPr>
              <w:t>电气</w:t>
            </w:r>
          </w:p>
        </w:tc>
        <w:tc>
          <w:tcPr>
            <w:tcW w:w="992" w:type="dxa"/>
            <w:tcBorders>
              <w:top w:val="nil"/>
              <w:left w:val="single" w:color="auto" w:sz="4" w:space="0"/>
              <w:bottom w:val="single" w:color="auto" w:sz="4" w:space="0"/>
              <w:right w:val="single" w:color="auto" w:sz="4" w:space="0"/>
            </w:tcBorders>
            <w:vAlign w:val="center"/>
          </w:tcPr>
          <w:p w14:paraId="656FED96">
            <w:pPr>
              <w:jc w:val="center"/>
              <w:rPr>
                <w:rFonts w:ascii="PMingLiU" w:hAnsi="PMingLiU" w:eastAsia="PMingLiU" w:cs="Arial"/>
                <w:sz w:val="20"/>
              </w:rPr>
            </w:pPr>
            <w:r>
              <w:rPr>
                <w:rFonts w:hint="eastAsia" w:ascii="PMingLiU" w:hAnsi="PMingLiU" w:eastAsia="PMingLiU" w:cs="Arial"/>
                <w:sz w:val="20"/>
              </w:rPr>
              <w:t>2</w:t>
            </w:r>
          </w:p>
        </w:tc>
        <w:tc>
          <w:tcPr>
            <w:tcW w:w="1701" w:type="dxa"/>
            <w:tcBorders>
              <w:top w:val="single" w:color="000000" w:sz="4" w:space="0"/>
              <w:left w:val="single" w:color="000000" w:sz="4" w:space="0"/>
              <w:bottom w:val="single" w:color="000000" w:sz="4" w:space="0"/>
              <w:right w:val="single" w:color="000000" w:sz="4" w:space="0"/>
            </w:tcBorders>
            <w:vAlign w:val="center"/>
          </w:tcPr>
          <w:p w14:paraId="2AF4203C">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1B6F7F6">
            <w:pPr>
              <w:pStyle w:val="18"/>
              <w:spacing w:line="560" w:lineRule="exact"/>
              <w:ind w:left="202" w:hanging="202" w:hangingChars="100"/>
              <w:rPr>
                <w:rFonts w:ascii="仿宋" w:hAnsi="仿宋" w:eastAsia="仿宋" w:cs="仿宋"/>
                <w:spacing w:val="-4"/>
                <w:szCs w:val="21"/>
              </w:rPr>
            </w:pPr>
          </w:p>
        </w:tc>
      </w:tr>
      <w:tr w14:paraId="1F6E3206">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6826F405">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3</w:t>
            </w:r>
            <w:r>
              <w:rPr>
                <w:rFonts w:ascii="仿宋" w:hAnsi="仿宋" w:eastAsia="仿宋" w:cs="仿宋"/>
                <w:spacing w:val="-4"/>
                <w:szCs w:val="21"/>
              </w:rPr>
              <w:t>1</w:t>
            </w:r>
          </w:p>
        </w:tc>
        <w:tc>
          <w:tcPr>
            <w:tcW w:w="3302" w:type="dxa"/>
            <w:tcBorders>
              <w:top w:val="nil"/>
              <w:left w:val="single" w:color="auto" w:sz="4" w:space="0"/>
              <w:bottom w:val="single" w:color="auto" w:sz="4" w:space="0"/>
              <w:right w:val="single" w:color="auto" w:sz="4" w:space="0"/>
            </w:tcBorders>
            <w:vAlign w:val="center"/>
          </w:tcPr>
          <w:p w14:paraId="3CFFA1CB">
            <w:pPr>
              <w:rPr>
                <w:rFonts w:cs="Arial"/>
                <w:sz w:val="20"/>
              </w:rPr>
            </w:pPr>
            <w:r>
              <w:rPr>
                <w:rFonts w:hint="eastAsia" w:cs="Arial"/>
                <w:sz w:val="20"/>
              </w:rPr>
              <w:t>吊钩秤更换电池组</w:t>
            </w:r>
          </w:p>
        </w:tc>
        <w:tc>
          <w:tcPr>
            <w:tcW w:w="1276" w:type="dxa"/>
            <w:tcBorders>
              <w:top w:val="nil"/>
              <w:left w:val="single" w:color="auto" w:sz="4" w:space="0"/>
              <w:bottom w:val="single" w:color="auto" w:sz="4" w:space="0"/>
              <w:right w:val="single" w:color="auto" w:sz="4" w:space="0"/>
            </w:tcBorders>
            <w:vAlign w:val="center"/>
          </w:tcPr>
          <w:p w14:paraId="42CC49ED">
            <w:pPr>
              <w:rPr>
                <w:rFonts w:cs="Arial"/>
                <w:sz w:val="20"/>
              </w:rPr>
            </w:pPr>
            <w:r>
              <w:rPr>
                <w:rFonts w:hint="eastAsia" w:cs="Arial"/>
                <w:sz w:val="20"/>
              </w:rPr>
              <w:t>吊具</w:t>
            </w:r>
          </w:p>
        </w:tc>
        <w:tc>
          <w:tcPr>
            <w:tcW w:w="992" w:type="dxa"/>
            <w:tcBorders>
              <w:top w:val="nil"/>
              <w:left w:val="single" w:color="auto" w:sz="4" w:space="0"/>
              <w:bottom w:val="single" w:color="auto" w:sz="4" w:space="0"/>
              <w:right w:val="single" w:color="auto" w:sz="4" w:space="0"/>
            </w:tcBorders>
            <w:vAlign w:val="center"/>
          </w:tcPr>
          <w:p w14:paraId="116C7511">
            <w:pPr>
              <w:jc w:val="center"/>
              <w:rPr>
                <w:rFonts w:ascii="PMingLiU" w:hAnsi="PMingLiU" w:eastAsia="PMingLiU" w:cs="Arial"/>
                <w:sz w:val="20"/>
              </w:rPr>
            </w:pPr>
            <w:r>
              <w:rPr>
                <w:rFonts w:ascii="PMingLiU" w:hAnsi="PMingLiU" w:eastAsia="PMingLiU" w:cs="Arial"/>
                <w:sz w:val="20"/>
              </w:rPr>
              <w:t>2</w:t>
            </w:r>
          </w:p>
        </w:tc>
        <w:tc>
          <w:tcPr>
            <w:tcW w:w="1701" w:type="dxa"/>
            <w:tcBorders>
              <w:top w:val="single" w:color="000000" w:sz="4" w:space="0"/>
              <w:left w:val="single" w:color="000000" w:sz="4" w:space="0"/>
              <w:bottom w:val="single" w:color="000000" w:sz="4" w:space="0"/>
              <w:right w:val="single" w:color="000000" w:sz="4" w:space="0"/>
            </w:tcBorders>
            <w:vAlign w:val="center"/>
          </w:tcPr>
          <w:p w14:paraId="6E4F4278">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1905B518">
            <w:pPr>
              <w:pStyle w:val="18"/>
              <w:spacing w:line="560" w:lineRule="exact"/>
              <w:ind w:left="202" w:hanging="202" w:hangingChars="100"/>
              <w:rPr>
                <w:rFonts w:ascii="仿宋" w:hAnsi="仿宋" w:eastAsia="仿宋" w:cs="仿宋"/>
                <w:spacing w:val="-4"/>
                <w:szCs w:val="21"/>
              </w:rPr>
            </w:pPr>
          </w:p>
        </w:tc>
      </w:tr>
      <w:tr w14:paraId="25E5C995">
        <w:tblPrEx>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7D1FE39D">
            <w:pPr>
              <w:pStyle w:val="18"/>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3</w:t>
            </w:r>
            <w:r>
              <w:rPr>
                <w:rFonts w:ascii="仿宋" w:hAnsi="仿宋" w:eastAsia="仿宋" w:cs="仿宋"/>
                <w:spacing w:val="-4"/>
                <w:szCs w:val="21"/>
              </w:rPr>
              <w:t>2</w:t>
            </w:r>
          </w:p>
        </w:tc>
        <w:tc>
          <w:tcPr>
            <w:tcW w:w="3302" w:type="dxa"/>
            <w:tcBorders>
              <w:top w:val="nil"/>
              <w:left w:val="single" w:color="auto" w:sz="4" w:space="0"/>
              <w:bottom w:val="single" w:color="auto" w:sz="4" w:space="0"/>
              <w:right w:val="single" w:color="auto" w:sz="4" w:space="0"/>
            </w:tcBorders>
            <w:vAlign w:val="center"/>
          </w:tcPr>
          <w:p w14:paraId="71D0F8EC">
            <w:pPr>
              <w:rPr>
                <w:rFonts w:cs="Arial"/>
                <w:sz w:val="20"/>
              </w:rPr>
            </w:pPr>
            <w:r>
              <w:rPr>
                <w:rFonts w:hint="eastAsia" w:cs="Arial"/>
                <w:sz w:val="20"/>
              </w:rPr>
              <w:t>吊钩秤调校</w:t>
            </w:r>
          </w:p>
        </w:tc>
        <w:tc>
          <w:tcPr>
            <w:tcW w:w="1276" w:type="dxa"/>
            <w:tcBorders>
              <w:top w:val="nil"/>
              <w:left w:val="single" w:color="auto" w:sz="4" w:space="0"/>
              <w:bottom w:val="single" w:color="auto" w:sz="4" w:space="0"/>
              <w:right w:val="single" w:color="auto" w:sz="4" w:space="0"/>
            </w:tcBorders>
            <w:vAlign w:val="center"/>
          </w:tcPr>
          <w:p w14:paraId="2559B39E">
            <w:pPr>
              <w:rPr>
                <w:rFonts w:cs="Arial"/>
                <w:sz w:val="20"/>
              </w:rPr>
            </w:pPr>
            <w:r>
              <w:rPr>
                <w:rFonts w:hint="eastAsia" w:cs="Arial"/>
                <w:sz w:val="20"/>
              </w:rPr>
              <w:t>吊具</w:t>
            </w:r>
          </w:p>
        </w:tc>
        <w:tc>
          <w:tcPr>
            <w:tcW w:w="992" w:type="dxa"/>
            <w:tcBorders>
              <w:top w:val="nil"/>
              <w:left w:val="single" w:color="auto" w:sz="4" w:space="0"/>
              <w:bottom w:val="single" w:color="auto" w:sz="4" w:space="0"/>
              <w:right w:val="single" w:color="auto" w:sz="4" w:space="0"/>
            </w:tcBorders>
            <w:vAlign w:val="center"/>
          </w:tcPr>
          <w:p w14:paraId="172F351F">
            <w:pPr>
              <w:jc w:val="center"/>
              <w:rPr>
                <w:rFonts w:ascii="PMingLiU" w:hAnsi="PMingLiU" w:eastAsia="PMingLiU" w:cs="Arial"/>
                <w:sz w:val="20"/>
              </w:rPr>
            </w:pPr>
            <w:r>
              <w:rPr>
                <w:rFonts w:ascii="PMingLiU" w:hAnsi="PMingLiU" w:eastAsia="PMingLiU" w:cs="Arial"/>
                <w:sz w:val="20"/>
              </w:rPr>
              <w:t>2</w:t>
            </w:r>
          </w:p>
        </w:tc>
        <w:tc>
          <w:tcPr>
            <w:tcW w:w="1701" w:type="dxa"/>
            <w:tcBorders>
              <w:top w:val="single" w:color="000000" w:sz="4" w:space="0"/>
              <w:left w:val="single" w:color="000000" w:sz="4" w:space="0"/>
              <w:bottom w:val="single" w:color="000000" w:sz="4" w:space="0"/>
              <w:right w:val="single" w:color="000000" w:sz="4" w:space="0"/>
            </w:tcBorders>
            <w:vAlign w:val="center"/>
          </w:tcPr>
          <w:p w14:paraId="132D15D5">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5E4B227A">
            <w:pPr>
              <w:pStyle w:val="18"/>
              <w:spacing w:line="560" w:lineRule="exact"/>
              <w:ind w:left="202" w:hanging="202" w:hangingChars="100"/>
              <w:rPr>
                <w:rFonts w:ascii="仿宋" w:hAnsi="仿宋" w:eastAsia="仿宋" w:cs="仿宋"/>
                <w:spacing w:val="-4"/>
                <w:szCs w:val="21"/>
              </w:rPr>
            </w:pPr>
          </w:p>
        </w:tc>
      </w:tr>
      <w:tr w14:paraId="1E3155E0">
        <w:tblPrEx>
          <w:tblCellMar>
            <w:top w:w="0" w:type="dxa"/>
            <w:left w:w="108" w:type="dxa"/>
            <w:bottom w:w="0" w:type="dxa"/>
            <w:right w:w="108" w:type="dxa"/>
          </w:tblCellMar>
        </w:tblPrEx>
        <w:trPr>
          <w:trHeight w:val="25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524C3D63">
            <w:pPr>
              <w:pStyle w:val="18"/>
              <w:spacing w:line="560" w:lineRule="exact"/>
              <w:ind w:left="200" w:hanging="200" w:hangingChars="100"/>
              <w:rPr>
                <w:rFonts w:cs="Arial"/>
                <w:sz w:val="20"/>
              </w:rPr>
            </w:pPr>
          </w:p>
        </w:tc>
        <w:tc>
          <w:tcPr>
            <w:tcW w:w="3302" w:type="dxa"/>
            <w:tcBorders>
              <w:top w:val="single" w:color="000000" w:sz="4" w:space="0"/>
              <w:left w:val="single" w:color="000000" w:sz="4" w:space="0"/>
              <w:bottom w:val="single" w:color="000000" w:sz="4" w:space="0"/>
              <w:right w:val="single" w:color="000000" w:sz="4" w:space="0"/>
            </w:tcBorders>
            <w:vAlign w:val="center"/>
          </w:tcPr>
          <w:p w14:paraId="5DB5FE63">
            <w:pPr>
              <w:pStyle w:val="18"/>
              <w:spacing w:line="560" w:lineRule="exact"/>
              <w:ind w:left="200" w:hanging="200" w:hangingChars="100"/>
              <w:rPr>
                <w:rFonts w:cs="Arial"/>
                <w:sz w:val="20"/>
              </w:rPr>
            </w:pPr>
            <w:r>
              <w:rPr>
                <w:rFonts w:hint="eastAsia" w:cs="Arial"/>
                <w:sz w:val="20"/>
              </w:rPr>
              <w:t>合计</w:t>
            </w:r>
          </w:p>
        </w:tc>
        <w:tc>
          <w:tcPr>
            <w:tcW w:w="1276" w:type="dxa"/>
            <w:tcBorders>
              <w:top w:val="single" w:color="000000" w:sz="4" w:space="0"/>
              <w:left w:val="single" w:color="000000" w:sz="4" w:space="0"/>
              <w:bottom w:val="single" w:color="000000" w:sz="4" w:space="0"/>
              <w:right w:val="single" w:color="000000" w:sz="4" w:space="0"/>
            </w:tcBorders>
            <w:vAlign w:val="center"/>
          </w:tcPr>
          <w:p w14:paraId="477A70E0">
            <w:pPr>
              <w:pStyle w:val="18"/>
              <w:spacing w:line="560" w:lineRule="exact"/>
              <w:ind w:left="202" w:hanging="202" w:hangingChars="100"/>
              <w:rPr>
                <w:rFonts w:ascii="仿宋" w:hAnsi="仿宋" w:eastAsia="仿宋" w:cs="仿宋"/>
                <w:spacing w:val="-4"/>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46174FE">
            <w:pPr>
              <w:pStyle w:val="18"/>
              <w:spacing w:line="560" w:lineRule="exact"/>
              <w:ind w:left="202" w:hanging="202" w:hangingChars="100"/>
              <w:rPr>
                <w:rFonts w:ascii="仿宋" w:hAnsi="仿宋" w:eastAsia="仿宋" w:cs="仿宋"/>
                <w:spacing w:val="-4"/>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397667A">
            <w:pPr>
              <w:pStyle w:val="18"/>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B55775A">
            <w:pPr>
              <w:pStyle w:val="18"/>
              <w:spacing w:line="560" w:lineRule="exact"/>
              <w:ind w:left="202" w:hanging="202" w:hangingChars="100"/>
              <w:rPr>
                <w:rFonts w:ascii="仿宋" w:hAnsi="仿宋" w:eastAsia="仿宋" w:cs="仿宋"/>
                <w:spacing w:val="-4"/>
                <w:szCs w:val="21"/>
              </w:rPr>
            </w:pPr>
          </w:p>
        </w:tc>
      </w:tr>
    </w:tbl>
    <w:p w14:paraId="12629D4F">
      <w:pPr>
        <w:pStyle w:val="18"/>
        <w:spacing w:line="560" w:lineRule="exact"/>
        <w:ind w:left="200" w:hanging="200" w:hangingChars="100"/>
        <w:rPr>
          <w:rFonts w:cs="Arial"/>
          <w:sz w:val="20"/>
        </w:rPr>
      </w:pPr>
      <w:r>
        <w:rPr>
          <w:rFonts w:cs="Arial"/>
          <w:sz w:val="20"/>
        </w:rPr>
        <w:t>注</w:t>
      </w:r>
      <w:r>
        <w:rPr>
          <w:rFonts w:hint="eastAsia" w:cs="Arial"/>
          <w:sz w:val="20"/>
        </w:rPr>
        <w:t>：每项检修项目内容均包含与之相关的拆装附件工作量；</w:t>
      </w:r>
      <w:r>
        <w:rPr>
          <w:rFonts w:cs="Arial"/>
          <w:sz w:val="20"/>
        </w:rPr>
        <w:t>维修费用依据实际发生情况结算</w:t>
      </w:r>
      <w:r>
        <w:rPr>
          <w:rFonts w:hint="eastAsia" w:cs="Arial"/>
          <w:sz w:val="20"/>
        </w:rPr>
        <w:t>。</w:t>
      </w:r>
    </w:p>
    <w:p w14:paraId="6410F58B">
      <w:pPr>
        <w:pStyle w:val="2"/>
        <w:jc w:val="left"/>
        <w:rPr>
          <w:rFonts w:ascii="宋体" w:cs="宋体"/>
          <w:b/>
          <w:bCs/>
          <w:sz w:val="28"/>
          <w:szCs w:val="28"/>
        </w:rPr>
      </w:pPr>
    </w:p>
    <w:p w14:paraId="4A656F2C">
      <w:pPr>
        <w:pStyle w:val="2"/>
        <w:jc w:val="left"/>
        <w:rPr>
          <w:rFonts w:ascii="宋体" w:cs="宋体"/>
          <w:b/>
          <w:bCs/>
          <w:sz w:val="28"/>
          <w:szCs w:val="28"/>
        </w:rPr>
      </w:pPr>
    </w:p>
    <w:p w14:paraId="1D4743A1">
      <w:pPr>
        <w:pStyle w:val="2"/>
        <w:jc w:val="left"/>
        <w:rPr>
          <w:rFonts w:ascii="宋体" w:cs="宋体"/>
          <w:b/>
          <w:bCs/>
          <w:sz w:val="28"/>
          <w:szCs w:val="28"/>
        </w:rPr>
      </w:pPr>
    </w:p>
    <w:p w14:paraId="0FF6B7FE">
      <w:pPr>
        <w:pStyle w:val="2"/>
        <w:jc w:val="left"/>
        <w:rPr>
          <w:rFonts w:ascii="宋体" w:cs="宋体"/>
          <w:b/>
          <w:bCs/>
          <w:sz w:val="28"/>
          <w:szCs w:val="28"/>
        </w:rPr>
      </w:pPr>
    </w:p>
    <w:p w14:paraId="792B095E"/>
    <w:p w14:paraId="1E94829A"/>
    <w:p w14:paraId="1E64B50E"/>
    <w:p w14:paraId="67DC3237">
      <w:pPr>
        <w:pStyle w:val="2"/>
        <w:jc w:val="left"/>
        <w:rPr>
          <w:rFonts w:ascii="宋体" w:cs="宋体"/>
        </w:rPr>
      </w:pPr>
      <w:r>
        <w:rPr>
          <w:rFonts w:hint="eastAsia" w:ascii="宋体" w:cs="宋体"/>
          <w:b/>
          <w:bCs/>
          <w:sz w:val="28"/>
          <w:szCs w:val="28"/>
        </w:rPr>
        <w:t>附件3</w:t>
      </w:r>
    </w:p>
    <w:p w14:paraId="4AF4C379">
      <w:pPr>
        <w:pStyle w:val="2"/>
        <w:rPr>
          <w:rFonts w:ascii="宋体" w:cs="宋体"/>
        </w:rPr>
      </w:pPr>
      <w:r>
        <w:rPr>
          <w:rFonts w:ascii="宋体" w:cs="宋体"/>
        </w:rPr>
        <w:t>及时响应</w:t>
      </w:r>
      <w:r>
        <w:rPr>
          <w:rFonts w:hint="eastAsia" w:ascii="宋体" w:cs="宋体"/>
        </w:rPr>
        <w:t>和</w:t>
      </w:r>
      <w:r>
        <w:rPr>
          <w:rFonts w:ascii="宋体" w:cs="宋体"/>
          <w:color w:val="FF0000"/>
        </w:rPr>
        <w:t>排除故障</w:t>
      </w:r>
      <w:r>
        <w:rPr>
          <w:rFonts w:hint="eastAsia" w:ascii="宋体" w:cs="宋体"/>
        </w:rPr>
        <w:t>承诺函</w:t>
      </w:r>
    </w:p>
    <w:p w14:paraId="2DAA08F2"/>
    <w:p w14:paraId="62C525FB">
      <w:pPr>
        <w:tabs>
          <w:tab w:val="left" w:pos="180"/>
        </w:tabs>
        <w:wordWrap w:val="0"/>
        <w:spacing w:line="360" w:lineRule="auto"/>
        <w:rPr>
          <w:rFonts w:ascii="仿宋_GB2312" w:eastAsia="仿宋_GB2312" w:cs="仿宋_GB2312"/>
          <w:sz w:val="24"/>
          <w:szCs w:val="24"/>
        </w:rPr>
      </w:pPr>
      <w:r>
        <w:rPr>
          <w:rFonts w:hint="eastAsia" w:ascii="仿宋_GB2312" w:eastAsia="仿宋_GB2312" w:cs="仿宋_GB2312"/>
          <w:sz w:val="24"/>
          <w:szCs w:val="24"/>
        </w:rPr>
        <w:t>镇江海纳川公铁运输</w:t>
      </w:r>
      <w:r>
        <w:rPr>
          <w:rFonts w:ascii="仿宋_GB2312" w:eastAsia="仿宋_GB2312" w:cs="仿宋_GB2312"/>
          <w:sz w:val="24"/>
          <w:szCs w:val="24"/>
        </w:rPr>
        <w:t>有限</w:t>
      </w:r>
      <w:r>
        <w:rPr>
          <w:rFonts w:hint="eastAsia" w:ascii="仿宋_GB2312" w:eastAsia="仿宋_GB2312" w:cs="仿宋_GB2312"/>
          <w:sz w:val="24"/>
          <w:szCs w:val="24"/>
        </w:rPr>
        <w:t>公司：</w:t>
      </w:r>
    </w:p>
    <w:p w14:paraId="6B7D90E4">
      <w:pPr>
        <w:wordWrap w:val="0"/>
        <w:spacing w:line="360" w:lineRule="auto"/>
        <w:ind w:left="240" w:firstLine="480" w:firstLineChars="200"/>
        <w:rPr>
          <w:rFonts w:ascii="仿宋_GB2312" w:eastAsia="仿宋_GB2312" w:cs="仿宋_GB2312"/>
          <w:sz w:val="24"/>
          <w:szCs w:val="24"/>
        </w:rPr>
      </w:pPr>
    </w:p>
    <w:p w14:paraId="26E34A41">
      <w:pPr>
        <w:wordWrap w:val="0"/>
        <w:spacing w:line="360" w:lineRule="auto"/>
        <w:ind w:firstLine="480" w:firstLineChars="200"/>
        <w:jc w:val="left"/>
        <w:rPr>
          <w:rFonts w:ascii="仿宋_GB2312" w:eastAsia="仿宋_GB2312" w:cs="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投标单位全称</w:t>
      </w:r>
      <w:r>
        <w:rPr>
          <w:rFonts w:ascii="仿宋_GB2312" w:eastAsia="仿宋_GB2312" w:cs="仿宋_GB2312"/>
          <w:sz w:val="24"/>
          <w:szCs w:val="24"/>
        </w:rPr>
        <w:t>)承诺：如我公司中标贵公司《</w:t>
      </w:r>
      <w:r>
        <w:rPr>
          <w:rFonts w:hint="eastAsia" w:ascii="仿宋_GB2312" w:eastAsia="仿宋_GB2312" w:cs="仿宋_GB2312"/>
          <w:sz w:val="24"/>
          <w:szCs w:val="24"/>
        </w:rPr>
        <w:t>海纳川公铁轨道式集装箱门式起重机2024-2025年度维保及故障维修招标项目</w:t>
      </w:r>
      <w:r>
        <w:rPr>
          <w:rFonts w:ascii="仿宋_GB2312" w:eastAsia="仿宋_GB2312" w:cs="仿宋_GB2312"/>
          <w:sz w:val="24"/>
          <w:szCs w:val="24"/>
        </w:rPr>
        <w:t>》，我们会安排胜任该项目的人员从事相应维保与检修工作，公司</w:t>
      </w:r>
      <w:r>
        <w:rPr>
          <w:rFonts w:ascii="仿宋_GB2312" w:eastAsia="仿宋_GB2312" w:cs="仿宋_GB2312"/>
          <w:sz w:val="24"/>
          <w:szCs w:val="24"/>
          <w:u w:val="single"/>
        </w:rPr>
        <w:t xml:space="preserve">           </w:t>
      </w:r>
      <w:r>
        <w:rPr>
          <w:rFonts w:ascii="仿宋_GB2312" w:eastAsia="仿宋_GB2312" w:cs="仿宋_GB2312"/>
          <w:sz w:val="24"/>
          <w:szCs w:val="24"/>
        </w:rPr>
        <w:t xml:space="preserve">( </w:t>
      </w:r>
      <w:r>
        <w:rPr>
          <w:rFonts w:hint="eastAsia" w:ascii="仿宋_GB2312" w:eastAsia="仿宋_GB2312" w:cs="仿宋_GB2312"/>
          <w:sz w:val="24"/>
          <w:szCs w:val="24"/>
        </w:rPr>
        <w:t>姓名</w:t>
      </w:r>
      <w:r>
        <w:rPr>
          <w:rFonts w:ascii="仿宋_GB2312" w:eastAsia="仿宋_GB2312" w:cs="仿宋_GB2312"/>
          <w:sz w:val="24"/>
          <w:szCs w:val="24"/>
        </w:rPr>
        <w:t>)</w:t>
      </w:r>
      <w:r>
        <w:rPr>
          <w:rFonts w:ascii="仿宋_GB2312" w:eastAsia="仿宋_GB2312" w:cs="仿宋_GB2312"/>
          <w:sz w:val="24"/>
          <w:szCs w:val="24"/>
          <w:u w:val="single"/>
        </w:rPr>
        <w:t xml:space="preserve">          </w:t>
      </w:r>
      <w:r>
        <w:rPr>
          <w:rFonts w:ascii="仿宋_GB2312" w:eastAsia="仿宋_GB2312" w:cs="仿宋_GB2312"/>
          <w:sz w:val="24"/>
          <w:szCs w:val="24"/>
        </w:rPr>
        <w:t>(</w:t>
      </w:r>
      <w:r>
        <w:rPr>
          <w:rFonts w:hint="eastAsia" w:ascii="仿宋_GB2312" w:eastAsia="仿宋_GB2312" w:cs="仿宋_GB2312"/>
          <w:sz w:val="24"/>
          <w:szCs w:val="24"/>
        </w:rPr>
        <w:t>职务、职称</w:t>
      </w:r>
      <w:r>
        <w:rPr>
          <w:rFonts w:ascii="仿宋_GB2312" w:eastAsia="仿宋_GB2312" w:cs="仿宋_GB2312"/>
          <w:sz w:val="24"/>
          <w:szCs w:val="24"/>
        </w:rPr>
        <w:t>)</w:t>
      </w:r>
      <w:r>
        <w:rPr>
          <w:rFonts w:ascii="仿宋_GB2312" w:eastAsia="仿宋_GB2312" w:cs="仿宋_GB2312"/>
          <w:sz w:val="24"/>
          <w:szCs w:val="24"/>
          <w:u w:val="single"/>
        </w:rPr>
        <w:t xml:space="preserve">          </w:t>
      </w:r>
      <w:r>
        <w:rPr>
          <w:rFonts w:ascii="仿宋_GB2312" w:eastAsia="仿宋_GB2312" w:cs="仿宋_GB2312"/>
          <w:sz w:val="24"/>
          <w:szCs w:val="24"/>
        </w:rPr>
        <w:t>(手机号码)及</w:t>
      </w:r>
      <w:r>
        <w:rPr>
          <w:rFonts w:ascii="仿宋_GB2312" w:eastAsia="仿宋_GB2312" w:cs="仿宋_GB2312"/>
          <w:sz w:val="24"/>
          <w:szCs w:val="24"/>
          <w:u w:val="single"/>
        </w:rPr>
        <w:t xml:space="preserve">           </w:t>
      </w:r>
      <w:r>
        <w:rPr>
          <w:rFonts w:ascii="仿宋_GB2312" w:eastAsia="仿宋_GB2312" w:cs="仿宋_GB2312"/>
          <w:sz w:val="24"/>
          <w:szCs w:val="24"/>
        </w:rPr>
        <w:t xml:space="preserve">( </w:t>
      </w:r>
      <w:r>
        <w:rPr>
          <w:rFonts w:hint="eastAsia" w:ascii="仿宋_GB2312" w:eastAsia="仿宋_GB2312" w:cs="仿宋_GB2312"/>
          <w:sz w:val="24"/>
          <w:szCs w:val="24"/>
        </w:rPr>
        <w:t>姓名</w:t>
      </w:r>
      <w:r>
        <w:rPr>
          <w:rFonts w:ascii="仿宋_GB2312" w:eastAsia="仿宋_GB2312" w:cs="仿宋_GB2312"/>
          <w:sz w:val="24"/>
          <w:szCs w:val="24"/>
        </w:rPr>
        <w:t>)</w:t>
      </w:r>
      <w:r>
        <w:rPr>
          <w:rFonts w:ascii="仿宋_GB2312" w:eastAsia="仿宋_GB2312" w:cs="仿宋_GB2312"/>
          <w:sz w:val="24"/>
          <w:szCs w:val="24"/>
          <w:u w:val="single"/>
        </w:rPr>
        <w:t xml:space="preserve">          </w:t>
      </w:r>
      <w:r>
        <w:rPr>
          <w:rFonts w:ascii="仿宋_GB2312" w:eastAsia="仿宋_GB2312" w:cs="仿宋_GB2312"/>
          <w:sz w:val="24"/>
          <w:szCs w:val="24"/>
        </w:rPr>
        <w:t>(</w:t>
      </w:r>
      <w:r>
        <w:rPr>
          <w:rFonts w:hint="eastAsia" w:ascii="仿宋_GB2312" w:eastAsia="仿宋_GB2312" w:cs="仿宋_GB2312"/>
          <w:sz w:val="24"/>
          <w:szCs w:val="24"/>
        </w:rPr>
        <w:t>职务、职称</w:t>
      </w:r>
      <w:r>
        <w:rPr>
          <w:rFonts w:ascii="仿宋_GB2312" w:eastAsia="仿宋_GB2312" w:cs="仿宋_GB2312"/>
          <w:sz w:val="24"/>
          <w:szCs w:val="24"/>
        </w:rPr>
        <w:t>)</w:t>
      </w:r>
      <w:r>
        <w:rPr>
          <w:rFonts w:ascii="仿宋_GB2312" w:eastAsia="仿宋_GB2312" w:cs="仿宋_GB2312"/>
          <w:sz w:val="24"/>
          <w:szCs w:val="24"/>
          <w:u w:val="single"/>
        </w:rPr>
        <w:t xml:space="preserve">          </w:t>
      </w:r>
      <w:r>
        <w:rPr>
          <w:rFonts w:ascii="仿宋_GB2312" w:eastAsia="仿宋_GB2312" w:cs="仿宋_GB2312"/>
          <w:sz w:val="24"/>
          <w:szCs w:val="24"/>
        </w:rPr>
        <w:t>(手机号码)，手机24小时处于开启状态，并保证收到贵公司故障报修电话后10分钟给予回复</w:t>
      </w:r>
      <w:r>
        <w:rPr>
          <w:rFonts w:ascii="仿宋_GB2312" w:eastAsia="仿宋_GB2312" w:cs="仿宋_GB2312"/>
          <w:color w:val="FF0000"/>
          <w:sz w:val="24"/>
          <w:szCs w:val="24"/>
        </w:rPr>
        <w:t>，</w:t>
      </w:r>
      <w:r>
        <w:rPr>
          <w:rFonts w:ascii="仿宋_GB2312" w:eastAsia="仿宋_GB2312" w:cs="仿宋_GB2312"/>
          <w:color w:val="FF0000"/>
          <w:sz w:val="24"/>
          <w:szCs w:val="24"/>
          <w:u w:val="single"/>
        </w:rPr>
        <w:t xml:space="preserve">          </w:t>
      </w:r>
      <w:r>
        <w:rPr>
          <w:rFonts w:hint="eastAsia" w:ascii="仿宋_GB2312" w:eastAsia="仿宋_GB2312" w:cs="仿宋_GB2312"/>
          <w:color w:val="FF0000"/>
          <w:sz w:val="24"/>
          <w:szCs w:val="24"/>
        </w:rPr>
        <w:t>小时内赶</w:t>
      </w:r>
      <w:r>
        <w:rPr>
          <w:rFonts w:ascii="仿宋_GB2312" w:eastAsia="仿宋_GB2312" w:cs="仿宋_GB2312"/>
          <w:color w:val="FF0000"/>
          <w:sz w:val="24"/>
          <w:szCs w:val="24"/>
        </w:rPr>
        <w:t>到现场</w:t>
      </w:r>
      <w:r>
        <w:rPr>
          <w:rFonts w:hint="eastAsia" w:ascii="仿宋_GB2312" w:eastAsia="仿宋_GB2312" w:cs="仿宋_GB2312"/>
          <w:color w:val="FF0000"/>
          <w:sz w:val="24"/>
          <w:szCs w:val="24"/>
        </w:rPr>
        <w:t>，</w:t>
      </w:r>
      <w:r>
        <w:rPr>
          <w:rFonts w:hint="eastAsia" w:ascii="仿宋_GB2312" w:eastAsia="仿宋_GB2312" w:cs="仿宋_GB2312"/>
          <w:sz w:val="24"/>
          <w:szCs w:val="24"/>
        </w:rPr>
        <w:t>如</w:t>
      </w:r>
      <w:r>
        <w:rPr>
          <w:rFonts w:ascii="仿宋_GB2312" w:eastAsia="仿宋_GB2312" w:cs="仿宋_GB2312"/>
          <w:sz w:val="24"/>
          <w:szCs w:val="24"/>
        </w:rPr>
        <w:t>不能按时</w:t>
      </w:r>
      <w:r>
        <w:rPr>
          <w:rFonts w:hint="eastAsia" w:ascii="仿宋_GB2312" w:eastAsia="仿宋_GB2312" w:cs="仿宋_GB2312"/>
          <w:sz w:val="24"/>
          <w:szCs w:val="24"/>
        </w:rPr>
        <w:t>赶</w:t>
      </w:r>
      <w:r>
        <w:rPr>
          <w:rFonts w:ascii="仿宋_GB2312" w:eastAsia="仿宋_GB2312" w:cs="仿宋_GB2312"/>
          <w:sz w:val="24"/>
          <w:szCs w:val="24"/>
        </w:rPr>
        <w:t>到，需告知安排的人员和到达现场的大致时间，</w:t>
      </w:r>
      <w:r>
        <w:rPr>
          <w:rFonts w:hint="eastAsia" w:ascii="仿宋_GB2312" w:eastAsia="仿宋_GB2312" w:cs="仿宋_GB2312"/>
          <w:color w:val="FF0000"/>
          <w:sz w:val="24"/>
          <w:szCs w:val="24"/>
        </w:rPr>
        <w:t>自接到招标方</w:t>
      </w:r>
      <w:r>
        <w:rPr>
          <w:rFonts w:ascii="仿宋_GB2312" w:eastAsia="仿宋_GB2312" w:cs="仿宋_GB2312"/>
          <w:color w:val="FF0000"/>
          <w:sz w:val="24"/>
          <w:szCs w:val="24"/>
        </w:rPr>
        <w:t>保修电话起，</w:t>
      </w:r>
      <w:r>
        <w:rPr>
          <w:rFonts w:ascii="仿宋_GB2312" w:eastAsia="仿宋_GB2312" w:cs="仿宋_GB2312"/>
          <w:color w:val="FF0000"/>
          <w:sz w:val="24"/>
          <w:szCs w:val="24"/>
          <w:u w:val="single"/>
        </w:rPr>
        <w:t xml:space="preserve">          </w:t>
      </w:r>
      <w:r>
        <w:rPr>
          <w:rFonts w:hint="eastAsia" w:ascii="仿宋_GB2312" w:eastAsia="仿宋_GB2312" w:cs="仿宋_GB2312"/>
          <w:color w:val="FF0000"/>
          <w:sz w:val="24"/>
          <w:szCs w:val="24"/>
        </w:rPr>
        <w:t>小时内（不含等待</w:t>
      </w:r>
      <w:r>
        <w:rPr>
          <w:rFonts w:ascii="仿宋_GB2312" w:eastAsia="仿宋_GB2312" w:cs="仿宋_GB2312"/>
          <w:color w:val="FF0000"/>
          <w:sz w:val="24"/>
          <w:szCs w:val="24"/>
        </w:rPr>
        <w:t>招标方</w:t>
      </w:r>
      <w:r>
        <w:rPr>
          <w:rFonts w:hint="eastAsia" w:ascii="仿宋_GB2312" w:eastAsia="仿宋_GB2312" w:cs="仿宋_GB2312"/>
          <w:color w:val="FF0000"/>
          <w:sz w:val="24"/>
          <w:szCs w:val="24"/>
        </w:rPr>
        <w:t>提供</w:t>
      </w:r>
      <w:r>
        <w:rPr>
          <w:rFonts w:ascii="仿宋_GB2312" w:eastAsia="仿宋_GB2312" w:cs="仿宋_GB2312"/>
          <w:color w:val="FF0000"/>
          <w:sz w:val="24"/>
          <w:szCs w:val="24"/>
        </w:rPr>
        <w:t>备件</w:t>
      </w:r>
      <w:r>
        <w:rPr>
          <w:rFonts w:hint="eastAsia" w:ascii="仿宋_GB2312" w:eastAsia="仿宋_GB2312" w:cs="仿宋_GB2312"/>
          <w:color w:val="FF0000"/>
          <w:sz w:val="24"/>
          <w:szCs w:val="24"/>
        </w:rPr>
        <w:t>时间）</w:t>
      </w:r>
      <w:r>
        <w:rPr>
          <w:rFonts w:ascii="仿宋_GB2312" w:eastAsia="仿宋_GB2312" w:cs="仿宋_GB2312"/>
          <w:color w:val="FF0000"/>
          <w:sz w:val="24"/>
          <w:szCs w:val="24"/>
        </w:rPr>
        <w:t>排除故障，</w:t>
      </w:r>
      <w:r>
        <w:rPr>
          <w:rFonts w:ascii="仿宋_GB2312" w:eastAsia="仿宋_GB2312" w:cs="仿宋_GB2312"/>
          <w:sz w:val="24"/>
          <w:szCs w:val="24"/>
        </w:rPr>
        <w:t>保证</w:t>
      </w:r>
      <w:r>
        <w:rPr>
          <w:rFonts w:hint="eastAsia" w:ascii="仿宋_GB2312" w:eastAsia="仿宋_GB2312" w:cs="仿宋_GB2312"/>
          <w:sz w:val="24"/>
          <w:szCs w:val="24"/>
        </w:rPr>
        <w:t>轨道式集装箱门式起重机</w:t>
      </w:r>
      <w:r>
        <w:rPr>
          <w:rFonts w:ascii="仿宋_GB2312" w:eastAsia="仿宋_GB2312" w:cs="仿宋_GB2312"/>
          <w:sz w:val="24"/>
          <w:szCs w:val="24"/>
        </w:rPr>
        <w:t>正常运转。</w:t>
      </w:r>
    </w:p>
    <w:p w14:paraId="6BCBC624">
      <w:pPr>
        <w:wordWrap w:val="0"/>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若我方违反招标文件相关条款的规定，则我方</w:t>
      </w:r>
      <w:r>
        <w:rPr>
          <w:rFonts w:ascii="仿宋_GB2312" w:eastAsia="仿宋_GB2312" w:cs="仿宋_GB2312"/>
          <w:sz w:val="24"/>
          <w:szCs w:val="24"/>
        </w:rPr>
        <w:t>愿接受贵方的考核</w:t>
      </w:r>
      <w:r>
        <w:rPr>
          <w:rFonts w:hint="eastAsia" w:ascii="仿宋_GB2312" w:eastAsia="仿宋_GB2312" w:cs="仿宋_GB2312"/>
          <w:sz w:val="24"/>
          <w:szCs w:val="24"/>
        </w:rPr>
        <w:t>。</w:t>
      </w:r>
    </w:p>
    <w:p w14:paraId="50FD49A8">
      <w:pPr>
        <w:wordWrap w:val="0"/>
        <w:spacing w:line="360" w:lineRule="auto"/>
        <w:ind w:firstLine="480" w:firstLineChars="200"/>
        <w:jc w:val="left"/>
        <w:rPr>
          <w:rFonts w:ascii="仿宋_GB2312" w:eastAsia="仿宋_GB2312" w:cs="仿宋_GB2312"/>
          <w:sz w:val="24"/>
          <w:szCs w:val="24"/>
        </w:rPr>
      </w:pPr>
    </w:p>
    <w:p w14:paraId="0DA1092F">
      <w:pPr>
        <w:wordWrap w:val="0"/>
        <w:spacing w:before="156" w:beforeLines="50" w:line="360" w:lineRule="auto"/>
        <w:jc w:val="left"/>
        <w:rPr>
          <w:rFonts w:ascii="仿宋_GB2312" w:eastAsia="仿宋_GB2312" w:cs="仿宋_GB2312"/>
          <w:sz w:val="24"/>
          <w:szCs w:val="24"/>
        </w:rPr>
      </w:pPr>
    </w:p>
    <w:p w14:paraId="7764F808">
      <w:pPr>
        <w:wordWrap w:val="0"/>
        <w:spacing w:before="156" w:beforeLines="50" w:line="360" w:lineRule="auto"/>
        <w:jc w:val="left"/>
        <w:rPr>
          <w:rFonts w:ascii="仿宋_GB2312" w:eastAsia="仿宋_GB2312" w:cs="仿宋_GB2312"/>
          <w:sz w:val="24"/>
          <w:szCs w:val="24"/>
        </w:rPr>
      </w:pPr>
    </w:p>
    <w:p w14:paraId="7EFF25B4">
      <w:pPr>
        <w:wordWrap w:val="0"/>
        <w:spacing w:before="156" w:beforeLines="50" w:line="360" w:lineRule="auto"/>
        <w:jc w:val="left"/>
        <w:rPr>
          <w:rFonts w:ascii="仿宋_GB2312" w:eastAsia="仿宋_GB2312" w:cs="仿宋_GB2312"/>
          <w:sz w:val="24"/>
          <w:szCs w:val="24"/>
        </w:rPr>
      </w:pPr>
      <w:r>
        <w:rPr>
          <w:rFonts w:hint="eastAsia" w:ascii="仿宋_GB2312" w:eastAsia="仿宋_GB2312" w:cs="仿宋_GB2312"/>
          <w:sz w:val="24"/>
          <w:szCs w:val="24"/>
        </w:rPr>
        <w:t>全权代表（签字）：</w:t>
      </w:r>
      <w:r>
        <w:rPr>
          <w:rFonts w:ascii="仿宋_GB2312" w:eastAsia="仿宋_GB2312" w:cs="仿宋_GB2312"/>
          <w:sz w:val="24"/>
          <w:szCs w:val="24"/>
        </w:rPr>
        <w:t xml:space="preserve">                   </w:t>
      </w:r>
      <w:r>
        <w:rPr>
          <w:rFonts w:hint="eastAsia" w:ascii="仿宋_GB2312" w:eastAsia="仿宋_GB2312" w:cs="仿宋_GB2312"/>
          <w:sz w:val="24"/>
          <w:szCs w:val="24"/>
        </w:rPr>
        <w:t>投标单位（盖章）：</w:t>
      </w:r>
    </w:p>
    <w:p w14:paraId="620E30E0">
      <w:pPr>
        <w:pStyle w:val="3"/>
      </w:pPr>
      <w:r>
        <w:rPr>
          <w:rFonts w:hint="eastAsia" w:ascii="仿宋_GB2312" w:eastAsia="仿宋_GB2312" w:cs="仿宋_GB2312"/>
          <w:sz w:val="24"/>
          <w:szCs w:val="24"/>
        </w:rPr>
        <w:t>日</w:t>
      </w:r>
      <w:r>
        <w:rPr>
          <w:rFonts w:ascii="仿宋_GB2312" w:eastAsia="仿宋_GB2312" w:cs="仿宋_GB2312"/>
          <w:sz w:val="24"/>
          <w:szCs w:val="24"/>
        </w:rPr>
        <w:t xml:space="preserve">  </w:t>
      </w:r>
      <w:r>
        <w:rPr>
          <w:rFonts w:hint="eastAsia" w:ascii="仿宋_GB2312" w:eastAsia="仿宋_GB2312" w:cs="仿宋_GB2312"/>
          <w:sz w:val="24"/>
          <w:szCs w:val="24"/>
        </w:rPr>
        <w:t>期：</w:t>
      </w:r>
      <w:r>
        <w:rPr>
          <w:rFonts w:ascii="仿宋_GB2312" w:eastAsia="仿宋_GB2312" w:cs="仿宋_GB2312"/>
          <w:sz w:val="24"/>
          <w:szCs w:val="24"/>
        </w:rPr>
        <w:t xml:space="preserve">  </w:t>
      </w:r>
    </w:p>
    <w:p w14:paraId="242A7BCA"/>
    <w:p w14:paraId="5159D6FC">
      <w:pPr>
        <w:spacing w:line="600" w:lineRule="exact"/>
        <w:jc w:val="left"/>
        <w:rPr>
          <w:rFonts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2466">
    <w:pPr>
      <w:pStyle w:val="8"/>
      <w:jc w:val="center"/>
    </w:pPr>
    <w:r>
      <w:pict>
        <v:rect id="文本框 2" o:spid="_x0000_s2049"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14:paraId="4A3AEB71">
                <w:pPr>
                  <w:pStyle w:val="8"/>
                  <w:jc w:val="center"/>
                </w:pPr>
                <w:r>
                  <w:fldChar w:fldCharType="begin"/>
                </w:r>
                <w:r>
                  <w:instrText xml:space="preserve"> PAGE  \* MERGEFORMAT </w:instrText>
                </w:r>
                <w:r>
                  <w:fldChar w:fldCharType="separate"/>
                </w:r>
                <w:r>
                  <w:t>13</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0095C"/>
    <w:rsid w:val="000116AC"/>
    <w:rsid w:val="000141C3"/>
    <w:rsid w:val="00017A0B"/>
    <w:rsid w:val="00026471"/>
    <w:rsid w:val="00026798"/>
    <w:rsid w:val="0003014A"/>
    <w:rsid w:val="00030F87"/>
    <w:rsid w:val="000368EF"/>
    <w:rsid w:val="00057564"/>
    <w:rsid w:val="00065EAD"/>
    <w:rsid w:val="00070A9E"/>
    <w:rsid w:val="000A22DB"/>
    <w:rsid w:val="000A4392"/>
    <w:rsid w:val="000B05C2"/>
    <w:rsid w:val="000B1FDE"/>
    <w:rsid w:val="000B224F"/>
    <w:rsid w:val="000B240D"/>
    <w:rsid w:val="000C0FB0"/>
    <w:rsid w:val="000C1845"/>
    <w:rsid w:val="000D6A23"/>
    <w:rsid w:val="000D7239"/>
    <w:rsid w:val="001053AF"/>
    <w:rsid w:val="0010553B"/>
    <w:rsid w:val="00112DAE"/>
    <w:rsid w:val="00124336"/>
    <w:rsid w:val="00124702"/>
    <w:rsid w:val="001247EE"/>
    <w:rsid w:val="001251C4"/>
    <w:rsid w:val="001260B7"/>
    <w:rsid w:val="00135692"/>
    <w:rsid w:val="00147EA3"/>
    <w:rsid w:val="00160290"/>
    <w:rsid w:val="00162DF0"/>
    <w:rsid w:val="00166793"/>
    <w:rsid w:val="00182662"/>
    <w:rsid w:val="00193418"/>
    <w:rsid w:val="001A7FE6"/>
    <w:rsid w:val="001C2ED9"/>
    <w:rsid w:val="001C37E1"/>
    <w:rsid w:val="001D1E3B"/>
    <w:rsid w:val="001D749A"/>
    <w:rsid w:val="001E269B"/>
    <w:rsid w:val="001E5294"/>
    <w:rsid w:val="001F0841"/>
    <w:rsid w:val="001F16BE"/>
    <w:rsid w:val="00204BA6"/>
    <w:rsid w:val="002055DD"/>
    <w:rsid w:val="0020749E"/>
    <w:rsid w:val="00210C67"/>
    <w:rsid w:val="002133E5"/>
    <w:rsid w:val="00224963"/>
    <w:rsid w:val="0024403B"/>
    <w:rsid w:val="0025137B"/>
    <w:rsid w:val="00260A65"/>
    <w:rsid w:val="002628A1"/>
    <w:rsid w:val="002663C8"/>
    <w:rsid w:val="0027458E"/>
    <w:rsid w:val="002747DB"/>
    <w:rsid w:val="00295F58"/>
    <w:rsid w:val="002A4FEF"/>
    <w:rsid w:val="002C7D82"/>
    <w:rsid w:val="002D08DB"/>
    <w:rsid w:val="002E6868"/>
    <w:rsid w:val="002F66BD"/>
    <w:rsid w:val="002F7B74"/>
    <w:rsid w:val="00300959"/>
    <w:rsid w:val="00304955"/>
    <w:rsid w:val="003130E5"/>
    <w:rsid w:val="003134B3"/>
    <w:rsid w:val="00317FD9"/>
    <w:rsid w:val="00331F42"/>
    <w:rsid w:val="00354DF6"/>
    <w:rsid w:val="00355E41"/>
    <w:rsid w:val="0035637E"/>
    <w:rsid w:val="00360963"/>
    <w:rsid w:val="0036173E"/>
    <w:rsid w:val="00372520"/>
    <w:rsid w:val="00372C3A"/>
    <w:rsid w:val="003732C8"/>
    <w:rsid w:val="00383DDD"/>
    <w:rsid w:val="003C384A"/>
    <w:rsid w:val="003C5E49"/>
    <w:rsid w:val="003C7784"/>
    <w:rsid w:val="003D3B18"/>
    <w:rsid w:val="003E6C64"/>
    <w:rsid w:val="004008CE"/>
    <w:rsid w:val="00404F98"/>
    <w:rsid w:val="00407A92"/>
    <w:rsid w:val="00407E4D"/>
    <w:rsid w:val="00407F8E"/>
    <w:rsid w:val="00413897"/>
    <w:rsid w:val="004247DD"/>
    <w:rsid w:val="00424FE1"/>
    <w:rsid w:val="00440CDF"/>
    <w:rsid w:val="00455075"/>
    <w:rsid w:val="004553E5"/>
    <w:rsid w:val="00466243"/>
    <w:rsid w:val="004679B5"/>
    <w:rsid w:val="004715DF"/>
    <w:rsid w:val="004875EB"/>
    <w:rsid w:val="0049592B"/>
    <w:rsid w:val="004975D5"/>
    <w:rsid w:val="004C1280"/>
    <w:rsid w:val="004C289D"/>
    <w:rsid w:val="004C31D9"/>
    <w:rsid w:val="004D4FFE"/>
    <w:rsid w:val="004F039F"/>
    <w:rsid w:val="004F353E"/>
    <w:rsid w:val="004F4F62"/>
    <w:rsid w:val="004F5E27"/>
    <w:rsid w:val="00500EC7"/>
    <w:rsid w:val="00504088"/>
    <w:rsid w:val="00520D81"/>
    <w:rsid w:val="00541A3D"/>
    <w:rsid w:val="0054684F"/>
    <w:rsid w:val="00554526"/>
    <w:rsid w:val="005644E0"/>
    <w:rsid w:val="00571705"/>
    <w:rsid w:val="00576C28"/>
    <w:rsid w:val="0058164F"/>
    <w:rsid w:val="00581D3E"/>
    <w:rsid w:val="00585C59"/>
    <w:rsid w:val="00596641"/>
    <w:rsid w:val="005C3E95"/>
    <w:rsid w:val="005C6D13"/>
    <w:rsid w:val="005D09CB"/>
    <w:rsid w:val="00605A91"/>
    <w:rsid w:val="006168FD"/>
    <w:rsid w:val="006218AD"/>
    <w:rsid w:val="00622A8D"/>
    <w:rsid w:val="006253B4"/>
    <w:rsid w:val="00630257"/>
    <w:rsid w:val="00641DD4"/>
    <w:rsid w:val="00650CA2"/>
    <w:rsid w:val="00652B4B"/>
    <w:rsid w:val="00675CA6"/>
    <w:rsid w:val="006835A9"/>
    <w:rsid w:val="00687600"/>
    <w:rsid w:val="006A5EB6"/>
    <w:rsid w:val="006B2243"/>
    <w:rsid w:val="006D00BD"/>
    <w:rsid w:val="006D12A4"/>
    <w:rsid w:val="006D3CEC"/>
    <w:rsid w:val="006E07FF"/>
    <w:rsid w:val="006E0809"/>
    <w:rsid w:val="006F1C93"/>
    <w:rsid w:val="0072104A"/>
    <w:rsid w:val="007254B5"/>
    <w:rsid w:val="0073278C"/>
    <w:rsid w:val="00740615"/>
    <w:rsid w:val="00753CD1"/>
    <w:rsid w:val="00756CEF"/>
    <w:rsid w:val="007573D6"/>
    <w:rsid w:val="00767487"/>
    <w:rsid w:val="007820F5"/>
    <w:rsid w:val="0078321F"/>
    <w:rsid w:val="007856FB"/>
    <w:rsid w:val="007875CD"/>
    <w:rsid w:val="0079121E"/>
    <w:rsid w:val="00793220"/>
    <w:rsid w:val="007A1658"/>
    <w:rsid w:val="007A24C1"/>
    <w:rsid w:val="007B14D2"/>
    <w:rsid w:val="007C772C"/>
    <w:rsid w:val="007D630F"/>
    <w:rsid w:val="007E6E47"/>
    <w:rsid w:val="007F0E1D"/>
    <w:rsid w:val="007F50F6"/>
    <w:rsid w:val="00813574"/>
    <w:rsid w:val="00814842"/>
    <w:rsid w:val="008249E2"/>
    <w:rsid w:val="008414F2"/>
    <w:rsid w:val="00842B41"/>
    <w:rsid w:val="00856599"/>
    <w:rsid w:val="00882A3F"/>
    <w:rsid w:val="00887DB8"/>
    <w:rsid w:val="00892E49"/>
    <w:rsid w:val="008940B0"/>
    <w:rsid w:val="008B6E7D"/>
    <w:rsid w:val="008C15BB"/>
    <w:rsid w:val="008C785B"/>
    <w:rsid w:val="008D2F65"/>
    <w:rsid w:val="008D5377"/>
    <w:rsid w:val="0091028A"/>
    <w:rsid w:val="0091114C"/>
    <w:rsid w:val="0091252B"/>
    <w:rsid w:val="00934C1D"/>
    <w:rsid w:val="0093613E"/>
    <w:rsid w:val="0094305E"/>
    <w:rsid w:val="009667D8"/>
    <w:rsid w:val="00975ECA"/>
    <w:rsid w:val="0099001A"/>
    <w:rsid w:val="009A7843"/>
    <w:rsid w:val="009A7BF6"/>
    <w:rsid w:val="009B33C6"/>
    <w:rsid w:val="009B5752"/>
    <w:rsid w:val="009C0A90"/>
    <w:rsid w:val="009C1B9D"/>
    <w:rsid w:val="009D135B"/>
    <w:rsid w:val="009D1883"/>
    <w:rsid w:val="009E2975"/>
    <w:rsid w:val="00A268A6"/>
    <w:rsid w:val="00A303BA"/>
    <w:rsid w:val="00A34408"/>
    <w:rsid w:val="00A54DF7"/>
    <w:rsid w:val="00A62208"/>
    <w:rsid w:val="00A63D54"/>
    <w:rsid w:val="00A63D7F"/>
    <w:rsid w:val="00A64586"/>
    <w:rsid w:val="00A7381A"/>
    <w:rsid w:val="00A86910"/>
    <w:rsid w:val="00A934E7"/>
    <w:rsid w:val="00A97749"/>
    <w:rsid w:val="00AA0514"/>
    <w:rsid w:val="00AA7C48"/>
    <w:rsid w:val="00AB1284"/>
    <w:rsid w:val="00AB6095"/>
    <w:rsid w:val="00AC569D"/>
    <w:rsid w:val="00AD1B32"/>
    <w:rsid w:val="00AD4931"/>
    <w:rsid w:val="00AD59AF"/>
    <w:rsid w:val="00AF3655"/>
    <w:rsid w:val="00B05EF4"/>
    <w:rsid w:val="00B10E3A"/>
    <w:rsid w:val="00B13AB6"/>
    <w:rsid w:val="00B17FFA"/>
    <w:rsid w:val="00B353E5"/>
    <w:rsid w:val="00B51C96"/>
    <w:rsid w:val="00B74619"/>
    <w:rsid w:val="00B74813"/>
    <w:rsid w:val="00B7550F"/>
    <w:rsid w:val="00B82CED"/>
    <w:rsid w:val="00B92F7B"/>
    <w:rsid w:val="00BB4AB2"/>
    <w:rsid w:val="00BC1553"/>
    <w:rsid w:val="00BD5DA8"/>
    <w:rsid w:val="00BD78FB"/>
    <w:rsid w:val="00BF2809"/>
    <w:rsid w:val="00C13056"/>
    <w:rsid w:val="00C13EC3"/>
    <w:rsid w:val="00C1662A"/>
    <w:rsid w:val="00C21131"/>
    <w:rsid w:val="00C21158"/>
    <w:rsid w:val="00C258E8"/>
    <w:rsid w:val="00C266AB"/>
    <w:rsid w:val="00C372AD"/>
    <w:rsid w:val="00C46E5D"/>
    <w:rsid w:val="00C56465"/>
    <w:rsid w:val="00C56960"/>
    <w:rsid w:val="00C748C7"/>
    <w:rsid w:val="00C95CDE"/>
    <w:rsid w:val="00C97E7F"/>
    <w:rsid w:val="00CC0ED7"/>
    <w:rsid w:val="00CC1DC6"/>
    <w:rsid w:val="00CC3EB8"/>
    <w:rsid w:val="00CC55A1"/>
    <w:rsid w:val="00CD136A"/>
    <w:rsid w:val="00CD1F70"/>
    <w:rsid w:val="00D06382"/>
    <w:rsid w:val="00D11A1E"/>
    <w:rsid w:val="00D24639"/>
    <w:rsid w:val="00D32CC0"/>
    <w:rsid w:val="00D35BFF"/>
    <w:rsid w:val="00D51C9C"/>
    <w:rsid w:val="00D74619"/>
    <w:rsid w:val="00D82D6F"/>
    <w:rsid w:val="00D85EF7"/>
    <w:rsid w:val="00D94759"/>
    <w:rsid w:val="00D96DDE"/>
    <w:rsid w:val="00DB3725"/>
    <w:rsid w:val="00DC041C"/>
    <w:rsid w:val="00DC063D"/>
    <w:rsid w:val="00DC6099"/>
    <w:rsid w:val="00DD194E"/>
    <w:rsid w:val="00DE7ECE"/>
    <w:rsid w:val="00E07481"/>
    <w:rsid w:val="00E1048D"/>
    <w:rsid w:val="00E14327"/>
    <w:rsid w:val="00E45A9C"/>
    <w:rsid w:val="00E4738E"/>
    <w:rsid w:val="00E50CF1"/>
    <w:rsid w:val="00E60EFF"/>
    <w:rsid w:val="00E65D0B"/>
    <w:rsid w:val="00E74639"/>
    <w:rsid w:val="00E80713"/>
    <w:rsid w:val="00E85439"/>
    <w:rsid w:val="00E9659A"/>
    <w:rsid w:val="00ED7B8D"/>
    <w:rsid w:val="00EE274A"/>
    <w:rsid w:val="00EE408D"/>
    <w:rsid w:val="00EE5E6B"/>
    <w:rsid w:val="00F131D4"/>
    <w:rsid w:val="00F16E4B"/>
    <w:rsid w:val="00F32DB5"/>
    <w:rsid w:val="00F40B91"/>
    <w:rsid w:val="00F41CBE"/>
    <w:rsid w:val="00F45B42"/>
    <w:rsid w:val="00F73EB9"/>
    <w:rsid w:val="00F852B5"/>
    <w:rsid w:val="00F85547"/>
    <w:rsid w:val="00FA1409"/>
    <w:rsid w:val="00FB0D6C"/>
    <w:rsid w:val="00FC486E"/>
    <w:rsid w:val="00FD6560"/>
    <w:rsid w:val="00FE673F"/>
    <w:rsid w:val="00FF61CA"/>
    <w:rsid w:val="0164050F"/>
    <w:rsid w:val="02056778"/>
    <w:rsid w:val="0355512A"/>
    <w:rsid w:val="04630EAC"/>
    <w:rsid w:val="04E42F38"/>
    <w:rsid w:val="06D85C83"/>
    <w:rsid w:val="08053EC9"/>
    <w:rsid w:val="0BD400F3"/>
    <w:rsid w:val="0CCD460E"/>
    <w:rsid w:val="0E301273"/>
    <w:rsid w:val="0EDC703A"/>
    <w:rsid w:val="0F866E5F"/>
    <w:rsid w:val="126F548F"/>
    <w:rsid w:val="13345697"/>
    <w:rsid w:val="1444244B"/>
    <w:rsid w:val="148B12E6"/>
    <w:rsid w:val="14EA645D"/>
    <w:rsid w:val="19181A3A"/>
    <w:rsid w:val="19693DA3"/>
    <w:rsid w:val="19DD0389"/>
    <w:rsid w:val="1A3D3083"/>
    <w:rsid w:val="1D074620"/>
    <w:rsid w:val="1FAF27B2"/>
    <w:rsid w:val="20684DBC"/>
    <w:rsid w:val="20A41476"/>
    <w:rsid w:val="20CF030D"/>
    <w:rsid w:val="22140B6D"/>
    <w:rsid w:val="225D796E"/>
    <w:rsid w:val="24EC6623"/>
    <w:rsid w:val="250F1AC0"/>
    <w:rsid w:val="251B2B2D"/>
    <w:rsid w:val="25BC2C7C"/>
    <w:rsid w:val="2B1716CE"/>
    <w:rsid w:val="2BBD3669"/>
    <w:rsid w:val="2E16582B"/>
    <w:rsid w:val="2E4116FA"/>
    <w:rsid w:val="2E76621A"/>
    <w:rsid w:val="2FB84BD7"/>
    <w:rsid w:val="2FC02DD6"/>
    <w:rsid w:val="2FD8767E"/>
    <w:rsid w:val="30406DC2"/>
    <w:rsid w:val="31262BAF"/>
    <w:rsid w:val="330F093A"/>
    <w:rsid w:val="33194A39"/>
    <w:rsid w:val="331F2DB5"/>
    <w:rsid w:val="33AD1E6F"/>
    <w:rsid w:val="34E37CA8"/>
    <w:rsid w:val="359E47FF"/>
    <w:rsid w:val="35B72FCB"/>
    <w:rsid w:val="35C91817"/>
    <w:rsid w:val="35DA3E68"/>
    <w:rsid w:val="379A3E49"/>
    <w:rsid w:val="37AD1125"/>
    <w:rsid w:val="39050DB8"/>
    <w:rsid w:val="391E61C3"/>
    <w:rsid w:val="3B9B3980"/>
    <w:rsid w:val="3D98669F"/>
    <w:rsid w:val="3DF04746"/>
    <w:rsid w:val="3F683A30"/>
    <w:rsid w:val="3F89585D"/>
    <w:rsid w:val="416D2207"/>
    <w:rsid w:val="43EC12FF"/>
    <w:rsid w:val="44E509D4"/>
    <w:rsid w:val="452A0524"/>
    <w:rsid w:val="455B22CF"/>
    <w:rsid w:val="48585050"/>
    <w:rsid w:val="488F68F0"/>
    <w:rsid w:val="49C10D2B"/>
    <w:rsid w:val="4A434323"/>
    <w:rsid w:val="4AFA44F5"/>
    <w:rsid w:val="4B060719"/>
    <w:rsid w:val="4D185277"/>
    <w:rsid w:val="4DC0511E"/>
    <w:rsid w:val="4ED14A41"/>
    <w:rsid w:val="4FAC5BC3"/>
    <w:rsid w:val="4FC61FF0"/>
    <w:rsid w:val="50846203"/>
    <w:rsid w:val="50DD469C"/>
    <w:rsid w:val="51ED4DB3"/>
    <w:rsid w:val="525D4F27"/>
    <w:rsid w:val="538763B9"/>
    <w:rsid w:val="55DC546E"/>
    <w:rsid w:val="56BA5D7F"/>
    <w:rsid w:val="579C3951"/>
    <w:rsid w:val="58E54B9B"/>
    <w:rsid w:val="596D6B7C"/>
    <w:rsid w:val="5CEC747F"/>
    <w:rsid w:val="5E8F2D4E"/>
    <w:rsid w:val="5FC1162D"/>
    <w:rsid w:val="60DD5FF3"/>
    <w:rsid w:val="62B06D69"/>
    <w:rsid w:val="65151005"/>
    <w:rsid w:val="654407EC"/>
    <w:rsid w:val="66202ABE"/>
    <w:rsid w:val="66441755"/>
    <w:rsid w:val="66461558"/>
    <w:rsid w:val="66CF713B"/>
    <w:rsid w:val="68961ACE"/>
    <w:rsid w:val="6B1479D8"/>
    <w:rsid w:val="6B5B4715"/>
    <w:rsid w:val="6C180827"/>
    <w:rsid w:val="6C9F262D"/>
    <w:rsid w:val="6CD02EB0"/>
    <w:rsid w:val="6D9745DB"/>
    <w:rsid w:val="6E136704"/>
    <w:rsid w:val="7257401A"/>
    <w:rsid w:val="726141AB"/>
    <w:rsid w:val="72B172DF"/>
    <w:rsid w:val="72FE7B26"/>
    <w:rsid w:val="7406451D"/>
    <w:rsid w:val="756A3232"/>
    <w:rsid w:val="76853A1F"/>
    <w:rsid w:val="76CA658E"/>
    <w:rsid w:val="783458C3"/>
    <w:rsid w:val="7941380E"/>
    <w:rsid w:val="79DC6491"/>
    <w:rsid w:val="7A1E0C67"/>
    <w:rsid w:val="7A5E5F9F"/>
    <w:rsid w:val="7B044DE1"/>
    <w:rsid w:val="7BEF4253"/>
    <w:rsid w:val="7BFF2E69"/>
    <w:rsid w:val="7D6A3F56"/>
    <w:rsid w:val="7D8A2C07"/>
    <w:rsid w:val="7DD76804"/>
    <w:rsid w:val="7EF22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link w:val="20"/>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0"/>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 w:type="paragraph" w:customStyle="1" w:styleId="18">
    <w:name w:val="列出段落2"/>
    <w:basedOn w:val="1"/>
    <w:qFormat/>
    <w:uiPriority w:val="99"/>
    <w:pPr>
      <w:ind w:firstLine="420" w:firstLineChars="200"/>
    </w:pPr>
  </w:style>
  <w:style w:type="paragraph" w:customStyle="1" w:styleId="19">
    <w:name w:val="_Style 2"/>
    <w:basedOn w:val="1"/>
    <w:qFormat/>
    <w:uiPriority w:val="34"/>
    <w:pPr>
      <w:ind w:firstLine="420" w:firstLineChars="200"/>
    </w:pPr>
    <w:rPr>
      <w:rFonts w:ascii="Calibri" w:hAnsi="Calibri"/>
      <w:szCs w:val="22"/>
    </w:rPr>
  </w:style>
  <w:style w:type="character" w:customStyle="1" w:styleId="20">
    <w:name w:val="标题 Char"/>
    <w:basedOn w:val="14"/>
    <w:link w:val="11"/>
    <w:uiPriority w:val="0"/>
    <w:rPr>
      <w:rFonts w:ascii="Cambria" w:hAnsi="Cambria"/>
      <w:b/>
      <w:bCs/>
      <w:sz w:val="32"/>
      <w:szCs w:val="32"/>
    </w:rPr>
  </w:style>
  <w:style w:type="character" w:customStyle="1" w:styleId="21">
    <w:name w:val="页脚 Char"/>
    <w:basedOn w:val="14"/>
    <w:link w:val="8"/>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1992</Words>
  <Characters>11356</Characters>
  <Lines>94</Lines>
  <Paragraphs>26</Paragraphs>
  <TotalTime>0</TotalTime>
  <ScaleCrop>false</ScaleCrop>
  <LinksUpToDate>false</LinksUpToDate>
  <CharactersWithSpaces>13322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2024-08-03T04:39:00Z</dcterms:created>
  <dc:creator>Administrator</dc:creator>
  <cp:lastModifiedBy>yyq.</cp:lastModifiedBy>
  <cp:lastPrinted>2023-03-16T00:26:00Z</cp:lastPrinted>
  <dcterms:modified xsi:type="dcterms:W3CDTF">2024-08-13T00:27:00Z</dcterms:modified>
  <dc:title>镇江海纳川物流产业发展有限责任公司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E695694EA80D48E1A54CF3A3083423BA_13</vt:lpwstr>
  </property>
</Properties>
</file>