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F7A813">
      <w:pPr>
        <w:adjustRightInd w:val="0"/>
        <w:snapToGrid w:val="0"/>
        <w:jc w:val="center"/>
        <w:rPr>
          <w:rFonts w:hint="eastAsia" w:ascii="方正小标宋简体" w:hAnsi="方正小标宋简体" w:eastAsia="方正小标宋简体" w:cs="方正小标宋简体"/>
          <w:bCs/>
          <w:kern w:val="1"/>
          <w:sz w:val="44"/>
          <w:szCs w:val="44"/>
        </w:rPr>
      </w:pPr>
      <w:bookmarkStart w:id="0" w:name="_GoBack"/>
      <w:bookmarkEnd w:id="0"/>
      <w:r>
        <w:rPr>
          <w:rFonts w:hint="eastAsia" w:ascii="方正小标宋简体" w:hAnsi="方正小标宋简体" w:eastAsia="方正小标宋简体" w:cs="方正小标宋简体"/>
          <w:bCs/>
          <w:kern w:val="1"/>
          <w:sz w:val="44"/>
          <w:szCs w:val="44"/>
        </w:rPr>
        <w:t>江苏索普赛瑞装备制造有限公司</w:t>
      </w:r>
      <w:r>
        <w:rPr>
          <w:rFonts w:hint="eastAsia" w:ascii="方正小标宋简体" w:hAnsi="方正小标宋简体" w:eastAsia="方正小标宋简体" w:cs="方正小标宋简体"/>
          <w:bCs/>
          <w:kern w:val="1"/>
          <w:sz w:val="44"/>
          <w:szCs w:val="44"/>
          <w:lang w:val="en-US" w:eastAsia="zh-CN"/>
        </w:rPr>
        <w:t>采购</w:t>
      </w:r>
      <w:r>
        <w:rPr>
          <w:rFonts w:hint="eastAsia" w:ascii="方正小标宋简体" w:hAnsi="方正小标宋简体" w:eastAsia="方正小标宋简体" w:cs="方正小标宋简体"/>
          <w:bCs/>
          <w:kern w:val="1"/>
          <w:sz w:val="44"/>
          <w:szCs w:val="44"/>
        </w:rPr>
        <w:t>文件</w:t>
      </w:r>
    </w:p>
    <w:p w14:paraId="533FCF98">
      <w:pPr>
        <w:adjustRightInd w:val="0"/>
        <w:snapToGrid w:val="0"/>
        <w:spacing w:line="360" w:lineRule="auto"/>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 xml:space="preserve">    </w:t>
      </w:r>
    </w:p>
    <w:p w14:paraId="1409BB25">
      <w:pPr>
        <w:adjustRightInd w:val="0"/>
        <w:snapToGrid w:val="0"/>
        <w:spacing w:line="600" w:lineRule="exact"/>
        <w:jc w:val="left"/>
        <w:rPr>
          <w:rFonts w:hint="eastAsia" w:ascii="仿宋" w:hAnsi="仿宋" w:eastAsia="仿宋" w:cs="仿宋"/>
          <w:bCs/>
          <w:sz w:val="30"/>
          <w:szCs w:val="30"/>
        </w:rPr>
      </w:pPr>
      <w:r>
        <w:rPr>
          <w:rFonts w:hint="eastAsia" w:ascii="仿宋_GB2312" w:hAnsi="仿宋_GB2312" w:eastAsia="仿宋_GB2312" w:cs="仿宋_GB2312"/>
          <w:bCs/>
          <w:sz w:val="24"/>
        </w:rPr>
        <w:t xml:space="preserve">    </w:t>
      </w:r>
      <w:r>
        <w:rPr>
          <w:rFonts w:hint="eastAsia" w:ascii="仿宋" w:hAnsi="仿宋" w:eastAsia="仿宋" w:cs="仿宋"/>
          <w:bCs/>
          <w:sz w:val="30"/>
          <w:szCs w:val="30"/>
        </w:rPr>
        <w:t>我公司现需三级安全标准化换证咨询</w:t>
      </w:r>
      <w:r>
        <w:rPr>
          <w:rFonts w:hint="eastAsia" w:ascii="仿宋" w:hAnsi="仿宋" w:eastAsia="仿宋" w:cs="仿宋"/>
          <w:bCs/>
          <w:sz w:val="30"/>
          <w:szCs w:val="30"/>
          <w:lang w:val="en-US" w:eastAsia="zh-CN"/>
        </w:rPr>
        <w:t>服务</w:t>
      </w:r>
      <w:r>
        <w:rPr>
          <w:rFonts w:hint="eastAsia" w:ascii="仿宋" w:hAnsi="仿宋" w:eastAsia="仿宋" w:cs="仿宋"/>
          <w:bCs/>
          <w:sz w:val="30"/>
          <w:szCs w:val="30"/>
        </w:rPr>
        <w:t>，</w:t>
      </w:r>
      <w:r>
        <w:rPr>
          <w:rFonts w:hint="eastAsia" w:ascii="仿宋" w:hAnsi="仿宋" w:eastAsia="仿宋" w:cs="仿宋"/>
          <w:bCs/>
          <w:sz w:val="30"/>
          <w:szCs w:val="30"/>
          <w:lang w:val="zh-CN"/>
        </w:rPr>
        <w:t>采用自主公开</w:t>
      </w:r>
      <w:r>
        <w:rPr>
          <w:rFonts w:hint="eastAsia" w:ascii="仿宋" w:hAnsi="仿宋" w:eastAsia="仿宋" w:cs="仿宋"/>
          <w:bCs/>
          <w:sz w:val="30"/>
          <w:szCs w:val="30"/>
          <w:lang w:val="en-US" w:eastAsia="zh-CN"/>
        </w:rPr>
        <w:t>采购</w:t>
      </w:r>
      <w:r>
        <w:rPr>
          <w:rFonts w:hint="eastAsia" w:ascii="仿宋" w:hAnsi="仿宋" w:eastAsia="仿宋" w:cs="仿宋"/>
          <w:bCs/>
          <w:sz w:val="30"/>
          <w:szCs w:val="30"/>
          <w:lang w:val="zh-CN"/>
        </w:rPr>
        <w:t>的方式选定供应商，</w:t>
      </w:r>
      <w:r>
        <w:rPr>
          <w:rFonts w:hint="eastAsia" w:ascii="仿宋" w:hAnsi="仿宋" w:eastAsia="仿宋" w:cs="仿宋"/>
          <w:bCs/>
          <w:sz w:val="30"/>
          <w:szCs w:val="30"/>
        </w:rPr>
        <w:t>特邀请贵单位参与报价。</w:t>
      </w:r>
    </w:p>
    <w:p w14:paraId="46A36CEB">
      <w:pPr>
        <w:adjustRightInd w:val="0"/>
        <w:snapToGrid w:val="0"/>
        <w:spacing w:line="600" w:lineRule="exact"/>
        <w:jc w:val="left"/>
        <w:rPr>
          <w:rFonts w:hint="eastAsia" w:ascii="仿宋" w:hAnsi="仿宋" w:eastAsia="仿宋" w:cs="仿宋"/>
          <w:bCs/>
          <w:sz w:val="30"/>
          <w:szCs w:val="30"/>
        </w:rPr>
      </w:pPr>
      <w:r>
        <w:rPr>
          <w:rFonts w:hint="eastAsia" w:ascii="仿宋" w:hAnsi="仿宋" w:eastAsia="仿宋" w:cs="仿宋"/>
          <w:bCs/>
          <w:sz w:val="30"/>
          <w:szCs w:val="30"/>
        </w:rPr>
        <w:t xml:space="preserve">  </w:t>
      </w:r>
      <w:r>
        <w:rPr>
          <w:rFonts w:hint="eastAsia" w:ascii="仿宋" w:hAnsi="仿宋" w:eastAsia="仿宋" w:cs="仿宋"/>
          <w:b/>
          <w:sz w:val="30"/>
          <w:szCs w:val="30"/>
        </w:rPr>
        <w:t xml:space="preserve">  </w:t>
      </w:r>
      <w:r>
        <w:rPr>
          <w:rFonts w:hint="eastAsia" w:ascii="仿宋" w:hAnsi="仿宋" w:eastAsia="仿宋" w:cs="仿宋"/>
          <w:bCs/>
          <w:sz w:val="30"/>
          <w:szCs w:val="30"/>
        </w:rPr>
        <w:t xml:space="preserve"> </w:t>
      </w:r>
      <w:r>
        <w:rPr>
          <w:rFonts w:hint="eastAsia" w:ascii="仿宋" w:hAnsi="仿宋" w:eastAsia="仿宋" w:cs="仿宋"/>
          <w:b/>
          <w:sz w:val="30"/>
          <w:szCs w:val="30"/>
        </w:rPr>
        <w:t>一、</w:t>
      </w:r>
      <w:r>
        <w:rPr>
          <w:rFonts w:hint="eastAsia" w:ascii="仿宋" w:hAnsi="仿宋" w:eastAsia="仿宋" w:cs="仿宋"/>
          <w:b/>
          <w:sz w:val="30"/>
          <w:szCs w:val="30"/>
          <w:lang w:val="en-US" w:eastAsia="zh-CN"/>
        </w:rPr>
        <w:t>采购</w:t>
      </w:r>
      <w:r>
        <w:rPr>
          <w:rFonts w:hint="eastAsia" w:ascii="仿宋" w:hAnsi="仿宋" w:eastAsia="仿宋" w:cs="仿宋"/>
          <w:b/>
          <w:sz w:val="30"/>
          <w:szCs w:val="30"/>
        </w:rPr>
        <w:t>概况：</w:t>
      </w:r>
    </w:p>
    <w:p w14:paraId="5C697759">
      <w:pPr>
        <w:adjustRightInd w:val="0"/>
        <w:snapToGrid w:val="0"/>
        <w:spacing w:line="600" w:lineRule="exact"/>
        <w:ind w:firstLine="600" w:firstLineChars="200"/>
        <w:rPr>
          <w:rFonts w:hint="eastAsia" w:ascii="仿宋" w:hAnsi="仿宋" w:eastAsia="仿宋" w:cs="仿宋"/>
          <w:bCs/>
          <w:sz w:val="30"/>
          <w:szCs w:val="30"/>
        </w:rPr>
      </w:pPr>
      <w:r>
        <w:rPr>
          <w:rFonts w:hint="eastAsia" w:ascii="仿宋" w:hAnsi="仿宋" w:eastAsia="仿宋" w:cs="仿宋"/>
          <w:bCs/>
          <w:kern w:val="1"/>
          <w:sz w:val="30"/>
          <w:szCs w:val="30"/>
        </w:rPr>
        <w:t>（一）</w:t>
      </w:r>
      <w:r>
        <w:rPr>
          <w:rFonts w:hint="eastAsia" w:ascii="仿宋" w:hAnsi="仿宋" w:eastAsia="仿宋" w:cs="仿宋"/>
          <w:bCs/>
          <w:sz w:val="30"/>
          <w:szCs w:val="30"/>
        </w:rPr>
        <w:t>项目名称：</w:t>
      </w:r>
      <w:r>
        <w:rPr>
          <w:rFonts w:hint="eastAsia" w:ascii="仿宋" w:hAnsi="仿宋" w:eastAsia="仿宋" w:cs="仿宋"/>
          <w:bCs/>
          <w:color w:val="auto"/>
          <w:sz w:val="30"/>
          <w:szCs w:val="30"/>
          <w:u w:val="single"/>
        </w:rPr>
        <w:t>江苏索普赛瑞装备制造有限公司三级安全标准化换证咨询服务</w:t>
      </w:r>
      <w:r>
        <w:rPr>
          <w:rFonts w:hint="eastAsia" w:ascii="仿宋" w:hAnsi="仿宋" w:eastAsia="仿宋" w:cs="仿宋"/>
          <w:bCs/>
          <w:sz w:val="30"/>
          <w:szCs w:val="30"/>
        </w:rPr>
        <w:t>；</w:t>
      </w:r>
    </w:p>
    <w:p w14:paraId="4CA48E4E">
      <w:pPr>
        <w:adjustRightInd w:val="0"/>
        <w:snapToGrid w:val="0"/>
        <w:spacing w:line="600" w:lineRule="exact"/>
        <w:ind w:firstLine="579" w:firstLineChars="193"/>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（二）</w:t>
      </w:r>
      <w:r>
        <w:rPr>
          <w:rFonts w:hint="eastAsia" w:ascii="仿宋" w:hAnsi="仿宋" w:eastAsia="仿宋" w:cs="仿宋"/>
          <w:bCs/>
          <w:color w:val="auto"/>
          <w:sz w:val="30"/>
          <w:szCs w:val="30"/>
        </w:rPr>
        <w:t>交货时间：</w:t>
      </w:r>
      <w:r>
        <w:rPr>
          <w:rFonts w:hint="eastAsia" w:ascii="仿宋" w:hAnsi="仿宋" w:eastAsia="仿宋" w:cs="仿宋"/>
          <w:bCs/>
          <w:i w:val="0"/>
          <w:iCs w:val="0"/>
          <w:color w:val="FF0000"/>
          <w:sz w:val="30"/>
          <w:szCs w:val="30"/>
          <w:u w:val="single"/>
        </w:rPr>
        <w:t xml:space="preserve"> </w:t>
      </w:r>
      <w:r>
        <w:rPr>
          <w:rFonts w:hint="eastAsia" w:ascii="仿宋" w:hAnsi="仿宋" w:eastAsia="仿宋" w:cs="仿宋"/>
          <w:bCs/>
          <w:i w:val="0"/>
          <w:iCs w:val="0"/>
          <w:color w:val="auto"/>
          <w:sz w:val="30"/>
          <w:szCs w:val="30"/>
          <w:u w:val="single"/>
        </w:rPr>
        <w:t>2024年</w:t>
      </w:r>
      <w:r>
        <w:rPr>
          <w:rFonts w:hint="eastAsia" w:ascii="仿宋" w:hAnsi="仿宋" w:eastAsia="仿宋" w:cs="仿宋"/>
          <w:bCs/>
          <w:i w:val="0"/>
          <w:iCs w:val="0"/>
          <w:color w:val="auto"/>
          <w:sz w:val="30"/>
          <w:szCs w:val="30"/>
          <w:u w:val="single"/>
          <w:lang w:val="en-US" w:eastAsia="zh-CN"/>
        </w:rPr>
        <w:t>12</w:t>
      </w:r>
      <w:r>
        <w:rPr>
          <w:rFonts w:hint="eastAsia" w:ascii="仿宋" w:hAnsi="仿宋" w:eastAsia="仿宋" w:cs="仿宋"/>
          <w:bCs/>
          <w:i w:val="0"/>
          <w:iCs w:val="0"/>
          <w:color w:val="auto"/>
          <w:sz w:val="30"/>
          <w:szCs w:val="30"/>
          <w:u w:val="single"/>
        </w:rPr>
        <w:t>月</w:t>
      </w:r>
      <w:r>
        <w:rPr>
          <w:rFonts w:hint="eastAsia" w:ascii="仿宋" w:hAnsi="仿宋" w:eastAsia="仿宋" w:cs="仿宋"/>
          <w:bCs/>
          <w:i w:val="0"/>
          <w:iCs w:val="0"/>
          <w:color w:val="auto"/>
          <w:sz w:val="30"/>
          <w:szCs w:val="30"/>
          <w:u w:val="single"/>
          <w:lang w:val="en-US" w:eastAsia="zh-CN"/>
        </w:rPr>
        <w:t>1</w:t>
      </w:r>
      <w:r>
        <w:rPr>
          <w:rFonts w:hint="eastAsia" w:ascii="仿宋" w:hAnsi="仿宋" w:eastAsia="仿宋" w:cs="仿宋"/>
          <w:bCs/>
          <w:i w:val="0"/>
          <w:iCs w:val="0"/>
          <w:color w:val="auto"/>
          <w:sz w:val="30"/>
          <w:szCs w:val="30"/>
          <w:u w:val="single"/>
        </w:rPr>
        <w:t>日1</w:t>
      </w:r>
      <w:r>
        <w:rPr>
          <w:rFonts w:ascii="仿宋" w:hAnsi="仿宋" w:eastAsia="仿宋" w:cs="仿宋"/>
          <w:bCs/>
          <w:i w:val="0"/>
          <w:iCs w:val="0"/>
          <w:color w:val="auto"/>
          <w:sz w:val="30"/>
          <w:szCs w:val="30"/>
          <w:u w:val="single"/>
        </w:rPr>
        <w:t>0</w:t>
      </w:r>
      <w:r>
        <w:rPr>
          <w:rFonts w:hint="eastAsia" w:ascii="仿宋" w:hAnsi="仿宋" w:eastAsia="仿宋" w:cs="仿宋"/>
          <w:bCs/>
          <w:i w:val="0"/>
          <w:iCs w:val="0"/>
          <w:color w:val="auto"/>
          <w:sz w:val="30"/>
          <w:szCs w:val="30"/>
          <w:u w:val="single"/>
        </w:rPr>
        <w:t>时（北京时间）</w:t>
      </w:r>
      <w:r>
        <w:rPr>
          <w:rFonts w:hint="eastAsia" w:ascii="仿宋" w:hAnsi="仿宋" w:eastAsia="仿宋" w:cs="仿宋"/>
          <w:bCs/>
          <w:color w:val="auto"/>
          <w:sz w:val="30"/>
          <w:szCs w:val="30"/>
        </w:rPr>
        <w:t>；</w:t>
      </w:r>
    </w:p>
    <w:p w14:paraId="7559B7DC">
      <w:pPr>
        <w:adjustRightInd w:val="0"/>
        <w:snapToGrid w:val="0"/>
        <w:spacing w:line="600" w:lineRule="exact"/>
        <w:ind w:firstLine="579" w:firstLineChars="193"/>
        <w:rPr>
          <w:rFonts w:hint="eastAsia"/>
          <w:color w:val="auto"/>
        </w:rPr>
      </w:pPr>
      <w:r>
        <w:rPr>
          <w:rFonts w:hint="eastAsia" w:ascii="仿宋" w:hAnsi="仿宋" w:eastAsia="仿宋" w:cs="仿宋"/>
          <w:bCs/>
          <w:color w:val="auto"/>
          <w:kern w:val="1"/>
          <w:sz w:val="30"/>
          <w:szCs w:val="30"/>
        </w:rPr>
        <w:t>（三）</w:t>
      </w:r>
      <w:r>
        <w:rPr>
          <w:rFonts w:hint="eastAsia" w:ascii="仿宋" w:hAnsi="仿宋" w:eastAsia="仿宋" w:cs="仿宋"/>
          <w:bCs/>
          <w:color w:val="auto"/>
          <w:sz w:val="30"/>
          <w:szCs w:val="30"/>
        </w:rPr>
        <w:t>交货地点：</w:t>
      </w:r>
      <w:r>
        <w:rPr>
          <w:rFonts w:hint="eastAsia" w:ascii="仿宋" w:hAnsi="仿宋" w:eastAsia="仿宋" w:cs="仿宋"/>
          <w:bCs/>
          <w:color w:val="auto"/>
          <w:sz w:val="30"/>
          <w:szCs w:val="30"/>
          <w:u w:val="single"/>
        </w:rPr>
        <w:t xml:space="preserve">江苏索普赛瑞装备制造有限公司 </w:t>
      </w:r>
      <w:r>
        <w:rPr>
          <w:rFonts w:hint="eastAsia" w:ascii="仿宋" w:hAnsi="仿宋" w:eastAsia="仿宋" w:cs="仿宋"/>
          <w:bCs/>
          <w:color w:val="auto"/>
          <w:sz w:val="30"/>
          <w:szCs w:val="30"/>
        </w:rPr>
        <w:t>；</w:t>
      </w:r>
    </w:p>
    <w:p w14:paraId="18F51E0E">
      <w:pPr>
        <w:adjustRightInd w:val="0"/>
        <w:snapToGrid w:val="0"/>
        <w:spacing w:line="600" w:lineRule="exact"/>
        <w:jc w:val="left"/>
        <w:rPr>
          <w:rFonts w:hint="eastAsia" w:ascii="仿宋" w:hAnsi="仿宋" w:eastAsia="仿宋" w:cs="仿宋"/>
          <w:bCs/>
          <w:color w:val="auto"/>
          <w:sz w:val="30"/>
          <w:szCs w:val="30"/>
        </w:rPr>
      </w:pPr>
      <w:r>
        <w:rPr>
          <w:rFonts w:hint="eastAsia" w:ascii="仿宋" w:hAnsi="仿宋" w:eastAsia="仿宋" w:cs="仿宋"/>
          <w:bCs/>
          <w:color w:val="auto"/>
          <w:sz w:val="30"/>
          <w:szCs w:val="30"/>
        </w:rPr>
        <w:t xml:space="preserve">    </w:t>
      </w:r>
      <w:r>
        <w:rPr>
          <w:rFonts w:hint="eastAsia" w:ascii="仿宋" w:hAnsi="仿宋" w:eastAsia="仿宋" w:cs="仿宋"/>
          <w:bCs/>
          <w:color w:val="auto"/>
          <w:kern w:val="1"/>
          <w:sz w:val="30"/>
          <w:szCs w:val="30"/>
        </w:rPr>
        <w:t>（四）</w:t>
      </w:r>
      <w:r>
        <w:rPr>
          <w:rFonts w:hint="eastAsia" w:ascii="仿宋" w:hAnsi="仿宋" w:eastAsia="仿宋" w:cs="仿宋"/>
          <w:bCs/>
          <w:color w:val="auto"/>
          <w:sz w:val="30"/>
          <w:szCs w:val="30"/>
        </w:rPr>
        <w:t>报价截止时间及评审时间</w:t>
      </w:r>
      <w:r>
        <w:rPr>
          <w:rFonts w:hint="eastAsia" w:ascii="仿宋" w:hAnsi="仿宋" w:eastAsia="仿宋" w:cs="仿宋"/>
          <w:bCs/>
          <w:color w:val="auto"/>
          <w:sz w:val="30"/>
          <w:szCs w:val="30"/>
          <w:u w:val="single"/>
        </w:rPr>
        <w:t>202</w:t>
      </w:r>
      <w:r>
        <w:rPr>
          <w:rFonts w:hint="eastAsia" w:ascii="仿宋" w:hAnsi="仿宋" w:eastAsia="仿宋" w:cs="仿宋"/>
          <w:bCs/>
          <w:color w:val="auto"/>
          <w:sz w:val="30"/>
          <w:szCs w:val="30"/>
          <w:u w:val="single"/>
          <w:lang w:val="en-US" w:eastAsia="zh-CN"/>
        </w:rPr>
        <w:t>4</w:t>
      </w:r>
      <w:r>
        <w:rPr>
          <w:rFonts w:hint="eastAsia" w:ascii="仿宋" w:hAnsi="仿宋" w:eastAsia="仿宋" w:cs="仿宋"/>
          <w:bCs/>
          <w:color w:val="auto"/>
          <w:sz w:val="30"/>
          <w:szCs w:val="30"/>
          <w:u w:val="single"/>
        </w:rPr>
        <w:t xml:space="preserve">年 </w:t>
      </w:r>
      <w:r>
        <w:rPr>
          <w:rFonts w:hint="eastAsia" w:ascii="仿宋" w:hAnsi="仿宋" w:eastAsia="仿宋" w:cs="仿宋"/>
          <w:bCs/>
          <w:color w:val="auto"/>
          <w:sz w:val="30"/>
          <w:szCs w:val="30"/>
          <w:u w:val="single"/>
          <w:lang w:val="en-US" w:eastAsia="zh-CN"/>
        </w:rPr>
        <w:t>8</w:t>
      </w:r>
      <w:r>
        <w:rPr>
          <w:rFonts w:hint="eastAsia" w:ascii="仿宋" w:hAnsi="仿宋" w:eastAsia="仿宋" w:cs="仿宋"/>
          <w:bCs/>
          <w:color w:val="auto"/>
          <w:sz w:val="30"/>
          <w:szCs w:val="30"/>
          <w:u w:val="single"/>
        </w:rPr>
        <w:t>月</w:t>
      </w:r>
      <w:r>
        <w:rPr>
          <w:rFonts w:hint="eastAsia" w:ascii="仿宋" w:hAnsi="仿宋" w:eastAsia="仿宋" w:cs="仿宋"/>
          <w:bCs/>
          <w:color w:val="auto"/>
          <w:sz w:val="30"/>
          <w:szCs w:val="30"/>
          <w:u w:val="single"/>
          <w:lang w:val="en-US" w:eastAsia="zh-CN"/>
        </w:rPr>
        <w:t>12</w:t>
      </w:r>
      <w:r>
        <w:rPr>
          <w:rFonts w:hint="eastAsia" w:ascii="仿宋" w:hAnsi="仿宋" w:eastAsia="仿宋" w:cs="仿宋"/>
          <w:bCs/>
          <w:color w:val="auto"/>
          <w:sz w:val="30"/>
          <w:szCs w:val="30"/>
          <w:u w:val="single"/>
        </w:rPr>
        <w:t>日</w:t>
      </w:r>
      <w:r>
        <w:rPr>
          <w:rFonts w:hint="eastAsia" w:ascii="仿宋" w:hAnsi="仿宋" w:eastAsia="仿宋" w:cs="仿宋"/>
          <w:bCs/>
          <w:color w:val="auto"/>
          <w:sz w:val="30"/>
          <w:szCs w:val="30"/>
          <w:u w:val="single"/>
          <w:lang w:val="en-US" w:eastAsia="zh-CN"/>
        </w:rPr>
        <w:t>10</w:t>
      </w:r>
      <w:r>
        <w:rPr>
          <w:rFonts w:hint="eastAsia" w:ascii="仿宋" w:hAnsi="仿宋" w:eastAsia="仿宋" w:cs="仿宋"/>
          <w:bCs/>
          <w:color w:val="auto"/>
          <w:sz w:val="30"/>
          <w:szCs w:val="30"/>
          <w:u w:val="single"/>
        </w:rPr>
        <w:t>时（北京时间）</w:t>
      </w:r>
      <w:r>
        <w:rPr>
          <w:rFonts w:hint="eastAsia" w:ascii="仿宋" w:hAnsi="仿宋" w:eastAsia="仿宋" w:cs="仿宋"/>
          <w:bCs/>
          <w:color w:val="auto"/>
          <w:sz w:val="30"/>
          <w:szCs w:val="30"/>
        </w:rPr>
        <w:t>；</w:t>
      </w:r>
    </w:p>
    <w:p w14:paraId="30F4185D">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（五）评审地点：</w:t>
      </w:r>
      <w:r>
        <w:rPr>
          <w:rFonts w:hint="eastAsia" w:ascii="仿宋" w:hAnsi="仿宋" w:eastAsia="仿宋" w:cs="仿宋"/>
          <w:bCs/>
          <w:color w:val="auto"/>
          <w:kern w:val="1"/>
          <w:sz w:val="30"/>
          <w:szCs w:val="30"/>
          <w:u w:val="single"/>
        </w:rPr>
        <w:t>江苏索普(集团)有限公司采购中心</w:t>
      </w:r>
      <w:r>
        <w:rPr>
          <w:rFonts w:hint="eastAsia" w:ascii="仿宋" w:hAnsi="仿宋" w:eastAsia="仿宋" w:cs="仿宋"/>
          <w:bCs/>
          <w:color w:val="auto"/>
          <w:kern w:val="1"/>
          <w:sz w:val="30"/>
          <w:szCs w:val="30"/>
        </w:rPr>
        <w:t>；</w:t>
      </w:r>
    </w:p>
    <w:p w14:paraId="2289E668">
      <w:pPr>
        <w:adjustRightInd w:val="0"/>
        <w:snapToGrid w:val="0"/>
        <w:spacing w:line="600" w:lineRule="exact"/>
        <w:ind w:firstLine="602"/>
        <w:rPr>
          <w:rFonts w:hint="eastAsia" w:ascii="仿宋" w:hAnsi="仿宋" w:eastAsia="仿宋" w:cs="仿宋"/>
          <w:b/>
          <w:color w:val="auto"/>
          <w:sz w:val="30"/>
          <w:szCs w:val="30"/>
        </w:rPr>
      </w:pPr>
      <w:r>
        <w:rPr>
          <w:rFonts w:hint="eastAsia" w:ascii="仿宋" w:hAnsi="仿宋" w:eastAsia="仿宋" w:cs="仿宋"/>
          <w:b/>
          <w:color w:val="auto"/>
          <w:sz w:val="30"/>
          <w:szCs w:val="30"/>
        </w:rPr>
        <w:t>二、</w:t>
      </w:r>
      <w:r>
        <w:rPr>
          <w:rFonts w:hint="eastAsia" w:ascii="仿宋" w:hAnsi="仿宋" w:eastAsia="仿宋" w:cs="仿宋"/>
          <w:b/>
          <w:color w:val="auto"/>
          <w:sz w:val="30"/>
          <w:szCs w:val="30"/>
          <w:lang w:val="en-US" w:eastAsia="zh-CN"/>
        </w:rPr>
        <w:t>采购</w:t>
      </w:r>
      <w:r>
        <w:rPr>
          <w:rFonts w:hint="eastAsia" w:ascii="仿宋" w:hAnsi="仿宋" w:eastAsia="仿宋" w:cs="仿宋"/>
          <w:b/>
          <w:color w:val="auto"/>
          <w:sz w:val="30"/>
          <w:szCs w:val="30"/>
        </w:rPr>
        <w:t>内容：</w:t>
      </w:r>
    </w:p>
    <w:p w14:paraId="33E2D449">
      <w:pPr>
        <w:adjustRightInd w:val="0"/>
        <w:snapToGrid w:val="0"/>
        <w:spacing w:line="600" w:lineRule="exact"/>
        <w:ind w:firstLine="602" w:firstLineChars="0"/>
        <w:rPr>
          <w:rFonts w:hint="eastAsia" w:ascii="仿宋" w:hAnsi="仿宋" w:eastAsia="仿宋" w:cs="仿宋"/>
          <w:bCs/>
          <w:color w:val="auto"/>
          <w:sz w:val="30"/>
          <w:szCs w:val="30"/>
          <w:u w:val="single"/>
        </w:rPr>
      </w:pPr>
      <w:r>
        <w:rPr>
          <w:rFonts w:hint="eastAsia" w:ascii="仿宋" w:hAnsi="仿宋" w:eastAsia="仿宋" w:cs="仿宋"/>
          <w:bCs/>
          <w:color w:val="auto"/>
          <w:kern w:val="1"/>
          <w:sz w:val="30"/>
          <w:szCs w:val="30"/>
        </w:rPr>
        <w:t>施工范围及技术要求：帮助企业开展安全标准化体系相关培训，根据《冶金等工贸企业安全生产标准化基本规范评分细则》，指导企业运行安全标准化体系，完善台账资料，开展三级安全标准化预评审，指导企业完善双重预防机制文件，协助公司完成三级安全标准化证书换证工</w:t>
      </w:r>
      <w:r>
        <w:rPr>
          <w:rFonts w:hint="eastAsia" w:ascii="仿宋" w:hAnsi="仿宋" w:eastAsia="仿宋" w:cs="仿宋"/>
          <w:bCs/>
          <w:color w:val="auto"/>
          <w:kern w:val="1"/>
          <w:sz w:val="30"/>
          <w:szCs w:val="30"/>
          <w:u w:val="none"/>
        </w:rPr>
        <w:t>作</w:t>
      </w:r>
      <w:r>
        <w:rPr>
          <w:rFonts w:hint="eastAsia" w:ascii="仿宋" w:hAnsi="仿宋" w:eastAsia="仿宋" w:cs="仿宋"/>
          <w:bCs/>
          <w:color w:val="auto"/>
          <w:sz w:val="30"/>
          <w:szCs w:val="30"/>
          <w:u w:val="none"/>
          <w:lang w:val="en-US" w:eastAsia="zh-CN"/>
        </w:rPr>
        <w:t>。</w:t>
      </w:r>
    </w:p>
    <w:p w14:paraId="2589D0C7">
      <w:pPr>
        <w:numPr>
          <w:ilvl w:val="0"/>
          <w:numId w:val="1"/>
        </w:numPr>
        <w:adjustRightInd w:val="0"/>
        <w:snapToGrid w:val="0"/>
        <w:spacing w:line="600" w:lineRule="exact"/>
        <w:ind w:left="602"/>
        <w:rPr>
          <w:rFonts w:hint="eastAsia" w:ascii="仿宋" w:hAnsi="仿宋" w:eastAsia="仿宋" w:cs="仿宋"/>
          <w:b/>
          <w:color w:val="auto"/>
          <w:sz w:val="30"/>
          <w:szCs w:val="30"/>
        </w:rPr>
      </w:pPr>
      <w:r>
        <w:rPr>
          <w:rFonts w:hint="eastAsia" w:ascii="仿宋" w:hAnsi="仿宋" w:eastAsia="仿宋" w:cs="仿宋"/>
          <w:b/>
          <w:color w:val="auto"/>
          <w:sz w:val="30"/>
          <w:szCs w:val="30"/>
        </w:rPr>
        <w:t>报价人资质与要求：</w:t>
      </w:r>
    </w:p>
    <w:p w14:paraId="5E8D7471">
      <w:pPr>
        <w:numPr>
          <w:ilvl w:val="0"/>
          <w:numId w:val="0"/>
        </w:numPr>
        <w:adjustRightInd w:val="0"/>
        <w:snapToGrid w:val="0"/>
        <w:spacing w:line="600" w:lineRule="exact"/>
        <w:ind w:firstLine="600" w:firstLineChars="200"/>
        <w:rPr>
          <w:rFonts w:hint="eastAsia" w:ascii="仿宋" w:hAnsi="仿宋" w:eastAsia="仿宋" w:cs="仿宋"/>
          <w:bCs/>
          <w:color w:val="auto"/>
          <w:kern w:val="1"/>
          <w:sz w:val="30"/>
          <w:szCs w:val="30"/>
          <w:lang w:eastAsia="zh-CN"/>
        </w:rPr>
      </w:pPr>
      <w:r>
        <w:rPr>
          <w:rFonts w:hint="eastAsia" w:ascii="仿宋" w:hAnsi="仿宋" w:eastAsia="仿宋" w:cs="仿宋"/>
          <w:bCs/>
          <w:color w:val="auto"/>
          <w:kern w:val="1"/>
          <w:sz w:val="30"/>
          <w:szCs w:val="30"/>
        </w:rPr>
        <w:t>（一）</w:t>
      </w:r>
      <w:r>
        <w:rPr>
          <w:rFonts w:hint="eastAsia" w:ascii="仿宋" w:hAnsi="仿宋" w:eastAsia="仿宋" w:cs="仿宋"/>
          <w:bCs/>
          <w:color w:val="auto"/>
          <w:kern w:val="1"/>
          <w:sz w:val="30"/>
          <w:szCs w:val="30"/>
          <w:lang w:val="en-US" w:eastAsia="zh-CN"/>
        </w:rPr>
        <w:t>报价</w:t>
      </w:r>
      <w:r>
        <w:rPr>
          <w:rFonts w:hint="eastAsia" w:ascii="仿宋" w:hAnsi="仿宋" w:eastAsia="仿宋" w:cs="仿宋"/>
          <w:bCs/>
          <w:color w:val="auto"/>
          <w:kern w:val="1"/>
          <w:sz w:val="30"/>
          <w:szCs w:val="30"/>
        </w:rPr>
        <w:t>人必须具备中华人民共和国境内生产或经营应具备的合法资质</w:t>
      </w:r>
      <w:r>
        <w:rPr>
          <w:rFonts w:hint="eastAsia" w:ascii="仿宋" w:hAnsi="仿宋" w:eastAsia="仿宋" w:cs="仿宋"/>
          <w:bCs/>
          <w:color w:val="auto"/>
          <w:kern w:val="1"/>
          <w:sz w:val="30"/>
          <w:szCs w:val="30"/>
          <w:lang w:eastAsia="zh-CN"/>
        </w:rPr>
        <w:t>；</w:t>
      </w:r>
    </w:p>
    <w:p w14:paraId="62FB01B6">
      <w:pPr>
        <w:adjustRightInd w:val="0"/>
        <w:snapToGrid w:val="0"/>
        <w:spacing w:line="600" w:lineRule="exact"/>
        <w:ind w:firstLine="602" w:firstLineChars="0"/>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（二）</w:t>
      </w:r>
      <w:r>
        <w:rPr>
          <w:rFonts w:hint="eastAsia" w:ascii="仿宋" w:hAnsi="仿宋" w:eastAsia="仿宋" w:cs="仿宋"/>
          <w:bCs/>
          <w:color w:val="auto"/>
          <w:kern w:val="1"/>
          <w:sz w:val="30"/>
          <w:szCs w:val="30"/>
          <w:lang w:val="en-US" w:eastAsia="zh-CN"/>
        </w:rPr>
        <w:t>报价</w:t>
      </w:r>
      <w:r>
        <w:rPr>
          <w:rFonts w:hint="eastAsia" w:ascii="仿宋" w:hAnsi="仿宋" w:eastAsia="仿宋" w:cs="仿宋"/>
          <w:bCs/>
          <w:color w:val="auto"/>
          <w:kern w:val="1"/>
          <w:sz w:val="30"/>
          <w:szCs w:val="30"/>
        </w:rPr>
        <w:t>人注册资金应不低于人民币</w:t>
      </w:r>
      <w:r>
        <w:rPr>
          <w:rFonts w:hint="eastAsia" w:ascii="仿宋" w:hAnsi="仿宋" w:eastAsia="仿宋" w:cs="仿宋"/>
          <w:bCs/>
          <w:color w:val="auto"/>
          <w:kern w:val="1"/>
          <w:sz w:val="30"/>
          <w:szCs w:val="30"/>
          <w:u w:val="none"/>
        </w:rPr>
        <w:t xml:space="preserve"> </w:t>
      </w:r>
      <w:r>
        <w:rPr>
          <w:rFonts w:hint="eastAsia" w:ascii="仿宋" w:hAnsi="仿宋" w:eastAsia="仿宋" w:cs="仿宋"/>
          <w:bCs/>
          <w:color w:val="auto"/>
          <w:kern w:val="1"/>
          <w:sz w:val="30"/>
          <w:szCs w:val="30"/>
          <w:u w:val="none"/>
          <w:lang w:val="en-US" w:eastAsia="zh-CN"/>
        </w:rPr>
        <w:t>50</w:t>
      </w:r>
      <w:r>
        <w:rPr>
          <w:rFonts w:hint="eastAsia" w:ascii="仿宋" w:hAnsi="仿宋" w:eastAsia="仿宋" w:cs="仿宋"/>
          <w:bCs/>
          <w:color w:val="auto"/>
          <w:kern w:val="1"/>
          <w:sz w:val="30"/>
          <w:szCs w:val="30"/>
        </w:rPr>
        <w:t>万元；</w:t>
      </w:r>
    </w:p>
    <w:p w14:paraId="69A082D3">
      <w:pPr>
        <w:adjustRightInd w:val="0"/>
        <w:snapToGrid w:val="0"/>
        <w:spacing w:line="600" w:lineRule="exact"/>
        <w:ind w:firstLine="600" w:firstLineChars="200"/>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val="en-US" w:eastAsia="zh-CN"/>
        </w:rPr>
        <w:t>三</w:t>
      </w:r>
      <w:r>
        <w:rPr>
          <w:rFonts w:hint="eastAsia" w:ascii="仿宋" w:hAnsi="仿宋" w:eastAsia="仿宋" w:cs="仿宋"/>
          <w:bCs/>
          <w:color w:val="auto"/>
          <w:kern w:val="1"/>
          <w:sz w:val="30"/>
          <w:szCs w:val="30"/>
        </w:rPr>
        <w:t>）其他资质要求：</w:t>
      </w:r>
      <w:r>
        <w:rPr>
          <w:rFonts w:hint="eastAsia" w:ascii="仿宋" w:hAnsi="仿宋" w:eastAsia="仿宋" w:cs="仿宋"/>
          <w:bCs/>
          <w:color w:val="auto"/>
          <w:kern w:val="1"/>
          <w:sz w:val="30"/>
          <w:szCs w:val="30"/>
          <w:u w:val="none"/>
        </w:rPr>
        <w:t>咨询服务公司，提供安全标准化咨询服务业绩；</w:t>
      </w:r>
    </w:p>
    <w:p w14:paraId="7EE1987A">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val="en-US" w:eastAsia="zh-CN"/>
        </w:rPr>
        <w:t>四</w:t>
      </w:r>
      <w:r>
        <w:rPr>
          <w:rFonts w:hint="eastAsia" w:ascii="仿宋" w:hAnsi="仿宋" w:eastAsia="仿宋" w:cs="仿宋"/>
          <w:bCs/>
          <w:color w:val="auto"/>
          <w:kern w:val="1"/>
          <w:sz w:val="30"/>
          <w:szCs w:val="30"/>
        </w:rPr>
        <w:t>）不接受被列入失信被执行人、重大违法案件当事人</w:t>
      </w:r>
      <w:r>
        <w:rPr>
          <w:rFonts w:hint="eastAsia" w:ascii="仿宋" w:hAnsi="仿宋" w:eastAsia="仿宋" w:cs="仿宋"/>
          <w:bCs/>
          <w:color w:val="auto"/>
          <w:kern w:val="1"/>
          <w:sz w:val="30"/>
          <w:szCs w:val="30"/>
          <w:lang w:val="en-US" w:eastAsia="zh-CN"/>
        </w:rPr>
        <w:t>报价</w:t>
      </w:r>
      <w:r>
        <w:rPr>
          <w:rFonts w:hint="eastAsia" w:ascii="仿宋" w:hAnsi="仿宋" w:eastAsia="仿宋" w:cs="仿宋"/>
          <w:bCs/>
          <w:color w:val="auto"/>
          <w:kern w:val="1"/>
          <w:sz w:val="30"/>
          <w:szCs w:val="30"/>
        </w:rPr>
        <w:t>；</w:t>
      </w:r>
    </w:p>
    <w:p w14:paraId="462507AA">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val="en-US" w:eastAsia="zh-CN"/>
        </w:rPr>
        <w:t>五</w:t>
      </w: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val="en-US" w:eastAsia="zh-CN"/>
        </w:rPr>
        <w:t>报价</w:t>
      </w:r>
      <w:r>
        <w:rPr>
          <w:rFonts w:hint="eastAsia" w:ascii="仿宋" w:hAnsi="仿宋" w:eastAsia="仿宋" w:cs="仿宋"/>
          <w:bCs/>
          <w:color w:val="auto"/>
          <w:kern w:val="1"/>
          <w:sz w:val="30"/>
          <w:szCs w:val="30"/>
        </w:rPr>
        <w:t>人应具备良好的售后服务能力，要求电话联系后</w:t>
      </w:r>
      <w:r>
        <w:rPr>
          <w:rFonts w:hint="eastAsia" w:ascii="仿宋" w:hAnsi="仿宋" w:eastAsia="仿宋" w:cs="仿宋"/>
          <w:bCs/>
          <w:color w:val="auto"/>
          <w:kern w:val="1"/>
          <w:sz w:val="30"/>
          <w:szCs w:val="30"/>
          <w:u w:val="none"/>
        </w:rPr>
        <w:t>24</w:t>
      </w:r>
      <w:r>
        <w:rPr>
          <w:rFonts w:hint="eastAsia" w:ascii="仿宋" w:hAnsi="仿宋" w:eastAsia="仿宋" w:cs="仿宋"/>
          <w:bCs/>
          <w:color w:val="auto"/>
          <w:kern w:val="1"/>
          <w:sz w:val="30"/>
          <w:szCs w:val="30"/>
        </w:rPr>
        <w:t>小时内必须给予回复，明确解决方案；</w:t>
      </w:r>
    </w:p>
    <w:p w14:paraId="54992E01">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val="en-US" w:eastAsia="zh-CN"/>
        </w:rPr>
        <w:t>六</w:t>
      </w: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val="en-US" w:eastAsia="zh-CN"/>
        </w:rPr>
        <w:t>报价</w:t>
      </w:r>
      <w:r>
        <w:rPr>
          <w:rFonts w:hint="eastAsia" w:ascii="仿宋" w:hAnsi="仿宋" w:eastAsia="仿宋" w:cs="仿宋"/>
          <w:bCs/>
          <w:color w:val="auto"/>
          <w:kern w:val="1"/>
          <w:sz w:val="30"/>
          <w:szCs w:val="30"/>
        </w:rPr>
        <w:t>人所供产品引起的知识产权方面的纠纷，由</w:t>
      </w:r>
      <w:r>
        <w:rPr>
          <w:rFonts w:hint="eastAsia" w:ascii="仿宋" w:hAnsi="仿宋" w:eastAsia="仿宋" w:cs="仿宋"/>
          <w:bCs/>
          <w:color w:val="auto"/>
          <w:kern w:val="1"/>
          <w:sz w:val="30"/>
          <w:szCs w:val="30"/>
          <w:lang w:val="en-US" w:eastAsia="zh-CN"/>
        </w:rPr>
        <w:t>报价</w:t>
      </w:r>
      <w:r>
        <w:rPr>
          <w:rFonts w:hint="eastAsia" w:ascii="仿宋" w:hAnsi="仿宋" w:eastAsia="仿宋" w:cs="仿宋"/>
          <w:bCs/>
          <w:color w:val="auto"/>
          <w:kern w:val="1"/>
          <w:sz w:val="30"/>
          <w:szCs w:val="30"/>
        </w:rPr>
        <w:t>人承担一切后果，</w:t>
      </w:r>
      <w:r>
        <w:rPr>
          <w:rFonts w:hint="eastAsia" w:ascii="仿宋" w:hAnsi="仿宋" w:eastAsia="仿宋" w:cs="仿宋"/>
          <w:bCs/>
          <w:color w:val="auto"/>
          <w:kern w:val="1"/>
          <w:sz w:val="30"/>
          <w:szCs w:val="30"/>
          <w:lang w:val="en-US" w:eastAsia="zh-CN"/>
        </w:rPr>
        <w:t>采购</w:t>
      </w:r>
      <w:r>
        <w:rPr>
          <w:rFonts w:hint="eastAsia" w:ascii="仿宋" w:hAnsi="仿宋" w:eastAsia="仿宋" w:cs="仿宋"/>
          <w:bCs/>
          <w:color w:val="auto"/>
          <w:kern w:val="1"/>
          <w:sz w:val="30"/>
          <w:szCs w:val="30"/>
        </w:rPr>
        <w:t>人不承担任何责任；</w:t>
      </w:r>
    </w:p>
    <w:p w14:paraId="380AD6DB">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val="en-US" w:eastAsia="zh-CN"/>
        </w:rPr>
        <w:t>七</w:t>
      </w: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val="en-US" w:eastAsia="zh-CN"/>
        </w:rPr>
        <w:t>报价</w:t>
      </w:r>
      <w:r>
        <w:rPr>
          <w:rFonts w:hint="eastAsia" w:ascii="仿宋" w:hAnsi="仿宋" w:eastAsia="仿宋" w:cs="仿宋"/>
          <w:bCs/>
          <w:color w:val="auto"/>
          <w:kern w:val="1"/>
          <w:sz w:val="30"/>
          <w:szCs w:val="30"/>
        </w:rPr>
        <w:t>人须具有</w:t>
      </w:r>
      <w:r>
        <w:rPr>
          <w:rFonts w:hint="eastAsia" w:ascii="仿宋" w:hAnsi="仿宋" w:eastAsia="仿宋" w:cs="仿宋"/>
          <w:bCs/>
          <w:color w:val="auto"/>
          <w:kern w:val="1"/>
          <w:sz w:val="30"/>
          <w:szCs w:val="30"/>
          <w:u w:val="none"/>
        </w:rPr>
        <w:t>2020-2023年度三个以上相关业绩，若在我公司有使用业绩的可不提供</w:t>
      </w:r>
      <w:r>
        <w:rPr>
          <w:rFonts w:hint="eastAsia" w:ascii="仿宋" w:hAnsi="仿宋" w:eastAsia="仿宋" w:cs="仿宋"/>
          <w:bCs/>
          <w:color w:val="auto"/>
          <w:kern w:val="1"/>
          <w:sz w:val="30"/>
          <w:szCs w:val="30"/>
        </w:rPr>
        <w:t>；</w:t>
      </w:r>
    </w:p>
    <w:p w14:paraId="49F0E8D6">
      <w:pPr>
        <w:pStyle w:val="4"/>
        <w:adjustRightInd w:val="0"/>
        <w:snapToGrid w:val="0"/>
        <w:spacing w:line="600" w:lineRule="exact"/>
        <w:ind w:firstLine="600" w:firstLineChars="200"/>
        <w:rPr>
          <w:rFonts w:hint="eastAsia" w:ascii="仿宋" w:hAnsi="仿宋" w:eastAsia="仿宋" w:cs="仿宋"/>
          <w:bCs/>
          <w:color w:val="auto"/>
          <w:sz w:val="30"/>
          <w:szCs w:val="30"/>
        </w:rPr>
      </w:pPr>
      <w:r>
        <w:rPr>
          <w:rFonts w:hint="eastAsia" w:ascii="仿宋" w:hAnsi="仿宋" w:eastAsia="仿宋" w:cs="仿宋"/>
          <w:bCs/>
          <w:color w:val="auto"/>
          <w:kern w:val="1"/>
          <w:sz w:val="30"/>
          <w:szCs w:val="30"/>
          <w:lang w:eastAsia="zh-CN"/>
        </w:rPr>
        <w:t>（</w:t>
      </w:r>
      <w:r>
        <w:rPr>
          <w:rFonts w:hint="eastAsia" w:ascii="仿宋" w:hAnsi="仿宋" w:eastAsia="仿宋" w:cs="仿宋"/>
          <w:bCs/>
          <w:color w:val="auto"/>
          <w:kern w:val="1"/>
          <w:sz w:val="30"/>
          <w:szCs w:val="30"/>
          <w:lang w:val="en-US" w:eastAsia="zh-CN"/>
        </w:rPr>
        <w:t>八</w:t>
      </w:r>
      <w:r>
        <w:rPr>
          <w:rFonts w:hint="eastAsia" w:ascii="仿宋" w:hAnsi="仿宋" w:eastAsia="仿宋" w:cs="仿宋"/>
          <w:bCs/>
          <w:color w:val="auto"/>
          <w:kern w:val="1"/>
          <w:sz w:val="30"/>
          <w:szCs w:val="30"/>
          <w:lang w:eastAsia="zh-CN"/>
        </w:rPr>
        <w:t>）</w:t>
      </w:r>
      <w:r>
        <w:rPr>
          <w:rFonts w:hint="eastAsia" w:ascii="仿宋" w:hAnsi="仿宋" w:eastAsia="仿宋" w:cs="仿宋"/>
          <w:bCs/>
          <w:color w:val="auto"/>
          <w:kern w:val="1"/>
          <w:sz w:val="30"/>
          <w:szCs w:val="30"/>
          <w:lang w:val="en-US" w:eastAsia="zh-CN"/>
        </w:rPr>
        <w:t>报价</w:t>
      </w:r>
      <w:r>
        <w:rPr>
          <w:rFonts w:hint="eastAsia" w:ascii="仿宋" w:hAnsi="仿宋" w:eastAsia="仿宋" w:cs="仿宋"/>
          <w:bCs/>
          <w:color w:val="auto"/>
          <w:kern w:val="1"/>
          <w:sz w:val="30"/>
          <w:szCs w:val="30"/>
        </w:rPr>
        <w:t>人须有镇江市安全生产标准化(三级)评审机构类似经历，或与赛瑞公司进行过安全服务工作。</w:t>
      </w:r>
    </w:p>
    <w:p w14:paraId="3C424A2D">
      <w:pPr>
        <w:adjustRightInd w:val="0"/>
        <w:snapToGrid w:val="0"/>
        <w:spacing w:line="600" w:lineRule="exact"/>
        <w:ind w:firstLine="480"/>
        <w:rPr>
          <w:rFonts w:hint="eastAsia" w:ascii="仿宋" w:hAnsi="仿宋" w:eastAsia="仿宋" w:cs="仿宋"/>
          <w:b/>
          <w:color w:val="auto"/>
          <w:kern w:val="2"/>
          <w:sz w:val="30"/>
          <w:szCs w:val="30"/>
        </w:rPr>
      </w:pPr>
      <w:r>
        <w:rPr>
          <w:rFonts w:hint="eastAsia" w:ascii="仿宋" w:hAnsi="仿宋" w:eastAsia="仿宋" w:cs="仿宋"/>
          <w:b/>
          <w:color w:val="auto"/>
          <w:kern w:val="2"/>
          <w:sz w:val="30"/>
          <w:szCs w:val="30"/>
        </w:rPr>
        <w:t>四、报价：</w:t>
      </w:r>
    </w:p>
    <w:p w14:paraId="537B303E">
      <w:pPr>
        <w:adjustRightInd w:val="0"/>
        <w:snapToGrid w:val="0"/>
        <w:spacing w:line="360" w:lineRule="auto"/>
        <w:ind w:firstLine="600" w:firstLineChars="200"/>
        <w:jc w:val="left"/>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（一）报价方式：</w:t>
      </w:r>
      <w:r>
        <w:rPr>
          <w:rFonts w:hint="eastAsia" w:ascii="仿宋" w:hAnsi="仿宋" w:eastAsia="仿宋" w:cs="仿宋"/>
          <w:bCs/>
          <w:color w:val="auto"/>
          <w:sz w:val="30"/>
          <w:szCs w:val="30"/>
        </w:rPr>
        <w:t>报价为含增值税包干价。如国家税率调整，按合同含税价格/（1+合同约定税率）*（1+国家规定的新税率）调整合同价格开具发票；</w:t>
      </w:r>
    </w:p>
    <w:p w14:paraId="7205DB02">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（二）付款方式：全部承兑汇票，中标单位协助通过</w:t>
      </w:r>
      <w:r>
        <w:rPr>
          <w:rFonts w:hint="eastAsia" w:ascii="仿宋" w:hAnsi="仿宋" w:eastAsia="仿宋" w:cs="仿宋"/>
          <w:bCs/>
          <w:color w:val="auto"/>
          <w:sz w:val="30"/>
          <w:szCs w:val="30"/>
        </w:rPr>
        <w:t>企业三级安全标准化评审换证</w:t>
      </w:r>
      <w:r>
        <w:rPr>
          <w:rFonts w:hint="eastAsia" w:ascii="仿宋" w:hAnsi="仿宋" w:eastAsia="仿宋" w:cs="仿宋"/>
          <w:bCs/>
          <w:color w:val="auto"/>
          <w:kern w:val="1"/>
          <w:sz w:val="30"/>
          <w:szCs w:val="30"/>
        </w:rPr>
        <w:t>及全额增值税发票后次月付清全款。如</w:t>
      </w:r>
      <w:r>
        <w:rPr>
          <w:rFonts w:hint="eastAsia" w:ascii="仿宋" w:hAnsi="仿宋" w:eastAsia="仿宋" w:cs="仿宋"/>
          <w:bCs/>
          <w:color w:val="auto"/>
          <w:kern w:val="1"/>
          <w:sz w:val="30"/>
          <w:szCs w:val="30"/>
          <w:lang w:val="en-US" w:eastAsia="zh-CN"/>
        </w:rPr>
        <w:t>报价</w:t>
      </w:r>
      <w:r>
        <w:rPr>
          <w:rFonts w:hint="eastAsia" w:ascii="仿宋" w:hAnsi="仿宋" w:eastAsia="仿宋" w:cs="仿宋"/>
          <w:bCs/>
          <w:color w:val="auto"/>
          <w:kern w:val="1"/>
          <w:sz w:val="30"/>
          <w:szCs w:val="30"/>
        </w:rPr>
        <w:t>人不接受</w:t>
      </w:r>
      <w:r>
        <w:rPr>
          <w:rFonts w:hint="eastAsia" w:ascii="仿宋" w:hAnsi="仿宋" w:eastAsia="仿宋" w:cs="仿宋"/>
          <w:bCs/>
          <w:color w:val="auto"/>
          <w:kern w:val="1"/>
          <w:sz w:val="30"/>
          <w:szCs w:val="30"/>
          <w:lang w:val="en-US" w:eastAsia="zh-CN"/>
        </w:rPr>
        <w:t>采购</w:t>
      </w:r>
      <w:r>
        <w:rPr>
          <w:rFonts w:hint="eastAsia" w:ascii="仿宋" w:hAnsi="仿宋" w:eastAsia="仿宋" w:cs="仿宋"/>
          <w:bCs/>
          <w:color w:val="auto"/>
          <w:kern w:val="1"/>
          <w:sz w:val="30"/>
          <w:szCs w:val="30"/>
        </w:rPr>
        <w:t>人提出的付款方式，可在线下报价书中明确能够接受的付款方式及付款时间，评标时作为参考。报价为含税价，如有不同请注明。</w:t>
      </w:r>
    </w:p>
    <w:p w14:paraId="1EA5BA0C">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（三）本项目</w:t>
      </w:r>
      <w:r>
        <w:rPr>
          <w:rFonts w:hint="eastAsia" w:ascii="仿宋" w:hAnsi="仿宋" w:eastAsia="仿宋" w:cs="仿宋"/>
          <w:bCs/>
          <w:color w:val="auto"/>
          <w:kern w:val="1"/>
          <w:sz w:val="30"/>
          <w:szCs w:val="30"/>
          <w:lang w:val="en-US" w:eastAsia="zh-CN"/>
        </w:rPr>
        <w:t>报价</w:t>
      </w:r>
      <w:r>
        <w:rPr>
          <w:rFonts w:hint="eastAsia" w:ascii="仿宋" w:hAnsi="仿宋" w:eastAsia="仿宋" w:cs="仿宋"/>
          <w:bCs/>
          <w:color w:val="auto"/>
          <w:kern w:val="1"/>
          <w:sz w:val="30"/>
          <w:szCs w:val="30"/>
        </w:rPr>
        <w:t>可通过线下方式进行：</w:t>
      </w:r>
    </w:p>
    <w:p w14:paraId="74A6162E">
      <w:pPr>
        <w:wordWrap w:val="0"/>
        <w:adjustRightInd w:val="0"/>
        <w:snapToGrid w:val="0"/>
        <w:spacing w:line="360" w:lineRule="auto"/>
        <w:ind w:firstLine="600" w:firstLineChars="200"/>
        <w:jc w:val="left"/>
        <w:rPr>
          <w:rFonts w:hint="eastAsia" w:ascii="仿宋_GB2312" w:hAnsi="仿宋_GB2312" w:eastAsia="仿宋_GB2312" w:cs="仿宋_GB2312"/>
          <w:color w:val="auto"/>
          <w:kern w:val="1"/>
          <w:sz w:val="30"/>
          <w:szCs w:val="30"/>
        </w:rPr>
      </w:pPr>
      <w:r>
        <w:rPr>
          <w:rFonts w:hint="eastAsia" w:ascii="仿宋" w:hAnsi="仿宋" w:eastAsia="仿宋" w:cs="仿宋"/>
          <w:bCs/>
          <w:color w:val="auto"/>
          <w:kern w:val="1"/>
          <w:sz w:val="30"/>
          <w:szCs w:val="30"/>
        </w:rPr>
        <w:t>采用线下</w:t>
      </w:r>
      <w:r>
        <w:rPr>
          <w:rFonts w:hint="eastAsia" w:ascii="仿宋" w:hAnsi="仿宋" w:eastAsia="仿宋" w:cs="仿宋"/>
          <w:bCs/>
          <w:color w:val="auto"/>
          <w:kern w:val="1"/>
          <w:sz w:val="30"/>
          <w:szCs w:val="30"/>
          <w:lang w:val="en-US" w:eastAsia="zh-CN"/>
        </w:rPr>
        <w:t>报价</w:t>
      </w:r>
      <w:r>
        <w:rPr>
          <w:rFonts w:hint="eastAsia" w:ascii="仿宋" w:hAnsi="仿宋" w:eastAsia="仿宋" w:cs="仿宋"/>
          <w:bCs/>
          <w:color w:val="auto"/>
          <w:kern w:val="1"/>
          <w:sz w:val="30"/>
          <w:szCs w:val="30"/>
        </w:rPr>
        <w:t>应</w:t>
      </w:r>
      <w:r>
        <w:rPr>
          <w:rFonts w:hint="eastAsia" w:ascii="仿宋" w:hAnsi="仿宋" w:eastAsia="仿宋" w:cs="仿宋"/>
          <w:bCs/>
          <w:color w:val="auto"/>
          <w:sz w:val="30"/>
          <w:szCs w:val="30"/>
        </w:rPr>
        <w:t>将报价书及相关资料以标袋形式送达，标袋外包装必须用“封条”密封，封条“格式自定”，另需加盖公章、法人章，填写密封日期；在标袋封面上需注明“</w:t>
      </w:r>
      <w:r>
        <w:rPr>
          <w:rFonts w:hint="eastAsia" w:ascii="仿宋" w:hAnsi="仿宋" w:eastAsia="仿宋" w:cs="仿宋"/>
          <w:bCs/>
          <w:color w:val="auto"/>
          <w:sz w:val="30"/>
          <w:szCs w:val="30"/>
          <w:lang w:val="en-US" w:eastAsia="zh-CN"/>
        </w:rPr>
        <w:t>报价</w:t>
      </w:r>
      <w:r>
        <w:rPr>
          <w:rFonts w:hint="eastAsia" w:ascii="仿宋" w:hAnsi="仿宋" w:eastAsia="仿宋" w:cs="仿宋"/>
          <w:bCs/>
          <w:color w:val="auto"/>
          <w:sz w:val="30"/>
          <w:szCs w:val="30"/>
        </w:rPr>
        <w:t>项目名称，</w:t>
      </w:r>
      <w:r>
        <w:rPr>
          <w:rFonts w:hint="eastAsia" w:ascii="仿宋" w:hAnsi="仿宋" w:eastAsia="仿宋" w:cs="仿宋"/>
          <w:bCs/>
          <w:color w:val="auto"/>
          <w:sz w:val="30"/>
          <w:szCs w:val="30"/>
          <w:lang w:val="en-US" w:eastAsia="zh-CN"/>
        </w:rPr>
        <w:t>报价</w:t>
      </w:r>
      <w:r>
        <w:rPr>
          <w:rFonts w:hint="eastAsia" w:ascii="仿宋" w:hAnsi="仿宋" w:eastAsia="仿宋" w:cs="仿宋"/>
          <w:bCs/>
          <w:color w:val="auto"/>
          <w:sz w:val="30"/>
          <w:szCs w:val="30"/>
        </w:rPr>
        <w:t>方名称、地址、联系人、联系电话”等；</w:t>
      </w:r>
      <w:r>
        <w:rPr>
          <w:rFonts w:hint="eastAsia" w:ascii="仿宋_GB2312" w:hAnsi="仿宋_GB2312" w:eastAsia="仿宋_GB2312" w:cs="仿宋_GB2312"/>
          <w:color w:val="auto"/>
          <w:kern w:val="1"/>
          <w:sz w:val="30"/>
          <w:szCs w:val="30"/>
          <w:lang w:val="en-US" w:eastAsia="zh-CN"/>
        </w:rPr>
        <w:t>报价</w:t>
      </w:r>
      <w:r>
        <w:rPr>
          <w:rFonts w:hint="eastAsia" w:ascii="仿宋_GB2312" w:hAnsi="仿宋_GB2312" w:eastAsia="仿宋_GB2312" w:cs="仿宋_GB2312"/>
          <w:color w:val="auto"/>
          <w:kern w:val="1"/>
          <w:sz w:val="30"/>
          <w:szCs w:val="30"/>
        </w:rPr>
        <w:t>文件还应包括正本 1  份，并要求在</w:t>
      </w:r>
      <w:r>
        <w:rPr>
          <w:rFonts w:hint="eastAsia" w:ascii="仿宋_GB2312" w:hAnsi="仿宋_GB2312" w:eastAsia="仿宋_GB2312" w:cs="仿宋_GB2312"/>
          <w:color w:val="auto"/>
          <w:kern w:val="1"/>
          <w:sz w:val="30"/>
          <w:szCs w:val="30"/>
          <w:lang w:val="en-US" w:eastAsia="zh-CN"/>
        </w:rPr>
        <w:t>报价</w:t>
      </w:r>
      <w:r>
        <w:rPr>
          <w:rFonts w:hint="eastAsia" w:ascii="仿宋_GB2312" w:hAnsi="仿宋_GB2312" w:eastAsia="仿宋_GB2312" w:cs="仿宋_GB2312"/>
          <w:color w:val="auto"/>
          <w:kern w:val="1"/>
          <w:sz w:val="30"/>
          <w:szCs w:val="30"/>
        </w:rPr>
        <w:t>截止日之前送达，逾期将作为</w:t>
      </w:r>
      <w:r>
        <w:rPr>
          <w:rFonts w:hint="eastAsia" w:ascii="仿宋_GB2312" w:hAnsi="仿宋_GB2312" w:eastAsia="仿宋_GB2312" w:cs="仿宋_GB2312"/>
          <w:color w:val="auto"/>
          <w:kern w:val="1"/>
          <w:sz w:val="30"/>
          <w:szCs w:val="30"/>
          <w:lang w:val="en-US" w:eastAsia="zh-CN"/>
        </w:rPr>
        <w:t>无效报价</w:t>
      </w:r>
      <w:r>
        <w:rPr>
          <w:rFonts w:hint="eastAsia" w:ascii="仿宋_GB2312" w:hAnsi="仿宋_GB2312" w:eastAsia="仿宋_GB2312" w:cs="仿宋_GB2312"/>
          <w:color w:val="auto"/>
          <w:kern w:val="1"/>
          <w:sz w:val="30"/>
          <w:szCs w:val="30"/>
        </w:rPr>
        <w:t>处理。</w:t>
      </w:r>
    </w:p>
    <w:p w14:paraId="1E2F186B">
      <w:pPr>
        <w:wordWrap w:val="0"/>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（四）与本</w:t>
      </w:r>
      <w:r>
        <w:rPr>
          <w:rFonts w:hint="eastAsia" w:ascii="仿宋" w:hAnsi="仿宋" w:eastAsia="仿宋" w:cs="仿宋"/>
          <w:bCs/>
          <w:color w:val="auto"/>
          <w:kern w:val="1"/>
          <w:sz w:val="30"/>
          <w:szCs w:val="30"/>
          <w:lang w:val="en-US" w:eastAsia="zh-CN"/>
        </w:rPr>
        <w:t>报价</w:t>
      </w:r>
      <w:r>
        <w:rPr>
          <w:rFonts w:hint="eastAsia" w:ascii="仿宋" w:hAnsi="仿宋" w:eastAsia="仿宋" w:cs="仿宋"/>
          <w:bCs/>
          <w:color w:val="auto"/>
          <w:kern w:val="1"/>
          <w:sz w:val="30"/>
          <w:szCs w:val="30"/>
        </w:rPr>
        <w:t>有关的一切往来通讯按以下方式联系：</w:t>
      </w:r>
    </w:p>
    <w:p w14:paraId="5C582A33">
      <w:pPr>
        <w:pStyle w:val="9"/>
        <w:tabs>
          <w:tab w:val="left" w:pos="180"/>
        </w:tabs>
        <w:wordWrap w:val="0"/>
        <w:adjustRightInd w:val="0"/>
        <w:snapToGrid w:val="0"/>
        <w:spacing w:line="360" w:lineRule="auto"/>
        <w:ind w:firstLine="600"/>
        <w:jc w:val="left"/>
        <w:rPr>
          <w:rFonts w:hint="default"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rPr>
        <w:t>公司：江苏索普赛瑞装备制造有限公司</w:t>
      </w:r>
    </w:p>
    <w:p w14:paraId="405494D2">
      <w:pPr>
        <w:wordWrap w:val="0"/>
        <w:adjustRightInd w:val="0"/>
        <w:snapToGrid w:val="0"/>
        <w:spacing w:line="360" w:lineRule="auto"/>
        <w:ind w:firstLine="600" w:firstLineChars="200"/>
        <w:jc w:val="left"/>
        <w:rPr>
          <w:rFonts w:ascii="仿宋" w:hAnsi="仿宋" w:eastAsia="仿宋" w:cs="仿宋"/>
          <w:bCs/>
          <w:color w:val="auto"/>
          <w:kern w:val="1"/>
          <w:sz w:val="30"/>
          <w:szCs w:val="30"/>
        </w:rPr>
      </w:pPr>
      <w:r>
        <w:rPr>
          <w:rFonts w:hint="eastAsia" w:ascii="仿宋" w:hAnsi="仿宋" w:eastAsia="仿宋" w:cs="仿宋"/>
          <w:bCs/>
          <w:color w:val="auto"/>
          <w:kern w:val="1"/>
          <w:sz w:val="30"/>
          <w:szCs w:val="30"/>
        </w:rPr>
        <w:t>地址：江苏省镇江市京口区谏壁镇求索路18号</w:t>
      </w:r>
    </w:p>
    <w:p w14:paraId="1D19AB53">
      <w:pPr>
        <w:wordWrap w:val="0"/>
        <w:adjustRightInd w:val="0"/>
        <w:snapToGrid w:val="0"/>
        <w:spacing w:line="360" w:lineRule="auto"/>
        <w:ind w:firstLine="600" w:firstLineChars="200"/>
        <w:jc w:val="left"/>
        <w:rPr>
          <w:rFonts w:hint="eastAsia"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rPr>
        <w:t>邮编：21200</w:t>
      </w:r>
      <w:r>
        <w:rPr>
          <w:rFonts w:hint="eastAsia" w:ascii="仿宋" w:hAnsi="仿宋" w:eastAsia="仿宋" w:cs="仿宋"/>
          <w:bCs/>
          <w:color w:val="auto"/>
          <w:kern w:val="1"/>
          <w:sz w:val="30"/>
          <w:szCs w:val="30"/>
          <w:lang w:val="en-US" w:eastAsia="zh-CN"/>
        </w:rPr>
        <w:t>6</w:t>
      </w:r>
    </w:p>
    <w:p w14:paraId="4DEE5E7C">
      <w:pPr>
        <w:wordWrap w:val="0"/>
        <w:adjustRightInd w:val="0"/>
        <w:snapToGrid w:val="0"/>
        <w:spacing w:line="360" w:lineRule="auto"/>
        <w:ind w:firstLine="600" w:firstLineChars="200"/>
        <w:jc w:val="left"/>
        <w:rPr>
          <w:rFonts w:hint="default"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lang w:val="en-US" w:eastAsia="zh-CN"/>
        </w:rPr>
        <w:t>联系人：石晓庆</w:t>
      </w:r>
    </w:p>
    <w:p w14:paraId="77ABDAF1">
      <w:pPr>
        <w:wordWrap w:val="0"/>
        <w:adjustRightInd w:val="0"/>
        <w:snapToGrid w:val="0"/>
        <w:spacing w:line="360" w:lineRule="auto"/>
        <w:ind w:firstLine="600" w:firstLineChars="200"/>
        <w:jc w:val="left"/>
        <w:rPr>
          <w:rFonts w:ascii="仿宋" w:hAnsi="仿宋" w:eastAsia="仿宋" w:cs="仿宋"/>
          <w:bCs/>
          <w:color w:val="auto"/>
          <w:kern w:val="1"/>
          <w:sz w:val="30"/>
          <w:szCs w:val="30"/>
        </w:rPr>
      </w:pPr>
      <w:r>
        <w:rPr>
          <w:rFonts w:hint="eastAsia" w:ascii="仿宋" w:hAnsi="仿宋" w:eastAsia="仿宋" w:cs="仿宋"/>
          <w:bCs/>
          <w:color w:val="auto"/>
          <w:kern w:val="1"/>
          <w:sz w:val="30"/>
          <w:szCs w:val="30"/>
        </w:rPr>
        <w:t>联系电话：</w:t>
      </w:r>
      <w:r>
        <w:rPr>
          <w:rFonts w:hint="eastAsia" w:ascii="仿宋" w:hAnsi="仿宋" w:eastAsia="仿宋" w:cs="仿宋"/>
          <w:bCs/>
          <w:color w:val="auto"/>
          <w:kern w:val="1"/>
          <w:sz w:val="30"/>
          <w:szCs w:val="30"/>
          <w:lang w:val="en-US" w:eastAsia="zh-CN"/>
        </w:rPr>
        <w:t>15952902110</w:t>
      </w:r>
      <w:r>
        <w:rPr>
          <w:rFonts w:ascii="仿宋" w:hAnsi="仿宋" w:eastAsia="仿宋" w:cs="仿宋"/>
          <w:bCs/>
          <w:color w:val="auto"/>
          <w:kern w:val="1"/>
          <w:sz w:val="30"/>
          <w:szCs w:val="30"/>
        </w:rPr>
        <w:t xml:space="preserve">   </w:t>
      </w:r>
    </w:p>
    <w:p w14:paraId="7D0A696B">
      <w:pPr>
        <w:adjustRightInd w:val="0"/>
        <w:snapToGrid w:val="0"/>
        <w:spacing w:line="600" w:lineRule="exact"/>
        <w:ind w:firstLine="602" w:firstLineChars="200"/>
        <w:jc w:val="left"/>
        <w:rPr>
          <w:rFonts w:hint="eastAsia" w:ascii="仿宋" w:hAnsi="仿宋" w:eastAsia="仿宋" w:cs="仿宋"/>
          <w:b/>
          <w:color w:val="auto"/>
          <w:kern w:val="1"/>
          <w:sz w:val="30"/>
          <w:szCs w:val="30"/>
        </w:rPr>
      </w:pPr>
      <w:r>
        <w:rPr>
          <w:rFonts w:hint="eastAsia" w:ascii="仿宋" w:hAnsi="仿宋" w:eastAsia="仿宋" w:cs="仿宋"/>
          <w:b/>
          <w:color w:val="auto"/>
          <w:kern w:val="1"/>
          <w:sz w:val="30"/>
          <w:szCs w:val="30"/>
        </w:rPr>
        <w:t>五、</w:t>
      </w:r>
      <w:r>
        <w:rPr>
          <w:rFonts w:hint="eastAsia" w:ascii="仿宋" w:hAnsi="仿宋" w:eastAsia="仿宋" w:cs="仿宋"/>
          <w:b/>
          <w:color w:val="auto"/>
          <w:kern w:val="1"/>
          <w:sz w:val="30"/>
          <w:szCs w:val="30"/>
          <w:lang w:val="en-US" w:eastAsia="zh-CN"/>
        </w:rPr>
        <w:t>采购</w:t>
      </w:r>
      <w:r>
        <w:rPr>
          <w:rFonts w:hint="eastAsia" w:ascii="仿宋" w:hAnsi="仿宋" w:eastAsia="仿宋" w:cs="仿宋"/>
          <w:b/>
          <w:color w:val="auto"/>
          <w:kern w:val="1"/>
          <w:sz w:val="30"/>
          <w:szCs w:val="30"/>
        </w:rPr>
        <w:t>评审流程：</w:t>
      </w:r>
    </w:p>
    <w:p w14:paraId="711CB21B">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（一）解密</w:t>
      </w:r>
    </w:p>
    <w:p w14:paraId="64749AF0">
      <w:pPr>
        <w:wordWrap w:val="0"/>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本项目由</w:t>
      </w:r>
      <w:r>
        <w:rPr>
          <w:rFonts w:hint="eastAsia" w:ascii="仿宋" w:hAnsi="仿宋" w:eastAsia="仿宋" w:cs="仿宋"/>
          <w:bCs/>
          <w:color w:val="auto"/>
          <w:kern w:val="1"/>
          <w:sz w:val="30"/>
          <w:szCs w:val="30"/>
          <w:lang w:val="en-US" w:eastAsia="zh-CN"/>
        </w:rPr>
        <w:t>采购</w:t>
      </w:r>
      <w:r>
        <w:rPr>
          <w:rFonts w:hint="eastAsia" w:ascii="仿宋" w:hAnsi="仿宋" w:eastAsia="仿宋" w:cs="仿宋"/>
          <w:bCs/>
          <w:color w:val="auto"/>
          <w:kern w:val="1"/>
          <w:sz w:val="30"/>
          <w:szCs w:val="30"/>
        </w:rPr>
        <w:t>人组织</w:t>
      </w:r>
      <w:r>
        <w:rPr>
          <w:rFonts w:hint="eastAsia" w:ascii="仿宋" w:hAnsi="仿宋" w:eastAsia="仿宋" w:cs="仿宋"/>
          <w:bCs/>
          <w:color w:val="auto"/>
          <w:kern w:val="1"/>
          <w:sz w:val="30"/>
          <w:szCs w:val="30"/>
          <w:lang w:val="en-US" w:eastAsia="zh-CN"/>
        </w:rPr>
        <w:t>评审</w:t>
      </w:r>
      <w:r>
        <w:rPr>
          <w:rFonts w:hint="eastAsia" w:ascii="仿宋" w:hAnsi="仿宋" w:eastAsia="仿宋" w:cs="仿宋"/>
          <w:bCs/>
          <w:color w:val="auto"/>
          <w:kern w:val="1"/>
          <w:sz w:val="30"/>
          <w:szCs w:val="30"/>
        </w:rPr>
        <w:t>小组，确定</w:t>
      </w:r>
      <w:r>
        <w:rPr>
          <w:rFonts w:hint="eastAsia" w:ascii="仿宋" w:hAnsi="仿宋" w:eastAsia="仿宋" w:cs="仿宋"/>
          <w:bCs/>
          <w:color w:val="auto"/>
          <w:kern w:val="1"/>
          <w:sz w:val="30"/>
          <w:szCs w:val="30"/>
          <w:lang w:val="en-US" w:eastAsia="zh-CN"/>
        </w:rPr>
        <w:t>合作单位</w:t>
      </w:r>
      <w:r>
        <w:rPr>
          <w:rFonts w:hint="eastAsia" w:ascii="仿宋" w:hAnsi="仿宋" w:eastAsia="仿宋" w:cs="仿宋"/>
          <w:bCs/>
          <w:color w:val="auto"/>
          <w:kern w:val="1"/>
          <w:sz w:val="30"/>
          <w:szCs w:val="30"/>
        </w:rPr>
        <w:t>。</w:t>
      </w:r>
    </w:p>
    <w:p w14:paraId="703FBB10">
      <w:pPr>
        <w:adjustRightInd w:val="0"/>
        <w:snapToGrid w:val="0"/>
        <w:spacing w:line="600" w:lineRule="exact"/>
        <w:ind w:firstLine="0" w:firstLineChars="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lang w:val="en-US" w:eastAsia="zh-CN"/>
        </w:rPr>
        <w:t xml:space="preserve">    </w:t>
      </w:r>
      <w:r>
        <w:rPr>
          <w:rFonts w:hint="eastAsia" w:ascii="仿宋" w:hAnsi="仿宋" w:eastAsia="仿宋" w:cs="仿宋"/>
          <w:bCs/>
          <w:color w:val="auto"/>
          <w:kern w:val="1"/>
          <w:sz w:val="30"/>
          <w:szCs w:val="30"/>
        </w:rPr>
        <w:t>（二）评审</w:t>
      </w:r>
    </w:p>
    <w:p w14:paraId="53A79797">
      <w:pPr>
        <w:wordWrap w:val="0"/>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1、在能够满足</w:t>
      </w:r>
      <w:r>
        <w:rPr>
          <w:rFonts w:hint="eastAsia" w:ascii="仿宋" w:hAnsi="仿宋" w:eastAsia="仿宋" w:cs="仿宋"/>
          <w:bCs/>
          <w:color w:val="auto"/>
          <w:kern w:val="1"/>
          <w:sz w:val="30"/>
          <w:szCs w:val="30"/>
          <w:lang w:val="en-US" w:eastAsia="zh-CN"/>
        </w:rPr>
        <w:t>采购</w:t>
      </w:r>
      <w:r>
        <w:rPr>
          <w:rFonts w:hint="eastAsia" w:ascii="仿宋" w:hAnsi="仿宋" w:eastAsia="仿宋" w:cs="仿宋"/>
          <w:bCs/>
          <w:color w:val="auto"/>
          <w:kern w:val="1"/>
          <w:sz w:val="30"/>
          <w:szCs w:val="30"/>
        </w:rPr>
        <w:t>人技术要求及供货期要求的</w:t>
      </w:r>
      <w:r>
        <w:rPr>
          <w:rFonts w:hint="eastAsia" w:ascii="仿宋" w:hAnsi="仿宋" w:eastAsia="仿宋" w:cs="仿宋"/>
          <w:bCs/>
          <w:color w:val="auto"/>
          <w:kern w:val="1"/>
          <w:sz w:val="30"/>
          <w:szCs w:val="30"/>
          <w:lang w:val="en-US" w:eastAsia="zh-CN"/>
        </w:rPr>
        <w:t>报价</w:t>
      </w:r>
      <w:r>
        <w:rPr>
          <w:rFonts w:hint="eastAsia" w:ascii="仿宋" w:hAnsi="仿宋" w:eastAsia="仿宋" w:cs="仿宋"/>
          <w:bCs/>
          <w:color w:val="auto"/>
          <w:kern w:val="1"/>
          <w:sz w:val="30"/>
          <w:szCs w:val="30"/>
        </w:rPr>
        <w:t>人中选择总价最低的一家</w:t>
      </w:r>
      <w:r>
        <w:rPr>
          <w:rFonts w:hint="eastAsia" w:ascii="仿宋" w:hAnsi="仿宋" w:eastAsia="仿宋" w:cs="仿宋"/>
          <w:bCs/>
          <w:color w:val="auto"/>
          <w:kern w:val="1"/>
          <w:sz w:val="30"/>
          <w:szCs w:val="30"/>
          <w:lang w:val="en-US" w:eastAsia="zh-CN"/>
        </w:rPr>
        <w:t>报价</w:t>
      </w:r>
      <w:r>
        <w:rPr>
          <w:rFonts w:hint="eastAsia" w:ascii="仿宋" w:hAnsi="仿宋" w:eastAsia="仿宋" w:cs="仿宋"/>
          <w:bCs/>
          <w:color w:val="auto"/>
          <w:kern w:val="1"/>
          <w:sz w:val="30"/>
          <w:szCs w:val="30"/>
        </w:rPr>
        <w:t>人作为</w:t>
      </w:r>
      <w:r>
        <w:rPr>
          <w:rFonts w:hint="eastAsia" w:ascii="仿宋" w:hAnsi="仿宋" w:eastAsia="仿宋" w:cs="仿宋"/>
          <w:bCs/>
          <w:color w:val="auto"/>
          <w:kern w:val="1"/>
          <w:sz w:val="30"/>
          <w:szCs w:val="30"/>
          <w:lang w:val="en-US" w:eastAsia="zh-CN"/>
        </w:rPr>
        <w:t>合作</w:t>
      </w:r>
      <w:r>
        <w:rPr>
          <w:rFonts w:hint="eastAsia" w:ascii="仿宋" w:hAnsi="仿宋" w:eastAsia="仿宋" w:cs="仿宋"/>
          <w:bCs/>
          <w:color w:val="auto"/>
          <w:kern w:val="1"/>
          <w:sz w:val="30"/>
          <w:szCs w:val="30"/>
        </w:rPr>
        <w:t>候选人。</w:t>
      </w:r>
    </w:p>
    <w:p w14:paraId="3FCE01AF">
      <w:pPr>
        <w:wordWrap w:val="0"/>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2、请各</w:t>
      </w:r>
      <w:r>
        <w:rPr>
          <w:rFonts w:hint="eastAsia" w:ascii="仿宋" w:hAnsi="仿宋" w:eastAsia="仿宋" w:cs="仿宋"/>
          <w:bCs/>
          <w:color w:val="auto"/>
          <w:kern w:val="1"/>
          <w:sz w:val="30"/>
          <w:szCs w:val="30"/>
          <w:lang w:val="en-US" w:eastAsia="zh-CN"/>
        </w:rPr>
        <w:t>报价</w:t>
      </w:r>
      <w:r>
        <w:rPr>
          <w:rFonts w:hint="eastAsia" w:ascii="仿宋" w:hAnsi="仿宋" w:eastAsia="仿宋" w:cs="仿宋"/>
          <w:bCs/>
          <w:color w:val="auto"/>
          <w:kern w:val="1"/>
          <w:sz w:val="30"/>
          <w:szCs w:val="30"/>
        </w:rPr>
        <w:t>人保持通讯畅通，便于</w:t>
      </w:r>
      <w:r>
        <w:rPr>
          <w:rFonts w:hint="eastAsia" w:ascii="仿宋" w:hAnsi="仿宋" w:eastAsia="仿宋" w:cs="仿宋"/>
          <w:bCs/>
          <w:color w:val="auto"/>
          <w:kern w:val="1"/>
          <w:sz w:val="30"/>
          <w:szCs w:val="30"/>
          <w:lang w:val="en-US" w:eastAsia="zh-CN"/>
        </w:rPr>
        <w:t>评审</w:t>
      </w:r>
      <w:r>
        <w:rPr>
          <w:rFonts w:hint="eastAsia" w:ascii="仿宋" w:hAnsi="仿宋" w:eastAsia="仿宋" w:cs="仿宋"/>
          <w:bCs/>
          <w:color w:val="auto"/>
          <w:kern w:val="1"/>
          <w:sz w:val="30"/>
          <w:szCs w:val="30"/>
        </w:rPr>
        <w:t>小组在</w:t>
      </w:r>
      <w:r>
        <w:rPr>
          <w:rFonts w:hint="eastAsia" w:ascii="仿宋" w:hAnsi="仿宋" w:eastAsia="仿宋" w:cs="仿宋"/>
          <w:bCs/>
          <w:color w:val="auto"/>
          <w:kern w:val="1"/>
          <w:sz w:val="30"/>
          <w:szCs w:val="30"/>
          <w:lang w:val="en-US" w:eastAsia="zh-CN"/>
        </w:rPr>
        <w:t>评审</w:t>
      </w:r>
      <w:r>
        <w:rPr>
          <w:rFonts w:hint="eastAsia" w:ascii="仿宋" w:hAnsi="仿宋" w:eastAsia="仿宋" w:cs="仿宋"/>
          <w:bCs/>
          <w:color w:val="auto"/>
          <w:kern w:val="1"/>
          <w:sz w:val="30"/>
          <w:szCs w:val="30"/>
        </w:rPr>
        <w:t>现场电话联系。</w:t>
      </w:r>
    </w:p>
    <w:p w14:paraId="6D56B82D">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3、</w:t>
      </w:r>
      <w:r>
        <w:rPr>
          <w:rFonts w:hint="eastAsia" w:ascii="仿宋" w:hAnsi="仿宋" w:eastAsia="仿宋" w:cs="仿宋"/>
          <w:bCs/>
          <w:color w:val="auto"/>
          <w:kern w:val="1"/>
          <w:sz w:val="30"/>
          <w:szCs w:val="30"/>
          <w:lang w:val="en-US" w:eastAsia="zh-CN"/>
        </w:rPr>
        <w:t>评审</w:t>
      </w:r>
      <w:r>
        <w:rPr>
          <w:rFonts w:hint="eastAsia" w:ascii="仿宋" w:hAnsi="仿宋" w:eastAsia="仿宋" w:cs="仿宋"/>
          <w:bCs/>
          <w:color w:val="auto"/>
          <w:kern w:val="1"/>
          <w:sz w:val="30"/>
          <w:szCs w:val="30"/>
        </w:rPr>
        <w:t>小组不得泄露各</w:t>
      </w:r>
      <w:r>
        <w:rPr>
          <w:rFonts w:hint="eastAsia" w:ascii="仿宋" w:hAnsi="仿宋" w:eastAsia="仿宋" w:cs="仿宋"/>
          <w:bCs/>
          <w:color w:val="auto"/>
          <w:kern w:val="1"/>
          <w:sz w:val="30"/>
          <w:szCs w:val="30"/>
          <w:lang w:val="en-US" w:eastAsia="zh-CN"/>
        </w:rPr>
        <w:t>报价</w:t>
      </w:r>
      <w:r>
        <w:rPr>
          <w:rFonts w:hint="eastAsia" w:ascii="仿宋" w:hAnsi="仿宋" w:eastAsia="仿宋" w:cs="仿宋"/>
          <w:bCs/>
          <w:color w:val="auto"/>
          <w:kern w:val="1"/>
          <w:sz w:val="30"/>
          <w:szCs w:val="30"/>
        </w:rPr>
        <w:t xml:space="preserve">人的报价。                                </w:t>
      </w:r>
    </w:p>
    <w:p w14:paraId="37BC264C">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（三）流标</w:t>
      </w:r>
    </w:p>
    <w:p w14:paraId="28F74CE5">
      <w:pPr>
        <w:wordWrap w:val="0"/>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lang w:val="en-US" w:eastAsia="zh-CN"/>
        </w:rPr>
        <w:t>采购</w:t>
      </w:r>
      <w:r>
        <w:rPr>
          <w:rFonts w:hint="eastAsia" w:ascii="仿宋" w:hAnsi="仿宋" w:eastAsia="仿宋" w:cs="仿宋"/>
          <w:bCs/>
          <w:color w:val="auto"/>
          <w:kern w:val="1"/>
          <w:sz w:val="30"/>
          <w:szCs w:val="30"/>
        </w:rPr>
        <w:t>人如发现</w:t>
      </w:r>
      <w:r>
        <w:rPr>
          <w:rFonts w:hint="eastAsia" w:ascii="仿宋" w:hAnsi="仿宋" w:eastAsia="仿宋" w:cs="仿宋"/>
          <w:bCs/>
          <w:color w:val="auto"/>
          <w:kern w:val="1"/>
          <w:sz w:val="30"/>
          <w:szCs w:val="30"/>
          <w:lang w:val="en-US" w:eastAsia="zh-CN"/>
        </w:rPr>
        <w:t>采购</w:t>
      </w:r>
      <w:r>
        <w:rPr>
          <w:rFonts w:hint="eastAsia" w:ascii="仿宋" w:hAnsi="仿宋" w:eastAsia="仿宋" w:cs="仿宋"/>
          <w:bCs/>
          <w:color w:val="auto"/>
          <w:kern w:val="1"/>
          <w:sz w:val="30"/>
          <w:szCs w:val="30"/>
        </w:rPr>
        <w:t>过程中有串标、陪标等扰乱</w:t>
      </w:r>
      <w:r>
        <w:rPr>
          <w:rFonts w:hint="eastAsia" w:ascii="仿宋" w:hAnsi="仿宋" w:eastAsia="仿宋" w:cs="仿宋"/>
          <w:bCs/>
          <w:color w:val="auto"/>
          <w:kern w:val="1"/>
          <w:sz w:val="30"/>
          <w:szCs w:val="30"/>
          <w:lang w:val="en-US" w:eastAsia="zh-CN"/>
        </w:rPr>
        <w:t>采购</w:t>
      </w:r>
      <w:r>
        <w:rPr>
          <w:rFonts w:hint="eastAsia" w:ascii="仿宋" w:hAnsi="仿宋" w:eastAsia="仿宋" w:cs="仿宋"/>
          <w:bCs/>
          <w:color w:val="auto"/>
          <w:kern w:val="1"/>
          <w:sz w:val="30"/>
          <w:szCs w:val="30"/>
        </w:rPr>
        <w:t>人经营秩序的恶劣情况，经</w:t>
      </w:r>
      <w:r>
        <w:rPr>
          <w:rFonts w:hint="eastAsia" w:ascii="仿宋" w:hAnsi="仿宋" w:eastAsia="仿宋" w:cs="仿宋"/>
          <w:bCs/>
          <w:color w:val="auto"/>
          <w:kern w:val="1"/>
          <w:sz w:val="30"/>
          <w:szCs w:val="30"/>
          <w:lang w:val="en-US" w:eastAsia="zh-CN"/>
        </w:rPr>
        <w:t>采购</w:t>
      </w:r>
      <w:r>
        <w:rPr>
          <w:rFonts w:hint="eastAsia" w:ascii="仿宋" w:hAnsi="仿宋" w:eastAsia="仿宋" w:cs="仿宋"/>
          <w:bCs/>
          <w:color w:val="auto"/>
          <w:kern w:val="1"/>
          <w:sz w:val="30"/>
          <w:szCs w:val="30"/>
        </w:rPr>
        <w:t>人评</w:t>
      </w:r>
      <w:r>
        <w:rPr>
          <w:rFonts w:hint="eastAsia" w:ascii="仿宋" w:hAnsi="仿宋" w:eastAsia="仿宋" w:cs="仿宋"/>
          <w:bCs/>
          <w:color w:val="auto"/>
          <w:kern w:val="1"/>
          <w:sz w:val="30"/>
          <w:szCs w:val="30"/>
          <w:lang w:val="en-US" w:eastAsia="zh-CN"/>
        </w:rPr>
        <w:t>审</w:t>
      </w:r>
      <w:r>
        <w:rPr>
          <w:rFonts w:hint="eastAsia" w:ascii="仿宋" w:hAnsi="仿宋" w:eastAsia="仿宋" w:cs="仿宋"/>
          <w:bCs/>
          <w:color w:val="auto"/>
          <w:kern w:val="1"/>
          <w:sz w:val="30"/>
          <w:szCs w:val="30"/>
        </w:rPr>
        <w:t>小组评定可作流标处理，并可将相关</w:t>
      </w:r>
      <w:r>
        <w:rPr>
          <w:rFonts w:hint="eastAsia" w:ascii="仿宋" w:hAnsi="仿宋" w:eastAsia="仿宋" w:cs="仿宋"/>
          <w:bCs/>
          <w:color w:val="auto"/>
          <w:kern w:val="1"/>
          <w:sz w:val="30"/>
          <w:szCs w:val="30"/>
          <w:lang w:val="en-US" w:eastAsia="zh-CN"/>
        </w:rPr>
        <w:t>报价</w:t>
      </w:r>
      <w:r>
        <w:rPr>
          <w:rFonts w:hint="eastAsia" w:ascii="仿宋" w:hAnsi="仿宋" w:eastAsia="仿宋" w:cs="仿宋"/>
          <w:bCs/>
          <w:color w:val="auto"/>
          <w:kern w:val="1"/>
          <w:sz w:val="30"/>
          <w:szCs w:val="30"/>
        </w:rPr>
        <w:t>方列入供应商负面清单，一年内不再接受参与</w:t>
      </w:r>
      <w:r>
        <w:rPr>
          <w:rFonts w:hint="eastAsia" w:ascii="仿宋" w:hAnsi="仿宋" w:eastAsia="仿宋" w:cs="仿宋"/>
          <w:bCs/>
          <w:color w:val="auto"/>
          <w:kern w:val="1"/>
          <w:sz w:val="30"/>
          <w:szCs w:val="30"/>
          <w:lang w:val="en-US" w:eastAsia="zh-CN"/>
        </w:rPr>
        <w:t>报价</w:t>
      </w:r>
      <w:r>
        <w:rPr>
          <w:rFonts w:hint="eastAsia" w:ascii="仿宋" w:hAnsi="仿宋" w:eastAsia="仿宋" w:cs="仿宋"/>
          <w:bCs/>
          <w:color w:val="auto"/>
          <w:kern w:val="1"/>
          <w:sz w:val="30"/>
          <w:szCs w:val="30"/>
        </w:rPr>
        <w:t>工作。</w:t>
      </w:r>
    </w:p>
    <w:p w14:paraId="27886B3B">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（四）无效报价</w:t>
      </w:r>
    </w:p>
    <w:p w14:paraId="735C910E">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1、凡报价人不具备生产经营资质的，或报价文件填写不完整、报价有空项的，或不符合技术要求条款的，或者存在其他不符合采购人有关要求的问题，经采购人评审小组评定，可作无效报价处理。</w:t>
      </w:r>
    </w:p>
    <w:p w14:paraId="01CACB42">
      <w:pPr>
        <w:adjustRightInd w:val="0"/>
        <w:snapToGrid w:val="0"/>
        <w:spacing w:line="600" w:lineRule="exact"/>
        <w:jc w:val="left"/>
        <w:rPr>
          <w:rFonts w:hint="eastAsia" w:ascii="仿宋" w:hAnsi="仿宋" w:eastAsia="仿宋" w:cs="仿宋"/>
          <w:bCs/>
          <w:color w:val="FF0000"/>
          <w:kern w:val="1"/>
          <w:sz w:val="30"/>
          <w:szCs w:val="30"/>
        </w:rPr>
      </w:pPr>
      <w:r>
        <w:rPr>
          <w:rFonts w:hint="eastAsia" w:ascii="仿宋" w:hAnsi="仿宋" w:eastAsia="仿宋" w:cs="仿宋"/>
          <w:bCs/>
          <w:color w:val="auto"/>
          <w:kern w:val="1"/>
          <w:sz w:val="30"/>
          <w:szCs w:val="30"/>
        </w:rPr>
        <w:t xml:space="preserve">    2、报价人应如实提供符合市场规律和自身成本的合理报价。如果报价人的报价与市场价格明显偏离并因此影响了采购活动的公正合理性，损害了采购人的正当利益，经采购人评审小组评定，可作无效报价处理。</w:t>
      </w:r>
    </w:p>
    <w:p w14:paraId="3FC4B21F">
      <w:pPr>
        <w:numPr>
          <w:ilvl w:val="0"/>
          <w:numId w:val="2"/>
        </w:numPr>
        <w:adjustRightInd w:val="0"/>
        <w:snapToGrid w:val="0"/>
        <w:spacing w:line="600" w:lineRule="exact"/>
        <w:ind w:firstLine="602" w:firstLineChars="200"/>
        <w:jc w:val="left"/>
        <w:rPr>
          <w:rFonts w:hint="eastAsia"/>
          <w:color w:val="auto"/>
          <w:sz w:val="30"/>
          <w:szCs w:val="30"/>
        </w:rPr>
      </w:pPr>
      <w:r>
        <w:rPr>
          <w:rFonts w:hint="eastAsia" w:ascii="仿宋" w:hAnsi="仿宋" w:eastAsia="仿宋" w:cs="仿宋"/>
          <w:b/>
          <w:color w:val="auto"/>
          <w:kern w:val="1"/>
          <w:sz w:val="30"/>
          <w:szCs w:val="30"/>
        </w:rPr>
        <w:t>其他注意事项：</w:t>
      </w:r>
      <w:r>
        <w:rPr>
          <w:rFonts w:hint="eastAsia"/>
          <w:color w:val="auto"/>
          <w:sz w:val="30"/>
          <w:szCs w:val="30"/>
        </w:rPr>
        <w:t>　　</w:t>
      </w:r>
    </w:p>
    <w:p w14:paraId="3801BF0E">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（一）违约责任：</w:t>
      </w:r>
    </w:p>
    <w:p w14:paraId="58C18B99">
      <w:pPr>
        <w:wordWrap w:val="0"/>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1.如出卖人没有按照规定的时间交货或提供服务，出卖人须支付违约金，违约金从货款中扣除，迟交货物或未提供服务的违约金逾期每日按合同总金额的1%计收。迟交货物或未提供服务超过7日，买受人有权解除合同,买受人可要求出卖人于五个工作日内返还买受人合同货款并按合同总额的30%承担违约责任。</w:t>
      </w:r>
    </w:p>
    <w:p w14:paraId="7860E975">
      <w:pPr>
        <w:wordWrap w:val="0"/>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2.出卖人交货后，如果货物经检验不合格的，买受人可选择以下处理方式：</w:t>
      </w:r>
    </w:p>
    <w:p w14:paraId="78A08A84">
      <w:pPr>
        <w:wordWrap w:val="0"/>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1）买受人选择换货的，换货所产生的费用由出卖人承担。经买受人同意出卖人换货的，需在买受人第一次验收不合格之日起30日内供货，逾期供货的，违约责任参照第1款执行。如果出现两次经检验不合格的情况，买受人有权解除合同，出卖人需在检验不合格之日起五个工作日内返还买受人合同货款，并赔偿合同总货款的30%违约金给买受人，买受人在出卖人返还货款之前，有权质押货物，质押期间如产生仓储费，该仓储费由出卖人承担。</w:t>
      </w:r>
    </w:p>
    <w:p w14:paraId="4B565FB5">
      <w:pPr>
        <w:wordWrap w:val="0"/>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2）买受人选择解除合同的，退货所产生的费用由出卖人承担。出卖人需在检验不合格之日起五个工作日内返还买受人合同货款，并赔偿合同总货款的30%违约金给买受人，买受人在出卖人返还货款之前，有权质押货物，质押期间如产生仓储费，仓储费由出卖人承担。</w:t>
      </w:r>
    </w:p>
    <w:p w14:paraId="4C3BB6F5">
      <w:pPr>
        <w:wordWrap w:val="0"/>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（二）</w:t>
      </w:r>
      <w:r>
        <w:rPr>
          <w:rFonts w:hint="eastAsia" w:ascii="仿宋" w:hAnsi="仿宋" w:eastAsia="仿宋" w:cs="仿宋"/>
          <w:bCs/>
          <w:color w:val="auto"/>
          <w:kern w:val="1"/>
          <w:sz w:val="30"/>
          <w:szCs w:val="30"/>
          <w:lang w:val="en-US" w:eastAsia="zh-CN"/>
        </w:rPr>
        <w:t>合作候选人确定</w:t>
      </w:r>
      <w:r>
        <w:rPr>
          <w:rFonts w:hint="eastAsia" w:ascii="仿宋" w:hAnsi="仿宋" w:eastAsia="仿宋" w:cs="仿宋"/>
          <w:bCs/>
          <w:color w:val="auto"/>
          <w:kern w:val="1"/>
          <w:sz w:val="30"/>
          <w:szCs w:val="30"/>
        </w:rPr>
        <w:t>以后应严格按照</w:t>
      </w:r>
      <w:r>
        <w:rPr>
          <w:rFonts w:hint="eastAsia" w:ascii="仿宋" w:hAnsi="仿宋" w:eastAsia="仿宋" w:cs="仿宋"/>
          <w:bCs/>
          <w:color w:val="auto"/>
          <w:kern w:val="1"/>
          <w:sz w:val="30"/>
          <w:szCs w:val="30"/>
          <w:lang w:val="en-US" w:eastAsia="zh-CN"/>
        </w:rPr>
        <w:t>采购文件</w:t>
      </w:r>
      <w:r>
        <w:rPr>
          <w:rFonts w:hint="eastAsia" w:ascii="仿宋" w:hAnsi="仿宋" w:eastAsia="仿宋" w:cs="仿宋"/>
          <w:bCs/>
          <w:color w:val="auto"/>
          <w:kern w:val="1"/>
          <w:sz w:val="30"/>
          <w:szCs w:val="30"/>
        </w:rPr>
        <w:t>约定与</w:t>
      </w:r>
      <w:r>
        <w:rPr>
          <w:rFonts w:hint="eastAsia" w:ascii="仿宋" w:hAnsi="仿宋" w:eastAsia="仿宋" w:cs="仿宋"/>
          <w:bCs/>
          <w:color w:val="auto"/>
          <w:kern w:val="1"/>
          <w:sz w:val="30"/>
          <w:szCs w:val="30"/>
          <w:lang w:val="en-US" w:eastAsia="zh-CN"/>
        </w:rPr>
        <w:t>采购</w:t>
      </w:r>
      <w:r>
        <w:rPr>
          <w:rFonts w:hint="eastAsia" w:ascii="仿宋" w:hAnsi="仿宋" w:eastAsia="仿宋" w:cs="仿宋"/>
          <w:bCs/>
          <w:color w:val="auto"/>
          <w:kern w:val="1"/>
          <w:sz w:val="30"/>
          <w:szCs w:val="30"/>
        </w:rPr>
        <w:t>方签定供需合同，并按合同约定做好物资供应和服务工作。对</w:t>
      </w:r>
      <w:r>
        <w:rPr>
          <w:rFonts w:hint="eastAsia" w:ascii="仿宋" w:hAnsi="仿宋" w:eastAsia="仿宋" w:cs="仿宋"/>
          <w:bCs/>
          <w:color w:val="auto"/>
          <w:kern w:val="1"/>
          <w:sz w:val="30"/>
          <w:szCs w:val="30"/>
          <w:lang w:val="en-US" w:eastAsia="zh-CN"/>
        </w:rPr>
        <w:t>合作候选</w:t>
      </w:r>
      <w:r>
        <w:rPr>
          <w:rFonts w:hint="eastAsia" w:ascii="仿宋" w:hAnsi="仿宋" w:eastAsia="仿宋" w:cs="仿宋"/>
          <w:bCs/>
          <w:color w:val="auto"/>
          <w:kern w:val="1"/>
          <w:sz w:val="30"/>
          <w:szCs w:val="30"/>
        </w:rPr>
        <w:t>人所有违背</w:t>
      </w:r>
      <w:r>
        <w:rPr>
          <w:rFonts w:hint="eastAsia" w:ascii="仿宋" w:hAnsi="仿宋" w:eastAsia="仿宋" w:cs="仿宋"/>
          <w:bCs/>
          <w:color w:val="auto"/>
          <w:kern w:val="1"/>
          <w:sz w:val="30"/>
          <w:szCs w:val="30"/>
          <w:lang w:val="en-US" w:eastAsia="zh-CN"/>
        </w:rPr>
        <w:t>采购文件</w:t>
      </w:r>
      <w:r>
        <w:rPr>
          <w:rFonts w:hint="eastAsia" w:ascii="仿宋" w:hAnsi="仿宋" w:eastAsia="仿宋" w:cs="仿宋"/>
          <w:bCs/>
          <w:color w:val="auto"/>
          <w:kern w:val="1"/>
          <w:sz w:val="30"/>
          <w:szCs w:val="30"/>
        </w:rPr>
        <w:t>及合同约定的行为，</w:t>
      </w:r>
      <w:r>
        <w:rPr>
          <w:rFonts w:hint="eastAsia" w:ascii="仿宋" w:hAnsi="仿宋" w:eastAsia="仿宋" w:cs="仿宋"/>
          <w:bCs/>
          <w:color w:val="auto"/>
          <w:kern w:val="1"/>
          <w:sz w:val="30"/>
          <w:szCs w:val="30"/>
          <w:lang w:val="en-US" w:eastAsia="zh-CN"/>
        </w:rPr>
        <w:t>采购</w:t>
      </w:r>
      <w:r>
        <w:rPr>
          <w:rFonts w:hint="eastAsia" w:ascii="仿宋" w:hAnsi="仿宋" w:eastAsia="仿宋" w:cs="仿宋"/>
          <w:bCs/>
          <w:color w:val="auto"/>
          <w:kern w:val="1"/>
          <w:sz w:val="30"/>
          <w:szCs w:val="30"/>
        </w:rPr>
        <w:t>人均可持续保留与</w:t>
      </w:r>
      <w:r>
        <w:rPr>
          <w:rFonts w:hint="eastAsia" w:ascii="仿宋" w:hAnsi="仿宋" w:eastAsia="仿宋" w:cs="仿宋"/>
          <w:bCs/>
          <w:color w:val="auto"/>
          <w:kern w:val="1"/>
          <w:sz w:val="30"/>
          <w:szCs w:val="30"/>
          <w:lang w:val="en-US" w:eastAsia="zh-CN"/>
        </w:rPr>
        <w:t>合作候选人</w:t>
      </w:r>
      <w:r>
        <w:rPr>
          <w:rFonts w:hint="eastAsia" w:ascii="仿宋" w:hAnsi="仿宋" w:eastAsia="仿宋" w:cs="仿宋"/>
          <w:bCs/>
          <w:color w:val="auto"/>
          <w:kern w:val="1"/>
          <w:sz w:val="30"/>
          <w:szCs w:val="30"/>
        </w:rPr>
        <w:t>中止合作的一切权利。　</w:t>
      </w:r>
    </w:p>
    <w:p w14:paraId="6A5FBD7A">
      <w:pPr>
        <w:wordWrap w:val="0"/>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（三）对需检验的品种，经</w:t>
      </w:r>
      <w:r>
        <w:rPr>
          <w:rFonts w:hint="eastAsia" w:ascii="仿宋" w:hAnsi="仿宋" w:eastAsia="仿宋" w:cs="仿宋"/>
          <w:bCs/>
          <w:color w:val="auto"/>
          <w:kern w:val="1"/>
          <w:sz w:val="30"/>
          <w:szCs w:val="30"/>
          <w:lang w:val="en-US" w:eastAsia="zh-CN"/>
        </w:rPr>
        <w:t>采购</w:t>
      </w:r>
      <w:r>
        <w:rPr>
          <w:rFonts w:hint="eastAsia" w:ascii="仿宋" w:hAnsi="仿宋" w:eastAsia="仿宋" w:cs="仿宋"/>
          <w:bCs/>
          <w:color w:val="auto"/>
          <w:kern w:val="1"/>
          <w:sz w:val="30"/>
          <w:szCs w:val="30"/>
        </w:rPr>
        <w:t>人检验部门检验合格后方能收货，否则做退、换货处理；长期合约的</w:t>
      </w:r>
      <w:r>
        <w:rPr>
          <w:rFonts w:hint="eastAsia" w:ascii="仿宋" w:hAnsi="仿宋" w:eastAsia="仿宋" w:cs="仿宋"/>
          <w:bCs/>
          <w:color w:val="auto"/>
          <w:kern w:val="1"/>
          <w:sz w:val="30"/>
          <w:szCs w:val="30"/>
          <w:lang w:val="en-US" w:eastAsia="zh-CN"/>
        </w:rPr>
        <w:t>合作方</w:t>
      </w:r>
      <w:r>
        <w:rPr>
          <w:rFonts w:hint="eastAsia" w:ascii="仿宋" w:hAnsi="仿宋" w:eastAsia="仿宋" w:cs="仿宋"/>
          <w:bCs/>
          <w:color w:val="auto"/>
          <w:kern w:val="1"/>
          <w:sz w:val="30"/>
          <w:szCs w:val="30"/>
        </w:rPr>
        <w:t>如出现三次产品质量不合格的情况，视为</w:t>
      </w:r>
      <w:r>
        <w:rPr>
          <w:rFonts w:hint="eastAsia" w:ascii="仿宋" w:hAnsi="仿宋" w:eastAsia="仿宋" w:cs="仿宋"/>
          <w:bCs/>
          <w:color w:val="auto"/>
          <w:kern w:val="1"/>
          <w:sz w:val="30"/>
          <w:szCs w:val="30"/>
          <w:lang w:val="en-US" w:eastAsia="zh-CN"/>
        </w:rPr>
        <w:t>合作方</w:t>
      </w:r>
      <w:r>
        <w:rPr>
          <w:rFonts w:hint="eastAsia" w:ascii="仿宋" w:hAnsi="仿宋" w:eastAsia="仿宋" w:cs="仿宋"/>
          <w:bCs/>
          <w:color w:val="auto"/>
          <w:kern w:val="1"/>
          <w:sz w:val="30"/>
          <w:szCs w:val="30"/>
        </w:rPr>
        <w:t>无能力保障产品质量，</w:t>
      </w:r>
      <w:r>
        <w:rPr>
          <w:rFonts w:hint="eastAsia" w:ascii="仿宋" w:hAnsi="仿宋" w:eastAsia="仿宋" w:cs="仿宋"/>
          <w:bCs/>
          <w:color w:val="auto"/>
          <w:kern w:val="1"/>
          <w:sz w:val="30"/>
          <w:szCs w:val="30"/>
          <w:lang w:val="en-US" w:eastAsia="zh-CN"/>
        </w:rPr>
        <w:t>采购</w:t>
      </w:r>
      <w:r>
        <w:rPr>
          <w:rFonts w:hint="eastAsia" w:ascii="仿宋" w:hAnsi="仿宋" w:eastAsia="仿宋" w:cs="仿宋"/>
          <w:bCs/>
          <w:color w:val="auto"/>
          <w:kern w:val="1"/>
          <w:sz w:val="30"/>
          <w:szCs w:val="30"/>
        </w:rPr>
        <w:t>人有权终止此次</w:t>
      </w:r>
      <w:r>
        <w:rPr>
          <w:rFonts w:hint="eastAsia" w:ascii="仿宋" w:hAnsi="仿宋" w:eastAsia="仿宋" w:cs="仿宋"/>
          <w:bCs/>
          <w:color w:val="auto"/>
          <w:kern w:val="1"/>
          <w:sz w:val="30"/>
          <w:szCs w:val="30"/>
          <w:lang w:val="en-US" w:eastAsia="zh-CN"/>
        </w:rPr>
        <w:t>采购</w:t>
      </w:r>
      <w:r>
        <w:rPr>
          <w:rFonts w:hint="eastAsia" w:ascii="仿宋" w:hAnsi="仿宋" w:eastAsia="仿宋" w:cs="仿宋"/>
          <w:bCs/>
          <w:color w:val="auto"/>
          <w:kern w:val="1"/>
          <w:sz w:val="30"/>
          <w:szCs w:val="30"/>
        </w:rPr>
        <w:t>合同的执行。</w:t>
      </w:r>
    </w:p>
    <w:p w14:paraId="2F1BFDC3">
      <w:pPr>
        <w:wordWrap w:val="0"/>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（四）对不合格货品</w:t>
      </w:r>
      <w:r>
        <w:rPr>
          <w:rFonts w:hint="eastAsia" w:ascii="仿宋" w:hAnsi="仿宋" w:eastAsia="仿宋" w:cs="仿宋"/>
          <w:bCs/>
          <w:color w:val="auto"/>
          <w:kern w:val="1"/>
          <w:sz w:val="30"/>
          <w:szCs w:val="30"/>
          <w:lang w:val="en-US" w:eastAsia="zh-CN"/>
        </w:rPr>
        <w:t>采购</w:t>
      </w:r>
      <w:r>
        <w:rPr>
          <w:rFonts w:hint="eastAsia" w:ascii="仿宋" w:hAnsi="仿宋" w:eastAsia="仿宋" w:cs="仿宋"/>
          <w:bCs/>
          <w:color w:val="auto"/>
          <w:kern w:val="1"/>
          <w:sz w:val="30"/>
          <w:szCs w:val="30"/>
        </w:rPr>
        <w:t>人应及时通知</w:t>
      </w:r>
      <w:r>
        <w:rPr>
          <w:rFonts w:hint="eastAsia" w:ascii="仿宋" w:hAnsi="仿宋" w:eastAsia="仿宋" w:cs="仿宋"/>
          <w:bCs/>
          <w:color w:val="auto"/>
          <w:kern w:val="1"/>
          <w:sz w:val="30"/>
          <w:szCs w:val="30"/>
          <w:lang w:val="en-US" w:eastAsia="zh-CN"/>
        </w:rPr>
        <w:t>合作方</w:t>
      </w:r>
      <w:r>
        <w:rPr>
          <w:rFonts w:hint="eastAsia" w:ascii="仿宋" w:hAnsi="仿宋" w:eastAsia="仿宋" w:cs="仿宋"/>
          <w:bCs/>
          <w:color w:val="auto"/>
          <w:kern w:val="1"/>
          <w:sz w:val="30"/>
          <w:szCs w:val="30"/>
        </w:rPr>
        <w:t>，如有异议双方可协商解决；协商期间</w:t>
      </w:r>
      <w:r>
        <w:rPr>
          <w:rFonts w:hint="eastAsia" w:ascii="仿宋" w:hAnsi="仿宋" w:eastAsia="仿宋" w:cs="仿宋"/>
          <w:bCs/>
          <w:color w:val="auto"/>
          <w:kern w:val="1"/>
          <w:sz w:val="30"/>
          <w:szCs w:val="30"/>
          <w:lang w:val="en-US" w:eastAsia="zh-CN"/>
        </w:rPr>
        <w:t>合作方</w:t>
      </w:r>
      <w:r>
        <w:rPr>
          <w:rFonts w:hint="eastAsia" w:ascii="仿宋" w:hAnsi="仿宋" w:eastAsia="仿宋" w:cs="仿宋"/>
          <w:bCs/>
          <w:color w:val="auto"/>
          <w:kern w:val="1"/>
          <w:sz w:val="30"/>
          <w:szCs w:val="30"/>
        </w:rPr>
        <w:t>应保证</w:t>
      </w:r>
      <w:r>
        <w:rPr>
          <w:rFonts w:hint="eastAsia" w:ascii="仿宋" w:hAnsi="仿宋" w:eastAsia="仿宋" w:cs="仿宋"/>
          <w:bCs/>
          <w:color w:val="auto"/>
          <w:kern w:val="1"/>
          <w:sz w:val="30"/>
          <w:szCs w:val="30"/>
          <w:lang w:val="en-US" w:eastAsia="zh-CN"/>
        </w:rPr>
        <w:t>采购</w:t>
      </w:r>
      <w:r>
        <w:rPr>
          <w:rFonts w:hint="eastAsia" w:ascii="仿宋" w:hAnsi="仿宋" w:eastAsia="仿宋" w:cs="仿宋"/>
          <w:bCs/>
          <w:color w:val="auto"/>
          <w:kern w:val="1"/>
          <w:sz w:val="30"/>
          <w:szCs w:val="30"/>
        </w:rPr>
        <w:t>人供应，不影响</w:t>
      </w:r>
      <w:r>
        <w:rPr>
          <w:rFonts w:hint="eastAsia" w:ascii="仿宋" w:hAnsi="仿宋" w:eastAsia="仿宋" w:cs="仿宋"/>
          <w:bCs/>
          <w:color w:val="auto"/>
          <w:kern w:val="1"/>
          <w:sz w:val="30"/>
          <w:szCs w:val="30"/>
          <w:lang w:val="en-US" w:eastAsia="zh-CN"/>
        </w:rPr>
        <w:t>采购</w:t>
      </w:r>
      <w:r>
        <w:rPr>
          <w:rFonts w:hint="eastAsia" w:ascii="仿宋" w:hAnsi="仿宋" w:eastAsia="仿宋" w:cs="仿宋"/>
          <w:bCs/>
          <w:color w:val="auto"/>
          <w:kern w:val="1"/>
          <w:sz w:val="30"/>
          <w:szCs w:val="30"/>
        </w:rPr>
        <w:t>人正常生产运行。</w:t>
      </w:r>
    </w:p>
    <w:p w14:paraId="4BD0D8FD">
      <w:pPr>
        <w:wordWrap w:val="0"/>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ascii="Calibri" w:hAnsi="Calibri" w:eastAsia="仿宋" w:cs="Calibri"/>
          <w:bCs/>
          <w:color w:val="auto"/>
          <w:kern w:val="1"/>
          <w:sz w:val="30"/>
          <w:szCs w:val="30"/>
        </w:rPr>
        <w:t>   </w:t>
      </w:r>
      <w:r>
        <w:rPr>
          <w:rFonts w:hint="eastAsia" w:ascii="仿宋" w:hAnsi="仿宋" w:eastAsia="仿宋" w:cs="仿宋"/>
          <w:bCs/>
          <w:color w:val="auto"/>
          <w:kern w:val="1"/>
          <w:sz w:val="30"/>
          <w:szCs w:val="30"/>
        </w:rPr>
        <w:t>（五）如</w:t>
      </w:r>
      <w:r>
        <w:rPr>
          <w:rFonts w:hint="eastAsia" w:ascii="仿宋" w:hAnsi="仿宋" w:eastAsia="仿宋" w:cs="仿宋"/>
          <w:bCs/>
          <w:color w:val="auto"/>
          <w:kern w:val="1"/>
          <w:sz w:val="30"/>
          <w:szCs w:val="30"/>
          <w:lang w:val="en-US" w:eastAsia="zh-CN"/>
        </w:rPr>
        <w:t>报价</w:t>
      </w:r>
      <w:r>
        <w:rPr>
          <w:rFonts w:hint="eastAsia" w:ascii="仿宋" w:hAnsi="仿宋" w:eastAsia="仿宋" w:cs="仿宋"/>
          <w:bCs/>
          <w:color w:val="auto"/>
          <w:kern w:val="1"/>
          <w:sz w:val="30"/>
          <w:szCs w:val="30"/>
        </w:rPr>
        <w:t>人不能正常履约，对</w:t>
      </w:r>
      <w:r>
        <w:rPr>
          <w:rFonts w:hint="eastAsia" w:ascii="仿宋" w:hAnsi="仿宋" w:eastAsia="仿宋" w:cs="仿宋"/>
          <w:bCs/>
          <w:color w:val="auto"/>
          <w:kern w:val="1"/>
          <w:sz w:val="30"/>
          <w:szCs w:val="30"/>
          <w:lang w:val="en-US" w:eastAsia="zh-CN"/>
        </w:rPr>
        <w:t>采购</w:t>
      </w:r>
      <w:r>
        <w:rPr>
          <w:rFonts w:hint="eastAsia" w:ascii="仿宋" w:hAnsi="仿宋" w:eastAsia="仿宋" w:cs="仿宋"/>
          <w:bCs/>
          <w:color w:val="auto"/>
          <w:kern w:val="1"/>
          <w:sz w:val="30"/>
          <w:szCs w:val="30"/>
        </w:rPr>
        <w:t>人生产经营活动造成影响的，根据《索普赛瑞供应商负面清单管理规定(2023年修订版)》（详见附件1），</w:t>
      </w:r>
      <w:r>
        <w:rPr>
          <w:rFonts w:hint="eastAsia" w:ascii="仿宋" w:hAnsi="仿宋" w:eastAsia="仿宋" w:cs="仿宋"/>
          <w:bCs/>
          <w:color w:val="auto"/>
          <w:kern w:val="1"/>
          <w:sz w:val="30"/>
          <w:szCs w:val="30"/>
          <w:lang w:val="en-US" w:eastAsia="zh-CN"/>
        </w:rPr>
        <w:t>采购</w:t>
      </w:r>
      <w:r>
        <w:rPr>
          <w:rFonts w:hint="eastAsia" w:ascii="仿宋" w:hAnsi="仿宋" w:eastAsia="仿宋" w:cs="仿宋"/>
          <w:bCs/>
          <w:color w:val="auto"/>
          <w:kern w:val="1"/>
          <w:sz w:val="30"/>
          <w:szCs w:val="30"/>
        </w:rPr>
        <w:t>人有权对违反规定的</w:t>
      </w:r>
      <w:r>
        <w:rPr>
          <w:rFonts w:hint="eastAsia" w:ascii="仿宋" w:hAnsi="仿宋" w:eastAsia="仿宋" w:cs="仿宋"/>
          <w:bCs/>
          <w:color w:val="auto"/>
          <w:kern w:val="1"/>
          <w:sz w:val="30"/>
          <w:szCs w:val="30"/>
          <w:lang w:val="en-US" w:eastAsia="zh-CN"/>
        </w:rPr>
        <w:t>报价</w:t>
      </w:r>
      <w:r>
        <w:rPr>
          <w:rFonts w:hint="eastAsia" w:ascii="仿宋" w:hAnsi="仿宋" w:eastAsia="仿宋" w:cs="仿宋"/>
          <w:bCs/>
          <w:color w:val="auto"/>
          <w:kern w:val="1"/>
          <w:sz w:val="30"/>
          <w:szCs w:val="30"/>
        </w:rPr>
        <w:t>人进行考核扣分，对列入负面清单的供应商，索普集团本部及各分子公司将不接受其</w:t>
      </w:r>
      <w:r>
        <w:rPr>
          <w:rFonts w:hint="eastAsia" w:ascii="仿宋" w:hAnsi="仿宋" w:eastAsia="仿宋" w:cs="仿宋"/>
          <w:bCs/>
          <w:color w:val="auto"/>
          <w:kern w:val="1"/>
          <w:sz w:val="30"/>
          <w:szCs w:val="30"/>
          <w:lang w:val="en-US" w:eastAsia="zh-CN"/>
        </w:rPr>
        <w:t>报价</w:t>
      </w:r>
      <w:r>
        <w:rPr>
          <w:rFonts w:hint="eastAsia" w:ascii="仿宋" w:hAnsi="仿宋" w:eastAsia="仿宋" w:cs="仿宋"/>
          <w:bCs/>
          <w:color w:val="auto"/>
          <w:kern w:val="1"/>
          <w:sz w:val="30"/>
          <w:szCs w:val="30"/>
        </w:rPr>
        <w:t>，产生严重影响的，</w:t>
      </w:r>
      <w:r>
        <w:rPr>
          <w:rFonts w:hint="eastAsia" w:ascii="仿宋" w:hAnsi="仿宋" w:eastAsia="仿宋" w:cs="仿宋"/>
          <w:bCs/>
          <w:color w:val="auto"/>
          <w:kern w:val="1"/>
          <w:sz w:val="30"/>
          <w:szCs w:val="30"/>
          <w:lang w:val="en-US" w:eastAsia="zh-CN"/>
        </w:rPr>
        <w:t>采购</w:t>
      </w:r>
      <w:r>
        <w:rPr>
          <w:rFonts w:hint="eastAsia" w:ascii="仿宋" w:hAnsi="仿宋" w:eastAsia="仿宋" w:cs="仿宋"/>
          <w:bCs/>
          <w:color w:val="auto"/>
          <w:kern w:val="1"/>
          <w:sz w:val="30"/>
          <w:szCs w:val="30"/>
        </w:rPr>
        <w:t>人将依法追究</w:t>
      </w:r>
      <w:r>
        <w:rPr>
          <w:rFonts w:hint="eastAsia" w:ascii="仿宋" w:hAnsi="仿宋" w:eastAsia="仿宋" w:cs="仿宋"/>
          <w:bCs/>
          <w:color w:val="auto"/>
          <w:kern w:val="1"/>
          <w:sz w:val="30"/>
          <w:szCs w:val="30"/>
          <w:lang w:val="en-US" w:eastAsia="zh-CN"/>
        </w:rPr>
        <w:t>报价</w:t>
      </w:r>
      <w:r>
        <w:rPr>
          <w:rFonts w:hint="eastAsia" w:ascii="仿宋" w:hAnsi="仿宋" w:eastAsia="仿宋" w:cs="仿宋"/>
          <w:bCs/>
          <w:color w:val="auto"/>
          <w:kern w:val="1"/>
          <w:sz w:val="30"/>
          <w:szCs w:val="30"/>
        </w:rPr>
        <w:t>人法律责任。索普集团供应商负面清单的公示地址为：www.sopo.com.cn。</w:t>
      </w:r>
    </w:p>
    <w:p w14:paraId="1514333E">
      <w:pPr>
        <w:wordWrap w:val="0"/>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（六）</w:t>
      </w:r>
      <w:r>
        <w:rPr>
          <w:rFonts w:hint="eastAsia" w:ascii="仿宋" w:hAnsi="仿宋" w:eastAsia="仿宋" w:cs="仿宋"/>
          <w:bCs/>
          <w:color w:val="auto"/>
          <w:kern w:val="1"/>
          <w:sz w:val="30"/>
          <w:szCs w:val="30"/>
          <w:lang w:val="en-US" w:eastAsia="zh-CN"/>
        </w:rPr>
        <w:t>报价</w:t>
      </w:r>
      <w:r>
        <w:rPr>
          <w:rFonts w:hint="eastAsia" w:ascii="仿宋" w:hAnsi="仿宋" w:eastAsia="仿宋" w:cs="仿宋"/>
          <w:bCs/>
          <w:color w:val="auto"/>
          <w:kern w:val="1"/>
          <w:sz w:val="30"/>
          <w:szCs w:val="30"/>
        </w:rPr>
        <w:t>人对所供产品所引起的知识产权方面的纠纷，由</w:t>
      </w:r>
      <w:r>
        <w:rPr>
          <w:rFonts w:hint="eastAsia" w:ascii="仿宋" w:hAnsi="仿宋" w:eastAsia="仿宋" w:cs="仿宋"/>
          <w:bCs/>
          <w:color w:val="auto"/>
          <w:kern w:val="1"/>
          <w:sz w:val="30"/>
          <w:szCs w:val="30"/>
          <w:lang w:val="en-US" w:eastAsia="zh-CN"/>
        </w:rPr>
        <w:t>报价</w:t>
      </w:r>
      <w:r>
        <w:rPr>
          <w:rFonts w:hint="eastAsia" w:ascii="仿宋" w:hAnsi="仿宋" w:eastAsia="仿宋" w:cs="仿宋"/>
          <w:bCs/>
          <w:color w:val="auto"/>
          <w:kern w:val="1"/>
          <w:sz w:val="30"/>
          <w:szCs w:val="30"/>
        </w:rPr>
        <w:t>人承担一切后果，</w:t>
      </w:r>
      <w:r>
        <w:rPr>
          <w:rFonts w:hint="eastAsia" w:ascii="仿宋" w:hAnsi="仿宋" w:eastAsia="仿宋" w:cs="仿宋"/>
          <w:bCs/>
          <w:color w:val="auto"/>
          <w:kern w:val="1"/>
          <w:sz w:val="30"/>
          <w:szCs w:val="30"/>
          <w:lang w:val="en-US" w:eastAsia="zh-CN"/>
        </w:rPr>
        <w:t>采购</w:t>
      </w:r>
      <w:r>
        <w:rPr>
          <w:rFonts w:hint="eastAsia" w:ascii="仿宋" w:hAnsi="仿宋" w:eastAsia="仿宋" w:cs="仿宋"/>
          <w:bCs/>
          <w:color w:val="auto"/>
          <w:kern w:val="1"/>
          <w:sz w:val="30"/>
          <w:szCs w:val="30"/>
        </w:rPr>
        <w:t>人不承担任何责任。</w:t>
      </w:r>
    </w:p>
    <w:p w14:paraId="629F9CCD">
      <w:pPr>
        <w:wordWrap w:val="0"/>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（七）</w:t>
      </w:r>
      <w:r>
        <w:rPr>
          <w:rFonts w:hint="eastAsia" w:ascii="仿宋" w:hAnsi="仿宋" w:eastAsia="仿宋" w:cs="仿宋"/>
          <w:bCs/>
          <w:color w:val="auto"/>
          <w:kern w:val="1"/>
          <w:sz w:val="30"/>
          <w:szCs w:val="30"/>
          <w:lang w:val="en-US" w:eastAsia="zh-CN"/>
        </w:rPr>
        <w:t>报价</w:t>
      </w:r>
      <w:r>
        <w:rPr>
          <w:rFonts w:hint="eastAsia" w:ascii="仿宋" w:hAnsi="仿宋" w:eastAsia="仿宋" w:cs="仿宋"/>
          <w:bCs/>
          <w:color w:val="auto"/>
          <w:kern w:val="1"/>
          <w:sz w:val="30"/>
          <w:szCs w:val="30"/>
        </w:rPr>
        <w:t>人应详细阅读本</w:t>
      </w:r>
      <w:r>
        <w:rPr>
          <w:rFonts w:hint="eastAsia" w:ascii="仿宋" w:hAnsi="仿宋" w:eastAsia="仿宋" w:cs="仿宋"/>
          <w:bCs/>
          <w:color w:val="auto"/>
          <w:kern w:val="1"/>
          <w:sz w:val="30"/>
          <w:szCs w:val="30"/>
          <w:lang w:val="en-US" w:eastAsia="zh-CN"/>
        </w:rPr>
        <w:t>采购书</w:t>
      </w:r>
      <w:r>
        <w:rPr>
          <w:rFonts w:hint="eastAsia" w:ascii="仿宋" w:hAnsi="仿宋" w:eastAsia="仿宋" w:cs="仿宋"/>
          <w:bCs/>
          <w:color w:val="auto"/>
          <w:kern w:val="1"/>
          <w:sz w:val="30"/>
          <w:szCs w:val="30"/>
        </w:rPr>
        <w:t>，参与报价</w:t>
      </w:r>
      <w:r>
        <w:rPr>
          <w:rFonts w:hint="eastAsia" w:ascii="仿宋" w:hAnsi="仿宋" w:eastAsia="仿宋" w:cs="仿宋"/>
          <w:bCs/>
          <w:color w:val="auto"/>
          <w:kern w:val="1"/>
          <w:sz w:val="30"/>
          <w:szCs w:val="30"/>
          <w:lang w:val="en-US" w:eastAsia="zh-CN"/>
        </w:rPr>
        <w:t>报价</w:t>
      </w:r>
      <w:r>
        <w:rPr>
          <w:rFonts w:hint="eastAsia" w:ascii="仿宋" w:hAnsi="仿宋" w:eastAsia="仿宋" w:cs="仿宋"/>
          <w:bCs/>
          <w:color w:val="auto"/>
          <w:kern w:val="1"/>
          <w:sz w:val="30"/>
          <w:szCs w:val="30"/>
        </w:rPr>
        <w:t>即视为对本</w:t>
      </w:r>
      <w:r>
        <w:rPr>
          <w:rFonts w:hint="eastAsia" w:ascii="仿宋" w:hAnsi="仿宋" w:eastAsia="仿宋" w:cs="仿宋"/>
          <w:bCs/>
          <w:color w:val="auto"/>
          <w:kern w:val="1"/>
          <w:sz w:val="30"/>
          <w:szCs w:val="30"/>
          <w:lang w:val="en-US" w:eastAsia="zh-CN"/>
        </w:rPr>
        <w:t>采购</w:t>
      </w:r>
      <w:r>
        <w:rPr>
          <w:rFonts w:hint="eastAsia" w:ascii="仿宋" w:hAnsi="仿宋" w:eastAsia="仿宋" w:cs="仿宋"/>
          <w:bCs/>
          <w:color w:val="auto"/>
          <w:kern w:val="1"/>
          <w:sz w:val="30"/>
          <w:szCs w:val="30"/>
        </w:rPr>
        <w:t>书所列之条款均表示接受。</w:t>
      </w:r>
    </w:p>
    <w:p w14:paraId="342D9211">
      <w:pPr>
        <w:wordWrap w:val="0"/>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（八）</w:t>
      </w:r>
      <w:r>
        <w:rPr>
          <w:rFonts w:hint="eastAsia" w:ascii="仿宋" w:hAnsi="仿宋" w:eastAsia="仿宋" w:cs="仿宋"/>
          <w:bCs/>
          <w:color w:val="auto"/>
          <w:kern w:val="1"/>
          <w:sz w:val="30"/>
          <w:szCs w:val="30"/>
          <w:lang w:val="en-US" w:eastAsia="zh-CN"/>
        </w:rPr>
        <w:t>报价</w:t>
      </w:r>
      <w:r>
        <w:rPr>
          <w:rFonts w:hint="eastAsia" w:ascii="仿宋" w:hAnsi="仿宋" w:eastAsia="仿宋" w:cs="仿宋"/>
          <w:bCs/>
          <w:color w:val="auto"/>
          <w:kern w:val="1"/>
          <w:sz w:val="30"/>
          <w:szCs w:val="30"/>
        </w:rPr>
        <w:t>人不得将任何</w:t>
      </w:r>
      <w:r>
        <w:rPr>
          <w:rFonts w:hint="eastAsia" w:ascii="仿宋" w:hAnsi="仿宋" w:eastAsia="仿宋" w:cs="仿宋"/>
          <w:bCs/>
          <w:color w:val="auto"/>
          <w:kern w:val="1"/>
          <w:sz w:val="30"/>
          <w:szCs w:val="30"/>
          <w:lang w:val="en-US" w:eastAsia="zh-CN"/>
        </w:rPr>
        <w:t>报价</w:t>
      </w:r>
      <w:r>
        <w:rPr>
          <w:rFonts w:hint="eastAsia" w:ascii="仿宋" w:hAnsi="仿宋" w:eastAsia="仿宋" w:cs="仿宋"/>
          <w:bCs/>
          <w:color w:val="auto"/>
          <w:kern w:val="1"/>
          <w:sz w:val="30"/>
          <w:szCs w:val="30"/>
        </w:rPr>
        <w:t>信息泄漏给第三方，一经发现有损</w:t>
      </w:r>
      <w:r>
        <w:rPr>
          <w:rFonts w:hint="eastAsia" w:ascii="仿宋" w:hAnsi="仿宋" w:eastAsia="仿宋" w:cs="仿宋"/>
          <w:bCs/>
          <w:color w:val="auto"/>
          <w:kern w:val="1"/>
          <w:sz w:val="30"/>
          <w:szCs w:val="30"/>
          <w:lang w:val="en-US" w:eastAsia="zh-CN"/>
        </w:rPr>
        <w:t>采购</w:t>
      </w:r>
      <w:r>
        <w:rPr>
          <w:rFonts w:hint="eastAsia" w:ascii="仿宋" w:hAnsi="仿宋" w:eastAsia="仿宋" w:cs="仿宋"/>
          <w:bCs/>
          <w:color w:val="auto"/>
          <w:kern w:val="1"/>
          <w:sz w:val="30"/>
          <w:szCs w:val="30"/>
        </w:rPr>
        <w:t>人利益的可能，均视为无效报价。</w:t>
      </w:r>
    </w:p>
    <w:p w14:paraId="61F694B8">
      <w:pPr>
        <w:wordWrap w:val="0"/>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（九）本次</w:t>
      </w:r>
      <w:r>
        <w:rPr>
          <w:rFonts w:hint="eastAsia" w:ascii="仿宋" w:hAnsi="仿宋" w:eastAsia="仿宋" w:cs="仿宋"/>
          <w:bCs/>
          <w:color w:val="auto"/>
          <w:kern w:val="1"/>
          <w:sz w:val="30"/>
          <w:szCs w:val="30"/>
          <w:lang w:val="en-US" w:eastAsia="zh-CN"/>
        </w:rPr>
        <w:t>采购</w:t>
      </w:r>
      <w:r>
        <w:rPr>
          <w:rFonts w:hint="eastAsia" w:ascii="仿宋" w:hAnsi="仿宋" w:eastAsia="仿宋" w:cs="仿宋"/>
          <w:bCs/>
          <w:color w:val="auto"/>
          <w:kern w:val="1"/>
          <w:sz w:val="30"/>
          <w:szCs w:val="30"/>
        </w:rPr>
        <w:t>解释权归江苏索普赛瑞装备制造有限公司商务合作部所有。</w:t>
      </w:r>
    </w:p>
    <w:p w14:paraId="504E5311">
      <w:pPr>
        <w:adjustRightInd w:val="0"/>
        <w:snapToGrid w:val="0"/>
        <w:spacing w:line="360" w:lineRule="auto"/>
        <w:ind w:firstLine="480"/>
        <w:rPr>
          <w:rFonts w:hint="eastAsia"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rPr>
        <w:t>（十）本次</w:t>
      </w:r>
      <w:r>
        <w:rPr>
          <w:rFonts w:hint="eastAsia" w:ascii="仿宋" w:hAnsi="仿宋" w:eastAsia="仿宋" w:cs="仿宋"/>
          <w:bCs/>
          <w:color w:val="auto"/>
          <w:kern w:val="1"/>
          <w:sz w:val="30"/>
          <w:szCs w:val="30"/>
          <w:lang w:val="en-US" w:eastAsia="zh-CN"/>
        </w:rPr>
        <w:t>采购</w:t>
      </w:r>
      <w:r>
        <w:rPr>
          <w:rFonts w:hint="eastAsia" w:ascii="仿宋" w:hAnsi="仿宋" w:eastAsia="仿宋" w:cs="仿宋"/>
          <w:bCs/>
          <w:color w:val="auto"/>
          <w:kern w:val="1"/>
          <w:sz w:val="30"/>
          <w:szCs w:val="30"/>
        </w:rPr>
        <w:t>信息公示网址：</w:t>
      </w:r>
    </w:p>
    <w:p w14:paraId="71B7E618">
      <w:pPr>
        <w:pStyle w:val="3"/>
        <w:ind w:firstLine="600" w:firstLineChars="200"/>
        <w:rPr>
          <w:rFonts w:hint="default"/>
          <w:lang w:val="en-US" w:eastAsia="zh-CN"/>
        </w:rPr>
      </w:pPr>
      <w:r>
        <w:rPr>
          <w:rFonts w:hint="eastAsia" w:ascii="仿宋" w:hAnsi="仿宋" w:eastAsia="仿宋" w:cs="仿宋"/>
          <w:bCs/>
          <w:color w:val="auto"/>
          <w:kern w:val="1"/>
          <w:sz w:val="30"/>
          <w:szCs w:val="30"/>
          <w:lang w:val="en-US" w:eastAsia="zh-CN"/>
        </w:rPr>
        <w:t>http://www.sopo.com.cn/list/91-93.html。</w:t>
      </w:r>
    </w:p>
    <w:p w14:paraId="11074DD5">
      <w:pPr>
        <w:adjustRightInd w:val="0"/>
        <w:snapToGrid w:val="0"/>
        <w:spacing w:line="600" w:lineRule="exact"/>
        <w:jc w:val="left"/>
        <w:rPr>
          <w:rFonts w:ascii="方正小标宋简体" w:hAnsi="方正小标宋简体" w:eastAsia="方正小标宋简体" w:cs="方正小标宋简体"/>
          <w:bCs/>
          <w:sz w:val="44"/>
          <w:szCs w:val="44"/>
        </w:rPr>
      </w:pPr>
      <w:r>
        <w:rPr>
          <w:rFonts w:ascii="黑体" w:hAnsi="黑体" w:eastAsia="黑体" w:cs="黑体"/>
          <w:bCs/>
          <w:color w:val="auto"/>
          <w:sz w:val="34"/>
          <w:szCs w:val="34"/>
        </w:rPr>
        <w:br w:type="page"/>
      </w:r>
      <w:r>
        <w:rPr>
          <w:rFonts w:hint="eastAsia" w:ascii="方正小标宋简体" w:hAnsi="方正小标宋简体" w:eastAsia="方正小标宋简体" w:cs="方正小标宋简体"/>
          <w:bCs/>
          <w:sz w:val="44"/>
          <w:szCs w:val="44"/>
        </w:rPr>
        <w:t>索普赛瑞供应商负面清单管理规定</w:t>
      </w:r>
    </w:p>
    <w:p w14:paraId="326897BD">
      <w:pPr>
        <w:adjustRightInd w:val="0"/>
        <w:snapToGrid w:val="0"/>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023</w:t>
      </w:r>
      <w:r>
        <w:rPr>
          <w:rFonts w:hint="eastAsia" w:ascii="仿宋_GB2312" w:hAnsi="仿宋_GB2312" w:eastAsia="仿宋_GB2312" w:cs="仿宋_GB2312"/>
          <w:sz w:val="32"/>
          <w:szCs w:val="32"/>
        </w:rPr>
        <w:t>年修订版）</w:t>
      </w:r>
    </w:p>
    <w:p w14:paraId="7B0EE270">
      <w:pPr>
        <w:tabs>
          <w:tab w:val="left" w:pos="2565"/>
        </w:tabs>
        <w:spacing w:line="600" w:lineRule="exact"/>
        <w:ind w:firstLine="680" w:firstLineChars="200"/>
        <w:rPr>
          <w:rFonts w:ascii="仿宋_GB2312" w:hAnsi="仿宋" w:eastAsia="仿宋_GB2312"/>
          <w:sz w:val="34"/>
          <w:szCs w:val="34"/>
        </w:rPr>
      </w:pPr>
    </w:p>
    <w:p w14:paraId="0904E19B">
      <w:pPr>
        <w:adjustRightInd w:val="0"/>
        <w:snapToGrid w:val="0"/>
        <w:spacing w:line="600" w:lineRule="exact"/>
        <w:ind w:firstLine="2891" w:firstLineChars="900"/>
        <w:rPr>
          <w:rFonts w:ascii="黑体" w:hAnsi="黑体" w:eastAsia="黑体"/>
          <w:b/>
          <w:bCs/>
          <w:sz w:val="32"/>
          <w:szCs w:val="32"/>
        </w:rPr>
      </w:pPr>
      <w:r>
        <w:rPr>
          <w:rFonts w:hint="eastAsia" w:ascii="黑体" w:hAnsi="黑体" w:eastAsia="黑体" w:cs="黑体"/>
          <w:b/>
          <w:bCs/>
          <w:sz w:val="32"/>
          <w:szCs w:val="32"/>
        </w:rPr>
        <w:t>第一章 总则</w:t>
      </w:r>
    </w:p>
    <w:p w14:paraId="7BDE4A57">
      <w:pPr>
        <w:tabs>
          <w:tab w:val="left" w:pos="2565"/>
        </w:tabs>
        <w:spacing w:line="600" w:lineRule="exact"/>
        <w:ind w:firstLine="643" w:firstLineChars="200"/>
        <w:rPr>
          <w:rFonts w:ascii="仿宋_GB2312" w:hAnsi="仿宋_GB2312" w:eastAsia="仿宋_GB2312" w:cs="仿宋_GB2312"/>
          <w:sz w:val="34"/>
          <w:szCs w:val="34"/>
        </w:rPr>
      </w:pPr>
      <w:r>
        <w:rPr>
          <w:rFonts w:hint="eastAsia" w:ascii="仿宋_GB2312" w:hAnsi="黑体" w:eastAsia="仿宋_GB2312" w:cs="黑体"/>
          <w:b/>
          <w:bCs/>
          <w:sz w:val="32"/>
          <w:szCs w:val="32"/>
        </w:rPr>
        <w:t>第一条</w:t>
      </w:r>
      <w:r>
        <w:rPr>
          <w:rFonts w:hint="eastAsia" w:ascii="黑体" w:hAnsi="黑体" w:eastAsia="黑体" w:cs="黑体"/>
          <w:b/>
          <w:bCs/>
          <w:sz w:val="32"/>
          <w:szCs w:val="32"/>
        </w:rPr>
        <w:t xml:space="preserve"> </w:t>
      </w:r>
      <w:r>
        <w:rPr>
          <w:rFonts w:hint="eastAsia" w:ascii="仿宋_GB2312" w:hAnsi="仿宋_GB2312" w:eastAsia="仿宋_GB2312" w:cs="仿宋_GB2312"/>
          <w:sz w:val="34"/>
          <w:szCs w:val="34"/>
        </w:rPr>
        <w:t>凡按国家标准及相关准则或规定组织生产销售的物资供应商、服务提供商或施工承包商，只要资质证照齐全且满足我司采购要求（采购和外协加工受压元件的材料，需要经公司相关部门考察认定），均可参与我司组织的招报价、比价采购等商务活动。</w:t>
      </w:r>
    </w:p>
    <w:p w14:paraId="16EBFE79">
      <w:pPr>
        <w:tabs>
          <w:tab w:val="left" w:pos="2565"/>
        </w:tabs>
        <w:spacing w:line="600" w:lineRule="exact"/>
        <w:ind w:firstLine="643" w:firstLineChars="200"/>
        <w:rPr>
          <w:rFonts w:ascii="仿宋_GB2312" w:hAnsi="仿宋_GB2312" w:eastAsia="仿宋_GB2312" w:cs="仿宋_GB2312"/>
          <w:sz w:val="34"/>
          <w:szCs w:val="34"/>
        </w:rPr>
      </w:pPr>
      <w:r>
        <w:rPr>
          <w:rFonts w:hint="eastAsia" w:ascii="仿宋_GB2312" w:hAnsi="黑体" w:eastAsia="仿宋_GB2312" w:cs="黑体"/>
          <w:b/>
          <w:bCs/>
          <w:sz w:val="32"/>
          <w:szCs w:val="32"/>
        </w:rPr>
        <w:t>第二条</w:t>
      </w:r>
      <w:r>
        <w:rPr>
          <w:rFonts w:hint="eastAsia" w:ascii="黑体" w:hAnsi="黑体" w:eastAsia="黑体" w:cs="黑体"/>
          <w:b/>
          <w:bCs/>
          <w:sz w:val="32"/>
          <w:szCs w:val="32"/>
        </w:rPr>
        <w:t xml:space="preserve"> </w:t>
      </w:r>
      <w:r>
        <w:rPr>
          <w:rFonts w:hint="eastAsia" w:ascii="仿宋_GB2312" w:hAnsi="仿宋_GB2312" w:eastAsia="仿宋_GB2312" w:cs="仿宋_GB2312"/>
          <w:sz w:val="34"/>
          <w:szCs w:val="34"/>
        </w:rPr>
        <w:t>本制度适用于索普赛瑞本部各部门。</w:t>
      </w:r>
    </w:p>
    <w:p w14:paraId="5236C449">
      <w:pPr>
        <w:tabs>
          <w:tab w:val="left" w:pos="2565"/>
        </w:tabs>
        <w:spacing w:line="600" w:lineRule="exact"/>
        <w:ind w:firstLine="643" w:firstLineChars="200"/>
        <w:rPr>
          <w:rFonts w:ascii="仿宋_GB2312" w:hAnsi="仿宋_GB2312" w:eastAsia="仿宋_GB2312" w:cs="仿宋_GB2312"/>
          <w:sz w:val="34"/>
          <w:szCs w:val="34"/>
        </w:rPr>
      </w:pPr>
      <w:r>
        <w:rPr>
          <w:rFonts w:hint="eastAsia" w:ascii="仿宋_GB2312" w:hAnsi="黑体" w:eastAsia="仿宋_GB2312" w:cs="黑体"/>
          <w:b/>
          <w:bCs/>
          <w:sz w:val="32"/>
          <w:szCs w:val="32"/>
        </w:rPr>
        <w:t>第三条</w:t>
      </w:r>
      <w:r>
        <w:rPr>
          <w:rFonts w:hint="eastAsia" w:ascii="黑体" w:hAnsi="黑体" w:eastAsia="黑体" w:cs="黑体"/>
          <w:b/>
          <w:bCs/>
          <w:sz w:val="32"/>
          <w:szCs w:val="32"/>
        </w:rPr>
        <w:t xml:space="preserve"> </w:t>
      </w:r>
      <w:r>
        <w:rPr>
          <w:rFonts w:hint="eastAsia" w:ascii="仿宋_GB2312" w:hAnsi="仿宋_GB2312" w:eastAsia="仿宋_GB2312" w:cs="仿宋_GB2312"/>
          <w:sz w:val="34"/>
          <w:szCs w:val="34"/>
        </w:rPr>
        <w:t>责任部门职责分工</w:t>
      </w:r>
    </w:p>
    <w:p w14:paraId="7F077F5F">
      <w:pPr>
        <w:tabs>
          <w:tab w:val="left" w:pos="2565"/>
        </w:tabs>
        <w:spacing w:line="600" w:lineRule="exact"/>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使用部门：负责提供技术参数或提出服务要求，对采购物资或服务的质量进行验收，对供应商所供货物在使用效果、产品质量、服务质量等方面进行评价。</w:t>
      </w:r>
    </w:p>
    <w:p w14:paraId="53A953C7">
      <w:pPr>
        <w:tabs>
          <w:tab w:val="left" w:pos="2565"/>
        </w:tabs>
        <w:spacing w:line="600" w:lineRule="exact"/>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管理部门（质量控制部门或设备保障部等）：监管使用过程，负责对标的物样品或试供原料的质量进行检验，判定其是否符合公司所需的技术要求。</w:t>
      </w:r>
    </w:p>
    <w:p w14:paraId="2520128A">
      <w:pPr>
        <w:tabs>
          <w:tab w:val="left" w:pos="2565"/>
        </w:tabs>
        <w:spacing w:line="600" w:lineRule="exact"/>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采购部门：通过线上或线下途径不断开发有能力满足公司所需物资或服务的供应商。对目标供应商所提供的材料完整性、交货期、价格等作为筛选的依据进行资格初审，收集供应商资料并建立档案。</w:t>
      </w:r>
    </w:p>
    <w:p w14:paraId="0FD2F43E">
      <w:pPr>
        <w:tabs>
          <w:tab w:val="left" w:pos="2565"/>
        </w:tabs>
        <w:spacing w:line="600" w:lineRule="exact"/>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监管部门：负责对采购流程的合规性进行监督。</w:t>
      </w:r>
    </w:p>
    <w:p w14:paraId="1B152A50">
      <w:pPr>
        <w:adjustRightInd w:val="0"/>
        <w:snapToGrid w:val="0"/>
        <w:spacing w:line="600" w:lineRule="exact"/>
        <w:jc w:val="center"/>
        <w:rPr>
          <w:rFonts w:ascii="黑体" w:hAnsi="黑体" w:eastAsia="黑体"/>
          <w:b/>
          <w:bCs/>
          <w:sz w:val="32"/>
          <w:szCs w:val="32"/>
        </w:rPr>
      </w:pPr>
      <w:r>
        <w:rPr>
          <w:rFonts w:hint="eastAsia" w:ascii="黑体" w:hAnsi="黑体" w:eastAsia="黑体" w:cs="黑体"/>
          <w:b/>
          <w:bCs/>
          <w:sz w:val="32"/>
          <w:szCs w:val="32"/>
        </w:rPr>
        <w:t>第二章 供应商负面清单确定流程</w:t>
      </w:r>
    </w:p>
    <w:p w14:paraId="3B983299">
      <w:pPr>
        <w:tabs>
          <w:tab w:val="left" w:pos="2565"/>
        </w:tabs>
        <w:spacing w:line="600" w:lineRule="exact"/>
        <w:ind w:firstLine="643" w:firstLineChars="200"/>
        <w:rPr>
          <w:rFonts w:ascii="仿宋_GB2312" w:hAnsi="仿宋_GB2312" w:eastAsia="仿宋_GB2312" w:cs="仿宋_GB2312"/>
          <w:sz w:val="34"/>
          <w:szCs w:val="34"/>
        </w:rPr>
      </w:pPr>
      <w:r>
        <w:rPr>
          <w:rFonts w:ascii="仿宋_GB2312" w:hAnsi="黑体" w:eastAsia="仿宋_GB2312" w:cs="黑体"/>
          <w:b/>
          <w:bCs/>
          <w:sz w:val="32"/>
          <w:szCs w:val="32"/>
        </w:rPr>
        <w:drawing>
          <wp:anchor distT="0" distB="0" distL="114300" distR="114300" simplePos="0" relativeHeight="251659264" behindDoc="0" locked="0" layoutInCell="1" allowOverlap="1">
            <wp:simplePos x="0" y="0"/>
            <wp:positionH relativeFrom="margin">
              <wp:posOffset>337820</wp:posOffset>
            </wp:positionH>
            <wp:positionV relativeFrom="paragraph">
              <wp:posOffset>1164590</wp:posOffset>
            </wp:positionV>
            <wp:extent cx="5103495" cy="6125845"/>
            <wp:effectExtent l="0" t="0" r="1905" b="8255"/>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5103495" cy="6125845"/>
                    </a:xfrm>
                    <a:prstGeom prst="rect">
                      <a:avLst/>
                    </a:prstGeom>
                    <a:noFill/>
                    <a:ln>
                      <a:noFill/>
                    </a:ln>
                  </pic:spPr>
                </pic:pic>
              </a:graphicData>
            </a:graphic>
          </wp:anchor>
        </w:drawing>
      </w:r>
      <w:r>
        <w:rPr>
          <w:rFonts w:hint="eastAsia" w:ascii="仿宋_GB2312" w:hAnsi="黑体" w:eastAsia="仿宋_GB2312" w:cs="黑体"/>
          <w:b/>
          <w:bCs/>
          <w:sz w:val="32"/>
          <w:szCs w:val="32"/>
        </w:rPr>
        <w:t>第四条</w:t>
      </w:r>
      <w:r>
        <w:rPr>
          <w:rFonts w:hint="eastAsia" w:ascii="黑体" w:hAnsi="黑体" w:eastAsia="黑体" w:cs="黑体"/>
          <w:b/>
          <w:bCs/>
          <w:sz w:val="32"/>
          <w:szCs w:val="32"/>
        </w:rPr>
        <w:t xml:space="preserve"> </w:t>
      </w:r>
      <w:r>
        <w:rPr>
          <w:rFonts w:hint="eastAsia" w:ascii="仿宋_GB2312" w:hAnsi="仿宋_GB2312" w:eastAsia="仿宋_GB2312" w:cs="仿宋_GB2312"/>
          <w:sz w:val="34"/>
          <w:szCs w:val="34"/>
        </w:rPr>
        <w:t>供应商负面清单管理工作由商务合作部全面负责，其他职能部门在使用或监管过程中产生的供应商考核意见应报商务合作部统一汇总管理。具体确定流程：</w:t>
      </w:r>
    </w:p>
    <w:p w14:paraId="7769749D">
      <w:pPr>
        <w:adjustRightInd w:val="0"/>
        <w:snapToGrid w:val="0"/>
        <w:spacing w:line="600" w:lineRule="exact"/>
        <w:jc w:val="center"/>
        <w:rPr>
          <w:rFonts w:ascii="黑体" w:hAnsi="黑体" w:eastAsia="黑体"/>
          <w:b/>
          <w:bCs/>
          <w:sz w:val="32"/>
          <w:szCs w:val="32"/>
        </w:rPr>
      </w:pPr>
      <w:r>
        <w:rPr>
          <w:rFonts w:hint="eastAsia" w:ascii="黑体" w:hAnsi="黑体" w:eastAsia="黑体" w:cs="黑体"/>
          <w:b/>
          <w:bCs/>
          <w:sz w:val="32"/>
          <w:szCs w:val="32"/>
        </w:rPr>
        <w:t>第三章 供应商积分考核和管理</w:t>
      </w:r>
    </w:p>
    <w:p w14:paraId="37F5414A">
      <w:pPr>
        <w:tabs>
          <w:tab w:val="left" w:pos="2565"/>
        </w:tabs>
        <w:spacing w:line="600" w:lineRule="exact"/>
        <w:ind w:firstLine="643" w:firstLineChars="200"/>
        <w:rPr>
          <w:rFonts w:ascii="仿宋_GB2312" w:hAnsi="仿宋_GB2312" w:eastAsia="仿宋_GB2312" w:cs="仿宋_GB2312"/>
          <w:sz w:val="34"/>
          <w:szCs w:val="34"/>
        </w:rPr>
      </w:pPr>
      <w:r>
        <w:rPr>
          <w:rFonts w:hint="eastAsia" w:ascii="仿宋_GB2312" w:hAnsi="黑体" w:eastAsia="仿宋_GB2312" w:cs="黑体"/>
          <w:b/>
          <w:bCs/>
          <w:sz w:val="32"/>
          <w:szCs w:val="32"/>
        </w:rPr>
        <w:t>第五条</w:t>
      </w:r>
      <w:r>
        <w:rPr>
          <w:rFonts w:hint="eastAsia" w:ascii="黑体" w:hAnsi="黑体" w:eastAsia="黑体" w:cs="黑体"/>
          <w:b/>
          <w:bCs/>
          <w:sz w:val="32"/>
          <w:szCs w:val="32"/>
        </w:rPr>
        <w:t xml:space="preserve"> </w:t>
      </w:r>
      <w:r>
        <w:rPr>
          <w:rFonts w:hint="eastAsia" w:ascii="仿宋_GB2312" w:hAnsi="仿宋_GB2312" w:eastAsia="仿宋_GB2312" w:cs="仿宋_GB2312"/>
          <w:sz w:val="34"/>
          <w:szCs w:val="34"/>
        </w:rPr>
        <w:t>供应商积分考核主要包括供货质量、交货周期、售后服务、资质信誉等方面，每项10分。使用部门、专业管理部门、采购部门均可书面提出考核意见。商务合作部负责对各相关部门提出的考核意见进行收集汇总，并根据综合扣分情况将供应商分为合格供应商或负面清单供应商。凡被列入负面清单的供应商，自被考核当日起一年内均不得与公司进行合作；凡未被列入负面清单的供应商一年后当年考核扣分自动清零。</w:t>
      </w:r>
    </w:p>
    <w:p w14:paraId="30071542">
      <w:pPr>
        <w:tabs>
          <w:tab w:val="left" w:pos="2565"/>
        </w:tabs>
        <w:spacing w:line="600" w:lineRule="exact"/>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1.合格供应商：供应商一年内累计考核扣分介于0-9分之间，可作为合格供应商继续开展合作。</w:t>
      </w:r>
    </w:p>
    <w:p w14:paraId="60BF598A">
      <w:pPr>
        <w:tabs>
          <w:tab w:val="left" w:pos="2565"/>
        </w:tabs>
        <w:spacing w:line="600" w:lineRule="exact"/>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2.负面清单供应商：供应商单次供应考核扣分或一年内累计考核扣分达到10分以上（含10分），须列入负面清单供应商，至少于一年内停止与其产生新的合作。</w:t>
      </w:r>
    </w:p>
    <w:p w14:paraId="332C288F">
      <w:pPr>
        <w:spacing w:line="600" w:lineRule="exact"/>
        <w:ind w:firstLine="643" w:firstLineChars="200"/>
        <w:rPr>
          <w:rFonts w:ascii="仿宋_GB2312" w:hAnsi="仿宋_GB2312" w:eastAsia="仿宋_GB2312" w:cs="仿宋_GB2312"/>
          <w:bCs/>
          <w:sz w:val="34"/>
          <w:szCs w:val="34"/>
        </w:rPr>
      </w:pPr>
      <w:r>
        <w:rPr>
          <w:rFonts w:hint="eastAsia" w:ascii="仿宋_GB2312" w:hAnsi="黑体" w:eastAsia="仿宋_GB2312" w:cs="黑体"/>
          <w:b/>
          <w:bCs/>
          <w:sz w:val="32"/>
          <w:szCs w:val="32"/>
        </w:rPr>
        <w:t>第六条</w:t>
      </w:r>
      <w:r>
        <w:rPr>
          <w:rFonts w:hint="eastAsia" w:ascii="黑体" w:hAnsi="黑体" w:eastAsia="黑体" w:cs="黑体"/>
          <w:b/>
          <w:bCs/>
          <w:sz w:val="32"/>
          <w:szCs w:val="32"/>
        </w:rPr>
        <w:t xml:space="preserve"> </w:t>
      </w:r>
      <w:r>
        <w:rPr>
          <w:rFonts w:hint="eastAsia" w:ascii="仿宋_GB2312" w:hAnsi="仿宋_GB2312" w:eastAsia="仿宋_GB2312" w:cs="仿宋_GB2312"/>
          <w:sz w:val="34"/>
          <w:szCs w:val="34"/>
        </w:rPr>
        <w:t>供应商考核方法</w:t>
      </w:r>
    </w:p>
    <w:p w14:paraId="32C47675">
      <w:pPr>
        <w:tabs>
          <w:tab w:val="left" w:pos="2565"/>
        </w:tabs>
        <w:spacing w:line="600" w:lineRule="exact"/>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1.质量方面</w:t>
      </w:r>
    </w:p>
    <w:p w14:paraId="009BE341">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（1）所供产品出现质量问题，经调换未对公司造成影响，单次扣1-3分。</w:t>
      </w:r>
    </w:p>
    <w:p w14:paraId="1FBDD3B3">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（2）所供产品出现质量问题，对公司造成了一定影响，单次扣3-5分。</w:t>
      </w:r>
    </w:p>
    <w:p w14:paraId="6E408D4C">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（3）所供产品出现质量问题，对公司造成了严重影响，单次扣5-10分。</w:t>
      </w:r>
    </w:p>
    <w:p w14:paraId="2967C5C4">
      <w:pPr>
        <w:tabs>
          <w:tab w:val="left" w:pos="2565"/>
        </w:tabs>
        <w:spacing w:line="600" w:lineRule="exact"/>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2.交货方面</w:t>
      </w:r>
    </w:p>
    <w:p w14:paraId="7EAF29BE">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（1）交货时无质检报告或合格证等必要资料的，单次扣1-3分。</w:t>
      </w:r>
    </w:p>
    <w:p w14:paraId="61400328">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（2）交货时未按规定包装的，单次扣1-3分。</w:t>
      </w:r>
    </w:p>
    <w:p w14:paraId="2326A21E">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（3）延期交货，但未对公司造成影响，单次扣1-3分；造成一定影响，单次扣3-5分；造成严重影响，单次扣5-10分。</w:t>
      </w:r>
    </w:p>
    <w:p w14:paraId="5961FC91">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（4）交货过程中存在故意隐瞒质量缺陷或以次充好，单次扣5-10分。</w:t>
      </w:r>
    </w:p>
    <w:p w14:paraId="7233D7E5">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（5）运输单位未能按要求完成运输任务，单次扣1-3分。</w:t>
      </w:r>
    </w:p>
    <w:p w14:paraId="237014F1">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（6）发生安全事故，并且供应商有责任的，单次扣5-10分。</w:t>
      </w:r>
    </w:p>
    <w:p w14:paraId="3C94FB8A">
      <w:pPr>
        <w:tabs>
          <w:tab w:val="left" w:pos="2565"/>
        </w:tabs>
        <w:spacing w:line="600" w:lineRule="exact"/>
        <w:ind w:left="420" w:leftChars="200"/>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3.售后方面</w:t>
      </w:r>
    </w:p>
    <w:p w14:paraId="7D51E09F">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（1）对我公司的售后服务要求不能及时响应，单次扣1-3分；已造成一定影响，单次扣3-5分；造成严重影响，单次扣5-10分。</w:t>
      </w:r>
    </w:p>
    <w:p w14:paraId="70230A53">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（2）售后人员不能及时解决问题，单次扣1-3分。</w:t>
      </w:r>
    </w:p>
    <w:p w14:paraId="12EE4F6D">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（3）在质保期之内，拒绝按合同提供售后服务，单次扣5-10分。</w:t>
      </w:r>
    </w:p>
    <w:p w14:paraId="31386829">
      <w:pPr>
        <w:tabs>
          <w:tab w:val="left" w:pos="2565"/>
        </w:tabs>
        <w:spacing w:line="600" w:lineRule="exact"/>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4.资信方面</w:t>
      </w:r>
    </w:p>
    <w:p w14:paraId="2272B791">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（1）确定合作单位之后因报价、参数错误等原因，经双方协商终止合同签订，单次扣1-3分。</w:t>
      </w:r>
    </w:p>
    <w:p w14:paraId="7530ADCA">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（2）合作单位确定之后拒绝签订合同或拒绝履行合同，单次扣5-10分。</w:t>
      </w:r>
    </w:p>
    <w:p w14:paraId="77CCDC7B">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（3）无正当理由未及时开具发票给我方，单次扣1-3分。</w:t>
      </w:r>
    </w:p>
    <w:p w14:paraId="467CD4B2">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（4）未按合同约定价格开票，单次扣1-3分。</w:t>
      </w:r>
    </w:p>
    <w:p w14:paraId="34B81180">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（5）注册信息及基本资质证书不属实，单次扣5-10分。</w:t>
      </w:r>
    </w:p>
    <w:p w14:paraId="3FEFB18B">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（6）因知识产权引起纠纷，单次扣5-10分。</w:t>
      </w:r>
    </w:p>
    <w:p w14:paraId="3CDEFFA4">
      <w:pPr>
        <w:tabs>
          <w:tab w:val="left" w:pos="2565"/>
        </w:tabs>
        <w:spacing w:line="600" w:lineRule="exact"/>
        <w:rPr>
          <w:rFonts w:ascii="仿宋_GB2312" w:hAnsi="仿宋_GB2312" w:eastAsia="仿宋_GB2312" w:cs="仿宋_GB2312"/>
          <w:sz w:val="34"/>
          <w:szCs w:val="34"/>
        </w:rPr>
      </w:pPr>
      <w:r>
        <w:rPr>
          <w:rFonts w:hint="eastAsia" w:ascii="仿宋_GB2312" w:hAnsi="黑体" w:eastAsia="仿宋_GB2312" w:cs="黑体"/>
          <w:b/>
          <w:bCs/>
          <w:sz w:val="32"/>
          <w:szCs w:val="32"/>
        </w:rPr>
        <w:t xml:space="preserve">   第七条</w:t>
      </w:r>
      <w:r>
        <w:rPr>
          <w:rFonts w:ascii="仿宋_GB2312" w:hAnsi="仿宋" w:eastAsia="仿宋_GB2312"/>
          <w:sz w:val="32"/>
          <w:szCs w:val="32"/>
        </w:rPr>
        <w:t xml:space="preserve"> </w:t>
      </w:r>
      <w:r>
        <w:rPr>
          <w:rFonts w:hint="eastAsia" w:ascii="仿宋_GB2312" w:hAnsi="仿宋_GB2312" w:eastAsia="仿宋_GB2312" w:cs="仿宋_GB2312"/>
          <w:sz w:val="34"/>
          <w:szCs w:val="34"/>
        </w:rPr>
        <w:t>供应商发生以下情况，将直接列入负面清单，情节严重的，甚至可以直接用就行停止合作；</w:t>
      </w:r>
    </w:p>
    <w:p w14:paraId="6AF7C5C2">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1、涉及弄虚作假、欺诈、故意隐瞒、冒名顶替等行为的。</w:t>
      </w:r>
    </w:p>
    <w:p w14:paraId="0F0B5B3A">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2、出现串标、围标、陪标、或者以损害其他城市竞争者的利益谋求中标的。</w:t>
      </w:r>
    </w:p>
    <w:p w14:paraId="2F2A6350">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3、供应商通过恶意法律诉讼起诉我公司最终被法院裁定为败诉的。</w:t>
      </w:r>
    </w:p>
    <w:p w14:paraId="4175879A">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4、违反廉政协议，滋生腐败现象的。</w:t>
      </w:r>
    </w:p>
    <w:p w14:paraId="2BF84EF0">
      <w:pPr>
        <w:tabs>
          <w:tab w:val="left" w:pos="2565"/>
        </w:tabs>
        <w:spacing w:line="600" w:lineRule="exact"/>
        <w:rPr>
          <w:rFonts w:ascii="仿宋_GB2312" w:hAnsi="仿宋_GB2312" w:eastAsia="仿宋_GB2312" w:cs="仿宋_GB2312"/>
          <w:sz w:val="34"/>
          <w:szCs w:val="34"/>
        </w:rPr>
      </w:pPr>
      <w:r>
        <w:rPr>
          <w:rFonts w:hint="eastAsia" w:ascii="仿宋_GB2312" w:hAnsi="黑体" w:eastAsia="仿宋_GB2312" w:cs="黑体"/>
          <w:b/>
          <w:bCs/>
          <w:sz w:val="32"/>
          <w:szCs w:val="32"/>
        </w:rPr>
        <w:t xml:space="preserve">    第八条</w:t>
      </w:r>
      <w:r>
        <w:rPr>
          <w:rFonts w:hint="eastAsia" w:ascii="仿宋_GB2312" w:hAnsi="仿宋" w:eastAsia="仿宋_GB2312"/>
          <w:sz w:val="32"/>
          <w:szCs w:val="32"/>
        </w:rPr>
        <w:t xml:space="preserve"> </w:t>
      </w:r>
      <w:r>
        <w:rPr>
          <w:rFonts w:hint="eastAsia" w:ascii="仿宋_GB2312" w:hAnsi="仿宋_GB2312" w:eastAsia="仿宋_GB2312" w:cs="仿宋_GB2312"/>
          <w:sz w:val="34"/>
          <w:szCs w:val="34"/>
        </w:rPr>
        <w:t>关于无效投诉的处理办法</w:t>
      </w:r>
    </w:p>
    <w:p w14:paraId="7F0559A5">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报价人如对报价结果存有异议，可向监管部门提起投诉。但为了维护采购工作的严肃性，报价人所提出的投诉一旦被公司认定为无效投诉，单次扣除投诉人3分；如果报价人仍不接受解释且采取重复投诉，甚至出现捏造事实、无理取闹、聚众围堵、恶意诽谤等严重扰乱公司生产经营秩序的违法行为，可再扣除投诉人5-10分;报价人对同一事件的无效投诉或一年内累计无效投诉的次数达到三次以上（含三次），均直接列入供应商负面清单，情节严重的，也可以永久性停止合作。</w:t>
      </w:r>
    </w:p>
    <w:p w14:paraId="777A9A9D">
      <w:pPr>
        <w:adjustRightInd w:val="0"/>
        <w:snapToGrid w:val="0"/>
        <w:spacing w:line="600" w:lineRule="exact"/>
        <w:jc w:val="center"/>
        <w:rPr>
          <w:rFonts w:ascii="黑体" w:hAnsi="黑体" w:eastAsia="黑体"/>
          <w:b/>
          <w:bCs/>
          <w:sz w:val="32"/>
          <w:szCs w:val="32"/>
        </w:rPr>
      </w:pPr>
      <w:r>
        <w:rPr>
          <w:rFonts w:hint="eastAsia" w:ascii="黑体" w:hAnsi="黑体" w:eastAsia="黑体" w:cs="黑体"/>
          <w:b/>
          <w:bCs/>
          <w:sz w:val="32"/>
          <w:szCs w:val="32"/>
        </w:rPr>
        <w:t>第四章 从负面清单供应商的消除</w:t>
      </w:r>
    </w:p>
    <w:p w14:paraId="4874B1FF">
      <w:pPr>
        <w:tabs>
          <w:tab w:val="left" w:pos="2565"/>
        </w:tabs>
        <w:spacing w:line="600" w:lineRule="exact"/>
        <w:rPr>
          <w:rFonts w:ascii="仿宋_GB2312" w:hAnsi="仿宋_GB2312" w:eastAsia="仿宋_GB2312" w:cs="仿宋_GB2312"/>
          <w:sz w:val="34"/>
          <w:szCs w:val="34"/>
        </w:rPr>
      </w:pPr>
      <w:r>
        <w:rPr>
          <w:rFonts w:hint="eastAsia" w:ascii="仿宋_GB2312" w:hAnsi="黑体" w:eastAsia="仿宋_GB2312" w:cs="黑体"/>
          <w:b/>
          <w:bCs/>
          <w:sz w:val="32"/>
          <w:szCs w:val="32"/>
        </w:rPr>
        <w:t xml:space="preserve">   第九条</w:t>
      </w:r>
      <w:r>
        <w:rPr>
          <w:rFonts w:hint="eastAsia" w:ascii="黑体" w:hAnsi="黑体" w:eastAsia="黑体" w:cs="黑体"/>
          <w:b/>
          <w:bCs/>
          <w:sz w:val="32"/>
          <w:szCs w:val="32"/>
        </w:rPr>
        <w:t xml:space="preserve"> </w:t>
      </w:r>
      <w:r>
        <w:rPr>
          <w:rFonts w:hint="eastAsia" w:ascii="仿宋_GB2312" w:hAnsi="仿宋_GB2312" w:eastAsia="仿宋_GB2312" w:cs="仿宋_GB2312"/>
          <w:sz w:val="34"/>
          <w:szCs w:val="34"/>
        </w:rPr>
        <w:t>已被列入的负面清单供应商通过自身完善、整改等措施，其产品或服务质量满足公司要求，原则上自考核满一年以后，供应商可提出书面申请，经供应商能力确认流程鉴定后方可从负面清单中消除。具体流程如下：</w:t>
      </w:r>
    </w:p>
    <w:p w14:paraId="318AF359">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1.供应商提出负面清单消除的书面申请以及针对考核项的整改措施、效果等相关文件材料；</w:t>
      </w:r>
    </w:p>
    <w:p w14:paraId="287A81A9">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2.商务合作部牵头组织相关部门对供应商提供的文件材料进行确认，必要时组织现场考察；</w:t>
      </w:r>
    </w:p>
    <w:p w14:paraId="3A0CCC73">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3.商务合作部根据材料确认及考察情况提出建议，经相关部门会签再报公司分管领导、总经理、董事长批准以后方可完成负面清单供应商的消除工作。</w:t>
      </w:r>
    </w:p>
    <w:p w14:paraId="008AAC98">
      <w:pPr>
        <w:adjustRightInd w:val="0"/>
        <w:snapToGrid w:val="0"/>
        <w:spacing w:line="600" w:lineRule="exact"/>
        <w:jc w:val="center"/>
        <w:rPr>
          <w:rFonts w:ascii="黑体" w:hAnsi="黑体" w:eastAsia="黑体"/>
          <w:b/>
          <w:bCs/>
          <w:sz w:val="32"/>
          <w:szCs w:val="32"/>
        </w:rPr>
      </w:pPr>
      <w:r>
        <w:rPr>
          <w:rFonts w:hint="eastAsia" w:ascii="黑体" w:hAnsi="黑体" w:eastAsia="黑体" w:cs="黑体"/>
          <w:b/>
          <w:bCs/>
          <w:sz w:val="32"/>
          <w:szCs w:val="32"/>
        </w:rPr>
        <w:t>第五章 附则</w:t>
      </w:r>
    </w:p>
    <w:p w14:paraId="1631AA8B">
      <w:pPr>
        <w:spacing w:line="600" w:lineRule="exact"/>
        <w:ind w:firstLine="643" w:firstLineChars="200"/>
        <w:rPr>
          <w:rFonts w:ascii="仿宋_GB2312" w:hAnsi="仿宋_GB2312" w:eastAsia="仿宋_GB2312" w:cs="仿宋_GB2312"/>
          <w:sz w:val="34"/>
          <w:szCs w:val="34"/>
        </w:rPr>
      </w:pPr>
      <w:r>
        <w:rPr>
          <w:rFonts w:hint="eastAsia" w:ascii="仿宋_GB2312" w:hAnsi="楷体" w:eastAsia="仿宋_GB2312"/>
          <w:b/>
          <w:sz w:val="32"/>
          <w:szCs w:val="32"/>
        </w:rPr>
        <w:t>第</w:t>
      </w:r>
      <w:r>
        <w:rPr>
          <w:rFonts w:hint="eastAsia" w:ascii="仿宋_GB2312" w:hAnsi="黑体" w:eastAsia="仿宋_GB2312" w:cs="黑体"/>
          <w:b/>
          <w:bCs/>
          <w:sz w:val="32"/>
          <w:szCs w:val="32"/>
        </w:rPr>
        <w:t>十条</w:t>
      </w:r>
      <w:r>
        <w:rPr>
          <w:rFonts w:hint="eastAsia" w:ascii="仿宋_GB2312" w:hAnsi="楷体" w:eastAsia="仿宋_GB2312"/>
          <w:b/>
          <w:sz w:val="32"/>
          <w:szCs w:val="32"/>
        </w:rPr>
        <w:t xml:space="preserve"> </w:t>
      </w:r>
      <w:r>
        <w:rPr>
          <w:rFonts w:hint="eastAsia" w:ascii="仿宋_GB2312" w:hAnsi="仿宋_GB2312" w:eastAsia="仿宋_GB2312" w:cs="仿宋_GB2312"/>
          <w:sz w:val="34"/>
          <w:szCs w:val="34"/>
        </w:rPr>
        <w:t>各部门应按照公开公平公正的原则，做好供应商负面清单的考核和管理工作。</w:t>
      </w:r>
    </w:p>
    <w:p w14:paraId="064C58E0">
      <w:pPr>
        <w:spacing w:line="600" w:lineRule="exact"/>
        <w:ind w:firstLine="643" w:firstLineChars="200"/>
        <w:rPr>
          <w:rFonts w:ascii="仿宋_GB2312" w:hAnsi="仿宋_GB2312" w:eastAsia="仿宋_GB2312" w:cs="仿宋_GB2312"/>
          <w:sz w:val="34"/>
          <w:szCs w:val="34"/>
        </w:rPr>
      </w:pPr>
      <w:r>
        <w:rPr>
          <w:rFonts w:hint="eastAsia" w:ascii="仿宋_GB2312" w:hAnsi="仿宋" w:eastAsia="仿宋_GB2312"/>
          <w:b/>
          <w:bCs/>
          <w:sz w:val="32"/>
          <w:szCs w:val="32"/>
        </w:rPr>
        <w:t xml:space="preserve">第十一条 </w:t>
      </w:r>
      <w:r>
        <w:rPr>
          <w:rFonts w:hint="eastAsia" w:ascii="仿宋_GB2312" w:hAnsi="仿宋_GB2312" w:eastAsia="仿宋_GB2312" w:cs="仿宋_GB2312"/>
          <w:sz w:val="34"/>
          <w:szCs w:val="34"/>
        </w:rPr>
        <w:t>供应商负面清单的加入和消除总体采取谁加入谁消除的独立自主处置原则，不同直属单位对同一供应商一年内的考核扣分累计达到15分以上，由集团商务合作部将其列为负面清单供应商。</w:t>
      </w:r>
    </w:p>
    <w:p w14:paraId="2AE38A22">
      <w:pPr>
        <w:spacing w:line="600" w:lineRule="exact"/>
        <w:ind w:firstLine="643" w:firstLineChars="200"/>
        <w:rPr>
          <w:rFonts w:ascii="仿宋_GB2312" w:hAnsi="仿宋_GB2312" w:eastAsia="仿宋_GB2312" w:cs="仿宋_GB2312"/>
          <w:sz w:val="34"/>
          <w:szCs w:val="34"/>
        </w:rPr>
      </w:pPr>
      <w:r>
        <w:rPr>
          <w:rFonts w:hint="eastAsia" w:ascii="仿宋_GB2312" w:hAnsi="楷体" w:eastAsia="仿宋_GB2312"/>
          <w:b/>
          <w:sz w:val="32"/>
          <w:szCs w:val="32"/>
        </w:rPr>
        <w:t xml:space="preserve">第十二条 </w:t>
      </w:r>
      <w:r>
        <w:rPr>
          <w:rFonts w:hint="eastAsia" w:ascii="仿宋_GB2312" w:hAnsi="仿宋_GB2312" w:eastAsia="仿宋_GB2312" w:cs="仿宋_GB2312"/>
          <w:sz w:val="34"/>
          <w:szCs w:val="34"/>
        </w:rPr>
        <w:t>各部门对负面清单供应商的加入和消除均应在第一时间报送集团商务合作部，并由集团商务合作部统一在公司指定公告栏中进行公示。对已被某一单位列入负面清单的供应商，其他单位在同一时期一律不得再与其开展新的合作；对所有已被累计两次加入负面清单的供应商，原则上永久性停止与该供应商的合作。</w:t>
      </w:r>
    </w:p>
    <w:p w14:paraId="118E14AB">
      <w:pPr>
        <w:spacing w:line="600" w:lineRule="exact"/>
        <w:ind w:firstLine="643" w:firstLineChars="200"/>
        <w:rPr>
          <w:rFonts w:ascii="仿宋_GB2312" w:hAnsi="仿宋_GB2312" w:eastAsia="仿宋_GB2312" w:cs="仿宋_GB2312"/>
          <w:sz w:val="34"/>
          <w:szCs w:val="34"/>
        </w:rPr>
      </w:pPr>
      <w:r>
        <w:rPr>
          <w:rFonts w:hint="eastAsia" w:ascii="仿宋_GB2312" w:hAnsi="楷体" w:eastAsia="仿宋_GB2312"/>
          <w:b/>
          <w:sz w:val="32"/>
          <w:szCs w:val="32"/>
        </w:rPr>
        <w:t xml:space="preserve">第十三条 </w:t>
      </w:r>
      <w:r>
        <w:rPr>
          <w:rFonts w:hint="eastAsia" w:ascii="仿宋_GB2312" w:hAnsi="仿宋_GB2312" w:eastAsia="仿宋_GB2312" w:cs="仿宋_GB2312"/>
          <w:sz w:val="34"/>
          <w:szCs w:val="34"/>
        </w:rPr>
        <w:t>本规定自颁发之日起生效，由商务合作部负责解释，原《索普赛瑞供应商负面清单管理规定（试行）》（苏索瑞企字[2022]22号）同时废止。</w:t>
      </w:r>
    </w:p>
    <w:p w14:paraId="327B786B">
      <w:pPr>
        <w:spacing w:line="600" w:lineRule="exact"/>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本制度由商务合作部负责解释。</w:t>
      </w:r>
    </w:p>
    <w:p w14:paraId="42DA12B7">
      <w:pPr>
        <w:spacing w:line="600" w:lineRule="exact"/>
        <w:ind w:firstLine="680" w:firstLineChars="200"/>
        <w:rPr>
          <w:rFonts w:ascii="仿宋_GB2312" w:hAnsi="仿宋_GB2312" w:eastAsia="仿宋_GB2312" w:cs="仿宋_GB2312"/>
          <w:sz w:val="34"/>
          <w:szCs w:val="34"/>
        </w:rPr>
      </w:pPr>
    </w:p>
    <w:p w14:paraId="1EE293F5">
      <w:pPr>
        <w:spacing w:line="600" w:lineRule="exact"/>
        <w:ind w:firstLine="680" w:firstLineChars="200"/>
        <w:rPr>
          <w:rFonts w:ascii="仿宋_GB2312" w:hAnsi="仿宋_GB2312" w:eastAsia="仿宋_GB2312" w:cs="仿宋_GB2312"/>
          <w:sz w:val="34"/>
          <w:szCs w:val="34"/>
        </w:rPr>
      </w:pPr>
    </w:p>
    <w:p w14:paraId="24791238">
      <w:pPr>
        <w:spacing w:line="600" w:lineRule="exact"/>
        <w:ind w:firstLine="680" w:firstLineChars="200"/>
        <w:rPr>
          <w:rFonts w:ascii="仿宋_GB2312" w:hAnsi="仿宋_GB2312" w:eastAsia="仿宋_GB2312" w:cs="仿宋_GB2312"/>
          <w:sz w:val="34"/>
          <w:szCs w:val="34"/>
        </w:rPr>
      </w:pPr>
    </w:p>
    <w:p w14:paraId="12A266B2">
      <w:pPr>
        <w:spacing w:line="600" w:lineRule="exact"/>
        <w:ind w:firstLine="680" w:firstLineChars="200"/>
        <w:jc w:val="right"/>
        <w:rPr>
          <w:rFonts w:ascii="仿宋_GB2312" w:hAnsi="仿宋_GB2312" w:eastAsia="仿宋_GB2312" w:cs="仿宋_GB2312"/>
          <w:sz w:val="34"/>
          <w:szCs w:val="34"/>
        </w:rPr>
      </w:pPr>
      <w:r>
        <w:rPr>
          <w:rFonts w:hint="eastAsia" w:ascii="仿宋_GB2312" w:hAnsi="仿宋_GB2312" w:eastAsia="仿宋_GB2312" w:cs="仿宋_GB2312"/>
          <w:sz w:val="34"/>
          <w:szCs w:val="34"/>
        </w:rPr>
        <w:t>江苏索普赛瑞装备制造有限公司</w:t>
      </w:r>
    </w:p>
    <w:p w14:paraId="44BE93BC">
      <w:pPr>
        <w:spacing w:line="600" w:lineRule="exact"/>
        <w:ind w:firstLine="680" w:firstLineChars="200"/>
        <w:jc w:val="center"/>
        <w:rPr>
          <w:rFonts w:ascii="仿宋_GB2312" w:hAnsi="仿宋_GB2312" w:eastAsia="仿宋_GB2312" w:cs="仿宋_GB2312"/>
          <w:sz w:val="34"/>
          <w:szCs w:val="34"/>
        </w:rPr>
        <w:sectPr>
          <w:footerReference r:id="rId3" w:type="default"/>
          <w:pgSz w:w="11906" w:h="16838"/>
          <w:pgMar w:top="1440" w:right="1800" w:bottom="1440" w:left="1800" w:header="851" w:footer="992" w:gutter="0"/>
          <w:cols w:space="720" w:num="1"/>
          <w:docGrid w:type="lines" w:linePitch="312" w:charSpace="0"/>
        </w:sectPr>
      </w:pPr>
      <w:r>
        <w:rPr>
          <w:rFonts w:hint="eastAsia" w:ascii="仿宋_GB2312" w:hAnsi="仿宋_GB2312" w:eastAsia="仿宋_GB2312" w:cs="仿宋_GB2312"/>
          <w:sz w:val="34"/>
          <w:szCs w:val="34"/>
        </w:rPr>
        <w:t xml:space="preserve">                2023年8月15日</w:t>
      </w:r>
    </w:p>
    <w:tbl>
      <w:tblPr>
        <w:tblStyle w:val="6"/>
        <w:tblpPr w:leftFromText="180" w:rightFromText="180" w:vertAnchor="text" w:horzAnchor="page" w:tblpX="1066" w:tblpY="256"/>
        <w:tblOverlap w:val="never"/>
        <w:tblW w:w="15781" w:type="dxa"/>
        <w:tblInd w:w="0" w:type="dxa"/>
        <w:tblLayout w:type="fixed"/>
        <w:tblCellMar>
          <w:top w:w="15" w:type="dxa"/>
          <w:left w:w="15" w:type="dxa"/>
          <w:bottom w:w="15" w:type="dxa"/>
          <w:right w:w="15" w:type="dxa"/>
        </w:tblCellMar>
      </w:tblPr>
      <w:tblGrid>
        <w:gridCol w:w="2812"/>
        <w:gridCol w:w="1016"/>
        <w:gridCol w:w="981"/>
        <w:gridCol w:w="1016"/>
        <w:gridCol w:w="1003"/>
        <w:gridCol w:w="993"/>
        <w:gridCol w:w="1003"/>
        <w:gridCol w:w="944"/>
        <w:gridCol w:w="969"/>
        <w:gridCol w:w="944"/>
        <w:gridCol w:w="956"/>
        <w:gridCol w:w="993"/>
        <w:gridCol w:w="1076"/>
        <w:gridCol w:w="1075"/>
      </w:tblGrid>
      <w:tr w14:paraId="1ECB2FA1">
        <w:tblPrEx>
          <w:tblCellMar>
            <w:top w:w="15" w:type="dxa"/>
            <w:left w:w="15" w:type="dxa"/>
            <w:bottom w:w="15" w:type="dxa"/>
            <w:right w:w="15" w:type="dxa"/>
          </w:tblCellMar>
        </w:tblPrEx>
        <w:trPr>
          <w:trHeight w:val="228" w:hRule="atLeast"/>
        </w:trPr>
        <w:tc>
          <w:tcPr>
            <w:tcW w:w="2812" w:type="dxa"/>
            <w:noWrap w:val="0"/>
            <w:vAlign w:val="bottom"/>
          </w:tcPr>
          <w:p w14:paraId="3FECD0CF">
            <w:pPr>
              <w:rPr>
                <w:rFonts w:ascii="宋体" w:hAnsi="宋体" w:cs="宋体"/>
                <w:sz w:val="24"/>
              </w:rPr>
            </w:pPr>
            <w:r>
              <w:rPr>
                <w:rFonts w:hint="eastAsia" w:ascii="黑体" w:hAnsi="黑体" w:eastAsia="黑体" w:cs="黑体"/>
                <w:sz w:val="36"/>
                <w:szCs w:val="36"/>
              </w:rPr>
              <w:t>附件</w:t>
            </w:r>
            <w:r>
              <w:rPr>
                <w:rFonts w:ascii="黑体" w:hAnsi="黑体" w:eastAsia="黑体" w:cs="黑体"/>
                <w:sz w:val="36"/>
                <w:szCs w:val="36"/>
              </w:rPr>
              <w:t>1</w:t>
            </w:r>
          </w:p>
        </w:tc>
        <w:tc>
          <w:tcPr>
            <w:tcW w:w="1016" w:type="dxa"/>
            <w:noWrap w:val="0"/>
            <w:vAlign w:val="bottom"/>
          </w:tcPr>
          <w:p w14:paraId="2455D845">
            <w:pPr>
              <w:rPr>
                <w:rFonts w:ascii="宋体" w:hAnsi="宋体" w:cs="宋体"/>
                <w:sz w:val="24"/>
              </w:rPr>
            </w:pPr>
          </w:p>
        </w:tc>
        <w:tc>
          <w:tcPr>
            <w:tcW w:w="981" w:type="dxa"/>
            <w:noWrap w:val="0"/>
            <w:vAlign w:val="bottom"/>
          </w:tcPr>
          <w:p w14:paraId="4306DEF5">
            <w:pPr>
              <w:rPr>
                <w:rFonts w:ascii="宋体" w:hAnsi="宋体" w:cs="宋体"/>
                <w:sz w:val="24"/>
              </w:rPr>
            </w:pPr>
          </w:p>
        </w:tc>
        <w:tc>
          <w:tcPr>
            <w:tcW w:w="1016" w:type="dxa"/>
            <w:noWrap w:val="0"/>
            <w:vAlign w:val="bottom"/>
          </w:tcPr>
          <w:p w14:paraId="7E429AE3">
            <w:pPr>
              <w:rPr>
                <w:rFonts w:ascii="宋体" w:hAnsi="宋体" w:cs="宋体"/>
                <w:sz w:val="24"/>
              </w:rPr>
            </w:pPr>
          </w:p>
        </w:tc>
        <w:tc>
          <w:tcPr>
            <w:tcW w:w="1003" w:type="dxa"/>
            <w:noWrap w:val="0"/>
            <w:vAlign w:val="bottom"/>
          </w:tcPr>
          <w:p w14:paraId="02A4B3F8">
            <w:pPr>
              <w:rPr>
                <w:rFonts w:ascii="宋体" w:hAnsi="宋体" w:cs="宋体"/>
                <w:sz w:val="24"/>
              </w:rPr>
            </w:pPr>
          </w:p>
        </w:tc>
        <w:tc>
          <w:tcPr>
            <w:tcW w:w="993" w:type="dxa"/>
            <w:noWrap w:val="0"/>
            <w:vAlign w:val="bottom"/>
          </w:tcPr>
          <w:p w14:paraId="7900E37D">
            <w:pPr>
              <w:rPr>
                <w:rFonts w:ascii="宋体" w:hAnsi="宋体" w:cs="宋体"/>
                <w:sz w:val="24"/>
              </w:rPr>
            </w:pPr>
          </w:p>
        </w:tc>
        <w:tc>
          <w:tcPr>
            <w:tcW w:w="1003" w:type="dxa"/>
            <w:noWrap w:val="0"/>
            <w:vAlign w:val="bottom"/>
          </w:tcPr>
          <w:p w14:paraId="49D83114">
            <w:pPr>
              <w:rPr>
                <w:rFonts w:ascii="宋体" w:hAnsi="宋体" w:cs="宋体"/>
                <w:sz w:val="24"/>
              </w:rPr>
            </w:pPr>
          </w:p>
        </w:tc>
        <w:tc>
          <w:tcPr>
            <w:tcW w:w="944" w:type="dxa"/>
            <w:noWrap w:val="0"/>
            <w:vAlign w:val="bottom"/>
          </w:tcPr>
          <w:p w14:paraId="58406C2B">
            <w:pPr>
              <w:rPr>
                <w:rFonts w:ascii="宋体" w:hAnsi="宋体" w:cs="宋体"/>
                <w:sz w:val="24"/>
              </w:rPr>
            </w:pPr>
          </w:p>
        </w:tc>
        <w:tc>
          <w:tcPr>
            <w:tcW w:w="969" w:type="dxa"/>
            <w:noWrap w:val="0"/>
            <w:vAlign w:val="bottom"/>
          </w:tcPr>
          <w:p w14:paraId="47D516EF">
            <w:pPr>
              <w:rPr>
                <w:rFonts w:ascii="宋体" w:hAnsi="宋体" w:cs="宋体"/>
                <w:sz w:val="24"/>
              </w:rPr>
            </w:pPr>
          </w:p>
        </w:tc>
        <w:tc>
          <w:tcPr>
            <w:tcW w:w="944" w:type="dxa"/>
            <w:noWrap w:val="0"/>
            <w:vAlign w:val="bottom"/>
          </w:tcPr>
          <w:p w14:paraId="2F2D25B1">
            <w:pPr>
              <w:rPr>
                <w:rFonts w:ascii="宋体" w:hAnsi="宋体" w:cs="宋体"/>
                <w:sz w:val="24"/>
              </w:rPr>
            </w:pPr>
          </w:p>
        </w:tc>
        <w:tc>
          <w:tcPr>
            <w:tcW w:w="956" w:type="dxa"/>
            <w:noWrap w:val="0"/>
            <w:vAlign w:val="bottom"/>
          </w:tcPr>
          <w:p w14:paraId="1A1D1F6E">
            <w:pPr>
              <w:rPr>
                <w:rFonts w:ascii="宋体" w:hAnsi="宋体" w:cs="宋体"/>
                <w:sz w:val="24"/>
              </w:rPr>
            </w:pPr>
          </w:p>
        </w:tc>
        <w:tc>
          <w:tcPr>
            <w:tcW w:w="993" w:type="dxa"/>
            <w:noWrap w:val="0"/>
            <w:vAlign w:val="bottom"/>
          </w:tcPr>
          <w:p w14:paraId="4203B830">
            <w:pPr>
              <w:rPr>
                <w:rFonts w:ascii="宋体" w:hAnsi="宋体" w:cs="宋体"/>
                <w:sz w:val="24"/>
              </w:rPr>
            </w:pPr>
          </w:p>
        </w:tc>
        <w:tc>
          <w:tcPr>
            <w:tcW w:w="1076" w:type="dxa"/>
            <w:noWrap w:val="0"/>
            <w:vAlign w:val="bottom"/>
          </w:tcPr>
          <w:p w14:paraId="0768628A">
            <w:pPr>
              <w:rPr>
                <w:rFonts w:ascii="宋体" w:hAnsi="宋体" w:cs="宋体"/>
                <w:sz w:val="24"/>
              </w:rPr>
            </w:pPr>
          </w:p>
        </w:tc>
        <w:tc>
          <w:tcPr>
            <w:tcW w:w="1075" w:type="dxa"/>
            <w:noWrap w:val="0"/>
            <w:vAlign w:val="bottom"/>
          </w:tcPr>
          <w:p w14:paraId="37B87EE5">
            <w:pPr>
              <w:rPr>
                <w:rFonts w:ascii="宋体" w:hAnsi="宋体" w:cs="宋体"/>
                <w:sz w:val="24"/>
              </w:rPr>
            </w:pPr>
          </w:p>
        </w:tc>
      </w:tr>
    </w:tbl>
    <w:p w14:paraId="16FFF815">
      <w:pPr>
        <w:rPr>
          <w:vanish/>
        </w:rPr>
      </w:pPr>
    </w:p>
    <w:tbl>
      <w:tblPr>
        <w:tblStyle w:val="6"/>
        <w:tblW w:w="12939" w:type="dxa"/>
        <w:tblInd w:w="-108" w:type="dxa"/>
        <w:tblLayout w:type="fixed"/>
        <w:tblCellMar>
          <w:top w:w="0" w:type="dxa"/>
          <w:left w:w="108" w:type="dxa"/>
          <w:bottom w:w="0" w:type="dxa"/>
          <w:right w:w="108" w:type="dxa"/>
        </w:tblCellMar>
      </w:tblPr>
      <w:tblGrid>
        <w:gridCol w:w="705"/>
        <w:gridCol w:w="1685"/>
        <w:gridCol w:w="1328"/>
        <w:gridCol w:w="908"/>
        <w:gridCol w:w="788"/>
        <w:gridCol w:w="824"/>
        <w:gridCol w:w="703"/>
        <w:gridCol w:w="753"/>
        <w:gridCol w:w="806"/>
        <w:gridCol w:w="925"/>
        <w:gridCol w:w="871"/>
        <w:gridCol w:w="1157"/>
        <w:gridCol w:w="200"/>
        <w:gridCol w:w="487"/>
        <w:gridCol w:w="799"/>
      </w:tblGrid>
      <w:tr w14:paraId="73980415">
        <w:tblPrEx>
          <w:tblCellMar>
            <w:top w:w="0" w:type="dxa"/>
            <w:left w:w="108" w:type="dxa"/>
            <w:bottom w:w="0" w:type="dxa"/>
            <w:right w:w="108" w:type="dxa"/>
          </w:tblCellMar>
        </w:tblPrEx>
        <w:trPr>
          <w:trHeight w:val="375" w:hRule="atLeast"/>
        </w:trPr>
        <w:tc>
          <w:tcPr>
            <w:tcW w:w="11653" w:type="dxa"/>
            <w:gridSpan w:val="13"/>
            <w:tcBorders>
              <w:top w:val="nil"/>
              <w:left w:val="nil"/>
              <w:bottom w:val="nil"/>
              <w:right w:val="nil"/>
            </w:tcBorders>
            <w:noWrap w:val="0"/>
            <w:vAlign w:val="center"/>
          </w:tcPr>
          <w:p w14:paraId="667D6556">
            <w:pPr>
              <w:widowControl/>
              <w:jc w:val="center"/>
              <w:rPr>
                <w:rFonts w:ascii="方正小标宋简体" w:hAnsi="宋体" w:eastAsia="方正小标宋简体" w:cs="宋体"/>
                <w:bCs/>
                <w:sz w:val="44"/>
                <w:szCs w:val="44"/>
              </w:rPr>
            </w:pPr>
            <w:r>
              <w:rPr>
                <w:rFonts w:hint="eastAsia" w:ascii="方正小标宋简体" w:hAnsi="宋体" w:eastAsia="方正小标宋简体" w:cs="宋体"/>
                <w:bCs/>
                <w:sz w:val="44"/>
                <w:szCs w:val="44"/>
              </w:rPr>
              <w:t>供应商考核表</w:t>
            </w:r>
          </w:p>
        </w:tc>
        <w:tc>
          <w:tcPr>
            <w:tcW w:w="1286" w:type="dxa"/>
            <w:gridSpan w:val="2"/>
            <w:tcBorders>
              <w:top w:val="nil"/>
              <w:left w:val="nil"/>
              <w:bottom w:val="nil"/>
              <w:right w:val="nil"/>
            </w:tcBorders>
            <w:noWrap w:val="0"/>
            <w:vAlign w:val="center"/>
          </w:tcPr>
          <w:p w14:paraId="503B0106">
            <w:pPr>
              <w:widowControl/>
              <w:jc w:val="center"/>
              <w:rPr>
                <w:rFonts w:ascii="方正小标宋简体" w:hAnsi="宋体" w:eastAsia="方正小标宋简体" w:cs="宋体"/>
                <w:bCs/>
                <w:sz w:val="44"/>
                <w:szCs w:val="44"/>
              </w:rPr>
            </w:pPr>
          </w:p>
        </w:tc>
      </w:tr>
      <w:tr w14:paraId="26207D3C">
        <w:tblPrEx>
          <w:tblCellMar>
            <w:top w:w="0" w:type="dxa"/>
            <w:left w:w="108" w:type="dxa"/>
            <w:bottom w:w="0" w:type="dxa"/>
            <w:right w:w="108" w:type="dxa"/>
          </w:tblCellMar>
        </w:tblPrEx>
        <w:trPr>
          <w:trHeight w:val="285" w:hRule="atLeast"/>
        </w:trPr>
        <w:tc>
          <w:tcPr>
            <w:tcW w:w="11653" w:type="dxa"/>
            <w:gridSpan w:val="13"/>
            <w:tcBorders>
              <w:top w:val="nil"/>
              <w:left w:val="nil"/>
              <w:bottom w:val="nil"/>
              <w:right w:val="nil"/>
            </w:tcBorders>
            <w:noWrap w:val="0"/>
            <w:vAlign w:val="center"/>
          </w:tcPr>
          <w:p w14:paraId="73DA7D62">
            <w:pPr>
              <w:widowControl/>
              <w:jc w:val="left"/>
              <w:rPr>
                <w:rFonts w:ascii="宋体" w:hAnsi="宋体" w:cs="宋体"/>
                <w:sz w:val="24"/>
              </w:rPr>
            </w:pPr>
            <w:r>
              <w:rPr>
                <w:rFonts w:hint="eastAsia" w:ascii="宋体" w:hAnsi="宋体" w:cs="宋体"/>
                <w:sz w:val="24"/>
              </w:rPr>
              <w:t xml:space="preserve">                                                                      　 时间：    年   月   日                                                           </w:t>
            </w:r>
          </w:p>
        </w:tc>
        <w:tc>
          <w:tcPr>
            <w:tcW w:w="1286" w:type="dxa"/>
            <w:gridSpan w:val="2"/>
            <w:tcBorders>
              <w:top w:val="nil"/>
              <w:left w:val="nil"/>
              <w:bottom w:val="nil"/>
              <w:right w:val="nil"/>
            </w:tcBorders>
            <w:noWrap w:val="0"/>
            <w:vAlign w:val="center"/>
          </w:tcPr>
          <w:p w14:paraId="41873BFF">
            <w:pPr>
              <w:widowControl/>
              <w:jc w:val="left"/>
              <w:rPr>
                <w:rFonts w:ascii="宋体" w:hAnsi="宋体" w:cs="宋体"/>
                <w:sz w:val="24"/>
              </w:rPr>
            </w:pPr>
          </w:p>
        </w:tc>
      </w:tr>
      <w:tr w14:paraId="041B443E">
        <w:tblPrEx>
          <w:tblCellMar>
            <w:top w:w="0" w:type="dxa"/>
            <w:left w:w="108" w:type="dxa"/>
            <w:bottom w:w="0" w:type="dxa"/>
            <w:right w:w="108" w:type="dxa"/>
          </w:tblCellMar>
        </w:tblPrEx>
        <w:trPr>
          <w:gridAfter w:val="1"/>
          <w:wAfter w:w="799" w:type="dxa"/>
          <w:trHeight w:val="498" w:hRule="atLeast"/>
        </w:trPr>
        <w:tc>
          <w:tcPr>
            <w:tcW w:w="705" w:type="dxa"/>
            <w:vMerge w:val="restart"/>
            <w:tcBorders>
              <w:top w:val="single" w:color="auto" w:sz="4" w:space="0"/>
              <w:left w:val="single" w:color="auto" w:sz="4" w:space="0"/>
              <w:right w:val="single" w:color="auto" w:sz="4" w:space="0"/>
            </w:tcBorders>
            <w:noWrap w:val="0"/>
            <w:vAlign w:val="center"/>
          </w:tcPr>
          <w:p w14:paraId="57BAD23D">
            <w:pPr>
              <w:widowControl/>
              <w:jc w:val="center"/>
              <w:rPr>
                <w:rFonts w:ascii="宋体" w:hAnsi="宋体" w:cs="宋体"/>
                <w:b/>
                <w:sz w:val="24"/>
              </w:rPr>
            </w:pPr>
            <w:r>
              <w:rPr>
                <w:rFonts w:hint="eastAsia" w:ascii="宋体" w:hAnsi="宋体" w:cs="宋体"/>
                <w:b/>
                <w:sz w:val="24"/>
              </w:rPr>
              <w:t>序号</w:t>
            </w:r>
          </w:p>
        </w:tc>
        <w:tc>
          <w:tcPr>
            <w:tcW w:w="1685" w:type="dxa"/>
            <w:vMerge w:val="restart"/>
            <w:tcBorders>
              <w:top w:val="single" w:color="auto" w:sz="4" w:space="0"/>
              <w:left w:val="single" w:color="auto" w:sz="4" w:space="0"/>
              <w:right w:val="single" w:color="auto" w:sz="4" w:space="0"/>
            </w:tcBorders>
            <w:noWrap w:val="0"/>
            <w:vAlign w:val="center"/>
          </w:tcPr>
          <w:p w14:paraId="4CBEC0C9">
            <w:pPr>
              <w:widowControl/>
              <w:jc w:val="center"/>
              <w:rPr>
                <w:rFonts w:ascii="宋体" w:hAnsi="宋体" w:cs="宋体"/>
                <w:b/>
                <w:sz w:val="24"/>
              </w:rPr>
            </w:pPr>
            <w:r>
              <w:rPr>
                <w:rFonts w:hint="eastAsia" w:ascii="宋体" w:hAnsi="宋体" w:cs="宋体"/>
                <w:b/>
                <w:sz w:val="24"/>
              </w:rPr>
              <w:t>企业名称</w:t>
            </w:r>
          </w:p>
        </w:tc>
        <w:tc>
          <w:tcPr>
            <w:tcW w:w="1328" w:type="dxa"/>
            <w:vMerge w:val="restart"/>
            <w:tcBorders>
              <w:top w:val="single" w:color="auto" w:sz="4" w:space="0"/>
              <w:left w:val="single" w:color="auto" w:sz="4" w:space="0"/>
              <w:right w:val="single" w:color="auto" w:sz="4" w:space="0"/>
            </w:tcBorders>
            <w:noWrap w:val="0"/>
            <w:vAlign w:val="center"/>
          </w:tcPr>
          <w:p w14:paraId="07591045">
            <w:pPr>
              <w:widowControl/>
              <w:jc w:val="center"/>
              <w:rPr>
                <w:rFonts w:ascii="宋体" w:hAnsi="宋体" w:cs="宋体"/>
                <w:b/>
                <w:sz w:val="24"/>
              </w:rPr>
            </w:pPr>
            <w:r>
              <w:rPr>
                <w:rFonts w:hint="eastAsia" w:ascii="宋体" w:hAnsi="宋体" w:cs="宋体"/>
                <w:b/>
                <w:sz w:val="24"/>
              </w:rPr>
              <w:t>供货产品</w:t>
            </w:r>
          </w:p>
        </w:tc>
        <w:tc>
          <w:tcPr>
            <w:tcW w:w="4782" w:type="dxa"/>
            <w:gridSpan w:val="6"/>
            <w:tcBorders>
              <w:top w:val="single" w:color="auto" w:sz="4" w:space="0"/>
              <w:left w:val="single" w:color="auto" w:sz="4" w:space="0"/>
              <w:bottom w:val="single" w:color="auto" w:sz="4" w:space="0"/>
              <w:right w:val="single" w:color="auto" w:sz="4" w:space="0"/>
            </w:tcBorders>
            <w:noWrap w:val="0"/>
            <w:vAlign w:val="center"/>
          </w:tcPr>
          <w:p w14:paraId="62F90FFA">
            <w:pPr>
              <w:widowControl/>
              <w:jc w:val="center"/>
              <w:rPr>
                <w:rFonts w:ascii="宋体" w:hAnsi="宋体" w:cs="宋体"/>
                <w:b/>
                <w:sz w:val="24"/>
              </w:rPr>
            </w:pPr>
            <w:r>
              <w:rPr>
                <w:rFonts w:hint="eastAsia" w:ascii="宋体" w:hAnsi="宋体" w:cs="宋体"/>
                <w:b/>
                <w:sz w:val="24"/>
              </w:rPr>
              <w:t>考核扣分</w:t>
            </w:r>
          </w:p>
        </w:tc>
        <w:tc>
          <w:tcPr>
            <w:tcW w:w="925" w:type="dxa"/>
            <w:vMerge w:val="restart"/>
            <w:tcBorders>
              <w:top w:val="single" w:color="auto" w:sz="4" w:space="0"/>
              <w:left w:val="single" w:color="auto" w:sz="4" w:space="0"/>
              <w:bottom w:val="single" w:color="auto" w:sz="4" w:space="0"/>
              <w:right w:val="single" w:color="auto" w:sz="4" w:space="0"/>
            </w:tcBorders>
            <w:noWrap w:val="0"/>
            <w:vAlign w:val="center"/>
          </w:tcPr>
          <w:p w14:paraId="39B557BC">
            <w:pPr>
              <w:widowControl/>
              <w:jc w:val="center"/>
              <w:rPr>
                <w:rFonts w:ascii="宋体" w:hAnsi="宋体" w:cs="宋体"/>
                <w:b/>
                <w:sz w:val="24"/>
              </w:rPr>
            </w:pPr>
            <w:r>
              <w:rPr>
                <w:rFonts w:hint="eastAsia" w:ascii="宋体" w:hAnsi="宋体" w:cs="宋体"/>
                <w:b/>
                <w:sz w:val="24"/>
              </w:rPr>
              <w:t>扣分时间</w:t>
            </w:r>
          </w:p>
        </w:tc>
        <w:tc>
          <w:tcPr>
            <w:tcW w:w="2028" w:type="dxa"/>
            <w:gridSpan w:val="2"/>
            <w:tcBorders>
              <w:top w:val="single" w:color="auto" w:sz="4" w:space="0"/>
              <w:left w:val="single" w:color="auto" w:sz="4" w:space="0"/>
              <w:bottom w:val="single" w:color="auto" w:sz="4" w:space="0"/>
              <w:right w:val="single" w:color="auto" w:sz="4" w:space="0"/>
            </w:tcBorders>
            <w:noWrap w:val="0"/>
            <w:vAlign w:val="center"/>
          </w:tcPr>
          <w:p w14:paraId="439B1DD1">
            <w:pPr>
              <w:widowControl/>
              <w:jc w:val="center"/>
              <w:rPr>
                <w:rFonts w:ascii="宋体" w:hAnsi="宋体" w:cs="宋体"/>
                <w:b/>
                <w:sz w:val="24"/>
              </w:rPr>
            </w:pPr>
            <w:r>
              <w:rPr>
                <w:rFonts w:hint="eastAsia" w:ascii="宋体" w:hAnsi="宋体" w:cs="宋体"/>
                <w:b/>
                <w:sz w:val="24"/>
              </w:rPr>
              <w:t>总体评估</w:t>
            </w:r>
          </w:p>
        </w:tc>
        <w:tc>
          <w:tcPr>
            <w:tcW w:w="687"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59A5CF9C">
            <w:pPr>
              <w:widowControl/>
              <w:jc w:val="center"/>
              <w:rPr>
                <w:rFonts w:ascii="宋体" w:hAnsi="宋体" w:cs="宋体"/>
                <w:b/>
                <w:sz w:val="24"/>
              </w:rPr>
            </w:pPr>
            <w:r>
              <w:rPr>
                <w:rFonts w:hint="eastAsia" w:ascii="宋体" w:hAnsi="宋体" w:cs="宋体"/>
                <w:b/>
                <w:sz w:val="24"/>
              </w:rPr>
              <w:t>备注</w:t>
            </w:r>
          </w:p>
        </w:tc>
      </w:tr>
      <w:tr w14:paraId="0531FB18">
        <w:tblPrEx>
          <w:tblCellMar>
            <w:top w:w="0" w:type="dxa"/>
            <w:left w:w="108" w:type="dxa"/>
            <w:bottom w:w="0" w:type="dxa"/>
            <w:right w:w="108" w:type="dxa"/>
          </w:tblCellMar>
        </w:tblPrEx>
        <w:trPr>
          <w:gridAfter w:val="1"/>
          <w:wAfter w:w="799" w:type="dxa"/>
          <w:trHeight w:val="534" w:hRule="atLeast"/>
        </w:trPr>
        <w:tc>
          <w:tcPr>
            <w:tcW w:w="705" w:type="dxa"/>
            <w:vMerge w:val="continue"/>
            <w:tcBorders>
              <w:left w:val="single" w:color="auto" w:sz="4" w:space="0"/>
              <w:bottom w:val="single" w:color="auto" w:sz="4" w:space="0"/>
              <w:right w:val="single" w:color="auto" w:sz="4" w:space="0"/>
            </w:tcBorders>
            <w:noWrap w:val="0"/>
            <w:vAlign w:val="center"/>
          </w:tcPr>
          <w:p w14:paraId="7CFF0418">
            <w:pPr>
              <w:widowControl/>
              <w:jc w:val="center"/>
              <w:rPr>
                <w:rFonts w:ascii="宋体" w:hAnsi="宋体" w:cs="宋体"/>
                <w:b/>
                <w:sz w:val="24"/>
              </w:rPr>
            </w:pPr>
          </w:p>
        </w:tc>
        <w:tc>
          <w:tcPr>
            <w:tcW w:w="1685" w:type="dxa"/>
            <w:vMerge w:val="continue"/>
            <w:tcBorders>
              <w:left w:val="single" w:color="auto" w:sz="4" w:space="0"/>
              <w:bottom w:val="single" w:color="auto" w:sz="4" w:space="0"/>
              <w:right w:val="single" w:color="auto" w:sz="4" w:space="0"/>
            </w:tcBorders>
            <w:noWrap w:val="0"/>
            <w:vAlign w:val="center"/>
          </w:tcPr>
          <w:p w14:paraId="1F96ED5D">
            <w:pPr>
              <w:widowControl/>
              <w:jc w:val="center"/>
              <w:rPr>
                <w:rFonts w:ascii="宋体" w:hAnsi="宋体" w:cs="宋体"/>
                <w:b/>
                <w:sz w:val="24"/>
              </w:rPr>
            </w:pPr>
          </w:p>
        </w:tc>
        <w:tc>
          <w:tcPr>
            <w:tcW w:w="1328" w:type="dxa"/>
            <w:vMerge w:val="continue"/>
            <w:tcBorders>
              <w:left w:val="single" w:color="auto" w:sz="4" w:space="0"/>
              <w:bottom w:val="single" w:color="auto" w:sz="4" w:space="0"/>
              <w:right w:val="single" w:color="auto" w:sz="4" w:space="0"/>
            </w:tcBorders>
            <w:noWrap w:val="0"/>
            <w:vAlign w:val="center"/>
          </w:tcPr>
          <w:p w14:paraId="2343FE4A">
            <w:pPr>
              <w:widowControl/>
              <w:jc w:val="center"/>
              <w:rPr>
                <w:rFonts w:ascii="宋体" w:hAnsi="宋体" w:cs="宋体"/>
                <w:b/>
                <w:sz w:val="24"/>
              </w:rPr>
            </w:pPr>
          </w:p>
        </w:tc>
        <w:tc>
          <w:tcPr>
            <w:tcW w:w="908" w:type="dxa"/>
            <w:tcBorders>
              <w:top w:val="single" w:color="auto" w:sz="4" w:space="0"/>
              <w:left w:val="nil"/>
              <w:bottom w:val="single" w:color="auto" w:sz="4" w:space="0"/>
              <w:right w:val="single" w:color="auto" w:sz="4" w:space="0"/>
            </w:tcBorders>
            <w:noWrap w:val="0"/>
            <w:vAlign w:val="center"/>
          </w:tcPr>
          <w:p w14:paraId="39AEC641">
            <w:pPr>
              <w:widowControl/>
              <w:jc w:val="center"/>
              <w:rPr>
                <w:rFonts w:ascii="宋体" w:hAnsi="宋体" w:cs="宋体"/>
                <w:b/>
                <w:sz w:val="24"/>
              </w:rPr>
            </w:pPr>
            <w:r>
              <w:rPr>
                <w:rFonts w:hint="eastAsia" w:ascii="宋体" w:hAnsi="宋体" w:cs="宋体"/>
                <w:b/>
                <w:sz w:val="24"/>
              </w:rPr>
              <w:t>质量</w:t>
            </w:r>
          </w:p>
        </w:tc>
        <w:tc>
          <w:tcPr>
            <w:tcW w:w="788" w:type="dxa"/>
            <w:tcBorders>
              <w:top w:val="single" w:color="auto" w:sz="4" w:space="0"/>
              <w:left w:val="nil"/>
              <w:bottom w:val="single" w:color="auto" w:sz="4" w:space="0"/>
              <w:right w:val="single" w:color="auto" w:sz="4" w:space="0"/>
            </w:tcBorders>
            <w:noWrap w:val="0"/>
            <w:vAlign w:val="center"/>
          </w:tcPr>
          <w:p w14:paraId="7075496A">
            <w:pPr>
              <w:widowControl/>
              <w:jc w:val="center"/>
              <w:rPr>
                <w:rFonts w:ascii="宋体" w:hAnsi="宋体" w:cs="宋体"/>
                <w:b/>
                <w:sz w:val="24"/>
              </w:rPr>
            </w:pPr>
            <w:r>
              <w:rPr>
                <w:rFonts w:hint="eastAsia" w:ascii="宋体" w:hAnsi="宋体" w:cs="宋体"/>
                <w:b/>
                <w:sz w:val="24"/>
              </w:rPr>
              <w:t>交货</w:t>
            </w:r>
          </w:p>
        </w:tc>
        <w:tc>
          <w:tcPr>
            <w:tcW w:w="824" w:type="dxa"/>
            <w:tcBorders>
              <w:top w:val="single" w:color="auto" w:sz="4" w:space="0"/>
              <w:left w:val="nil"/>
              <w:bottom w:val="single" w:color="auto" w:sz="4" w:space="0"/>
              <w:right w:val="single" w:color="auto" w:sz="4" w:space="0"/>
            </w:tcBorders>
            <w:noWrap w:val="0"/>
            <w:vAlign w:val="center"/>
          </w:tcPr>
          <w:p w14:paraId="6A4BAAC5">
            <w:pPr>
              <w:widowControl/>
              <w:jc w:val="center"/>
              <w:rPr>
                <w:rFonts w:ascii="宋体" w:hAnsi="宋体" w:cs="宋体"/>
                <w:b/>
                <w:sz w:val="24"/>
              </w:rPr>
            </w:pPr>
            <w:r>
              <w:rPr>
                <w:rFonts w:hint="eastAsia" w:ascii="宋体" w:hAnsi="宋体" w:cs="宋体"/>
                <w:b/>
                <w:sz w:val="24"/>
              </w:rPr>
              <w:t>售后</w:t>
            </w:r>
          </w:p>
        </w:tc>
        <w:tc>
          <w:tcPr>
            <w:tcW w:w="703" w:type="dxa"/>
            <w:tcBorders>
              <w:top w:val="single" w:color="auto" w:sz="4" w:space="0"/>
              <w:left w:val="nil"/>
              <w:bottom w:val="single" w:color="auto" w:sz="4" w:space="0"/>
              <w:right w:val="single" w:color="auto" w:sz="4" w:space="0"/>
            </w:tcBorders>
            <w:noWrap w:val="0"/>
            <w:vAlign w:val="center"/>
          </w:tcPr>
          <w:p w14:paraId="70BFC3BF">
            <w:pPr>
              <w:widowControl/>
              <w:jc w:val="center"/>
              <w:rPr>
                <w:rFonts w:ascii="宋体" w:hAnsi="宋体" w:cs="宋体"/>
                <w:b/>
                <w:sz w:val="24"/>
              </w:rPr>
            </w:pPr>
            <w:r>
              <w:rPr>
                <w:rFonts w:hint="eastAsia" w:ascii="宋体" w:hAnsi="宋体" w:cs="宋体"/>
                <w:b/>
                <w:sz w:val="24"/>
              </w:rPr>
              <w:t>资信</w:t>
            </w:r>
          </w:p>
        </w:tc>
        <w:tc>
          <w:tcPr>
            <w:tcW w:w="753" w:type="dxa"/>
            <w:tcBorders>
              <w:top w:val="single" w:color="auto" w:sz="4" w:space="0"/>
              <w:left w:val="nil"/>
              <w:bottom w:val="single" w:color="auto" w:sz="4" w:space="0"/>
              <w:right w:val="single" w:color="auto" w:sz="4" w:space="0"/>
            </w:tcBorders>
            <w:noWrap w:val="0"/>
            <w:vAlign w:val="center"/>
          </w:tcPr>
          <w:p w14:paraId="43ABC20C">
            <w:pPr>
              <w:widowControl/>
              <w:jc w:val="center"/>
              <w:rPr>
                <w:rFonts w:ascii="宋体" w:hAnsi="宋体" w:cs="宋体"/>
                <w:b/>
                <w:sz w:val="24"/>
              </w:rPr>
            </w:pPr>
            <w:r>
              <w:rPr>
                <w:rFonts w:hint="eastAsia" w:ascii="宋体" w:hAnsi="宋体" w:cs="宋体"/>
                <w:b/>
                <w:sz w:val="24"/>
              </w:rPr>
              <w:t>其他</w:t>
            </w:r>
          </w:p>
        </w:tc>
        <w:tc>
          <w:tcPr>
            <w:tcW w:w="806" w:type="dxa"/>
            <w:tcBorders>
              <w:top w:val="single" w:color="auto" w:sz="4" w:space="0"/>
              <w:left w:val="nil"/>
              <w:bottom w:val="single" w:color="auto" w:sz="4" w:space="0"/>
              <w:right w:val="single" w:color="auto" w:sz="4" w:space="0"/>
            </w:tcBorders>
            <w:noWrap w:val="0"/>
            <w:vAlign w:val="center"/>
          </w:tcPr>
          <w:p w14:paraId="5FB54ADF">
            <w:pPr>
              <w:widowControl/>
              <w:jc w:val="center"/>
              <w:rPr>
                <w:rFonts w:ascii="宋体" w:hAnsi="宋体" w:cs="宋体"/>
                <w:b/>
                <w:sz w:val="24"/>
              </w:rPr>
            </w:pPr>
            <w:r>
              <w:rPr>
                <w:rFonts w:hint="eastAsia" w:ascii="宋体" w:hAnsi="宋体" w:cs="宋体"/>
                <w:b/>
                <w:sz w:val="24"/>
              </w:rPr>
              <w:t>累计</w:t>
            </w:r>
          </w:p>
        </w:tc>
        <w:tc>
          <w:tcPr>
            <w:tcW w:w="925" w:type="dxa"/>
            <w:vMerge w:val="continue"/>
            <w:tcBorders>
              <w:top w:val="single" w:color="auto" w:sz="4" w:space="0"/>
              <w:left w:val="nil"/>
              <w:bottom w:val="single" w:color="auto" w:sz="4" w:space="0"/>
              <w:right w:val="single" w:color="auto" w:sz="4" w:space="0"/>
            </w:tcBorders>
            <w:noWrap w:val="0"/>
            <w:vAlign w:val="center"/>
          </w:tcPr>
          <w:p w14:paraId="1E0231D8">
            <w:pPr>
              <w:widowControl/>
              <w:jc w:val="center"/>
              <w:rPr>
                <w:rFonts w:ascii="宋体" w:hAnsi="宋体" w:cs="宋体"/>
                <w:b/>
                <w:sz w:val="24"/>
              </w:rPr>
            </w:pPr>
          </w:p>
        </w:tc>
        <w:tc>
          <w:tcPr>
            <w:tcW w:w="871" w:type="dxa"/>
            <w:tcBorders>
              <w:top w:val="single" w:color="auto" w:sz="4" w:space="0"/>
              <w:left w:val="single" w:color="auto" w:sz="4" w:space="0"/>
              <w:bottom w:val="single" w:color="auto" w:sz="4" w:space="0"/>
              <w:right w:val="single" w:color="auto" w:sz="4" w:space="0"/>
            </w:tcBorders>
            <w:noWrap w:val="0"/>
            <w:vAlign w:val="center"/>
          </w:tcPr>
          <w:p w14:paraId="426E752F">
            <w:pPr>
              <w:widowControl/>
              <w:jc w:val="center"/>
              <w:rPr>
                <w:rFonts w:ascii="宋体" w:hAnsi="宋体" w:cs="宋体"/>
                <w:b/>
                <w:sz w:val="24"/>
              </w:rPr>
            </w:pPr>
            <w:r>
              <w:rPr>
                <w:rFonts w:hint="eastAsia" w:ascii="宋体" w:hAnsi="宋体" w:cs="宋体"/>
                <w:b/>
                <w:sz w:val="24"/>
              </w:rPr>
              <w:t>继续合作</w:t>
            </w:r>
          </w:p>
        </w:tc>
        <w:tc>
          <w:tcPr>
            <w:tcW w:w="1157" w:type="dxa"/>
            <w:tcBorders>
              <w:top w:val="single" w:color="auto" w:sz="4" w:space="0"/>
              <w:left w:val="single" w:color="auto" w:sz="4" w:space="0"/>
              <w:bottom w:val="single" w:color="auto" w:sz="4" w:space="0"/>
              <w:right w:val="single" w:color="auto" w:sz="4" w:space="0"/>
            </w:tcBorders>
            <w:noWrap w:val="0"/>
            <w:vAlign w:val="center"/>
          </w:tcPr>
          <w:p w14:paraId="534DC6D9">
            <w:pPr>
              <w:widowControl/>
              <w:jc w:val="center"/>
              <w:rPr>
                <w:rFonts w:ascii="宋体" w:hAnsi="宋体" w:cs="宋体"/>
                <w:b/>
                <w:sz w:val="24"/>
              </w:rPr>
            </w:pPr>
            <w:r>
              <w:rPr>
                <w:rFonts w:hint="eastAsia" w:ascii="宋体" w:hAnsi="宋体" w:cs="宋体"/>
                <w:b/>
                <w:sz w:val="24"/>
              </w:rPr>
              <w:t>列入负面清单</w:t>
            </w:r>
          </w:p>
        </w:tc>
        <w:tc>
          <w:tcPr>
            <w:tcW w:w="687" w:type="dxa"/>
            <w:gridSpan w:val="2"/>
            <w:vMerge w:val="continue"/>
            <w:tcBorders>
              <w:top w:val="single" w:color="auto" w:sz="4" w:space="0"/>
              <w:left w:val="nil"/>
              <w:bottom w:val="single" w:color="auto" w:sz="4" w:space="0"/>
              <w:right w:val="single" w:color="auto" w:sz="4" w:space="0"/>
            </w:tcBorders>
            <w:noWrap w:val="0"/>
            <w:vAlign w:val="center"/>
          </w:tcPr>
          <w:p w14:paraId="7AA6D60E">
            <w:pPr>
              <w:widowControl/>
              <w:jc w:val="center"/>
              <w:rPr>
                <w:rFonts w:ascii="宋体" w:hAnsi="宋体" w:cs="宋体"/>
                <w:b/>
                <w:sz w:val="24"/>
              </w:rPr>
            </w:pPr>
          </w:p>
        </w:tc>
      </w:tr>
      <w:tr w14:paraId="36678A19">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307EF3CA">
            <w:pPr>
              <w:widowControl/>
              <w:jc w:val="center"/>
              <w:rPr>
                <w:rFonts w:ascii="Arial" w:hAnsi="Arial" w:cs="Arial"/>
                <w:sz w:val="24"/>
              </w:rPr>
            </w:pPr>
          </w:p>
        </w:tc>
        <w:tc>
          <w:tcPr>
            <w:tcW w:w="1685" w:type="dxa"/>
            <w:tcBorders>
              <w:top w:val="nil"/>
              <w:left w:val="nil"/>
              <w:bottom w:val="single" w:color="auto" w:sz="4" w:space="0"/>
              <w:right w:val="single" w:color="auto" w:sz="4" w:space="0"/>
            </w:tcBorders>
            <w:noWrap w:val="0"/>
            <w:vAlign w:val="center"/>
          </w:tcPr>
          <w:p w14:paraId="76357232">
            <w:pPr>
              <w:widowControl/>
              <w:jc w:val="center"/>
              <w:rPr>
                <w:rFonts w:ascii="Arial" w:hAnsi="Arial" w:cs="Arial"/>
                <w:sz w:val="24"/>
              </w:rPr>
            </w:pPr>
          </w:p>
        </w:tc>
        <w:tc>
          <w:tcPr>
            <w:tcW w:w="1328" w:type="dxa"/>
            <w:tcBorders>
              <w:top w:val="nil"/>
              <w:left w:val="nil"/>
              <w:bottom w:val="single" w:color="auto" w:sz="4" w:space="0"/>
              <w:right w:val="single" w:color="auto" w:sz="4" w:space="0"/>
            </w:tcBorders>
            <w:noWrap w:val="0"/>
            <w:vAlign w:val="center"/>
          </w:tcPr>
          <w:p w14:paraId="5A8CB7B0">
            <w:pPr>
              <w:widowControl/>
              <w:jc w:val="center"/>
              <w:rPr>
                <w:rFonts w:ascii="Calibri" w:hAnsi="Calibri" w:cs="宋体"/>
                <w:sz w:val="24"/>
              </w:rPr>
            </w:pPr>
          </w:p>
        </w:tc>
        <w:tc>
          <w:tcPr>
            <w:tcW w:w="908" w:type="dxa"/>
            <w:tcBorders>
              <w:top w:val="nil"/>
              <w:left w:val="nil"/>
              <w:bottom w:val="single" w:color="auto" w:sz="4" w:space="0"/>
              <w:right w:val="single" w:color="auto" w:sz="4" w:space="0"/>
            </w:tcBorders>
            <w:noWrap w:val="0"/>
            <w:vAlign w:val="center"/>
          </w:tcPr>
          <w:p w14:paraId="2E2B7201">
            <w:pPr>
              <w:widowControl/>
              <w:jc w:val="center"/>
              <w:rPr>
                <w:rFonts w:ascii="Calibri" w:hAnsi="Calibri" w:cs="宋体"/>
                <w:sz w:val="24"/>
              </w:rPr>
            </w:pPr>
          </w:p>
        </w:tc>
        <w:tc>
          <w:tcPr>
            <w:tcW w:w="788" w:type="dxa"/>
            <w:tcBorders>
              <w:top w:val="nil"/>
              <w:left w:val="nil"/>
              <w:bottom w:val="single" w:color="auto" w:sz="4" w:space="0"/>
              <w:right w:val="single" w:color="auto" w:sz="4" w:space="0"/>
            </w:tcBorders>
            <w:noWrap w:val="0"/>
            <w:vAlign w:val="center"/>
          </w:tcPr>
          <w:p w14:paraId="65935547">
            <w:pPr>
              <w:widowControl/>
              <w:jc w:val="center"/>
              <w:rPr>
                <w:rFonts w:ascii="Calibri" w:hAnsi="Calibri" w:cs="宋体"/>
                <w:sz w:val="24"/>
              </w:rPr>
            </w:pPr>
          </w:p>
        </w:tc>
        <w:tc>
          <w:tcPr>
            <w:tcW w:w="824" w:type="dxa"/>
            <w:tcBorders>
              <w:top w:val="nil"/>
              <w:left w:val="nil"/>
              <w:bottom w:val="single" w:color="auto" w:sz="4" w:space="0"/>
              <w:right w:val="single" w:color="auto" w:sz="4" w:space="0"/>
            </w:tcBorders>
            <w:noWrap w:val="0"/>
            <w:vAlign w:val="center"/>
          </w:tcPr>
          <w:p w14:paraId="4C40E01F">
            <w:pPr>
              <w:widowControl/>
              <w:jc w:val="center"/>
              <w:rPr>
                <w:rFonts w:ascii="Calibri" w:hAnsi="Calibri" w:cs="宋体"/>
                <w:sz w:val="24"/>
              </w:rPr>
            </w:pPr>
          </w:p>
        </w:tc>
        <w:tc>
          <w:tcPr>
            <w:tcW w:w="703" w:type="dxa"/>
            <w:tcBorders>
              <w:top w:val="nil"/>
              <w:left w:val="nil"/>
              <w:bottom w:val="single" w:color="auto" w:sz="4" w:space="0"/>
              <w:right w:val="single" w:color="auto" w:sz="4" w:space="0"/>
            </w:tcBorders>
            <w:noWrap w:val="0"/>
            <w:vAlign w:val="center"/>
          </w:tcPr>
          <w:p w14:paraId="223B15D7">
            <w:pPr>
              <w:widowControl/>
              <w:jc w:val="center"/>
              <w:rPr>
                <w:rFonts w:ascii="Calibri" w:hAnsi="Calibri" w:cs="宋体"/>
                <w:sz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08365947">
            <w:pPr>
              <w:widowControl/>
              <w:jc w:val="center"/>
              <w:rPr>
                <w:rFonts w:ascii="Calibri" w:hAnsi="Calibri" w:cs="宋体"/>
                <w:sz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2148854C">
            <w:pPr>
              <w:widowControl/>
              <w:jc w:val="center"/>
              <w:rPr>
                <w:rFonts w:ascii="Calibri" w:hAnsi="Calibri" w:cs="宋体"/>
                <w:sz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3E06E42E">
            <w:pPr>
              <w:widowControl/>
              <w:jc w:val="center"/>
              <w:rPr>
                <w:rFonts w:ascii="宋体" w:hAnsi="宋体" w:cs="宋体"/>
                <w:b/>
                <w:sz w:val="24"/>
              </w:rPr>
            </w:pPr>
          </w:p>
        </w:tc>
        <w:tc>
          <w:tcPr>
            <w:tcW w:w="871" w:type="dxa"/>
            <w:tcBorders>
              <w:top w:val="single" w:color="auto" w:sz="4" w:space="0"/>
              <w:left w:val="nil"/>
              <w:bottom w:val="single" w:color="auto" w:sz="4" w:space="0"/>
              <w:right w:val="single" w:color="auto" w:sz="4" w:space="0"/>
            </w:tcBorders>
            <w:noWrap w:val="0"/>
            <w:vAlign w:val="center"/>
          </w:tcPr>
          <w:p w14:paraId="04B96F89">
            <w:pPr>
              <w:widowControl/>
              <w:jc w:val="center"/>
              <w:rPr>
                <w:rFonts w:ascii="Calibri" w:hAnsi="Calibri" w:cs="宋体"/>
                <w:sz w:val="24"/>
              </w:rPr>
            </w:pPr>
          </w:p>
        </w:tc>
        <w:tc>
          <w:tcPr>
            <w:tcW w:w="1157" w:type="dxa"/>
            <w:tcBorders>
              <w:top w:val="single" w:color="auto" w:sz="4" w:space="0"/>
              <w:left w:val="nil"/>
              <w:bottom w:val="single" w:color="auto" w:sz="4" w:space="0"/>
              <w:right w:val="single" w:color="auto" w:sz="4" w:space="0"/>
            </w:tcBorders>
            <w:noWrap w:val="0"/>
            <w:vAlign w:val="center"/>
          </w:tcPr>
          <w:p w14:paraId="23681530">
            <w:pPr>
              <w:widowControl/>
              <w:jc w:val="center"/>
              <w:rPr>
                <w:rFonts w:ascii="Calibri" w:hAnsi="Calibri" w:cs="宋体"/>
                <w:sz w:val="24"/>
              </w:rPr>
            </w:pPr>
          </w:p>
        </w:tc>
        <w:tc>
          <w:tcPr>
            <w:tcW w:w="687" w:type="dxa"/>
            <w:gridSpan w:val="2"/>
            <w:tcBorders>
              <w:top w:val="nil"/>
              <w:left w:val="nil"/>
              <w:bottom w:val="single" w:color="auto" w:sz="4" w:space="0"/>
              <w:right w:val="single" w:color="auto" w:sz="4" w:space="0"/>
            </w:tcBorders>
            <w:noWrap w:val="0"/>
            <w:vAlign w:val="center"/>
          </w:tcPr>
          <w:p w14:paraId="763B72B2">
            <w:pPr>
              <w:widowControl/>
              <w:jc w:val="center"/>
              <w:rPr>
                <w:rFonts w:ascii="Calibri" w:hAnsi="Calibri" w:cs="宋体"/>
                <w:sz w:val="24"/>
              </w:rPr>
            </w:pPr>
          </w:p>
        </w:tc>
      </w:tr>
      <w:tr w14:paraId="10965BB2">
        <w:tblPrEx>
          <w:tblCellMar>
            <w:top w:w="0" w:type="dxa"/>
            <w:left w:w="108" w:type="dxa"/>
            <w:bottom w:w="0" w:type="dxa"/>
            <w:right w:w="108" w:type="dxa"/>
          </w:tblCellMar>
        </w:tblPrEx>
        <w:trPr>
          <w:gridAfter w:val="1"/>
          <w:wAfter w:w="799" w:type="dxa"/>
          <w:trHeight w:val="343" w:hRule="atLeast"/>
        </w:trPr>
        <w:tc>
          <w:tcPr>
            <w:tcW w:w="705" w:type="dxa"/>
            <w:tcBorders>
              <w:top w:val="nil"/>
              <w:left w:val="single" w:color="auto" w:sz="4" w:space="0"/>
              <w:bottom w:val="single" w:color="auto" w:sz="4" w:space="0"/>
              <w:right w:val="single" w:color="auto" w:sz="4" w:space="0"/>
            </w:tcBorders>
            <w:noWrap w:val="0"/>
            <w:vAlign w:val="center"/>
          </w:tcPr>
          <w:p w14:paraId="19887BDC">
            <w:pPr>
              <w:widowControl/>
              <w:jc w:val="center"/>
              <w:rPr>
                <w:rFonts w:ascii="Arial" w:hAnsi="Arial" w:cs="Arial"/>
                <w:sz w:val="24"/>
              </w:rPr>
            </w:pPr>
          </w:p>
        </w:tc>
        <w:tc>
          <w:tcPr>
            <w:tcW w:w="1685" w:type="dxa"/>
            <w:tcBorders>
              <w:top w:val="nil"/>
              <w:left w:val="nil"/>
              <w:bottom w:val="single" w:color="auto" w:sz="4" w:space="0"/>
              <w:right w:val="single" w:color="auto" w:sz="4" w:space="0"/>
            </w:tcBorders>
            <w:noWrap w:val="0"/>
            <w:vAlign w:val="center"/>
          </w:tcPr>
          <w:p w14:paraId="3DE4F26F">
            <w:pPr>
              <w:widowControl/>
              <w:jc w:val="center"/>
              <w:rPr>
                <w:rFonts w:ascii="Arial" w:hAnsi="Arial" w:cs="Arial"/>
                <w:sz w:val="24"/>
              </w:rPr>
            </w:pPr>
          </w:p>
        </w:tc>
        <w:tc>
          <w:tcPr>
            <w:tcW w:w="1328" w:type="dxa"/>
            <w:tcBorders>
              <w:top w:val="nil"/>
              <w:left w:val="nil"/>
              <w:bottom w:val="single" w:color="auto" w:sz="4" w:space="0"/>
              <w:right w:val="single" w:color="auto" w:sz="4" w:space="0"/>
            </w:tcBorders>
            <w:noWrap w:val="0"/>
            <w:vAlign w:val="center"/>
          </w:tcPr>
          <w:p w14:paraId="6901C493">
            <w:pPr>
              <w:widowControl/>
              <w:jc w:val="center"/>
              <w:rPr>
                <w:rFonts w:ascii="Calibri" w:hAnsi="Calibri" w:cs="宋体"/>
                <w:sz w:val="24"/>
              </w:rPr>
            </w:pPr>
          </w:p>
        </w:tc>
        <w:tc>
          <w:tcPr>
            <w:tcW w:w="908" w:type="dxa"/>
            <w:tcBorders>
              <w:top w:val="nil"/>
              <w:left w:val="nil"/>
              <w:bottom w:val="single" w:color="auto" w:sz="4" w:space="0"/>
              <w:right w:val="single" w:color="auto" w:sz="4" w:space="0"/>
            </w:tcBorders>
            <w:noWrap w:val="0"/>
            <w:vAlign w:val="center"/>
          </w:tcPr>
          <w:p w14:paraId="53CC2456">
            <w:pPr>
              <w:widowControl/>
              <w:jc w:val="center"/>
              <w:rPr>
                <w:rFonts w:ascii="Calibri" w:hAnsi="Calibri" w:cs="宋体"/>
                <w:sz w:val="24"/>
              </w:rPr>
            </w:pPr>
          </w:p>
        </w:tc>
        <w:tc>
          <w:tcPr>
            <w:tcW w:w="788" w:type="dxa"/>
            <w:tcBorders>
              <w:top w:val="nil"/>
              <w:left w:val="nil"/>
              <w:bottom w:val="single" w:color="auto" w:sz="4" w:space="0"/>
              <w:right w:val="single" w:color="auto" w:sz="4" w:space="0"/>
            </w:tcBorders>
            <w:noWrap w:val="0"/>
            <w:vAlign w:val="center"/>
          </w:tcPr>
          <w:p w14:paraId="1EBF26DD">
            <w:pPr>
              <w:widowControl/>
              <w:jc w:val="center"/>
              <w:rPr>
                <w:rFonts w:ascii="Calibri" w:hAnsi="Calibri" w:cs="宋体"/>
                <w:sz w:val="24"/>
              </w:rPr>
            </w:pPr>
          </w:p>
        </w:tc>
        <w:tc>
          <w:tcPr>
            <w:tcW w:w="824" w:type="dxa"/>
            <w:tcBorders>
              <w:top w:val="nil"/>
              <w:left w:val="nil"/>
              <w:bottom w:val="single" w:color="auto" w:sz="4" w:space="0"/>
              <w:right w:val="single" w:color="auto" w:sz="4" w:space="0"/>
            </w:tcBorders>
            <w:noWrap w:val="0"/>
            <w:vAlign w:val="center"/>
          </w:tcPr>
          <w:p w14:paraId="3427A23C">
            <w:pPr>
              <w:widowControl/>
              <w:jc w:val="center"/>
              <w:rPr>
                <w:rFonts w:ascii="Calibri" w:hAnsi="Calibri" w:cs="宋体"/>
                <w:sz w:val="24"/>
              </w:rPr>
            </w:pPr>
          </w:p>
        </w:tc>
        <w:tc>
          <w:tcPr>
            <w:tcW w:w="703" w:type="dxa"/>
            <w:tcBorders>
              <w:top w:val="nil"/>
              <w:left w:val="nil"/>
              <w:bottom w:val="single" w:color="auto" w:sz="4" w:space="0"/>
              <w:right w:val="single" w:color="auto" w:sz="4" w:space="0"/>
            </w:tcBorders>
            <w:noWrap w:val="0"/>
            <w:vAlign w:val="center"/>
          </w:tcPr>
          <w:p w14:paraId="68BBABC8">
            <w:pPr>
              <w:widowControl/>
              <w:jc w:val="center"/>
              <w:rPr>
                <w:rFonts w:ascii="Calibri" w:hAnsi="Calibri" w:cs="宋体"/>
                <w:sz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402E4503">
            <w:pPr>
              <w:widowControl/>
              <w:jc w:val="center"/>
              <w:rPr>
                <w:rFonts w:ascii="Calibri" w:hAnsi="Calibri" w:cs="宋体"/>
                <w:sz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3BF0B827">
            <w:pPr>
              <w:widowControl/>
              <w:jc w:val="center"/>
              <w:rPr>
                <w:rFonts w:ascii="Calibri" w:hAnsi="Calibri" w:cs="宋体"/>
                <w:sz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5D9E1443">
            <w:pPr>
              <w:widowControl/>
              <w:jc w:val="center"/>
              <w:rPr>
                <w:rFonts w:ascii="宋体" w:hAnsi="宋体" w:cs="宋体"/>
                <w:b/>
                <w:sz w:val="24"/>
              </w:rPr>
            </w:pPr>
          </w:p>
        </w:tc>
        <w:tc>
          <w:tcPr>
            <w:tcW w:w="871" w:type="dxa"/>
            <w:tcBorders>
              <w:top w:val="nil"/>
              <w:left w:val="nil"/>
              <w:bottom w:val="single" w:color="auto" w:sz="4" w:space="0"/>
              <w:right w:val="single" w:color="auto" w:sz="4" w:space="0"/>
            </w:tcBorders>
            <w:noWrap w:val="0"/>
            <w:vAlign w:val="center"/>
          </w:tcPr>
          <w:p w14:paraId="60018721">
            <w:pPr>
              <w:widowControl/>
              <w:jc w:val="center"/>
              <w:rPr>
                <w:rFonts w:ascii="Calibri" w:hAnsi="Calibri" w:cs="宋体"/>
                <w:sz w:val="24"/>
              </w:rPr>
            </w:pPr>
          </w:p>
        </w:tc>
        <w:tc>
          <w:tcPr>
            <w:tcW w:w="1157" w:type="dxa"/>
            <w:tcBorders>
              <w:top w:val="nil"/>
              <w:left w:val="nil"/>
              <w:bottom w:val="single" w:color="auto" w:sz="4" w:space="0"/>
              <w:right w:val="single" w:color="auto" w:sz="4" w:space="0"/>
            </w:tcBorders>
            <w:noWrap w:val="0"/>
            <w:vAlign w:val="center"/>
          </w:tcPr>
          <w:p w14:paraId="4AC90E65">
            <w:pPr>
              <w:widowControl/>
              <w:jc w:val="center"/>
              <w:rPr>
                <w:rFonts w:ascii="Calibri" w:hAnsi="Calibri" w:cs="宋体"/>
                <w:sz w:val="24"/>
              </w:rPr>
            </w:pPr>
          </w:p>
        </w:tc>
        <w:tc>
          <w:tcPr>
            <w:tcW w:w="687" w:type="dxa"/>
            <w:gridSpan w:val="2"/>
            <w:tcBorders>
              <w:top w:val="nil"/>
              <w:left w:val="nil"/>
              <w:bottom w:val="single" w:color="auto" w:sz="4" w:space="0"/>
              <w:right w:val="single" w:color="auto" w:sz="4" w:space="0"/>
            </w:tcBorders>
            <w:noWrap w:val="0"/>
            <w:vAlign w:val="center"/>
          </w:tcPr>
          <w:p w14:paraId="4565DB4F">
            <w:pPr>
              <w:widowControl/>
              <w:jc w:val="center"/>
              <w:rPr>
                <w:rFonts w:ascii="Calibri" w:hAnsi="Calibri" w:cs="宋体"/>
                <w:sz w:val="24"/>
              </w:rPr>
            </w:pPr>
          </w:p>
        </w:tc>
      </w:tr>
      <w:tr w14:paraId="598D6E1C">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3F1C9AFE">
            <w:pPr>
              <w:widowControl/>
              <w:jc w:val="center"/>
              <w:rPr>
                <w:rFonts w:ascii="Arial" w:hAnsi="Arial" w:cs="Arial"/>
                <w:sz w:val="24"/>
              </w:rPr>
            </w:pPr>
          </w:p>
        </w:tc>
        <w:tc>
          <w:tcPr>
            <w:tcW w:w="1685" w:type="dxa"/>
            <w:tcBorders>
              <w:top w:val="nil"/>
              <w:left w:val="nil"/>
              <w:bottom w:val="single" w:color="auto" w:sz="4" w:space="0"/>
              <w:right w:val="single" w:color="auto" w:sz="4" w:space="0"/>
            </w:tcBorders>
            <w:noWrap w:val="0"/>
            <w:vAlign w:val="center"/>
          </w:tcPr>
          <w:p w14:paraId="107AE109">
            <w:pPr>
              <w:widowControl/>
              <w:jc w:val="center"/>
              <w:rPr>
                <w:rFonts w:ascii="Arial" w:hAnsi="Arial" w:cs="Arial"/>
                <w:sz w:val="24"/>
              </w:rPr>
            </w:pPr>
          </w:p>
        </w:tc>
        <w:tc>
          <w:tcPr>
            <w:tcW w:w="1328" w:type="dxa"/>
            <w:tcBorders>
              <w:top w:val="nil"/>
              <w:left w:val="nil"/>
              <w:bottom w:val="single" w:color="auto" w:sz="4" w:space="0"/>
              <w:right w:val="single" w:color="auto" w:sz="4" w:space="0"/>
            </w:tcBorders>
            <w:noWrap w:val="0"/>
            <w:vAlign w:val="center"/>
          </w:tcPr>
          <w:p w14:paraId="44D5A21B">
            <w:pPr>
              <w:widowControl/>
              <w:jc w:val="center"/>
              <w:rPr>
                <w:rFonts w:ascii="Calibri" w:hAnsi="Calibri" w:cs="宋体"/>
                <w:sz w:val="24"/>
              </w:rPr>
            </w:pPr>
          </w:p>
        </w:tc>
        <w:tc>
          <w:tcPr>
            <w:tcW w:w="908" w:type="dxa"/>
            <w:tcBorders>
              <w:top w:val="nil"/>
              <w:left w:val="nil"/>
              <w:bottom w:val="single" w:color="auto" w:sz="4" w:space="0"/>
              <w:right w:val="single" w:color="auto" w:sz="4" w:space="0"/>
            </w:tcBorders>
            <w:noWrap w:val="0"/>
            <w:vAlign w:val="center"/>
          </w:tcPr>
          <w:p w14:paraId="5E8B87BE">
            <w:pPr>
              <w:widowControl/>
              <w:jc w:val="center"/>
              <w:rPr>
                <w:rFonts w:ascii="Calibri" w:hAnsi="Calibri" w:cs="宋体"/>
                <w:sz w:val="24"/>
              </w:rPr>
            </w:pPr>
          </w:p>
        </w:tc>
        <w:tc>
          <w:tcPr>
            <w:tcW w:w="788" w:type="dxa"/>
            <w:tcBorders>
              <w:top w:val="nil"/>
              <w:left w:val="nil"/>
              <w:bottom w:val="single" w:color="auto" w:sz="4" w:space="0"/>
              <w:right w:val="single" w:color="auto" w:sz="4" w:space="0"/>
            </w:tcBorders>
            <w:noWrap w:val="0"/>
            <w:vAlign w:val="center"/>
          </w:tcPr>
          <w:p w14:paraId="364F6F2B">
            <w:pPr>
              <w:widowControl/>
              <w:jc w:val="center"/>
              <w:rPr>
                <w:rFonts w:ascii="Calibri" w:hAnsi="Calibri" w:cs="宋体"/>
                <w:sz w:val="24"/>
              </w:rPr>
            </w:pPr>
          </w:p>
        </w:tc>
        <w:tc>
          <w:tcPr>
            <w:tcW w:w="824" w:type="dxa"/>
            <w:tcBorders>
              <w:top w:val="nil"/>
              <w:left w:val="nil"/>
              <w:bottom w:val="single" w:color="auto" w:sz="4" w:space="0"/>
              <w:right w:val="single" w:color="auto" w:sz="4" w:space="0"/>
            </w:tcBorders>
            <w:noWrap w:val="0"/>
            <w:vAlign w:val="center"/>
          </w:tcPr>
          <w:p w14:paraId="5E9E3399">
            <w:pPr>
              <w:widowControl/>
              <w:jc w:val="center"/>
              <w:rPr>
                <w:rFonts w:ascii="Calibri" w:hAnsi="Calibri" w:cs="宋体"/>
                <w:sz w:val="24"/>
              </w:rPr>
            </w:pPr>
          </w:p>
        </w:tc>
        <w:tc>
          <w:tcPr>
            <w:tcW w:w="703" w:type="dxa"/>
            <w:tcBorders>
              <w:top w:val="nil"/>
              <w:left w:val="nil"/>
              <w:bottom w:val="single" w:color="auto" w:sz="4" w:space="0"/>
              <w:right w:val="single" w:color="auto" w:sz="4" w:space="0"/>
            </w:tcBorders>
            <w:noWrap w:val="0"/>
            <w:vAlign w:val="center"/>
          </w:tcPr>
          <w:p w14:paraId="50DC18C1">
            <w:pPr>
              <w:widowControl/>
              <w:jc w:val="center"/>
              <w:rPr>
                <w:rFonts w:ascii="Calibri" w:hAnsi="Calibri" w:cs="宋体"/>
                <w:sz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0725100A">
            <w:pPr>
              <w:widowControl/>
              <w:jc w:val="center"/>
              <w:rPr>
                <w:rFonts w:ascii="Calibri" w:hAnsi="Calibri" w:cs="宋体"/>
                <w:sz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25488926">
            <w:pPr>
              <w:widowControl/>
              <w:jc w:val="center"/>
              <w:rPr>
                <w:rFonts w:ascii="Calibri" w:hAnsi="Calibri" w:cs="宋体"/>
                <w:sz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748CC76F">
            <w:pPr>
              <w:widowControl/>
              <w:jc w:val="center"/>
              <w:rPr>
                <w:rFonts w:ascii="宋体" w:hAnsi="宋体" w:cs="宋体"/>
                <w:b/>
                <w:sz w:val="24"/>
              </w:rPr>
            </w:pPr>
          </w:p>
        </w:tc>
        <w:tc>
          <w:tcPr>
            <w:tcW w:w="871" w:type="dxa"/>
            <w:tcBorders>
              <w:top w:val="nil"/>
              <w:left w:val="nil"/>
              <w:bottom w:val="single" w:color="auto" w:sz="4" w:space="0"/>
              <w:right w:val="single" w:color="auto" w:sz="4" w:space="0"/>
            </w:tcBorders>
            <w:noWrap w:val="0"/>
            <w:vAlign w:val="center"/>
          </w:tcPr>
          <w:p w14:paraId="535ACDF4">
            <w:pPr>
              <w:widowControl/>
              <w:jc w:val="center"/>
              <w:rPr>
                <w:rFonts w:ascii="Calibri" w:hAnsi="Calibri" w:cs="宋体"/>
                <w:sz w:val="24"/>
              </w:rPr>
            </w:pPr>
          </w:p>
        </w:tc>
        <w:tc>
          <w:tcPr>
            <w:tcW w:w="1157" w:type="dxa"/>
            <w:tcBorders>
              <w:top w:val="nil"/>
              <w:left w:val="nil"/>
              <w:bottom w:val="single" w:color="auto" w:sz="4" w:space="0"/>
              <w:right w:val="single" w:color="auto" w:sz="4" w:space="0"/>
            </w:tcBorders>
            <w:noWrap w:val="0"/>
            <w:vAlign w:val="center"/>
          </w:tcPr>
          <w:p w14:paraId="167352A5">
            <w:pPr>
              <w:widowControl/>
              <w:jc w:val="center"/>
              <w:rPr>
                <w:rFonts w:ascii="Calibri" w:hAnsi="Calibri" w:cs="宋体"/>
                <w:sz w:val="24"/>
              </w:rPr>
            </w:pPr>
          </w:p>
        </w:tc>
        <w:tc>
          <w:tcPr>
            <w:tcW w:w="687" w:type="dxa"/>
            <w:gridSpan w:val="2"/>
            <w:tcBorders>
              <w:top w:val="nil"/>
              <w:left w:val="nil"/>
              <w:bottom w:val="single" w:color="auto" w:sz="4" w:space="0"/>
              <w:right w:val="single" w:color="auto" w:sz="4" w:space="0"/>
            </w:tcBorders>
            <w:noWrap w:val="0"/>
            <w:vAlign w:val="center"/>
          </w:tcPr>
          <w:p w14:paraId="10D6869E">
            <w:pPr>
              <w:widowControl/>
              <w:jc w:val="center"/>
              <w:rPr>
                <w:rFonts w:ascii="Calibri" w:hAnsi="Calibri" w:cs="宋体"/>
                <w:sz w:val="24"/>
              </w:rPr>
            </w:pPr>
          </w:p>
        </w:tc>
      </w:tr>
      <w:tr w14:paraId="5B2079A5">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74AE4057">
            <w:pPr>
              <w:widowControl/>
              <w:jc w:val="center"/>
              <w:rPr>
                <w:rFonts w:ascii="Arial" w:hAnsi="Arial" w:cs="Arial"/>
                <w:sz w:val="24"/>
              </w:rPr>
            </w:pPr>
          </w:p>
        </w:tc>
        <w:tc>
          <w:tcPr>
            <w:tcW w:w="1685" w:type="dxa"/>
            <w:tcBorders>
              <w:top w:val="nil"/>
              <w:left w:val="nil"/>
              <w:bottom w:val="single" w:color="auto" w:sz="4" w:space="0"/>
              <w:right w:val="single" w:color="auto" w:sz="4" w:space="0"/>
            </w:tcBorders>
            <w:noWrap w:val="0"/>
            <w:vAlign w:val="center"/>
          </w:tcPr>
          <w:p w14:paraId="07DE2349">
            <w:pPr>
              <w:widowControl/>
              <w:jc w:val="center"/>
              <w:rPr>
                <w:rFonts w:ascii="Arial" w:hAnsi="Arial" w:cs="Arial"/>
                <w:sz w:val="24"/>
              </w:rPr>
            </w:pPr>
          </w:p>
        </w:tc>
        <w:tc>
          <w:tcPr>
            <w:tcW w:w="1328" w:type="dxa"/>
            <w:tcBorders>
              <w:top w:val="nil"/>
              <w:left w:val="nil"/>
              <w:bottom w:val="single" w:color="auto" w:sz="4" w:space="0"/>
              <w:right w:val="single" w:color="auto" w:sz="4" w:space="0"/>
            </w:tcBorders>
            <w:noWrap w:val="0"/>
            <w:vAlign w:val="center"/>
          </w:tcPr>
          <w:p w14:paraId="4CC0DA14">
            <w:pPr>
              <w:widowControl/>
              <w:jc w:val="center"/>
              <w:rPr>
                <w:rFonts w:ascii="Calibri" w:hAnsi="Calibri" w:cs="宋体"/>
                <w:sz w:val="24"/>
              </w:rPr>
            </w:pPr>
          </w:p>
        </w:tc>
        <w:tc>
          <w:tcPr>
            <w:tcW w:w="908" w:type="dxa"/>
            <w:tcBorders>
              <w:top w:val="nil"/>
              <w:left w:val="nil"/>
              <w:bottom w:val="single" w:color="auto" w:sz="4" w:space="0"/>
              <w:right w:val="single" w:color="auto" w:sz="4" w:space="0"/>
            </w:tcBorders>
            <w:noWrap w:val="0"/>
            <w:vAlign w:val="center"/>
          </w:tcPr>
          <w:p w14:paraId="02E978D6">
            <w:pPr>
              <w:widowControl/>
              <w:jc w:val="center"/>
              <w:rPr>
                <w:rFonts w:ascii="Calibri" w:hAnsi="Calibri" w:cs="宋体"/>
                <w:sz w:val="24"/>
              </w:rPr>
            </w:pPr>
          </w:p>
        </w:tc>
        <w:tc>
          <w:tcPr>
            <w:tcW w:w="788" w:type="dxa"/>
            <w:tcBorders>
              <w:top w:val="nil"/>
              <w:left w:val="nil"/>
              <w:bottom w:val="single" w:color="auto" w:sz="4" w:space="0"/>
              <w:right w:val="single" w:color="auto" w:sz="4" w:space="0"/>
            </w:tcBorders>
            <w:noWrap w:val="0"/>
            <w:vAlign w:val="center"/>
          </w:tcPr>
          <w:p w14:paraId="418E3F7A">
            <w:pPr>
              <w:widowControl/>
              <w:jc w:val="center"/>
              <w:rPr>
                <w:rFonts w:ascii="Calibri" w:hAnsi="Calibri" w:cs="宋体"/>
                <w:sz w:val="24"/>
              </w:rPr>
            </w:pPr>
          </w:p>
        </w:tc>
        <w:tc>
          <w:tcPr>
            <w:tcW w:w="824" w:type="dxa"/>
            <w:tcBorders>
              <w:top w:val="nil"/>
              <w:left w:val="nil"/>
              <w:bottom w:val="single" w:color="auto" w:sz="4" w:space="0"/>
              <w:right w:val="single" w:color="auto" w:sz="4" w:space="0"/>
            </w:tcBorders>
            <w:noWrap w:val="0"/>
            <w:vAlign w:val="center"/>
          </w:tcPr>
          <w:p w14:paraId="6C0B6E5E">
            <w:pPr>
              <w:widowControl/>
              <w:jc w:val="center"/>
              <w:rPr>
                <w:rFonts w:ascii="Calibri" w:hAnsi="Calibri" w:cs="宋体"/>
                <w:sz w:val="24"/>
              </w:rPr>
            </w:pPr>
          </w:p>
        </w:tc>
        <w:tc>
          <w:tcPr>
            <w:tcW w:w="703" w:type="dxa"/>
            <w:tcBorders>
              <w:top w:val="nil"/>
              <w:left w:val="nil"/>
              <w:bottom w:val="single" w:color="auto" w:sz="4" w:space="0"/>
              <w:right w:val="single" w:color="auto" w:sz="4" w:space="0"/>
            </w:tcBorders>
            <w:noWrap w:val="0"/>
            <w:vAlign w:val="center"/>
          </w:tcPr>
          <w:p w14:paraId="53C12EAD">
            <w:pPr>
              <w:widowControl/>
              <w:jc w:val="center"/>
              <w:rPr>
                <w:rFonts w:ascii="Calibri" w:hAnsi="Calibri" w:cs="宋体"/>
                <w:sz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70F4A9C0">
            <w:pPr>
              <w:widowControl/>
              <w:jc w:val="center"/>
              <w:rPr>
                <w:rFonts w:ascii="Calibri" w:hAnsi="Calibri" w:cs="宋体"/>
                <w:sz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74D2E644">
            <w:pPr>
              <w:widowControl/>
              <w:jc w:val="center"/>
              <w:rPr>
                <w:rFonts w:ascii="Calibri" w:hAnsi="Calibri" w:cs="宋体"/>
                <w:sz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19701C3C">
            <w:pPr>
              <w:widowControl/>
              <w:jc w:val="center"/>
              <w:rPr>
                <w:rFonts w:ascii="宋体" w:hAnsi="宋体" w:cs="宋体"/>
                <w:b/>
                <w:sz w:val="24"/>
              </w:rPr>
            </w:pPr>
          </w:p>
        </w:tc>
        <w:tc>
          <w:tcPr>
            <w:tcW w:w="871" w:type="dxa"/>
            <w:tcBorders>
              <w:top w:val="nil"/>
              <w:left w:val="nil"/>
              <w:bottom w:val="single" w:color="auto" w:sz="4" w:space="0"/>
              <w:right w:val="single" w:color="auto" w:sz="4" w:space="0"/>
            </w:tcBorders>
            <w:noWrap w:val="0"/>
            <w:vAlign w:val="center"/>
          </w:tcPr>
          <w:p w14:paraId="09C55581">
            <w:pPr>
              <w:widowControl/>
              <w:jc w:val="center"/>
              <w:rPr>
                <w:rFonts w:ascii="Calibri" w:hAnsi="Calibri" w:cs="宋体"/>
                <w:sz w:val="24"/>
              </w:rPr>
            </w:pPr>
          </w:p>
        </w:tc>
        <w:tc>
          <w:tcPr>
            <w:tcW w:w="1157" w:type="dxa"/>
            <w:tcBorders>
              <w:top w:val="nil"/>
              <w:left w:val="nil"/>
              <w:bottom w:val="single" w:color="auto" w:sz="4" w:space="0"/>
              <w:right w:val="single" w:color="auto" w:sz="4" w:space="0"/>
            </w:tcBorders>
            <w:noWrap w:val="0"/>
            <w:vAlign w:val="center"/>
          </w:tcPr>
          <w:p w14:paraId="5A922DA7">
            <w:pPr>
              <w:widowControl/>
              <w:jc w:val="center"/>
              <w:rPr>
                <w:rFonts w:ascii="Calibri" w:hAnsi="Calibri" w:cs="宋体"/>
                <w:sz w:val="24"/>
              </w:rPr>
            </w:pPr>
          </w:p>
        </w:tc>
        <w:tc>
          <w:tcPr>
            <w:tcW w:w="687" w:type="dxa"/>
            <w:gridSpan w:val="2"/>
            <w:tcBorders>
              <w:top w:val="nil"/>
              <w:left w:val="nil"/>
              <w:bottom w:val="single" w:color="auto" w:sz="4" w:space="0"/>
              <w:right w:val="single" w:color="auto" w:sz="4" w:space="0"/>
            </w:tcBorders>
            <w:noWrap w:val="0"/>
            <w:vAlign w:val="center"/>
          </w:tcPr>
          <w:p w14:paraId="1DA987B3">
            <w:pPr>
              <w:widowControl/>
              <w:jc w:val="center"/>
              <w:rPr>
                <w:rFonts w:ascii="Calibri" w:hAnsi="Calibri" w:cs="宋体"/>
                <w:sz w:val="24"/>
              </w:rPr>
            </w:pPr>
          </w:p>
        </w:tc>
      </w:tr>
      <w:tr w14:paraId="285E0C64">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2975EFF6">
            <w:pPr>
              <w:widowControl/>
              <w:jc w:val="center"/>
              <w:rPr>
                <w:rFonts w:ascii="Arial" w:hAnsi="Arial" w:cs="Arial"/>
                <w:sz w:val="24"/>
              </w:rPr>
            </w:pPr>
          </w:p>
        </w:tc>
        <w:tc>
          <w:tcPr>
            <w:tcW w:w="1685" w:type="dxa"/>
            <w:tcBorders>
              <w:top w:val="nil"/>
              <w:left w:val="nil"/>
              <w:bottom w:val="single" w:color="auto" w:sz="4" w:space="0"/>
              <w:right w:val="single" w:color="auto" w:sz="4" w:space="0"/>
            </w:tcBorders>
            <w:noWrap w:val="0"/>
            <w:vAlign w:val="center"/>
          </w:tcPr>
          <w:p w14:paraId="7A1F9F9A">
            <w:pPr>
              <w:widowControl/>
              <w:jc w:val="center"/>
              <w:rPr>
                <w:rFonts w:ascii="Arial" w:hAnsi="Arial" w:cs="Arial"/>
                <w:sz w:val="24"/>
              </w:rPr>
            </w:pPr>
          </w:p>
        </w:tc>
        <w:tc>
          <w:tcPr>
            <w:tcW w:w="1328" w:type="dxa"/>
            <w:tcBorders>
              <w:top w:val="nil"/>
              <w:left w:val="nil"/>
              <w:bottom w:val="single" w:color="auto" w:sz="4" w:space="0"/>
              <w:right w:val="single" w:color="auto" w:sz="4" w:space="0"/>
            </w:tcBorders>
            <w:noWrap w:val="0"/>
            <w:vAlign w:val="center"/>
          </w:tcPr>
          <w:p w14:paraId="0DDB20D6">
            <w:pPr>
              <w:widowControl/>
              <w:jc w:val="center"/>
              <w:rPr>
                <w:rFonts w:ascii="Calibri" w:hAnsi="Calibri" w:cs="宋体"/>
                <w:sz w:val="24"/>
              </w:rPr>
            </w:pPr>
          </w:p>
        </w:tc>
        <w:tc>
          <w:tcPr>
            <w:tcW w:w="908" w:type="dxa"/>
            <w:tcBorders>
              <w:top w:val="nil"/>
              <w:left w:val="nil"/>
              <w:bottom w:val="single" w:color="auto" w:sz="4" w:space="0"/>
              <w:right w:val="single" w:color="auto" w:sz="4" w:space="0"/>
            </w:tcBorders>
            <w:noWrap w:val="0"/>
            <w:vAlign w:val="center"/>
          </w:tcPr>
          <w:p w14:paraId="11F0B000">
            <w:pPr>
              <w:widowControl/>
              <w:jc w:val="center"/>
              <w:rPr>
                <w:rFonts w:ascii="Calibri" w:hAnsi="Calibri" w:cs="宋体"/>
                <w:sz w:val="24"/>
              </w:rPr>
            </w:pPr>
          </w:p>
        </w:tc>
        <w:tc>
          <w:tcPr>
            <w:tcW w:w="788" w:type="dxa"/>
            <w:tcBorders>
              <w:top w:val="nil"/>
              <w:left w:val="nil"/>
              <w:bottom w:val="single" w:color="auto" w:sz="4" w:space="0"/>
              <w:right w:val="single" w:color="auto" w:sz="4" w:space="0"/>
            </w:tcBorders>
            <w:noWrap w:val="0"/>
            <w:vAlign w:val="center"/>
          </w:tcPr>
          <w:p w14:paraId="745A152E">
            <w:pPr>
              <w:widowControl/>
              <w:jc w:val="center"/>
              <w:rPr>
                <w:rFonts w:ascii="Calibri" w:hAnsi="Calibri" w:cs="宋体"/>
                <w:sz w:val="24"/>
              </w:rPr>
            </w:pPr>
          </w:p>
        </w:tc>
        <w:tc>
          <w:tcPr>
            <w:tcW w:w="824" w:type="dxa"/>
            <w:tcBorders>
              <w:top w:val="nil"/>
              <w:left w:val="nil"/>
              <w:bottom w:val="single" w:color="auto" w:sz="4" w:space="0"/>
              <w:right w:val="single" w:color="auto" w:sz="4" w:space="0"/>
            </w:tcBorders>
            <w:noWrap w:val="0"/>
            <w:vAlign w:val="center"/>
          </w:tcPr>
          <w:p w14:paraId="7E3511E9">
            <w:pPr>
              <w:widowControl/>
              <w:jc w:val="center"/>
              <w:rPr>
                <w:rFonts w:ascii="Calibri" w:hAnsi="Calibri" w:cs="宋体"/>
                <w:sz w:val="24"/>
              </w:rPr>
            </w:pPr>
          </w:p>
        </w:tc>
        <w:tc>
          <w:tcPr>
            <w:tcW w:w="703" w:type="dxa"/>
            <w:tcBorders>
              <w:top w:val="nil"/>
              <w:left w:val="nil"/>
              <w:bottom w:val="single" w:color="auto" w:sz="4" w:space="0"/>
              <w:right w:val="single" w:color="auto" w:sz="4" w:space="0"/>
            </w:tcBorders>
            <w:noWrap w:val="0"/>
            <w:vAlign w:val="center"/>
          </w:tcPr>
          <w:p w14:paraId="25670961">
            <w:pPr>
              <w:widowControl/>
              <w:jc w:val="center"/>
              <w:rPr>
                <w:rFonts w:ascii="Calibri" w:hAnsi="Calibri" w:cs="宋体"/>
                <w:sz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2A0F026A">
            <w:pPr>
              <w:widowControl/>
              <w:jc w:val="center"/>
              <w:rPr>
                <w:rFonts w:ascii="Calibri" w:hAnsi="Calibri" w:cs="宋体"/>
                <w:sz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0910A2AF">
            <w:pPr>
              <w:widowControl/>
              <w:jc w:val="center"/>
              <w:rPr>
                <w:rFonts w:ascii="Calibri" w:hAnsi="Calibri" w:cs="宋体"/>
                <w:sz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75386291">
            <w:pPr>
              <w:widowControl/>
              <w:jc w:val="center"/>
              <w:rPr>
                <w:rFonts w:ascii="宋体" w:hAnsi="宋体" w:cs="宋体"/>
                <w:b/>
                <w:sz w:val="24"/>
              </w:rPr>
            </w:pPr>
          </w:p>
        </w:tc>
        <w:tc>
          <w:tcPr>
            <w:tcW w:w="871" w:type="dxa"/>
            <w:tcBorders>
              <w:top w:val="nil"/>
              <w:left w:val="nil"/>
              <w:bottom w:val="single" w:color="auto" w:sz="4" w:space="0"/>
              <w:right w:val="single" w:color="auto" w:sz="4" w:space="0"/>
            </w:tcBorders>
            <w:noWrap w:val="0"/>
            <w:vAlign w:val="center"/>
          </w:tcPr>
          <w:p w14:paraId="5E14AC28">
            <w:pPr>
              <w:widowControl/>
              <w:jc w:val="center"/>
              <w:rPr>
                <w:rFonts w:ascii="Calibri" w:hAnsi="Calibri" w:cs="宋体"/>
                <w:sz w:val="24"/>
              </w:rPr>
            </w:pPr>
          </w:p>
        </w:tc>
        <w:tc>
          <w:tcPr>
            <w:tcW w:w="1157" w:type="dxa"/>
            <w:tcBorders>
              <w:top w:val="nil"/>
              <w:left w:val="nil"/>
              <w:bottom w:val="single" w:color="auto" w:sz="4" w:space="0"/>
              <w:right w:val="single" w:color="auto" w:sz="4" w:space="0"/>
            </w:tcBorders>
            <w:noWrap w:val="0"/>
            <w:vAlign w:val="center"/>
          </w:tcPr>
          <w:p w14:paraId="1F22AD77">
            <w:pPr>
              <w:widowControl/>
              <w:jc w:val="center"/>
              <w:rPr>
                <w:rFonts w:ascii="Calibri" w:hAnsi="Calibri" w:cs="宋体"/>
                <w:sz w:val="24"/>
              </w:rPr>
            </w:pPr>
          </w:p>
        </w:tc>
        <w:tc>
          <w:tcPr>
            <w:tcW w:w="687" w:type="dxa"/>
            <w:gridSpan w:val="2"/>
            <w:tcBorders>
              <w:top w:val="nil"/>
              <w:left w:val="nil"/>
              <w:bottom w:val="single" w:color="auto" w:sz="4" w:space="0"/>
              <w:right w:val="single" w:color="auto" w:sz="4" w:space="0"/>
            </w:tcBorders>
            <w:noWrap w:val="0"/>
            <w:vAlign w:val="center"/>
          </w:tcPr>
          <w:p w14:paraId="0F018F42">
            <w:pPr>
              <w:widowControl/>
              <w:jc w:val="center"/>
              <w:rPr>
                <w:rFonts w:ascii="Calibri" w:hAnsi="Calibri" w:cs="宋体"/>
                <w:sz w:val="24"/>
              </w:rPr>
            </w:pPr>
          </w:p>
        </w:tc>
      </w:tr>
      <w:tr w14:paraId="7E26B0EB">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5DD5115F">
            <w:pPr>
              <w:widowControl/>
              <w:jc w:val="center"/>
              <w:rPr>
                <w:rFonts w:ascii="Arial" w:hAnsi="Arial" w:cs="Arial"/>
                <w:sz w:val="24"/>
              </w:rPr>
            </w:pPr>
          </w:p>
        </w:tc>
        <w:tc>
          <w:tcPr>
            <w:tcW w:w="1685" w:type="dxa"/>
            <w:tcBorders>
              <w:top w:val="nil"/>
              <w:left w:val="nil"/>
              <w:bottom w:val="single" w:color="auto" w:sz="4" w:space="0"/>
              <w:right w:val="single" w:color="auto" w:sz="4" w:space="0"/>
            </w:tcBorders>
            <w:noWrap w:val="0"/>
            <w:vAlign w:val="center"/>
          </w:tcPr>
          <w:p w14:paraId="53AAB7FF">
            <w:pPr>
              <w:widowControl/>
              <w:jc w:val="center"/>
              <w:rPr>
                <w:rFonts w:ascii="Arial" w:hAnsi="Arial" w:cs="Arial"/>
                <w:sz w:val="24"/>
              </w:rPr>
            </w:pPr>
          </w:p>
        </w:tc>
        <w:tc>
          <w:tcPr>
            <w:tcW w:w="1328" w:type="dxa"/>
            <w:tcBorders>
              <w:top w:val="nil"/>
              <w:left w:val="nil"/>
              <w:bottom w:val="single" w:color="auto" w:sz="4" w:space="0"/>
              <w:right w:val="single" w:color="auto" w:sz="4" w:space="0"/>
            </w:tcBorders>
            <w:noWrap w:val="0"/>
            <w:vAlign w:val="center"/>
          </w:tcPr>
          <w:p w14:paraId="09553DC8">
            <w:pPr>
              <w:widowControl/>
              <w:jc w:val="center"/>
              <w:rPr>
                <w:rFonts w:ascii="Calibri" w:hAnsi="Calibri" w:cs="宋体"/>
                <w:sz w:val="24"/>
              </w:rPr>
            </w:pPr>
          </w:p>
        </w:tc>
        <w:tc>
          <w:tcPr>
            <w:tcW w:w="908" w:type="dxa"/>
            <w:tcBorders>
              <w:top w:val="nil"/>
              <w:left w:val="nil"/>
              <w:bottom w:val="single" w:color="auto" w:sz="4" w:space="0"/>
              <w:right w:val="single" w:color="auto" w:sz="4" w:space="0"/>
            </w:tcBorders>
            <w:noWrap w:val="0"/>
            <w:vAlign w:val="center"/>
          </w:tcPr>
          <w:p w14:paraId="14688C07">
            <w:pPr>
              <w:widowControl/>
              <w:jc w:val="center"/>
              <w:rPr>
                <w:rFonts w:ascii="Calibri" w:hAnsi="Calibri" w:cs="宋体"/>
                <w:sz w:val="24"/>
              </w:rPr>
            </w:pPr>
          </w:p>
        </w:tc>
        <w:tc>
          <w:tcPr>
            <w:tcW w:w="788" w:type="dxa"/>
            <w:tcBorders>
              <w:top w:val="nil"/>
              <w:left w:val="nil"/>
              <w:bottom w:val="single" w:color="auto" w:sz="4" w:space="0"/>
              <w:right w:val="single" w:color="auto" w:sz="4" w:space="0"/>
            </w:tcBorders>
            <w:noWrap w:val="0"/>
            <w:vAlign w:val="center"/>
          </w:tcPr>
          <w:p w14:paraId="7116BBE1">
            <w:pPr>
              <w:widowControl/>
              <w:jc w:val="center"/>
              <w:rPr>
                <w:rFonts w:ascii="Calibri" w:hAnsi="Calibri" w:cs="宋体"/>
                <w:sz w:val="24"/>
              </w:rPr>
            </w:pPr>
          </w:p>
        </w:tc>
        <w:tc>
          <w:tcPr>
            <w:tcW w:w="824" w:type="dxa"/>
            <w:tcBorders>
              <w:top w:val="nil"/>
              <w:left w:val="nil"/>
              <w:bottom w:val="single" w:color="auto" w:sz="4" w:space="0"/>
              <w:right w:val="single" w:color="auto" w:sz="4" w:space="0"/>
            </w:tcBorders>
            <w:noWrap w:val="0"/>
            <w:vAlign w:val="center"/>
          </w:tcPr>
          <w:p w14:paraId="1731E180">
            <w:pPr>
              <w:widowControl/>
              <w:jc w:val="center"/>
              <w:rPr>
                <w:rFonts w:ascii="Calibri" w:hAnsi="Calibri" w:cs="宋体"/>
                <w:sz w:val="24"/>
              </w:rPr>
            </w:pPr>
          </w:p>
        </w:tc>
        <w:tc>
          <w:tcPr>
            <w:tcW w:w="703" w:type="dxa"/>
            <w:tcBorders>
              <w:top w:val="nil"/>
              <w:left w:val="nil"/>
              <w:bottom w:val="single" w:color="auto" w:sz="4" w:space="0"/>
              <w:right w:val="single" w:color="auto" w:sz="4" w:space="0"/>
            </w:tcBorders>
            <w:noWrap w:val="0"/>
            <w:vAlign w:val="center"/>
          </w:tcPr>
          <w:p w14:paraId="667AB90E">
            <w:pPr>
              <w:widowControl/>
              <w:jc w:val="center"/>
              <w:rPr>
                <w:rFonts w:ascii="Calibri" w:hAnsi="Calibri" w:cs="宋体"/>
                <w:sz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1E88CDD5">
            <w:pPr>
              <w:widowControl/>
              <w:jc w:val="center"/>
              <w:rPr>
                <w:rFonts w:ascii="Calibri" w:hAnsi="Calibri" w:cs="宋体"/>
                <w:sz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57417605">
            <w:pPr>
              <w:widowControl/>
              <w:jc w:val="center"/>
              <w:rPr>
                <w:rFonts w:ascii="Calibri" w:hAnsi="Calibri" w:cs="宋体"/>
                <w:sz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27717614">
            <w:pPr>
              <w:widowControl/>
              <w:jc w:val="center"/>
              <w:rPr>
                <w:rFonts w:ascii="宋体" w:hAnsi="宋体" w:cs="宋体"/>
                <w:b/>
                <w:sz w:val="24"/>
              </w:rPr>
            </w:pPr>
          </w:p>
        </w:tc>
        <w:tc>
          <w:tcPr>
            <w:tcW w:w="871" w:type="dxa"/>
            <w:tcBorders>
              <w:top w:val="nil"/>
              <w:left w:val="nil"/>
              <w:bottom w:val="single" w:color="auto" w:sz="4" w:space="0"/>
              <w:right w:val="single" w:color="auto" w:sz="4" w:space="0"/>
            </w:tcBorders>
            <w:noWrap w:val="0"/>
            <w:vAlign w:val="center"/>
          </w:tcPr>
          <w:p w14:paraId="42B9BC6B">
            <w:pPr>
              <w:widowControl/>
              <w:jc w:val="center"/>
              <w:rPr>
                <w:rFonts w:ascii="Calibri" w:hAnsi="Calibri" w:cs="宋体"/>
                <w:sz w:val="24"/>
              </w:rPr>
            </w:pPr>
          </w:p>
        </w:tc>
        <w:tc>
          <w:tcPr>
            <w:tcW w:w="1157" w:type="dxa"/>
            <w:tcBorders>
              <w:top w:val="nil"/>
              <w:left w:val="nil"/>
              <w:bottom w:val="single" w:color="auto" w:sz="4" w:space="0"/>
              <w:right w:val="single" w:color="auto" w:sz="4" w:space="0"/>
            </w:tcBorders>
            <w:noWrap w:val="0"/>
            <w:vAlign w:val="center"/>
          </w:tcPr>
          <w:p w14:paraId="1F288D96">
            <w:pPr>
              <w:widowControl/>
              <w:jc w:val="center"/>
              <w:rPr>
                <w:rFonts w:ascii="Calibri" w:hAnsi="Calibri" w:cs="宋体"/>
                <w:sz w:val="24"/>
              </w:rPr>
            </w:pPr>
          </w:p>
        </w:tc>
        <w:tc>
          <w:tcPr>
            <w:tcW w:w="687" w:type="dxa"/>
            <w:gridSpan w:val="2"/>
            <w:tcBorders>
              <w:top w:val="nil"/>
              <w:left w:val="nil"/>
              <w:bottom w:val="single" w:color="auto" w:sz="4" w:space="0"/>
              <w:right w:val="single" w:color="auto" w:sz="4" w:space="0"/>
            </w:tcBorders>
            <w:noWrap w:val="0"/>
            <w:vAlign w:val="center"/>
          </w:tcPr>
          <w:p w14:paraId="26219451">
            <w:pPr>
              <w:widowControl/>
              <w:jc w:val="center"/>
              <w:rPr>
                <w:rFonts w:ascii="Calibri" w:hAnsi="Calibri" w:cs="宋体"/>
                <w:sz w:val="24"/>
              </w:rPr>
            </w:pPr>
          </w:p>
        </w:tc>
      </w:tr>
      <w:tr w14:paraId="05B840B3">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497F5A3C">
            <w:pPr>
              <w:widowControl/>
              <w:jc w:val="center"/>
              <w:rPr>
                <w:rFonts w:ascii="Arial" w:hAnsi="Arial" w:cs="Arial"/>
                <w:sz w:val="24"/>
              </w:rPr>
            </w:pPr>
          </w:p>
        </w:tc>
        <w:tc>
          <w:tcPr>
            <w:tcW w:w="1685" w:type="dxa"/>
            <w:tcBorders>
              <w:top w:val="nil"/>
              <w:left w:val="nil"/>
              <w:bottom w:val="single" w:color="auto" w:sz="4" w:space="0"/>
              <w:right w:val="single" w:color="auto" w:sz="4" w:space="0"/>
            </w:tcBorders>
            <w:noWrap w:val="0"/>
            <w:vAlign w:val="center"/>
          </w:tcPr>
          <w:p w14:paraId="00913792">
            <w:pPr>
              <w:widowControl/>
              <w:jc w:val="center"/>
              <w:rPr>
                <w:rFonts w:ascii="Arial" w:hAnsi="Arial" w:cs="Arial"/>
                <w:sz w:val="24"/>
              </w:rPr>
            </w:pPr>
          </w:p>
        </w:tc>
        <w:tc>
          <w:tcPr>
            <w:tcW w:w="1328" w:type="dxa"/>
            <w:tcBorders>
              <w:top w:val="nil"/>
              <w:left w:val="nil"/>
              <w:bottom w:val="single" w:color="auto" w:sz="4" w:space="0"/>
              <w:right w:val="single" w:color="auto" w:sz="4" w:space="0"/>
            </w:tcBorders>
            <w:noWrap w:val="0"/>
            <w:vAlign w:val="center"/>
          </w:tcPr>
          <w:p w14:paraId="52B150C0">
            <w:pPr>
              <w:widowControl/>
              <w:jc w:val="center"/>
              <w:rPr>
                <w:rFonts w:ascii="Calibri" w:hAnsi="Calibri" w:cs="宋体"/>
                <w:sz w:val="24"/>
              </w:rPr>
            </w:pPr>
          </w:p>
        </w:tc>
        <w:tc>
          <w:tcPr>
            <w:tcW w:w="908" w:type="dxa"/>
            <w:tcBorders>
              <w:top w:val="nil"/>
              <w:left w:val="nil"/>
              <w:bottom w:val="single" w:color="auto" w:sz="4" w:space="0"/>
              <w:right w:val="single" w:color="auto" w:sz="4" w:space="0"/>
            </w:tcBorders>
            <w:noWrap w:val="0"/>
            <w:vAlign w:val="center"/>
          </w:tcPr>
          <w:p w14:paraId="64EA83F3">
            <w:pPr>
              <w:widowControl/>
              <w:jc w:val="center"/>
              <w:rPr>
                <w:rFonts w:ascii="Calibri" w:hAnsi="Calibri" w:cs="宋体"/>
                <w:sz w:val="24"/>
              </w:rPr>
            </w:pPr>
          </w:p>
        </w:tc>
        <w:tc>
          <w:tcPr>
            <w:tcW w:w="788" w:type="dxa"/>
            <w:tcBorders>
              <w:top w:val="nil"/>
              <w:left w:val="nil"/>
              <w:bottom w:val="single" w:color="auto" w:sz="4" w:space="0"/>
              <w:right w:val="single" w:color="auto" w:sz="4" w:space="0"/>
            </w:tcBorders>
            <w:noWrap w:val="0"/>
            <w:vAlign w:val="center"/>
          </w:tcPr>
          <w:p w14:paraId="4F52158F">
            <w:pPr>
              <w:widowControl/>
              <w:jc w:val="center"/>
              <w:rPr>
                <w:rFonts w:ascii="Calibri" w:hAnsi="Calibri" w:cs="宋体"/>
                <w:sz w:val="24"/>
              </w:rPr>
            </w:pPr>
          </w:p>
        </w:tc>
        <w:tc>
          <w:tcPr>
            <w:tcW w:w="824" w:type="dxa"/>
            <w:tcBorders>
              <w:top w:val="nil"/>
              <w:left w:val="nil"/>
              <w:bottom w:val="single" w:color="auto" w:sz="4" w:space="0"/>
              <w:right w:val="single" w:color="auto" w:sz="4" w:space="0"/>
            </w:tcBorders>
            <w:noWrap w:val="0"/>
            <w:vAlign w:val="center"/>
          </w:tcPr>
          <w:p w14:paraId="47779474">
            <w:pPr>
              <w:widowControl/>
              <w:jc w:val="center"/>
              <w:rPr>
                <w:rFonts w:ascii="Calibri" w:hAnsi="Calibri" w:cs="宋体"/>
                <w:sz w:val="24"/>
              </w:rPr>
            </w:pPr>
          </w:p>
        </w:tc>
        <w:tc>
          <w:tcPr>
            <w:tcW w:w="703" w:type="dxa"/>
            <w:tcBorders>
              <w:top w:val="nil"/>
              <w:left w:val="nil"/>
              <w:bottom w:val="single" w:color="auto" w:sz="4" w:space="0"/>
              <w:right w:val="single" w:color="auto" w:sz="4" w:space="0"/>
            </w:tcBorders>
            <w:noWrap w:val="0"/>
            <w:vAlign w:val="center"/>
          </w:tcPr>
          <w:p w14:paraId="78D3F61D">
            <w:pPr>
              <w:widowControl/>
              <w:jc w:val="center"/>
              <w:rPr>
                <w:rFonts w:ascii="Calibri" w:hAnsi="Calibri" w:cs="宋体"/>
                <w:sz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68039898">
            <w:pPr>
              <w:widowControl/>
              <w:jc w:val="center"/>
              <w:rPr>
                <w:rFonts w:ascii="Calibri" w:hAnsi="Calibri" w:cs="宋体"/>
                <w:sz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2FFFCEA0">
            <w:pPr>
              <w:widowControl/>
              <w:jc w:val="center"/>
              <w:rPr>
                <w:rFonts w:ascii="Calibri" w:hAnsi="Calibri" w:cs="宋体"/>
                <w:sz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23088D11">
            <w:pPr>
              <w:widowControl/>
              <w:jc w:val="center"/>
              <w:rPr>
                <w:rFonts w:ascii="宋体" w:hAnsi="宋体" w:cs="宋体"/>
                <w:b/>
                <w:sz w:val="24"/>
              </w:rPr>
            </w:pPr>
          </w:p>
        </w:tc>
        <w:tc>
          <w:tcPr>
            <w:tcW w:w="871" w:type="dxa"/>
            <w:tcBorders>
              <w:top w:val="nil"/>
              <w:left w:val="nil"/>
              <w:bottom w:val="single" w:color="auto" w:sz="4" w:space="0"/>
              <w:right w:val="single" w:color="auto" w:sz="4" w:space="0"/>
            </w:tcBorders>
            <w:noWrap w:val="0"/>
            <w:vAlign w:val="center"/>
          </w:tcPr>
          <w:p w14:paraId="6296BF1E">
            <w:pPr>
              <w:widowControl/>
              <w:jc w:val="center"/>
              <w:rPr>
                <w:rFonts w:ascii="Calibri" w:hAnsi="Calibri" w:cs="宋体"/>
                <w:sz w:val="24"/>
              </w:rPr>
            </w:pPr>
          </w:p>
        </w:tc>
        <w:tc>
          <w:tcPr>
            <w:tcW w:w="1157" w:type="dxa"/>
            <w:tcBorders>
              <w:top w:val="nil"/>
              <w:left w:val="nil"/>
              <w:bottom w:val="single" w:color="auto" w:sz="4" w:space="0"/>
              <w:right w:val="single" w:color="auto" w:sz="4" w:space="0"/>
            </w:tcBorders>
            <w:noWrap w:val="0"/>
            <w:vAlign w:val="center"/>
          </w:tcPr>
          <w:p w14:paraId="5E7A02EB">
            <w:pPr>
              <w:widowControl/>
              <w:jc w:val="center"/>
              <w:rPr>
                <w:rFonts w:ascii="Calibri" w:hAnsi="Calibri" w:cs="宋体"/>
                <w:sz w:val="24"/>
              </w:rPr>
            </w:pPr>
          </w:p>
        </w:tc>
        <w:tc>
          <w:tcPr>
            <w:tcW w:w="687" w:type="dxa"/>
            <w:gridSpan w:val="2"/>
            <w:tcBorders>
              <w:top w:val="nil"/>
              <w:left w:val="nil"/>
              <w:bottom w:val="single" w:color="auto" w:sz="4" w:space="0"/>
              <w:right w:val="single" w:color="auto" w:sz="4" w:space="0"/>
            </w:tcBorders>
            <w:noWrap w:val="0"/>
            <w:vAlign w:val="center"/>
          </w:tcPr>
          <w:p w14:paraId="4A816EA6">
            <w:pPr>
              <w:widowControl/>
              <w:jc w:val="center"/>
              <w:rPr>
                <w:rFonts w:ascii="Calibri" w:hAnsi="Calibri" w:cs="宋体"/>
                <w:sz w:val="24"/>
              </w:rPr>
            </w:pPr>
          </w:p>
        </w:tc>
      </w:tr>
      <w:tr w14:paraId="47FB71F5">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05F3DA56">
            <w:pPr>
              <w:widowControl/>
              <w:jc w:val="center"/>
              <w:rPr>
                <w:rFonts w:ascii="Arial" w:hAnsi="Arial" w:cs="Arial"/>
                <w:sz w:val="24"/>
              </w:rPr>
            </w:pPr>
          </w:p>
        </w:tc>
        <w:tc>
          <w:tcPr>
            <w:tcW w:w="1685" w:type="dxa"/>
            <w:tcBorders>
              <w:top w:val="nil"/>
              <w:left w:val="nil"/>
              <w:bottom w:val="single" w:color="auto" w:sz="4" w:space="0"/>
              <w:right w:val="single" w:color="auto" w:sz="4" w:space="0"/>
            </w:tcBorders>
            <w:noWrap w:val="0"/>
            <w:vAlign w:val="center"/>
          </w:tcPr>
          <w:p w14:paraId="07CC097F">
            <w:pPr>
              <w:widowControl/>
              <w:jc w:val="center"/>
              <w:rPr>
                <w:rFonts w:ascii="Arial" w:hAnsi="Arial" w:cs="Arial"/>
                <w:sz w:val="24"/>
              </w:rPr>
            </w:pPr>
          </w:p>
        </w:tc>
        <w:tc>
          <w:tcPr>
            <w:tcW w:w="1328" w:type="dxa"/>
            <w:tcBorders>
              <w:top w:val="nil"/>
              <w:left w:val="nil"/>
              <w:bottom w:val="single" w:color="auto" w:sz="4" w:space="0"/>
              <w:right w:val="single" w:color="auto" w:sz="4" w:space="0"/>
            </w:tcBorders>
            <w:noWrap w:val="0"/>
            <w:vAlign w:val="center"/>
          </w:tcPr>
          <w:p w14:paraId="0F8912F1">
            <w:pPr>
              <w:widowControl/>
              <w:jc w:val="center"/>
              <w:rPr>
                <w:rFonts w:ascii="Calibri" w:hAnsi="Calibri" w:cs="宋体"/>
                <w:sz w:val="24"/>
              </w:rPr>
            </w:pPr>
          </w:p>
        </w:tc>
        <w:tc>
          <w:tcPr>
            <w:tcW w:w="908" w:type="dxa"/>
            <w:tcBorders>
              <w:top w:val="nil"/>
              <w:left w:val="nil"/>
              <w:bottom w:val="single" w:color="auto" w:sz="4" w:space="0"/>
              <w:right w:val="single" w:color="auto" w:sz="4" w:space="0"/>
            </w:tcBorders>
            <w:noWrap w:val="0"/>
            <w:vAlign w:val="center"/>
          </w:tcPr>
          <w:p w14:paraId="62877E17">
            <w:pPr>
              <w:widowControl/>
              <w:jc w:val="center"/>
              <w:rPr>
                <w:rFonts w:ascii="Calibri" w:hAnsi="Calibri" w:cs="宋体"/>
                <w:sz w:val="24"/>
              </w:rPr>
            </w:pPr>
          </w:p>
        </w:tc>
        <w:tc>
          <w:tcPr>
            <w:tcW w:w="788" w:type="dxa"/>
            <w:tcBorders>
              <w:top w:val="nil"/>
              <w:left w:val="nil"/>
              <w:bottom w:val="single" w:color="auto" w:sz="4" w:space="0"/>
              <w:right w:val="single" w:color="auto" w:sz="4" w:space="0"/>
            </w:tcBorders>
            <w:noWrap w:val="0"/>
            <w:vAlign w:val="center"/>
          </w:tcPr>
          <w:p w14:paraId="4BF6593E">
            <w:pPr>
              <w:widowControl/>
              <w:jc w:val="center"/>
              <w:rPr>
                <w:rFonts w:ascii="Calibri" w:hAnsi="Calibri" w:cs="宋体"/>
                <w:sz w:val="24"/>
              </w:rPr>
            </w:pPr>
          </w:p>
        </w:tc>
        <w:tc>
          <w:tcPr>
            <w:tcW w:w="824" w:type="dxa"/>
            <w:tcBorders>
              <w:top w:val="nil"/>
              <w:left w:val="nil"/>
              <w:bottom w:val="single" w:color="auto" w:sz="4" w:space="0"/>
              <w:right w:val="single" w:color="auto" w:sz="4" w:space="0"/>
            </w:tcBorders>
            <w:noWrap w:val="0"/>
            <w:vAlign w:val="center"/>
          </w:tcPr>
          <w:p w14:paraId="1782522E">
            <w:pPr>
              <w:widowControl/>
              <w:jc w:val="center"/>
              <w:rPr>
                <w:rFonts w:ascii="Calibri" w:hAnsi="Calibri" w:cs="宋体"/>
                <w:sz w:val="24"/>
              </w:rPr>
            </w:pPr>
          </w:p>
        </w:tc>
        <w:tc>
          <w:tcPr>
            <w:tcW w:w="703" w:type="dxa"/>
            <w:tcBorders>
              <w:top w:val="nil"/>
              <w:left w:val="nil"/>
              <w:bottom w:val="single" w:color="auto" w:sz="4" w:space="0"/>
              <w:right w:val="single" w:color="auto" w:sz="4" w:space="0"/>
            </w:tcBorders>
            <w:noWrap w:val="0"/>
            <w:vAlign w:val="center"/>
          </w:tcPr>
          <w:p w14:paraId="762DFC6F">
            <w:pPr>
              <w:widowControl/>
              <w:jc w:val="center"/>
              <w:rPr>
                <w:rFonts w:ascii="Calibri" w:hAnsi="Calibri" w:cs="宋体"/>
                <w:sz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3B61B286">
            <w:pPr>
              <w:widowControl/>
              <w:jc w:val="center"/>
              <w:rPr>
                <w:rFonts w:ascii="Calibri" w:hAnsi="Calibri" w:cs="宋体"/>
                <w:sz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4BFD0F76">
            <w:pPr>
              <w:widowControl/>
              <w:jc w:val="center"/>
              <w:rPr>
                <w:rFonts w:ascii="Calibri" w:hAnsi="Calibri" w:cs="宋体"/>
                <w:sz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6FF97D5A">
            <w:pPr>
              <w:widowControl/>
              <w:jc w:val="center"/>
              <w:rPr>
                <w:rFonts w:ascii="宋体" w:hAnsi="宋体" w:cs="宋体"/>
                <w:b/>
                <w:sz w:val="24"/>
              </w:rPr>
            </w:pPr>
          </w:p>
        </w:tc>
        <w:tc>
          <w:tcPr>
            <w:tcW w:w="871" w:type="dxa"/>
            <w:tcBorders>
              <w:top w:val="nil"/>
              <w:left w:val="nil"/>
              <w:bottom w:val="single" w:color="auto" w:sz="4" w:space="0"/>
              <w:right w:val="single" w:color="auto" w:sz="4" w:space="0"/>
            </w:tcBorders>
            <w:noWrap w:val="0"/>
            <w:vAlign w:val="center"/>
          </w:tcPr>
          <w:p w14:paraId="539CECAC">
            <w:pPr>
              <w:widowControl/>
              <w:jc w:val="center"/>
              <w:rPr>
                <w:rFonts w:ascii="Calibri" w:hAnsi="Calibri" w:cs="宋体"/>
                <w:sz w:val="24"/>
              </w:rPr>
            </w:pPr>
          </w:p>
        </w:tc>
        <w:tc>
          <w:tcPr>
            <w:tcW w:w="1157" w:type="dxa"/>
            <w:tcBorders>
              <w:top w:val="nil"/>
              <w:left w:val="nil"/>
              <w:bottom w:val="single" w:color="auto" w:sz="4" w:space="0"/>
              <w:right w:val="single" w:color="auto" w:sz="4" w:space="0"/>
            </w:tcBorders>
            <w:noWrap w:val="0"/>
            <w:vAlign w:val="center"/>
          </w:tcPr>
          <w:p w14:paraId="4202C7B8">
            <w:pPr>
              <w:widowControl/>
              <w:jc w:val="center"/>
              <w:rPr>
                <w:rFonts w:ascii="Calibri" w:hAnsi="Calibri" w:cs="宋体"/>
                <w:sz w:val="24"/>
              </w:rPr>
            </w:pPr>
          </w:p>
        </w:tc>
        <w:tc>
          <w:tcPr>
            <w:tcW w:w="687" w:type="dxa"/>
            <w:gridSpan w:val="2"/>
            <w:tcBorders>
              <w:top w:val="nil"/>
              <w:left w:val="nil"/>
              <w:bottom w:val="single" w:color="auto" w:sz="4" w:space="0"/>
              <w:right w:val="single" w:color="auto" w:sz="4" w:space="0"/>
            </w:tcBorders>
            <w:noWrap w:val="0"/>
            <w:vAlign w:val="center"/>
          </w:tcPr>
          <w:p w14:paraId="2D4B4055">
            <w:pPr>
              <w:widowControl/>
              <w:jc w:val="center"/>
              <w:rPr>
                <w:rFonts w:ascii="Calibri" w:hAnsi="Calibri" w:cs="宋体"/>
                <w:sz w:val="24"/>
              </w:rPr>
            </w:pPr>
          </w:p>
        </w:tc>
      </w:tr>
      <w:tr w14:paraId="69A84DCC">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7CC0E861">
            <w:pPr>
              <w:widowControl/>
              <w:jc w:val="center"/>
              <w:rPr>
                <w:rFonts w:ascii="Arial" w:hAnsi="Arial" w:cs="Arial"/>
                <w:sz w:val="24"/>
              </w:rPr>
            </w:pPr>
          </w:p>
        </w:tc>
        <w:tc>
          <w:tcPr>
            <w:tcW w:w="1685" w:type="dxa"/>
            <w:tcBorders>
              <w:top w:val="nil"/>
              <w:left w:val="nil"/>
              <w:bottom w:val="single" w:color="auto" w:sz="4" w:space="0"/>
              <w:right w:val="single" w:color="auto" w:sz="4" w:space="0"/>
            </w:tcBorders>
            <w:noWrap w:val="0"/>
            <w:vAlign w:val="center"/>
          </w:tcPr>
          <w:p w14:paraId="0AD35FCB">
            <w:pPr>
              <w:widowControl/>
              <w:jc w:val="center"/>
              <w:rPr>
                <w:rFonts w:ascii="Arial" w:hAnsi="Arial" w:cs="Arial"/>
                <w:sz w:val="24"/>
              </w:rPr>
            </w:pPr>
          </w:p>
        </w:tc>
        <w:tc>
          <w:tcPr>
            <w:tcW w:w="1328" w:type="dxa"/>
            <w:tcBorders>
              <w:top w:val="nil"/>
              <w:left w:val="nil"/>
              <w:bottom w:val="single" w:color="auto" w:sz="4" w:space="0"/>
              <w:right w:val="single" w:color="auto" w:sz="4" w:space="0"/>
            </w:tcBorders>
            <w:noWrap w:val="0"/>
            <w:vAlign w:val="center"/>
          </w:tcPr>
          <w:p w14:paraId="12C2B4F3">
            <w:pPr>
              <w:widowControl/>
              <w:jc w:val="center"/>
              <w:rPr>
                <w:rFonts w:ascii="Calibri" w:hAnsi="Calibri" w:cs="宋体"/>
                <w:sz w:val="24"/>
              </w:rPr>
            </w:pPr>
          </w:p>
        </w:tc>
        <w:tc>
          <w:tcPr>
            <w:tcW w:w="908" w:type="dxa"/>
            <w:tcBorders>
              <w:top w:val="nil"/>
              <w:left w:val="nil"/>
              <w:bottom w:val="single" w:color="auto" w:sz="4" w:space="0"/>
              <w:right w:val="single" w:color="auto" w:sz="4" w:space="0"/>
            </w:tcBorders>
            <w:noWrap w:val="0"/>
            <w:vAlign w:val="center"/>
          </w:tcPr>
          <w:p w14:paraId="5B49B9D4">
            <w:pPr>
              <w:widowControl/>
              <w:jc w:val="center"/>
              <w:rPr>
                <w:rFonts w:ascii="Calibri" w:hAnsi="Calibri" w:cs="宋体"/>
                <w:sz w:val="24"/>
              </w:rPr>
            </w:pPr>
          </w:p>
        </w:tc>
        <w:tc>
          <w:tcPr>
            <w:tcW w:w="788" w:type="dxa"/>
            <w:tcBorders>
              <w:top w:val="nil"/>
              <w:left w:val="nil"/>
              <w:bottom w:val="single" w:color="auto" w:sz="4" w:space="0"/>
              <w:right w:val="single" w:color="auto" w:sz="4" w:space="0"/>
            </w:tcBorders>
            <w:noWrap w:val="0"/>
            <w:vAlign w:val="center"/>
          </w:tcPr>
          <w:p w14:paraId="6E22BA5E">
            <w:pPr>
              <w:widowControl/>
              <w:jc w:val="center"/>
              <w:rPr>
                <w:rFonts w:ascii="Calibri" w:hAnsi="Calibri" w:cs="宋体"/>
                <w:sz w:val="24"/>
              </w:rPr>
            </w:pPr>
          </w:p>
        </w:tc>
        <w:tc>
          <w:tcPr>
            <w:tcW w:w="824" w:type="dxa"/>
            <w:tcBorders>
              <w:top w:val="nil"/>
              <w:left w:val="nil"/>
              <w:bottom w:val="single" w:color="auto" w:sz="4" w:space="0"/>
              <w:right w:val="single" w:color="auto" w:sz="4" w:space="0"/>
            </w:tcBorders>
            <w:noWrap w:val="0"/>
            <w:vAlign w:val="center"/>
          </w:tcPr>
          <w:p w14:paraId="2ACD138C">
            <w:pPr>
              <w:widowControl/>
              <w:jc w:val="center"/>
              <w:rPr>
                <w:rFonts w:ascii="Calibri" w:hAnsi="Calibri" w:cs="宋体"/>
                <w:sz w:val="24"/>
              </w:rPr>
            </w:pPr>
          </w:p>
        </w:tc>
        <w:tc>
          <w:tcPr>
            <w:tcW w:w="703" w:type="dxa"/>
            <w:tcBorders>
              <w:top w:val="nil"/>
              <w:left w:val="nil"/>
              <w:bottom w:val="single" w:color="auto" w:sz="4" w:space="0"/>
              <w:right w:val="single" w:color="auto" w:sz="4" w:space="0"/>
            </w:tcBorders>
            <w:noWrap w:val="0"/>
            <w:vAlign w:val="center"/>
          </w:tcPr>
          <w:p w14:paraId="78FB4B4A">
            <w:pPr>
              <w:widowControl/>
              <w:jc w:val="center"/>
              <w:rPr>
                <w:rFonts w:ascii="Calibri" w:hAnsi="Calibri" w:cs="宋体"/>
                <w:sz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422B6378">
            <w:pPr>
              <w:widowControl/>
              <w:jc w:val="center"/>
              <w:rPr>
                <w:rFonts w:ascii="Calibri" w:hAnsi="Calibri" w:cs="宋体"/>
                <w:sz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3BC08274">
            <w:pPr>
              <w:widowControl/>
              <w:jc w:val="center"/>
              <w:rPr>
                <w:rFonts w:ascii="Calibri" w:hAnsi="Calibri" w:cs="宋体"/>
                <w:sz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265ADADE">
            <w:pPr>
              <w:widowControl/>
              <w:jc w:val="center"/>
              <w:rPr>
                <w:rFonts w:ascii="宋体" w:hAnsi="宋体" w:cs="宋体"/>
                <w:b/>
                <w:sz w:val="24"/>
              </w:rPr>
            </w:pPr>
          </w:p>
        </w:tc>
        <w:tc>
          <w:tcPr>
            <w:tcW w:w="871" w:type="dxa"/>
            <w:tcBorders>
              <w:top w:val="nil"/>
              <w:left w:val="nil"/>
              <w:bottom w:val="single" w:color="auto" w:sz="4" w:space="0"/>
              <w:right w:val="single" w:color="auto" w:sz="4" w:space="0"/>
            </w:tcBorders>
            <w:noWrap w:val="0"/>
            <w:vAlign w:val="center"/>
          </w:tcPr>
          <w:p w14:paraId="26710550">
            <w:pPr>
              <w:widowControl/>
              <w:jc w:val="center"/>
              <w:rPr>
                <w:rFonts w:ascii="Calibri" w:hAnsi="Calibri" w:cs="宋体"/>
                <w:sz w:val="24"/>
              </w:rPr>
            </w:pPr>
          </w:p>
        </w:tc>
        <w:tc>
          <w:tcPr>
            <w:tcW w:w="1157" w:type="dxa"/>
            <w:tcBorders>
              <w:top w:val="nil"/>
              <w:left w:val="nil"/>
              <w:bottom w:val="single" w:color="auto" w:sz="4" w:space="0"/>
              <w:right w:val="single" w:color="auto" w:sz="4" w:space="0"/>
            </w:tcBorders>
            <w:noWrap w:val="0"/>
            <w:vAlign w:val="center"/>
          </w:tcPr>
          <w:p w14:paraId="701E4416">
            <w:pPr>
              <w:widowControl/>
              <w:jc w:val="center"/>
              <w:rPr>
                <w:rFonts w:ascii="Calibri" w:hAnsi="Calibri" w:cs="宋体"/>
                <w:sz w:val="24"/>
              </w:rPr>
            </w:pPr>
          </w:p>
        </w:tc>
        <w:tc>
          <w:tcPr>
            <w:tcW w:w="687" w:type="dxa"/>
            <w:gridSpan w:val="2"/>
            <w:tcBorders>
              <w:top w:val="nil"/>
              <w:left w:val="nil"/>
              <w:bottom w:val="single" w:color="auto" w:sz="4" w:space="0"/>
              <w:right w:val="single" w:color="auto" w:sz="4" w:space="0"/>
            </w:tcBorders>
            <w:noWrap w:val="0"/>
            <w:vAlign w:val="center"/>
          </w:tcPr>
          <w:p w14:paraId="26968458">
            <w:pPr>
              <w:widowControl/>
              <w:jc w:val="center"/>
              <w:rPr>
                <w:rFonts w:ascii="Calibri" w:hAnsi="Calibri" w:cs="宋体"/>
                <w:sz w:val="24"/>
              </w:rPr>
            </w:pPr>
          </w:p>
        </w:tc>
      </w:tr>
      <w:tr w14:paraId="3834A40B">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32C7F70D">
            <w:pPr>
              <w:widowControl/>
              <w:jc w:val="center"/>
              <w:rPr>
                <w:rFonts w:ascii="Arial" w:hAnsi="Arial" w:cs="Arial"/>
                <w:sz w:val="24"/>
              </w:rPr>
            </w:pPr>
          </w:p>
        </w:tc>
        <w:tc>
          <w:tcPr>
            <w:tcW w:w="1685" w:type="dxa"/>
            <w:tcBorders>
              <w:top w:val="nil"/>
              <w:left w:val="nil"/>
              <w:bottom w:val="single" w:color="auto" w:sz="4" w:space="0"/>
              <w:right w:val="single" w:color="auto" w:sz="4" w:space="0"/>
            </w:tcBorders>
            <w:noWrap w:val="0"/>
            <w:vAlign w:val="center"/>
          </w:tcPr>
          <w:p w14:paraId="57777CE6">
            <w:pPr>
              <w:widowControl/>
              <w:jc w:val="center"/>
              <w:rPr>
                <w:rFonts w:ascii="Arial" w:hAnsi="Arial" w:cs="Arial"/>
                <w:sz w:val="24"/>
              </w:rPr>
            </w:pPr>
          </w:p>
        </w:tc>
        <w:tc>
          <w:tcPr>
            <w:tcW w:w="1328" w:type="dxa"/>
            <w:tcBorders>
              <w:top w:val="nil"/>
              <w:left w:val="nil"/>
              <w:bottom w:val="single" w:color="auto" w:sz="4" w:space="0"/>
              <w:right w:val="single" w:color="auto" w:sz="4" w:space="0"/>
            </w:tcBorders>
            <w:noWrap w:val="0"/>
            <w:vAlign w:val="center"/>
          </w:tcPr>
          <w:p w14:paraId="448D2370">
            <w:pPr>
              <w:widowControl/>
              <w:jc w:val="center"/>
              <w:rPr>
                <w:rFonts w:ascii="Calibri" w:hAnsi="Calibri" w:cs="宋体"/>
                <w:sz w:val="24"/>
              </w:rPr>
            </w:pPr>
          </w:p>
        </w:tc>
        <w:tc>
          <w:tcPr>
            <w:tcW w:w="908" w:type="dxa"/>
            <w:tcBorders>
              <w:top w:val="nil"/>
              <w:left w:val="nil"/>
              <w:bottom w:val="single" w:color="auto" w:sz="4" w:space="0"/>
              <w:right w:val="single" w:color="auto" w:sz="4" w:space="0"/>
            </w:tcBorders>
            <w:noWrap w:val="0"/>
            <w:vAlign w:val="center"/>
          </w:tcPr>
          <w:p w14:paraId="732F976E">
            <w:pPr>
              <w:widowControl/>
              <w:jc w:val="center"/>
              <w:rPr>
                <w:rFonts w:ascii="Calibri" w:hAnsi="Calibri" w:cs="宋体"/>
                <w:sz w:val="24"/>
              </w:rPr>
            </w:pPr>
          </w:p>
        </w:tc>
        <w:tc>
          <w:tcPr>
            <w:tcW w:w="788" w:type="dxa"/>
            <w:tcBorders>
              <w:top w:val="nil"/>
              <w:left w:val="nil"/>
              <w:bottom w:val="single" w:color="auto" w:sz="4" w:space="0"/>
              <w:right w:val="single" w:color="auto" w:sz="4" w:space="0"/>
            </w:tcBorders>
            <w:noWrap w:val="0"/>
            <w:vAlign w:val="center"/>
          </w:tcPr>
          <w:p w14:paraId="78FCDE37">
            <w:pPr>
              <w:widowControl/>
              <w:jc w:val="center"/>
              <w:rPr>
                <w:rFonts w:ascii="Calibri" w:hAnsi="Calibri" w:cs="宋体"/>
                <w:sz w:val="24"/>
              </w:rPr>
            </w:pPr>
          </w:p>
        </w:tc>
        <w:tc>
          <w:tcPr>
            <w:tcW w:w="824" w:type="dxa"/>
            <w:tcBorders>
              <w:top w:val="nil"/>
              <w:left w:val="nil"/>
              <w:bottom w:val="single" w:color="auto" w:sz="4" w:space="0"/>
              <w:right w:val="single" w:color="auto" w:sz="4" w:space="0"/>
            </w:tcBorders>
            <w:noWrap w:val="0"/>
            <w:vAlign w:val="center"/>
          </w:tcPr>
          <w:p w14:paraId="0CC8E199">
            <w:pPr>
              <w:widowControl/>
              <w:jc w:val="center"/>
              <w:rPr>
                <w:rFonts w:ascii="Calibri" w:hAnsi="Calibri" w:cs="宋体"/>
                <w:sz w:val="24"/>
              </w:rPr>
            </w:pPr>
          </w:p>
        </w:tc>
        <w:tc>
          <w:tcPr>
            <w:tcW w:w="703" w:type="dxa"/>
            <w:tcBorders>
              <w:top w:val="nil"/>
              <w:left w:val="nil"/>
              <w:bottom w:val="single" w:color="auto" w:sz="4" w:space="0"/>
              <w:right w:val="single" w:color="auto" w:sz="4" w:space="0"/>
            </w:tcBorders>
            <w:noWrap w:val="0"/>
            <w:vAlign w:val="center"/>
          </w:tcPr>
          <w:p w14:paraId="2DFDB3FE">
            <w:pPr>
              <w:widowControl/>
              <w:jc w:val="center"/>
              <w:rPr>
                <w:rFonts w:ascii="Calibri" w:hAnsi="Calibri" w:cs="宋体"/>
                <w:sz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0D75808B">
            <w:pPr>
              <w:widowControl/>
              <w:jc w:val="center"/>
              <w:rPr>
                <w:rFonts w:ascii="Calibri" w:hAnsi="Calibri" w:cs="宋体"/>
                <w:sz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0492570C">
            <w:pPr>
              <w:widowControl/>
              <w:jc w:val="center"/>
              <w:rPr>
                <w:rFonts w:ascii="Calibri" w:hAnsi="Calibri" w:cs="宋体"/>
                <w:sz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208C31E6">
            <w:pPr>
              <w:widowControl/>
              <w:jc w:val="center"/>
              <w:rPr>
                <w:rFonts w:ascii="宋体" w:hAnsi="宋体" w:cs="宋体"/>
                <w:b/>
                <w:sz w:val="24"/>
              </w:rPr>
            </w:pPr>
          </w:p>
        </w:tc>
        <w:tc>
          <w:tcPr>
            <w:tcW w:w="871" w:type="dxa"/>
            <w:tcBorders>
              <w:top w:val="nil"/>
              <w:left w:val="nil"/>
              <w:bottom w:val="single" w:color="auto" w:sz="4" w:space="0"/>
              <w:right w:val="single" w:color="auto" w:sz="4" w:space="0"/>
            </w:tcBorders>
            <w:noWrap w:val="0"/>
            <w:vAlign w:val="center"/>
          </w:tcPr>
          <w:p w14:paraId="26DFA9D0">
            <w:pPr>
              <w:widowControl/>
              <w:jc w:val="center"/>
              <w:rPr>
                <w:rFonts w:ascii="Calibri" w:hAnsi="Calibri" w:cs="宋体"/>
                <w:sz w:val="24"/>
              </w:rPr>
            </w:pPr>
          </w:p>
        </w:tc>
        <w:tc>
          <w:tcPr>
            <w:tcW w:w="1157" w:type="dxa"/>
            <w:tcBorders>
              <w:top w:val="nil"/>
              <w:left w:val="nil"/>
              <w:bottom w:val="single" w:color="auto" w:sz="4" w:space="0"/>
              <w:right w:val="single" w:color="auto" w:sz="4" w:space="0"/>
            </w:tcBorders>
            <w:noWrap w:val="0"/>
            <w:vAlign w:val="center"/>
          </w:tcPr>
          <w:p w14:paraId="3F3DE1C2">
            <w:pPr>
              <w:widowControl/>
              <w:jc w:val="center"/>
              <w:rPr>
                <w:rFonts w:ascii="Calibri" w:hAnsi="Calibri" w:cs="宋体"/>
                <w:sz w:val="24"/>
              </w:rPr>
            </w:pPr>
          </w:p>
        </w:tc>
        <w:tc>
          <w:tcPr>
            <w:tcW w:w="687" w:type="dxa"/>
            <w:gridSpan w:val="2"/>
            <w:tcBorders>
              <w:top w:val="nil"/>
              <w:left w:val="nil"/>
              <w:bottom w:val="single" w:color="auto" w:sz="4" w:space="0"/>
              <w:right w:val="single" w:color="auto" w:sz="4" w:space="0"/>
            </w:tcBorders>
            <w:noWrap w:val="0"/>
            <w:vAlign w:val="center"/>
          </w:tcPr>
          <w:p w14:paraId="789D49B5">
            <w:pPr>
              <w:widowControl/>
              <w:jc w:val="center"/>
              <w:rPr>
                <w:rFonts w:ascii="Calibri" w:hAnsi="Calibri" w:cs="宋体"/>
                <w:sz w:val="24"/>
              </w:rPr>
            </w:pPr>
          </w:p>
        </w:tc>
      </w:tr>
    </w:tbl>
    <w:p w14:paraId="65B7A77B">
      <w:pPr>
        <w:tabs>
          <w:tab w:val="left" w:pos="2565"/>
        </w:tabs>
        <w:spacing w:line="600" w:lineRule="exact"/>
        <w:rPr>
          <w:rFonts w:hint="eastAsia" w:ascii="仿宋_GB2312" w:eastAsia="仿宋_GB2312" w:cs="‹ÎSå"/>
          <w:bCs/>
          <w:kern w:val="1"/>
          <w:sz w:val="24"/>
        </w:rPr>
      </w:pPr>
    </w:p>
    <w:p w14:paraId="295892A3"/>
    <w:sectPr>
      <w:footerReference r:id="rId4" w:type="default"/>
      <w:footerReference r:id="rId5" w:type="even"/>
      <w:pgSz w:w="16838" w:h="11906" w:orient="landscape"/>
      <w:pgMar w:top="1587" w:right="1701" w:bottom="1587" w:left="1701" w:header="851" w:footer="1418"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ÎSå">
    <w:altName w:val="Arial"/>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29058">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0325" cy="154940"/>
              <wp:effectExtent l="0" t="0" r="0" b="0"/>
              <wp:wrapNone/>
              <wp:docPr id="1" name="矩形 1"/>
              <wp:cNvGraphicFramePr/>
              <a:graphic xmlns:a="http://schemas.openxmlformats.org/drawingml/2006/main">
                <a:graphicData uri="http://schemas.microsoft.com/office/word/2010/wordprocessingShape">
                  <wps:wsp>
                    <wps:cNvSpPr/>
                    <wps:spPr>
                      <a:xfrm>
                        <a:off x="0" y="0"/>
                        <a:ext cx="60325" cy="154940"/>
                      </a:xfrm>
                      <a:prstGeom prst="rect">
                        <a:avLst/>
                      </a:prstGeom>
                      <a:noFill/>
                      <a:ln>
                        <a:noFill/>
                      </a:ln>
                    </wps:spPr>
                    <wps:txbx>
                      <w:txbxContent>
                        <w:p w14:paraId="74877D5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12</w:t>
                          </w:r>
                          <w:r>
                            <w:rPr>
                              <w:rFonts w:hint="eastAsia"/>
                              <w:sz w:val="18"/>
                            </w:rP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0pt;height:12.2pt;width:4.75pt;mso-position-horizontal:center;mso-position-horizontal-relative:margin;mso-wrap-style:none;z-index:251659264;mso-width-relative:page;mso-height-relative:page;" filled="f" stroked="f" coordsize="21600,21600" o:gfxdata="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IBDF2tEAAAACAQAADwAAAAAAAAABACAAAAAiAAAAZHJzL2Rvd25yZXYueG1sUEsB&#10;AhQAFAAAAAgAh07iQKta3ALDAQAAiQMAAA4AAAAAAAAAAQAgAAAAIAEAAGRycy9lMm9Eb2MueG1s&#10;UEsFBgAAAAAGAAYAWQEAAFUFAAAAAA==&#10;">
              <v:fill on="f" focussize="0,0"/>
              <v:stroke on="f"/>
              <v:imagedata o:title=""/>
              <o:lock v:ext="edit" aspectratio="f"/>
              <v:textbox inset="0mm,0mm,0mm,0mm" style="mso-fit-shape-to-text:t;">
                <w:txbxContent>
                  <w:p w14:paraId="74877D5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12</w:t>
                    </w:r>
                    <w:r>
                      <w:rPr>
                        <w:rFonts w:hint="eastAsia"/>
                        <w:sz w:val="18"/>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B955B">
    <w:pPr>
      <w:pStyle w:val="5"/>
      <w:ind w:right="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039B8E">
    <w:pPr>
      <w:pStyle w:val="5"/>
      <w:framePr w:wrap="around" w:vAnchor="text" w:hAnchor="margin" w:xAlign="right" w:y="1"/>
      <w:rPr>
        <w:rStyle w:val="8"/>
      </w:rPr>
    </w:pPr>
    <w:r>
      <w:fldChar w:fldCharType="begin"/>
    </w:r>
    <w:r>
      <w:rPr>
        <w:rStyle w:val="8"/>
      </w:rPr>
      <w:instrText xml:space="preserve">PAGE  </w:instrText>
    </w:r>
    <w:r>
      <w:fldChar w:fldCharType="end"/>
    </w:r>
  </w:p>
  <w:p w14:paraId="4380E406">
    <w:pPr>
      <w:pStyle w:val="5"/>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D2F910"/>
    <w:multiLevelType w:val="singleLevel"/>
    <w:tmpl w:val="BCD2F910"/>
    <w:lvl w:ilvl="0" w:tentative="0">
      <w:start w:val="6"/>
      <w:numFmt w:val="chineseCounting"/>
      <w:suff w:val="nothing"/>
      <w:lvlText w:val="%1、"/>
      <w:lvlJc w:val="left"/>
      <w:rPr>
        <w:rFonts w:hint="eastAsia"/>
      </w:rPr>
    </w:lvl>
  </w:abstractNum>
  <w:abstractNum w:abstractNumId="1">
    <w:nsid w:val="621A438F"/>
    <w:multiLevelType w:val="singleLevel"/>
    <w:tmpl w:val="621A438F"/>
    <w:lvl w:ilvl="0" w:tentative="0">
      <w:start w:val="3"/>
      <w:numFmt w:val="chineseCounting"/>
      <w:suff w:val="nothing"/>
      <w:lvlText w:val="%1、"/>
      <w:lvlJc w:val="left"/>
      <w:pPr>
        <w:ind w:left="602"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1ZWM5YjkwZDgyMThiMjA0NGUyYmE4YjVkMDBjYjQifQ=="/>
  </w:docVars>
  <w:rsids>
    <w:rsidRoot w:val="00000000"/>
    <w:rsid w:val="01B15193"/>
    <w:rsid w:val="06183578"/>
    <w:rsid w:val="062260D2"/>
    <w:rsid w:val="06AC0092"/>
    <w:rsid w:val="122B4561"/>
    <w:rsid w:val="13685340"/>
    <w:rsid w:val="163C4F8E"/>
    <w:rsid w:val="181654DF"/>
    <w:rsid w:val="1A141D7E"/>
    <w:rsid w:val="1B662AAD"/>
    <w:rsid w:val="229B303C"/>
    <w:rsid w:val="30743FD2"/>
    <w:rsid w:val="3299464A"/>
    <w:rsid w:val="340223B2"/>
    <w:rsid w:val="37BF1123"/>
    <w:rsid w:val="38C67D61"/>
    <w:rsid w:val="39C25ACB"/>
    <w:rsid w:val="3C79126B"/>
    <w:rsid w:val="416C231C"/>
    <w:rsid w:val="43D917BF"/>
    <w:rsid w:val="4AC76815"/>
    <w:rsid w:val="4CAA019C"/>
    <w:rsid w:val="4E791BD4"/>
    <w:rsid w:val="52F46924"/>
    <w:rsid w:val="578515EA"/>
    <w:rsid w:val="59261099"/>
    <w:rsid w:val="59E3084A"/>
    <w:rsid w:val="5E37675E"/>
    <w:rsid w:val="5ED846F5"/>
    <w:rsid w:val="60E76E71"/>
    <w:rsid w:val="6C141CBC"/>
    <w:rsid w:val="714A1482"/>
    <w:rsid w:val="73F820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2"/>
    <w:basedOn w:val="1"/>
    <w:next w:val="1"/>
    <w:qFormat/>
    <w:uiPriority w:val="9"/>
    <w:pPr>
      <w:spacing w:beforeAutospacing="1" w:afterAutospacing="1"/>
      <w:jc w:val="left"/>
      <w:outlineLvl w:val="1"/>
    </w:pPr>
    <w:rPr>
      <w:rFonts w:hint="eastAsia" w:ascii="宋体" w:hAnsi="宋体" w:eastAsia="宋体" w:cs="Times New Roman"/>
      <w:b/>
      <w:kern w:val="0"/>
      <w:sz w:val="36"/>
      <w:szCs w:val="36"/>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next w:val="4"/>
    <w:unhideWhenUsed/>
    <w:qFormat/>
    <w:uiPriority w:val="99"/>
    <w:pPr>
      <w:spacing w:after="120"/>
    </w:pPr>
  </w:style>
  <w:style w:type="paragraph" w:styleId="4">
    <w:name w:val="Plain Text"/>
    <w:basedOn w:val="1"/>
    <w:unhideWhenUsed/>
    <w:qFormat/>
    <w:uiPriority w:val="99"/>
    <w:rPr>
      <w:rFonts w:ascii="宋体" w:hAnsi="Courier New"/>
      <w:kern w:val="0"/>
      <w:sz w:val="20"/>
      <w:szCs w:val="20"/>
    </w:rPr>
  </w:style>
  <w:style w:type="paragraph" w:styleId="5">
    <w:name w:val="footer"/>
    <w:basedOn w:val="1"/>
    <w:unhideWhenUsed/>
    <w:qFormat/>
    <w:uiPriority w:val="0"/>
    <w:pPr>
      <w:tabs>
        <w:tab w:val="center" w:pos="4153"/>
        <w:tab w:val="right" w:pos="8306"/>
      </w:tabs>
      <w:snapToGrid w:val="0"/>
      <w:jc w:val="left"/>
    </w:pPr>
    <w:rPr>
      <w:sz w:val="18"/>
      <w:szCs w:val="18"/>
    </w:rPr>
  </w:style>
  <w:style w:type="character" w:styleId="8">
    <w:name w:val="page number"/>
    <w:basedOn w:val="7"/>
    <w:qFormat/>
    <w:uiPriority w:val="0"/>
  </w:style>
  <w:style w:type="paragraph" w:customStyle="1" w:styleId="9">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4997</Words>
  <Characters>5185</Characters>
  <Lines>0</Lines>
  <Paragraphs>0</Paragraphs>
  <TotalTime>32</TotalTime>
  <ScaleCrop>false</ScaleCrop>
  <LinksUpToDate>false</LinksUpToDate>
  <CharactersWithSpaces>5524</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2024-07-26T09:00:00Z</dcterms:created>
  <dc:creator>Administrator</dc:creator>
  <cp:lastModifiedBy>远方</cp:lastModifiedBy>
  <dcterms:modified xsi:type="dcterms:W3CDTF">2024-08-01T00:50:37Z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4EE1B51BFF394D1C859E0383D3A74CC5_13</vt:lpwstr>
  </property>
</Properties>
</file>