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987A3">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324B1836">
      <w:pPr>
        <w:pStyle w:val="2"/>
        <w:rPr>
          <w:rFonts w:ascii="方正小标宋简体" w:hAnsi="宋体" w:eastAsia="方正小标宋简体" w:cs="宋体"/>
        </w:rPr>
      </w:pPr>
      <w:r>
        <w:rPr>
          <w:rFonts w:hint="eastAsia" w:ascii="方正小标宋简体" w:hAnsi="宋体" w:eastAsia="方正小标宋简体" w:cs="宋体"/>
        </w:rPr>
        <w:t>招标文件</w:t>
      </w:r>
    </w:p>
    <w:p w14:paraId="13615238"/>
    <w:p w14:paraId="567F924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46017802">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2AC1AF8F">
      <w:pPr>
        <w:spacing w:line="600" w:lineRule="exact"/>
        <w:ind w:firstLine="640" w:firstLineChars="200"/>
        <w:jc w:val="left"/>
        <w:rPr>
          <w:rFonts w:ascii="方正仿宋简体" w:hAnsi="仿宋_GB2312" w:eastAsia="方正仿宋简体" w:cs="仿宋_GB2312"/>
          <w:kern w:val="1"/>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仿宋_GB2312" w:eastAsia="方正仿宋简体" w:cs="仿宋_GB2312"/>
          <w:kern w:val="1"/>
          <w:sz w:val="32"/>
          <w:szCs w:val="32"/>
          <w:u w:val="single"/>
        </w:rPr>
        <w:t>2024.07.0</w:t>
      </w:r>
      <w:r>
        <w:rPr>
          <w:rFonts w:ascii="方正仿宋简体" w:hAnsi="仿宋_GB2312" w:eastAsia="方正仿宋简体" w:cs="仿宋_GB2312"/>
          <w:kern w:val="1"/>
          <w:sz w:val="32"/>
          <w:szCs w:val="32"/>
          <w:u w:val="single"/>
        </w:rPr>
        <w:t>9</w:t>
      </w:r>
      <w:r>
        <w:rPr>
          <w:rFonts w:hint="eastAsia" w:ascii="方正仿宋简体" w:hAnsi="仿宋_GB2312" w:eastAsia="方正仿宋简体" w:cs="仿宋_GB2312"/>
          <w:kern w:val="1"/>
          <w:sz w:val="32"/>
          <w:szCs w:val="32"/>
          <w:u w:val="single"/>
        </w:rPr>
        <w:t>海纳川港口煤炭码头卸船机</w:t>
      </w:r>
      <w:r>
        <w:rPr>
          <w:rFonts w:ascii="方正仿宋简体" w:hAnsi="仿宋_GB2312" w:eastAsia="方正仿宋简体" w:cs="仿宋_GB2312"/>
          <w:kern w:val="1"/>
          <w:sz w:val="32"/>
          <w:szCs w:val="32"/>
          <w:u w:val="single"/>
        </w:rPr>
        <w:t>、</w:t>
      </w:r>
      <w:r>
        <w:rPr>
          <w:rFonts w:hint="eastAsia" w:ascii="方正仿宋简体" w:hAnsi="仿宋_GB2312" w:eastAsia="方正仿宋简体" w:cs="仿宋_GB2312"/>
          <w:kern w:val="1"/>
          <w:sz w:val="32"/>
          <w:szCs w:val="32"/>
          <w:u w:val="single"/>
        </w:rPr>
        <w:t>危化码头</w:t>
      </w:r>
      <w:r>
        <w:rPr>
          <w:rFonts w:ascii="方正仿宋简体" w:hAnsi="仿宋_GB2312" w:eastAsia="方正仿宋简体" w:cs="仿宋_GB2312"/>
          <w:kern w:val="1"/>
          <w:sz w:val="32"/>
          <w:szCs w:val="32"/>
          <w:u w:val="single"/>
        </w:rPr>
        <w:t>起重机</w:t>
      </w:r>
      <w:r>
        <w:rPr>
          <w:rFonts w:hint="eastAsia" w:ascii="方正仿宋简体" w:hAnsi="仿宋_GB2312" w:eastAsia="方正仿宋简体" w:cs="仿宋_GB2312"/>
          <w:kern w:val="1"/>
          <w:sz w:val="32"/>
          <w:szCs w:val="32"/>
          <w:u w:val="single"/>
        </w:rPr>
        <w:t>202</w:t>
      </w:r>
      <w:r>
        <w:rPr>
          <w:rFonts w:ascii="方正仿宋简体" w:hAnsi="仿宋_GB2312" w:eastAsia="方正仿宋简体" w:cs="仿宋_GB2312"/>
          <w:kern w:val="1"/>
          <w:sz w:val="32"/>
          <w:szCs w:val="32"/>
          <w:u w:val="single"/>
        </w:rPr>
        <w:t>4-2025</w:t>
      </w:r>
      <w:r>
        <w:rPr>
          <w:rFonts w:hint="eastAsia" w:ascii="方正仿宋简体" w:hAnsi="仿宋_GB2312" w:eastAsia="方正仿宋简体" w:cs="仿宋_GB2312"/>
          <w:kern w:val="1"/>
          <w:sz w:val="32"/>
          <w:szCs w:val="32"/>
          <w:u w:val="single"/>
        </w:rPr>
        <w:t>年度维保及</w:t>
      </w:r>
      <w:r>
        <w:rPr>
          <w:rFonts w:ascii="方正仿宋简体" w:hAnsi="仿宋_GB2312" w:eastAsia="方正仿宋简体" w:cs="仿宋_GB2312"/>
          <w:kern w:val="1"/>
          <w:sz w:val="32"/>
          <w:szCs w:val="32"/>
          <w:u w:val="single"/>
        </w:rPr>
        <w:t>故障</w:t>
      </w:r>
      <w:r>
        <w:rPr>
          <w:rFonts w:hint="eastAsia" w:ascii="方正仿宋简体" w:hAnsi="仿宋_GB2312" w:eastAsia="方正仿宋简体" w:cs="仿宋_GB2312"/>
          <w:kern w:val="1"/>
          <w:sz w:val="32"/>
          <w:szCs w:val="32"/>
          <w:u w:val="single"/>
        </w:rPr>
        <w:t>维修招标</w:t>
      </w:r>
      <w:r>
        <w:rPr>
          <w:rFonts w:hint="eastAsia" w:ascii="方正仿宋简体" w:hAnsi="方正仿宋简体" w:eastAsia="方正仿宋简体" w:cs="方正仿宋简体"/>
          <w:bCs/>
          <w:sz w:val="32"/>
          <w:szCs w:val="32"/>
        </w:rPr>
        <w:t>；</w:t>
      </w:r>
    </w:p>
    <w:p w14:paraId="368F924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维保时间:</w:t>
      </w:r>
      <w:r>
        <w:rPr>
          <w:rFonts w:hint="eastAsia" w:ascii="方正仿宋简体" w:hAnsi="仿宋_GB2312" w:eastAsia="方正仿宋简体" w:cs="仿宋_GB2312"/>
          <w:kern w:val="1"/>
          <w:sz w:val="32"/>
          <w:szCs w:val="32"/>
          <w:u w:val="single"/>
        </w:rPr>
        <w:t>2</w:t>
      </w:r>
      <w:r>
        <w:rPr>
          <w:rFonts w:ascii="方正仿宋简体" w:hAnsi="仿宋_GB2312" w:eastAsia="方正仿宋简体" w:cs="仿宋_GB2312"/>
          <w:kern w:val="1"/>
          <w:sz w:val="32"/>
          <w:szCs w:val="32"/>
          <w:u w:val="single"/>
        </w:rPr>
        <w:t>024</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8</w:t>
      </w:r>
      <w:r>
        <w:rPr>
          <w:rFonts w:hint="eastAsia" w:ascii="方正仿宋简体" w:hAnsi="仿宋_GB2312" w:eastAsia="方正仿宋简体" w:cs="仿宋_GB2312"/>
          <w:kern w:val="1"/>
          <w:sz w:val="32"/>
          <w:szCs w:val="32"/>
          <w:u w:val="single"/>
        </w:rPr>
        <w:t>月</w:t>
      </w:r>
      <w:r>
        <w:rPr>
          <w:rFonts w:ascii="方正仿宋简体" w:hAnsi="仿宋_GB2312" w:eastAsia="方正仿宋简体" w:cs="仿宋_GB2312"/>
          <w:kern w:val="1"/>
          <w:sz w:val="32"/>
          <w:szCs w:val="32"/>
          <w:u w:val="single"/>
        </w:rPr>
        <w:t>1</w:t>
      </w:r>
      <w:r>
        <w:rPr>
          <w:rFonts w:hint="eastAsia" w:ascii="方正仿宋简体" w:hAnsi="仿宋_GB2312" w:eastAsia="方正仿宋简体" w:cs="仿宋_GB2312"/>
          <w:kern w:val="1"/>
          <w:sz w:val="32"/>
          <w:szCs w:val="32"/>
          <w:u w:val="single"/>
        </w:rPr>
        <w:t>日</w:t>
      </w:r>
      <w:r>
        <w:rPr>
          <w:rFonts w:ascii="方正仿宋简体" w:hAnsi="仿宋_GB2312" w:eastAsia="方正仿宋简体" w:cs="仿宋_GB2312"/>
          <w:kern w:val="1"/>
          <w:sz w:val="32"/>
          <w:szCs w:val="32"/>
          <w:u w:val="single"/>
        </w:rPr>
        <w:t>-2025</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12月</w:t>
      </w:r>
      <w:r>
        <w:rPr>
          <w:rFonts w:hint="eastAsia" w:ascii="方正仿宋简体" w:hAnsi="仿宋_GB2312" w:eastAsia="方正仿宋简体" w:cs="仿宋_GB2312"/>
          <w:kern w:val="1"/>
          <w:sz w:val="32"/>
          <w:szCs w:val="32"/>
          <w:u w:val="single"/>
        </w:rPr>
        <w:t>31日</w:t>
      </w:r>
      <w:r>
        <w:rPr>
          <w:rFonts w:hint="eastAsia" w:ascii="方正仿宋简体" w:hAnsi="方正仿宋简体" w:eastAsia="方正仿宋简体" w:cs="方正仿宋简体"/>
          <w:sz w:val="32"/>
          <w:szCs w:val="32"/>
        </w:rPr>
        <w:t>；</w:t>
      </w:r>
    </w:p>
    <w:p w14:paraId="7AE6ABC2">
      <w:pPr>
        <w:pStyle w:val="2"/>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w:t>
      </w:r>
      <w:r>
        <w:rPr>
          <w:rFonts w:ascii="方正楷体_GBK" w:hAnsi="方正楷体_GBK" w:eastAsia="方正楷体_GBK" w:cs="方正楷体_GBK"/>
          <w:sz w:val="32"/>
          <w:szCs w:val="32"/>
        </w:rPr>
        <w:t xml:space="preserve"> </w:t>
      </w:r>
      <w:r>
        <w:rPr>
          <w:rFonts w:hint="eastAsia" w:ascii="方正楷体_GBK" w:hAnsi="方正楷体_GBK" w:eastAsia="方正楷体_GBK" w:cs="方正楷体_GBK"/>
          <w:sz w:val="32"/>
          <w:szCs w:val="32"/>
        </w:rPr>
        <w:t xml:space="preserve">（三 </w:t>
      </w:r>
      <w:r>
        <w:rPr>
          <w:rFonts w:hint="eastAsia" w:ascii="方正仿宋简体" w:hAnsi="方正仿宋简体" w:eastAsia="方正仿宋简体" w:cs="方正仿宋简体"/>
          <w:sz w:val="32"/>
          <w:szCs w:val="32"/>
        </w:rPr>
        <w:t>维保地点：</w:t>
      </w:r>
      <w:r>
        <w:rPr>
          <w:rFonts w:hint="eastAsia" w:ascii="方正仿宋简体" w:hAnsi="方正仿宋简体" w:eastAsia="方正仿宋简体" w:cs="方正仿宋简体"/>
          <w:sz w:val="32"/>
          <w:szCs w:val="32"/>
          <w:u w:val="single"/>
        </w:rPr>
        <w:t>镇江海纳川物流产业发展有限责任公司；</w:t>
      </w:r>
    </w:p>
    <w:p w14:paraId="18E95E9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7</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23</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上午</w:t>
      </w:r>
      <w:r>
        <w:rPr>
          <w:rFonts w:hint="eastAsia" w:ascii="方正仿宋简体" w:hAnsi="方正仿宋简体" w:eastAsia="方正仿宋简体" w:cs="方正仿宋简体"/>
          <w:sz w:val="32"/>
          <w:szCs w:val="32"/>
          <w:u w:val="single"/>
          <w:lang w:val="en-US" w:eastAsia="zh-CN"/>
        </w:rPr>
        <w:t>10:50</w:t>
      </w:r>
      <w:r>
        <w:rPr>
          <w:rFonts w:hint="eastAsia" w:ascii="方正仿宋简体" w:hAnsi="方正仿宋简体" w:eastAsia="方正仿宋简体" w:cs="方正仿宋简体"/>
          <w:sz w:val="32"/>
          <w:szCs w:val="32"/>
        </w:rPr>
        <w:t>；</w:t>
      </w:r>
    </w:p>
    <w:p w14:paraId="3DBB454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7</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23</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上午</w:t>
      </w:r>
      <w:r>
        <w:rPr>
          <w:rFonts w:hint="eastAsia" w:ascii="方正仿宋简体" w:hAnsi="方正仿宋简体" w:eastAsia="方正仿宋简体" w:cs="方正仿宋简体"/>
          <w:sz w:val="32"/>
          <w:szCs w:val="32"/>
          <w:u w:val="single"/>
          <w:lang w:val="en-US" w:eastAsia="zh-CN"/>
        </w:rPr>
        <w:t>10:50</w:t>
      </w:r>
      <w:bookmarkStart w:id="1" w:name="_GoBack"/>
      <w:bookmarkEnd w:id="1"/>
      <w:r>
        <w:rPr>
          <w:rFonts w:hint="eastAsia" w:ascii="方正仿宋简体" w:hAnsi="方正仿宋简体" w:eastAsia="方正仿宋简体" w:cs="方正仿宋简体"/>
          <w:sz w:val="32"/>
          <w:szCs w:val="32"/>
        </w:rPr>
        <w:t>；</w:t>
      </w:r>
    </w:p>
    <w:p w14:paraId="43CAD92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4CAEE48F">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F920181">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6B38E629">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14:paraId="0FDF80F6">
      <w:pPr>
        <w:spacing w:line="360" w:lineRule="auto"/>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2024.07.05海纳川港口煤炭码头卸船机</w:t>
      </w:r>
      <w:r>
        <w:rPr>
          <w:rFonts w:ascii="方正仿宋简体" w:hAnsi="仿宋_GB2312" w:eastAsia="方正仿宋简体" w:cs="仿宋_GB2312"/>
          <w:kern w:val="1"/>
          <w:sz w:val="32"/>
          <w:szCs w:val="32"/>
        </w:rPr>
        <w:t>、</w:t>
      </w:r>
      <w:r>
        <w:rPr>
          <w:rFonts w:hint="eastAsia" w:ascii="方正仿宋简体" w:hAnsi="仿宋_GB2312" w:eastAsia="方正仿宋简体" w:cs="仿宋_GB2312"/>
          <w:kern w:val="1"/>
          <w:sz w:val="32"/>
          <w:szCs w:val="32"/>
        </w:rPr>
        <w:t>危化码头</w:t>
      </w:r>
      <w:r>
        <w:rPr>
          <w:rFonts w:ascii="方正仿宋简体" w:hAnsi="仿宋_GB2312" w:eastAsia="方正仿宋简体" w:cs="仿宋_GB2312"/>
          <w:kern w:val="1"/>
          <w:sz w:val="32"/>
          <w:szCs w:val="32"/>
        </w:rPr>
        <w:t>起重机</w:t>
      </w:r>
      <w:r>
        <w:rPr>
          <w:rFonts w:hint="eastAsia" w:ascii="方正仿宋简体" w:hAnsi="仿宋_GB2312" w:eastAsia="方正仿宋简体" w:cs="仿宋_GB2312"/>
          <w:kern w:val="1"/>
          <w:sz w:val="32"/>
          <w:szCs w:val="32"/>
        </w:rPr>
        <w:t>202</w:t>
      </w:r>
      <w:r>
        <w:rPr>
          <w:rFonts w:ascii="方正仿宋简体" w:hAnsi="仿宋_GB2312" w:eastAsia="方正仿宋简体" w:cs="仿宋_GB2312"/>
          <w:kern w:val="1"/>
          <w:sz w:val="32"/>
          <w:szCs w:val="32"/>
        </w:rPr>
        <w:t>4-2025</w:t>
      </w:r>
      <w:r>
        <w:rPr>
          <w:rFonts w:hint="eastAsia" w:ascii="方正仿宋简体" w:hAnsi="仿宋_GB2312" w:eastAsia="方正仿宋简体" w:cs="仿宋_GB2312"/>
          <w:kern w:val="1"/>
          <w:sz w:val="32"/>
          <w:szCs w:val="32"/>
        </w:rPr>
        <w:t>年度维保及</w:t>
      </w:r>
      <w:r>
        <w:rPr>
          <w:rFonts w:ascii="方正仿宋简体" w:hAnsi="仿宋_GB2312" w:eastAsia="方正仿宋简体" w:cs="仿宋_GB2312"/>
          <w:kern w:val="1"/>
          <w:sz w:val="32"/>
          <w:szCs w:val="32"/>
        </w:rPr>
        <w:t>故障</w:t>
      </w:r>
      <w:r>
        <w:rPr>
          <w:rFonts w:hint="eastAsia" w:ascii="方正仿宋简体" w:hAnsi="仿宋_GB2312" w:eastAsia="方正仿宋简体" w:cs="仿宋_GB2312"/>
          <w:kern w:val="1"/>
          <w:sz w:val="32"/>
          <w:szCs w:val="32"/>
        </w:rPr>
        <w:t>维修</w:t>
      </w:r>
      <w:r>
        <w:rPr>
          <w:rFonts w:hint="eastAsia"/>
        </w:rPr>
        <w:t xml:space="preserve"> </w:t>
      </w:r>
    </w:p>
    <w:p w14:paraId="57DC094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14:paraId="410C176B">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1.工作内容</w:t>
      </w:r>
    </w:p>
    <w:p w14:paraId="20A61748">
      <w:pPr>
        <w:spacing w:line="360" w:lineRule="auto"/>
        <w:ind w:firstLine="465"/>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（1）</w:t>
      </w:r>
      <w:r>
        <w:rPr>
          <w:rFonts w:hint="eastAsia" w:ascii="方正仿宋简体" w:hAnsi="仿宋_GB2312" w:eastAsia="方正仿宋简体" w:cs="仿宋_GB2312"/>
          <w:sz w:val="32"/>
          <w:szCs w:val="32"/>
        </w:rPr>
        <w:t>散货码头</w:t>
      </w:r>
      <w:r>
        <w:rPr>
          <w:rFonts w:ascii="方正仿宋简体" w:hAnsi="仿宋_GB2312" w:eastAsia="方正仿宋简体" w:cs="仿宋_GB2312"/>
          <w:sz w:val="32"/>
          <w:szCs w:val="32"/>
        </w:rPr>
        <w:t>桥式抓斗</w:t>
      </w:r>
      <w:r>
        <w:rPr>
          <w:rFonts w:hint="eastAsia" w:ascii="方正仿宋简体" w:hAnsi="仿宋_GB2312" w:eastAsia="方正仿宋简体" w:cs="仿宋_GB2312"/>
          <w:sz w:val="32"/>
          <w:szCs w:val="32"/>
        </w:rPr>
        <w:t>卸船机：ZQX600，600t/h，</w:t>
      </w:r>
      <w:r>
        <w:rPr>
          <w:rFonts w:ascii="方正仿宋简体" w:hAnsi="仿宋_GB2312" w:eastAsia="方正仿宋简体" w:cs="仿宋_GB2312"/>
          <w:sz w:val="32"/>
          <w:szCs w:val="32"/>
        </w:rPr>
        <w:t>1台（</w:t>
      </w:r>
      <w:r>
        <w:rPr>
          <w:rFonts w:hint="eastAsia" w:ascii="方正仿宋简体" w:hAnsi="仿宋_GB2312" w:eastAsia="方正仿宋简体" w:cs="仿宋_GB2312"/>
          <w:sz w:val="32"/>
          <w:szCs w:val="32"/>
        </w:rPr>
        <w:t>抓斗起重量16t，起重高度H上14m、H下16m，轨距10.5m，斗容积10m3</w:t>
      </w:r>
      <w:r>
        <w:rPr>
          <w:rFonts w:ascii="方正仿宋简体" w:hAnsi="仿宋_GB2312" w:eastAsia="方正仿宋简体" w:cs="仿宋_GB2312"/>
          <w:sz w:val="32"/>
          <w:szCs w:val="32"/>
        </w:rPr>
        <w:t>，杭州华新机电工程公司生产，使用时间16年）</w:t>
      </w:r>
      <w:r>
        <w:rPr>
          <w:rFonts w:hint="eastAsia" w:ascii="方正仿宋简体" w:hAnsi="仿宋_GB2312" w:eastAsia="方正仿宋简体" w:cs="仿宋_GB2312"/>
          <w:sz w:val="32"/>
          <w:szCs w:val="32"/>
        </w:rPr>
        <w:t>。</w:t>
      </w:r>
    </w:p>
    <w:p w14:paraId="54935133">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工作内容： 散货码头</w:t>
      </w:r>
      <w:r>
        <w:rPr>
          <w:rFonts w:ascii="方正仿宋简体" w:hAnsi="仿宋_GB2312" w:eastAsia="方正仿宋简体" w:cs="仿宋_GB2312"/>
          <w:sz w:val="32"/>
          <w:szCs w:val="32"/>
        </w:rPr>
        <w:t>桥式抓斗</w:t>
      </w:r>
      <w:r>
        <w:rPr>
          <w:rFonts w:hint="eastAsia" w:ascii="方正仿宋简体" w:hAnsi="仿宋_GB2312" w:eastAsia="方正仿宋简体" w:cs="仿宋_GB2312"/>
          <w:sz w:val="32"/>
          <w:szCs w:val="32"/>
        </w:rPr>
        <w:t>卸船机</w:t>
      </w:r>
      <w:r>
        <w:rPr>
          <w:rFonts w:ascii="方正仿宋简体" w:hAnsi="仿宋_GB2312" w:eastAsia="方正仿宋简体" w:cs="仿宋_GB2312"/>
          <w:sz w:val="32"/>
          <w:szCs w:val="32"/>
        </w:rPr>
        <w:t>年度</w:t>
      </w:r>
      <w:r>
        <w:rPr>
          <w:rFonts w:hint="eastAsia" w:ascii="方正仿宋简体" w:hAnsi="仿宋_GB2312" w:eastAsia="方正仿宋简体" w:cs="仿宋_GB2312"/>
          <w:sz w:val="32"/>
          <w:szCs w:val="32"/>
        </w:rPr>
        <w:t>维保及故障维修工作量详见附件1</w:t>
      </w:r>
      <w:r>
        <w:rPr>
          <w:rFonts w:ascii="方正仿宋简体" w:hAnsi="仿宋_GB2312" w:eastAsia="方正仿宋简体" w:cs="仿宋_GB2312"/>
          <w:sz w:val="32"/>
          <w:szCs w:val="32"/>
        </w:rPr>
        <w:t>《卸船机年度维保内容及要求》</w:t>
      </w:r>
      <w:r>
        <w:rPr>
          <w:rFonts w:hint="eastAsia" w:ascii="方正仿宋简体" w:hAnsi="仿宋_GB2312" w:eastAsia="方正仿宋简体" w:cs="仿宋_GB2312"/>
          <w:sz w:val="32"/>
          <w:szCs w:val="32"/>
        </w:rPr>
        <w:t>及附表</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卸船机维修分项清单及报价表</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w:t>
      </w:r>
    </w:p>
    <w:p w14:paraId="7167B4F5">
      <w:pPr>
        <w:spacing w:line="360" w:lineRule="auto"/>
        <w:ind w:firstLine="465"/>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（2）</w:t>
      </w:r>
      <w:r>
        <w:rPr>
          <w:rFonts w:hint="eastAsia" w:ascii="方正仿宋简体" w:hAnsi="仿宋_GB2312" w:eastAsia="方正仿宋简体" w:cs="仿宋_GB2312"/>
          <w:sz w:val="32"/>
          <w:szCs w:val="32"/>
        </w:rPr>
        <w:t>危化码头</w:t>
      </w:r>
      <w:r>
        <w:rPr>
          <w:rFonts w:ascii="方正仿宋简体" w:hAnsi="仿宋_GB2312" w:eastAsia="方正仿宋简体" w:cs="仿宋_GB2312"/>
          <w:sz w:val="32"/>
          <w:szCs w:val="32"/>
        </w:rPr>
        <w:t>起重机：</w:t>
      </w:r>
      <w:r>
        <w:rPr>
          <w:rFonts w:hint="eastAsia" w:ascii="方正仿宋简体" w:hAnsi="仿宋_GB2312" w:eastAsia="方正仿宋简体" w:cs="仿宋_GB2312"/>
          <w:sz w:val="32"/>
          <w:szCs w:val="32"/>
        </w:rPr>
        <w:t>YBQ0-98（0.98t液压）1台</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 xml:space="preserve">YBQ1（1t 液压）1台，YCQ1（1t电动葫芦） </w:t>
      </w:r>
      <w:r>
        <w:rPr>
          <w:rFonts w:ascii="方正仿宋简体" w:hAnsi="仿宋_GB2312" w:eastAsia="方正仿宋简体" w:cs="仿宋_GB2312"/>
          <w:sz w:val="32"/>
          <w:szCs w:val="32"/>
        </w:rPr>
        <w:t>1台</w:t>
      </w:r>
      <w:r>
        <w:rPr>
          <w:rFonts w:hint="eastAsia" w:ascii="方正仿宋简体" w:hAnsi="仿宋_GB2312" w:eastAsia="方正仿宋简体" w:cs="仿宋_GB2312"/>
          <w:sz w:val="32"/>
          <w:szCs w:val="32"/>
        </w:rPr>
        <w:t>，共3台</w:t>
      </w:r>
      <w:r>
        <w:rPr>
          <w:rFonts w:ascii="方正仿宋简体" w:hAnsi="仿宋_GB2312" w:eastAsia="方正仿宋简体" w:cs="仿宋_GB2312"/>
          <w:sz w:val="32"/>
          <w:szCs w:val="32"/>
        </w:rPr>
        <w:t>。</w:t>
      </w:r>
    </w:p>
    <w:p w14:paraId="31AD86EB">
      <w:pPr>
        <w:spacing w:line="360" w:lineRule="auto"/>
        <w:ind w:firstLine="465"/>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工作内容：危化码头</w:t>
      </w:r>
      <w:r>
        <w:rPr>
          <w:rFonts w:ascii="方正仿宋简体" w:hAnsi="仿宋_GB2312" w:eastAsia="方正仿宋简体" w:cs="仿宋_GB2312"/>
          <w:sz w:val="32"/>
          <w:szCs w:val="32"/>
        </w:rPr>
        <w:t>起重机年度</w:t>
      </w:r>
      <w:r>
        <w:rPr>
          <w:rFonts w:hint="eastAsia" w:ascii="方正仿宋简体" w:hAnsi="仿宋_GB2312" w:eastAsia="方正仿宋简体" w:cs="仿宋_GB2312"/>
          <w:sz w:val="32"/>
          <w:szCs w:val="32"/>
        </w:rPr>
        <w:t>维保工作量详见附件2</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1t</w:t>
      </w:r>
      <w:r>
        <w:rPr>
          <w:rFonts w:ascii="方正仿宋简体" w:hAnsi="仿宋_GB2312" w:eastAsia="方正仿宋简体" w:cs="仿宋_GB2312"/>
          <w:sz w:val="32"/>
          <w:szCs w:val="32"/>
        </w:rPr>
        <w:t>起重机年度维保内容及要求》</w:t>
      </w:r>
      <w:r>
        <w:rPr>
          <w:rFonts w:hint="eastAsia" w:ascii="方正仿宋简体" w:hAnsi="仿宋_GB2312" w:eastAsia="方正仿宋简体" w:cs="仿宋_GB2312"/>
          <w:sz w:val="32"/>
          <w:szCs w:val="32"/>
        </w:rPr>
        <w:t>。</w:t>
      </w:r>
    </w:p>
    <w:p w14:paraId="41C23E81">
      <w:pPr>
        <w:spacing w:line="360" w:lineRule="auto"/>
        <w:ind w:firstLine="465"/>
        <w:jc w:val="left"/>
        <w:rPr>
          <w:rFonts w:ascii="方正仿宋简体" w:hAnsi="仿宋_GB2312" w:eastAsia="方正仿宋简体" w:cs="仿宋_GB2312"/>
          <w:color w:val="000000"/>
          <w:sz w:val="32"/>
          <w:szCs w:val="32"/>
        </w:rPr>
      </w:pPr>
      <w:r>
        <w:rPr>
          <w:rFonts w:hint="eastAsia" w:ascii="方正仿宋简体" w:hAnsi="仿宋_GB2312" w:eastAsia="方正仿宋简体" w:cs="仿宋_GB2312"/>
          <w:sz w:val="32"/>
          <w:szCs w:val="32"/>
        </w:rPr>
        <w:t>2.</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卸船机维修分项清单及报价表</w:t>
      </w:r>
      <w:r>
        <w:rPr>
          <w:rFonts w:ascii="方正仿宋简体" w:hAnsi="仿宋_GB2312" w:eastAsia="方正仿宋简体" w:cs="仿宋_GB2312"/>
          <w:sz w:val="32"/>
          <w:szCs w:val="32"/>
        </w:rPr>
        <w:t>》</w:t>
      </w:r>
      <w:r>
        <w:rPr>
          <w:rFonts w:hint="eastAsia" w:ascii="方正仿宋简体" w:hAnsi="仿宋_GB2312" w:eastAsia="方正仿宋简体" w:cs="仿宋_GB2312"/>
          <w:color w:val="000000"/>
          <w:sz w:val="32"/>
          <w:szCs w:val="32"/>
        </w:rPr>
        <w:t>中要求更换的备件由</w:t>
      </w:r>
      <w:r>
        <w:rPr>
          <w:rFonts w:ascii="方正仿宋简体" w:hAnsi="仿宋_GB2312" w:eastAsia="方正仿宋简体" w:cs="仿宋_GB2312"/>
          <w:color w:val="000000"/>
          <w:sz w:val="32"/>
          <w:szCs w:val="32"/>
        </w:rPr>
        <w:t>招</w:t>
      </w:r>
      <w:r>
        <w:rPr>
          <w:rFonts w:hint="eastAsia" w:ascii="方正仿宋简体" w:hAnsi="仿宋_GB2312" w:eastAsia="方正仿宋简体" w:cs="仿宋_GB2312"/>
          <w:color w:val="000000"/>
          <w:sz w:val="32"/>
          <w:szCs w:val="32"/>
        </w:rPr>
        <w:t>标方提供。</w:t>
      </w:r>
    </w:p>
    <w:p w14:paraId="7E9CA77F">
      <w:pPr>
        <w:spacing w:line="360" w:lineRule="auto"/>
        <w:ind w:firstLine="465"/>
        <w:jc w:val="left"/>
        <w:rPr>
          <w:rFonts w:ascii="方正仿宋简体" w:hAnsi="仿宋_GB2312" w:eastAsia="方正仿宋简体" w:cs="仿宋_GB2312"/>
          <w:color w:val="000000"/>
          <w:sz w:val="32"/>
          <w:szCs w:val="32"/>
        </w:rPr>
      </w:pPr>
      <w:r>
        <w:rPr>
          <w:rFonts w:hint="eastAsia" w:ascii="方正仿宋简体" w:hAnsi="仿宋_GB2312" w:eastAsia="方正仿宋简体" w:cs="仿宋_GB2312"/>
          <w:color w:val="000000"/>
          <w:sz w:val="32"/>
          <w:szCs w:val="32"/>
        </w:rPr>
        <w:t>3．</w:t>
      </w:r>
      <w:r>
        <w:rPr>
          <w:rFonts w:ascii="方正仿宋简体" w:hAnsi="仿宋_GB2312" w:eastAsia="方正仿宋简体" w:cs="仿宋_GB2312"/>
          <w:color w:val="000000"/>
          <w:sz w:val="32"/>
          <w:szCs w:val="32"/>
        </w:rPr>
        <w:t>维保</w:t>
      </w:r>
      <w:r>
        <w:rPr>
          <w:rFonts w:hint="eastAsia" w:ascii="方正仿宋简体" w:hAnsi="仿宋_GB2312" w:eastAsia="方正仿宋简体" w:cs="仿宋_GB2312"/>
          <w:color w:val="000000"/>
          <w:sz w:val="32"/>
          <w:szCs w:val="32"/>
        </w:rPr>
        <w:t>频次</w:t>
      </w:r>
    </w:p>
    <w:p w14:paraId="5347CD2E">
      <w:pPr>
        <w:spacing w:line="360" w:lineRule="auto"/>
        <w:ind w:firstLine="640" w:firstLineChars="200"/>
        <w:jc w:val="left"/>
        <w:rPr>
          <w:rFonts w:ascii="方正仿宋简体" w:hAnsi="仿宋_GB2312" w:eastAsia="方正仿宋简体" w:cs="仿宋_GB2312"/>
          <w:color w:val="000000"/>
          <w:sz w:val="32"/>
          <w:szCs w:val="32"/>
        </w:rPr>
      </w:pPr>
      <w:r>
        <w:rPr>
          <w:rFonts w:ascii="方正仿宋简体" w:hAnsi="仿宋_GB2312" w:eastAsia="方正仿宋简体" w:cs="仿宋_GB2312"/>
          <w:color w:val="000000"/>
          <w:sz w:val="32"/>
          <w:szCs w:val="32"/>
        </w:rPr>
        <w:t>（1）</w:t>
      </w:r>
      <w:r>
        <w:rPr>
          <w:rFonts w:hint="eastAsia" w:ascii="方正仿宋简体" w:hAnsi="仿宋_GB2312" w:eastAsia="方正仿宋简体" w:cs="仿宋_GB2312"/>
          <w:color w:val="000000"/>
          <w:sz w:val="32"/>
          <w:szCs w:val="32"/>
        </w:rPr>
        <w:t>散货码头</w:t>
      </w:r>
      <w:r>
        <w:rPr>
          <w:rFonts w:ascii="方正仿宋简体" w:hAnsi="仿宋_GB2312" w:eastAsia="方正仿宋简体" w:cs="仿宋_GB2312"/>
          <w:color w:val="000000"/>
          <w:sz w:val="32"/>
          <w:szCs w:val="32"/>
        </w:rPr>
        <w:t>桥式抓斗</w:t>
      </w:r>
      <w:r>
        <w:rPr>
          <w:rFonts w:hint="eastAsia" w:ascii="方正仿宋简体" w:hAnsi="仿宋_GB2312" w:eastAsia="方正仿宋简体" w:cs="仿宋_GB2312"/>
          <w:color w:val="000000"/>
          <w:sz w:val="32"/>
          <w:szCs w:val="32"/>
        </w:rPr>
        <w:t>卸船机年度维保包括：每周一次的周保养检查、每月一次的月度维护保养检查、每季度一次的季度维护保养检查和日常随机机动性维保四部分</w:t>
      </w:r>
      <w:r>
        <w:rPr>
          <w:rFonts w:ascii="方正仿宋简体" w:hAnsi="仿宋_GB2312" w:eastAsia="方正仿宋简体" w:cs="仿宋_GB2312"/>
          <w:color w:val="000000"/>
          <w:sz w:val="32"/>
          <w:szCs w:val="32"/>
        </w:rPr>
        <w:t>，</w:t>
      </w:r>
      <w:r>
        <w:rPr>
          <w:rFonts w:hint="eastAsia" w:ascii="方正仿宋简体" w:hAnsi="仿宋_GB2312" w:eastAsia="方正仿宋简体" w:cs="仿宋_GB2312"/>
          <w:color w:val="000000"/>
          <w:sz w:val="32"/>
          <w:szCs w:val="32"/>
        </w:rPr>
        <w:t>投标方根据附件1</w:t>
      </w:r>
      <w:r>
        <w:rPr>
          <w:rFonts w:ascii="方正仿宋简体" w:hAnsi="仿宋_GB2312" w:eastAsia="方正仿宋简体" w:cs="仿宋_GB2312"/>
          <w:sz w:val="32"/>
          <w:szCs w:val="32"/>
        </w:rPr>
        <w:t>《卸船机年度维保内容及要求》</w:t>
      </w:r>
      <w:r>
        <w:rPr>
          <w:rFonts w:ascii="方正仿宋简体" w:hAnsi="仿宋_GB2312" w:eastAsia="方正仿宋简体" w:cs="仿宋_GB2312"/>
          <w:color w:val="000000"/>
          <w:sz w:val="32"/>
          <w:szCs w:val="32"/>
        </w:rPr>
        <w:t>在《</w:t>
      </w:r>
      <w:r>
        <w:rPr>
          <w:rFonts w:hint="eastAsia" w:ascii="方正仿宋简体" w:hAnsi="仿宋_GB2312" w:eastAsia="方正仿宋简体" w:cs="仿宋_GB2312"/>
          <w:color w:val="000000"/>
          <w:sz w:val="32"/>
          <w:szCs w:val="32"/>
        </w:rPr>
        <w:t>报价函</w:t>
      </w:r>
      <w:r>
        <w:rPr>
          <w:rFonts w:ascii="方正仿宋简体" w:hAnsi="仿宋_GB2312" w:eastAsia="方正仿宋简体" w:cs="仿宋_GB2312"/>
          <w:color w:val="000000"/>
          <w:sz w:val="32"/>
          <w:szCs w:val="32"/>
        </w:rPr>
        <w:t>》中</w:t>
      </w:r>
      <w:r>
        <w:rPr>
          <w:rFonts w:hint="eastAsia" w:ascii="方正仿宋简体" w:hAnsi="仿宋_GB2312" w:eastAsia="方正仿宋简体" w:cs="仿宋_GB2312"/>
          <w:color w:val="000000"/>
          <w:sz w:val="32"/>
          <w:szCs w:val="32"/>
        </w:rPr>
        <w:t>整体报价，并注明税率。</w:t>
      </w:r>
    </w:p>
    <w:p w14:paraId="7A54523A">
      <w:pPr>
        <w:spacing w:line="360" w:lineRule="auto"/>
        <w:ind w:firstLine="465"/>
        <w:jc w:val="left"/>
        <w:rPr>
          <w:rFonts w:ascii="方正仿宋简体" w:hAnsi="仿宋_GB2312" w:eastAsia="方正仿宋简体" w:cs="仿宋_GB2312"/>
          <w:color w:val="000000"/>
          <w:sz w:val="32"/>
          <w:szCs w:val="32"/>
        </w:rPr>
      </w:pPr>
      <w:r>
        <w:rPr>
          <w:rFonts w:ascii="方正仿宋简体" w:hAnsi="仿宋_GB2312" w:eastAsia="方正仿宋简体" w:cs="仿宋_GB2312"/>
          <w:color w:val="000000"/>
          <w:sz w:val="32"/>
          <w:szCs w:val="32"/>
        </w:rPr>
        <w:t>（2）</w:t>
      </w:r>
      <w:r>
        <w:rPr>
          <w:rFonts w:hint="eastAsia" w:ascii="方正仿宋简体" w:hAnsi="仿宋_GB2312" w:eastAsia="方正仿宋简体" w:cs="仿宋_GB2312"/>
          <w:color w:val="000000"/>
          <w:sz w:val="32"/>
          <w:szCs w:val="32"/>
        </w:rPr>
        <w:t>危化码头</w:t>
      </w:r>
      <w:r>
        <w:rPr>
          <w:rFonts w:ascii="方正仿宋简体" w:hAnsi="仿宋_GB2312" w:eastAsia="方正仿宋简体" w:cs="仿宋_GB2312"/>
          <w:color w:val="000000"/>
          <w:sz w:val="32"/>
          <w:szCs w:val="32"/>
        </w:rPr>
        <w:t>起重机年度维保包括：</w:t>
      </w:r>
      <w:r>
        <w:rPr>
          <w:rFonts w:hint="eastAsia" w:ascii="方正仿宋简体" w:hAnsi="仿宋_GB2312" w:eastAsia="方正仿宋简体" w:cs="仿宋_GB2312"/>
          <w:color w:val="000000"/>
          <w:sz w:val="32"/>
          <w:szCs w:val="32"/>
        </w:rPr>
        <w:t>每月一</w:t>
      </w:r>
      <w:r>
        <w:rPr>
          <w:rFonts w:ascii="方正仿宋简体" w:hAnsi="仿宋_GB2312" w:eastAsia="方正仿宋简体" w:cs="仿宋_GB2312"/>
          <w:color w:val="000000"/>
          <w:sz w:val="32"/>
          <w:szCs w:val="32"/>
        </w:rPr>
        <w:t>次的</w:t>
      </w:r>
      <w:r>
        <w:rPr>
          <w:rFonts w:hint="eastAsia" w:ascii="方正仿宋简体" w:hAnsi="仿宋_GB2312" w:eastAsia="方正仿宋简体" w:cs="仿宋_GB2312"/>
          <w:color w:val="000000"/>
          <w:sz w:val="32"/>
          <w:szCs w:val="32"/>
        </w:rPr>
        <w:t>月度</w:t>
      </w:r>
      <w:r>
        <w:rPr>
          <w:rFonts w:ascii="方正仿宋简体" w:hAnsi="仿宋_GB2312" w:eastAsia="方正仿宋简体" w:cs="仿宋_GB2312"/>
          <w:color w:val="000000"/>
          <w:sz w:val="32"/>
          <w:szCs w:val="32"/>
        </w:rPr>
        <w:t>维保检查</w:t>
      </w:r>
      <w:r>
        <w:rPr>
          <w:rFonts w:hint="eastAsia" w:ascii="方正仿宋简体" w:hAnsi="仿宋_GB2312" w:eastAsia="方正仿宋简体" w:cs="仿宋_GB2312"/>
          <w:color w:val="000000"/>
          <w:sz w:val="32"/>
          <w:szCs w:val="32"/>
        </w:rPr>
        <w:t>、</w:t>
      </w:r>
      <w:r>
        <w:rPr>
          <w:rFonts w:ascii="方正仿宋简体" w:hAnsi="仿宋_GB2312" w:eastAsia="方正仿宋简体" w:cs="仿宋_GB2312"/>
          <w:color w:val="000000"/>
          <w:sz w:val="32"/>
          <w:szCs w:val="32"/>
        </w:rPr>
        <w:t>每</w:t>
      </w:r>
      <w:r>
        <w:rPr>
          <w:rFonts w:hint="eastAsia" w:ascii="方正仿宋简体" w:hAnsi="仿宋_GB2312" w:eastAsia="方正仿宋简体" w:cs="仿宋_GB2312"/>
          <w:color w:val="000000"/>
          <w:sz w:val="32"/>
          <w:szCs w:val="32"/>
        </w:rPr>
        <w:t>季度一</w:t>
      </w:r>
      <w:r>
        <w:rPr>
          <w:rFonts w:ascii="方正仿宋简体" w:hAnsi="仿宋_GB2312" w:eastAsia="方正仿宋简体" w:cs="仿宋_GB2312"/>
          <w:color w:val="000000"/>
          <w:sz w:val="32"/>
          <w:szCs w:val="32"/>
        </w:rPr>
        <w:t>次的</w:t>
      </w:r>
      <w:r>
        <w:rPr>
          <w:rFonts w:hint="eastAsia" w:ascii="方正仿宋简体" w:hAnsi="仿宋_GB2312" w:eastAsia="方正仿宋简体" w:cs="仿宋_GB2312"/>
          <w:color w:val="000000"/>
          <w:sz w:val="32"/>
          <w:szCs w:val="32"/>
        </w:rPr>
        <w:t>季度维</w:t>
      </w:r>
      <w:r>
        <w:rPr>
          <w:rFonts w:ascii="方正仿宋简体" w:hAnsi="仿宋_GB2312" w:eastAsia="方正仿宋简体" w:cs="仿宋_GB2312"/>
          <w:color w:val="000000"/>
          <w:sz w:val="32"/>
          <w:szCs w:val="32"/>
        </w:rPr>
        <w:t>保检查</w:t>
      </w:r>
      <w:r>
        <w:rPr>
          <w:rFonts w:hint="eastAsia" w:ascii="方正仿宋简体" w:hAnsi="仿宋_GB2312" w:eastAsia="方正仿宋简体" w:cs="仿宋_GB2312"/>
          <w:color w:val="000000"/>
          <w:sz w:val="32"/>
          <w:szCs w:val="32"/>
        </w:rPr>
        <w:t>和日常随机</w:t>
      </w:r>
      <w:r>
        <w:rPr>
          <w:rFonts w:ascii="方正仿宋简体" w:hAnsi="仿宋_GB2312" w:eastAsia="方正仿宋简体" w:cs="仿宋_GB2312"/>
          <w:color w:val="000000"/>
          <w:sz w:val="32"/>
          <w:szCs w:val="32"/>
        </w:rPr>
        <w:t>机动性维保</w:t>
      </w:r>
      <w:r>
        <w:rPr>
          <w:rFonts w:hint="eastAsia" w:ascii="方正仿宋简体" w:hAnsi="仿宋_GB2312" w:eastAsia="方正仿宋简体" w:cs="仿宋_GB2312"/>
          <w:color w:val="000000"/>
          <w:sz w:val="32"/>
          <w:szCs w:val="32"/>
        </w:rPr>
        <w:t>及维修三</w:t>
      </w:r>
      <w:r>
        <w:rPr>
          <w:rFonts w:ascii="方正仿宋简体" w:hAnsi="仿宋_GB2312" w:eastAsia="方正仿宋简体" w:cs="仿宋_GB2312"/>
          <w:color w:val="000000"/>
          <w:sz w:val="32"/>
          <w:szCs w:val="32"/>
        </w:rPr>
        <w:t>部分</w:t>
      </w:r>
      <w:r>
        <w:rPr>
          <w:rFonts w:hint="eastAsia" w:ascii="方正仿宋简体" w:hAnsi="仿宋_GB2312" w:eastAsia="方正仿宋简体" w:cs="仿宋_GB2312"/>
          <w:color w:val="000000"/>
          <w:sz w:val="32"/>
          <w:szCs w:val="32"/>
        </w:rPr>
        <w:t>，投标方根据附件2</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1t</w:t>
      </w:r>
      <w:r>
        <w:rPr>
          <w:rFonts w:ascii="方正仿宋简体" w:hAnsi="仿宋_GB2312" w:eastAsia="方正仿宋简体" w:cs="仿宋_GB2312"/>
          <w:sz w:val="32"/>
          <w:szCs w:val="32"/>
        </w:rPr>
        <w:t>起重机年度维保内容及要求》</w:t>
      </w:r>
      <w:r>
        <w:rPr>
          <w:rFonts w:ascii="方正仿宋简体" w:hAnsi="仿宋_GB2312" w:eastAsia="方正仿宋简体" w:cs="仿宋_GB2312"/>
          <w:color w:val="000000"/>
          <w:sz w:val="32"/>
          <w:szCs w:val="32"/>
        </w:rPr>
        <w:t>在《</w:t>
      </w:r>
      <w:r>
        <w:rPr>
          <w:rFonts w:hint="eastAsia" w:ascii="方正仿宋简体" w:hAnsi="仿宋_GB2312" w:eastAsia="方正仿宋简体" w:cs="仿宋_GB2312"/>
          <w:color w:val="000000"/>
          <w:sz w:val="32"/>
          <w:szCs w:val="32"/>
        </w:rPr>
        <w:t>报价函</w:t>
      </w:r>
      <w:r>
        <w:rPr>
          <w:rFonts w:ascii="方正仿宋简体" w:hAnsi="仿宋_GB2312" w:eastAsia="方正仿宋简体" w:cs="仿宋_GB2312"/>
          <w:color w:val="000000"/>
          <w:sz w:val="32"/>
          <w:szCs w:val="32"/>
        </w:rPr>
        <w:t>》中</w:t>
      </w:r>
      <w:r>
        <w:rPr>
          <w:rFonts w:hint="eastAsia" w:ascii="方正仿宋简体" w:hAnsi="仿宋_GB2312" w:eastAsia="方正仿宋简体" w:cs="仿宋_GB2312"/>
          <w:color w:val="000000"/>
          <w:sz w:val="32"/>
          <w:szCs w:val="32"/>
        </w:rPr>
        <w:t>整体报价，并注明税率。</w:t>
      </w:r>
    </w:p>
    <w:p w14:paraId="3C63B8FF">
      <w:pPr>
        <w:spacing w:line="360" w:lineRule="auto"/>
        <w:ind w:firstLine="465"/>
        <w:jc w:val="left"/>
        <w:rPr>
          <w:rFonts w:ascii="方正仿宋简体" w:hAnsi="仿宋_GB2312" w:eastAsia="方正仿宋简体" w:cs="仿宋_GB2312"/>
          <w:sz w:val="32"/>
          <w:szCs w:val="32"/>
        </w:rPr>
      </w:pPr>
      <w:r>
        <w:rPr>
          <w:rFonts w:hint="eastAsia" w:ascii="方正仿宋简体" w:hAnsi="仿宋_GB2312" w:eastAsia="方正仿宋简体" w:cs="仿宋_GB2312"/>
          <w:color w:val="000000"/>
          <w:sz w:val="32"/>
          <w:szCs w:val="32"/>
        </w:rPr>
        <w:t>4．</w:t>
      </w:r>
      <w:r>
        <w:rPr>
          <w:rFonts w:hint="eastAsia" w:ascii="方正仿宋简体" w:hAnsi="仿宋_GB2312" w:eastAsia="方正仿宋简体" w:cs="仿宋_GB2312"/>
          <w:sz w:val="32"/>
          <w:szCs w:val="32"/>
        </w:rPr>
        <w:t>检修所需要的工装、脚手架、辅助工器具等设施由中标方负责，费用含在投标总价中，</w:t>
      </w:r>
      <w:r>
        <w:rPr>
          <w:rFonts w:ascii="方正仿宋简体" w:hAnsi="仿宋_GB2312" w:eastAsia="方正仿宋简体" w:cs="仿宋_GB2312"/>
          <w:sz w:val="32"/>
          <w:szCs w:val="32"/>
        </w:rPr>
        <w:t>不另行计价；</w:t>
      </w:r>
      <w:r>
        <w:rPr>
          <w:rFonts w:hint="eastAsia" w:ascii="方正仿宋简体" w:hAnsi="仿宋_GB2312" w:eastAsia="方正仿宋简体" w:cs="仿宋_GB2312"/>
          <w:sz w:val="32"/>
          <w:szCs w:val="32"/>
        </w:rPr>
        <w:t>招标</w:t>
      </w:r>
      <w:r>
        <w:rPr>
          <w:rFonts w:ascii="方正仿宋简体" w:hAnsi="仿宋_GB2312" w:eastAsia="方正仿宋简体" w:cs="仿宋_GB2312"/>
          <w:sz w:val="32"/>
          <w:szCs w:val="32"/>
        </w:rPr>
        <w:t>方提供现场维修、试车所需水电，不另行收费</w:t>
      </w:r>
      <w:r>
        <w:rPr>
          <w:rFonts w:hint="eastAsia" w:ascii="方正仿宋简体" w:hAnsi="仿宋_GB2312" w:eastAsia="方正仿宋简体" w:cs="仿宋_GB2312"/>
          <w:sz w:val="32"/>
          <w:szCs w:val="32"/>
        </w:rPr>
        <w:t>。</w:t>
      </w:r>
    </w:p>
    <w:p w14:paraId="22308E50">
      <w:pPr>
        <w:spacing w:line="360" w:lineRule="auto"/>
        <w:ind w:firstLine="465"/>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5．施工现场施工人员的安全防护由中标方负责，安全服从招标方的管理。</w:t>
      </w:r>
    </w:p>
    <w:p w14:paraId="0F381106">
      <w:pPr>
        <w:spacing w:line="360" w:lineRule="auto"/>
        <w:ind w:firstLine="465"/>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6．</w:t>
      </w:r>
      <w:r>
        <w:rPr>
          <w:rFonts w:ascii="方正仿宋简体" w:hAnsi="仿宋_GB2312" w:eastAsia="方正仿宋简体" w:cs="仿宋_GB2312"/>
          <w:sz w:val="32"/>
          <w:szCs w:val="32"/>
        </w:rPr>
        <w:t>日常性的维保检查:中标单位需根据</w:t>
      </w:r>
      <w:r>
        <w:rPr>
          <w:rFonts w:hint="eastAsia" w:ascii="方正仿宋简体" w:hAnsi="仿宋_GB2312" w:eastAsia="方正仿宋简体" w:cs="仿宋_GB2312"/>
          <w:sz w:val="32"/>
          <w:szCs w:val="32"/>
        </w:rPr>
        <w:t>招标方</w:t>
      </w:r>
      <w:r>
        <w:rPr>
          <w:rFonts w:ascii="方正仿宋简体" w:hAnsi="仿宋_GB2312" w:eastAsia="方正仿宋简体" w:cs="仿宋_GB2312"/>
          <w:sz w:val="32"/>
          <w:szCs w:val="32"/>
        </w:rPr>
        <w:t>下达的《卸船机维保计划（周、月、季）》，合理</w:t>
      </w:r>
      <w:r>
        <w:rPr>
          <w:rFonts w:hint="eastAsia" w:ascii="方正仿宋简体" w:hAnsi="仿宋_GB2312" w:eastAsia="方正仿宋简体" w:cs="仿宋_GB2312"/>
          <w:sz w:val="32"/>
          <w:szCs w:val="32"/>
        </w:rPr>
        <w:t>安排施工力量</w:t>
      </w:r>
      <w:r>
        <w:rPr>
          <w:rFonts w:ascii="方正仿宋简体" w:hAnsi="仿宋_GB2312" w:eastAsia="方正仿宋简体" w:cs="仿宋_GB2312"/>
          <w:sz w:val="32"/>
          <w:szCs w:val="32"/>
        </w:rPr>
        <w:t>，满足机械、电气、仪表各专业的要求，在规定的时间内完成日常维保检修工作。对涉及动火、吊装、复杂部件的装拆等作业，应编制专项施工方案，并按要求在施工前将方案报</w:t>
      </w:r>
      <w:r>
        <w:rPr>
          <w:rFonts w:hint="eastAsia" w:ascii="方正仿宋简体" w:hAnsi="仿宋_GB2312" w:eastAsia="方正仿宋简体" w:cs="仿宋_GB2312"/>
          <w:sz w:val="32"/>
          <w:szCs w:val="32"/>
        </w:rPr>
        <w:t>招标方</w:t>
      </w:r>
      <w:r>
        <w:rPr>
          <w:rFonts w:ascii="方正仿宋简体" w:hAnsi="仿宋_GB2312" w:eastAsia="方正仿宋简体" w:cs="仿宋_GB2312"/>
          <w:sz w:val="32"/>
          <w:szCs w:val="32"/>
        </w:rPr>
        <w:t>审批。每次维保结束，将检查情况及检查中存在的暂未处理的问题及建议，</w:t>
      </w:r>
      <w:r>
        <w:rPr>
          <w:rFonts w:hint="eastAsia" w:ascii="方正仿宋简体" w:hAnsi="仿宋_GB2312" w:eastAsia="方正仿宋简体" w:cs="仿宋_GB2312"/>
          <w:sz w:val="32"/>
          <w:szCs w:val="32"/>
        </w:rPr>
        <w:t>填写</w:t>
      </w:r>
      <w:r>
        <w:rPr>
          <w:rFonts w:ascii="方正仿宋简体" w:hAnsi="仿宋_GB2312" w:eastAsia="方正仿宋简体" w:cs="仿宋_GB2312"/>
          <w:sz w:val="32"/>
          <w:szCs w:val="32"/>
        </w:rPr>
        <w:t>在本次</w:t>
      </w:r>
      <w:r>
        <w:rPr>
          <w:rFonts w:hint="eastAsia" w:ascii="方正仿宋简体" w:hAnsi="仿宋_GB2312" w:eastAsia="方正仿宋简体" w:cs="仿宋_GB2312"/>
          <w:sz w:val="32"/>
          <w:szCs w:val="32"/>
        </w:rPr>
        <w:t>维保检查记录表</w:t>
      </w:r>
      <w:r>
        <w:rPr>
          <w:rFonts w:ascii="方正仿宋简体" w:hAnsi="仿宋_GB2312" w:eastAsia="方正仿宋简体" w:cs="仿宋_GB2312"/>
          <w:sz w:val="32"/>
          <w:szCs w:val="32"/>
        </w:rPr>
        <w:t>上，并经</w:t>
      </w:r>
      <w:r>
        <w:rPr>
          <w:rFonts w:hint="eastAsia" w:ascii="方正仿宋简体" w:hAnsi="仿宋_GB2312" w:eastAsia="方正仿宋简体" w:cs="仿宋_GB2312"/>
          <w:sz w:val="32"/>
          <w:szCs w:val="32"/>
        </w:rPr>
        <w:t>招标方</w:t>
      </w:r>
      <w:r>
        <w:rPr>
          <w:rFonts w:ascii="方正仿宋简体" w:hAnsi="仿宋_GB2312" w:eastAsia="方正仿宋简体" w:cs="仿宋_GB2312"/>
          <w:sz w:val="32"/>
          <w:szCs w:val="32"/>
        </w:rPr>
        <w:t>相关人员签字确认，作为考核维保单位维保质量及结算维保费用的依据。</w:t>
      </w:r>
    </w:p>
    <w:p w14:paraId="2A6E2032">
      <w:pPr>
        <w:spacing w:line="360" w:lineRule="auto"/>
        <w:ind w:firstLine="465"/>
        <w:jc w:val="left"/>
        <w:rPr>
          <w:rFonts w:ascii="方正仿宋简体" w:hAnsi="仿宋_GB2312" w:eastAsia="方正仿宋简体" w:cs="仿宋_GB2312"/>
          <w:color w:val="000000"/>
          <w:sz w:val="32"/>
          <w:szCs w:val="32"/>
        </w:rPr>
      </w:pPr>
      <w:r>
        <w:rPr>
          <w:rFonts w:hint="eastAsia" w:ascii="方正仿宋简体" w:hAnsi="仿宋_GB2312" w:eastAsia="方正仿宋简体" w:cs="仿宋_GB2312"/>
          <w:color w:val="000000"/>
          <w:sz w:val="32"/>
          <w:szCs w:val="32"/>
        </w:rPr>
        <w:t>7．</w:t>
      </w:r>
      <w:r>
        <w:rPr>
          <w:rFonts w:ascii="方正仿宋简体" w:hAnsi="仿宋_GB2312" w:eastAsia="方正仿宋简体" w:cs="仿宋_GB2312"/>
          <w:color w:val="000000"/>
          <w:sz w:val="32"/>
          <w:szCs w:val="32"/>
        </w:rPr>
        <w:t>故障性维修分为二部分，一是纳入《卸船机维保计划（周、月、季）》内的维修项目，按日常性的维保检查要求进行</w:t>
      </w:r>
      <w:r>
        <w:rPr>
          <w:rFonts w:hint="eastAsia" w:ascii="方正仿宋简体" w:hAnsi="仿宋_GB2312" w:eastAsia="方正仿宋简体" w:cs="仿宋_GB2312"/>
          <w:color w:val="000000"/>
          <w:sz w:val="32"/>
          <w:szCs w:val="32"/>
        </w:rPr>
        <w:t>，费用包含</w:t>
      </w:r>
      <w:r>
        <w:rPr>
          <w:rFonts w:ascii="方正仿宋简体" w:hAnsi="仿宋_GB2312" w:eastAsia="方正仿宋简体" w:cs="仿宋_GB2312"/>
          <w:color w:val="000000"/>
          <w:sz w:val="32"/>
          <w:szCs w:val="32"/>
        </w:rPr>
        <w:t>在维保费用中，不另行计价；二是生产过程中发生的突发性故障的维修，由</w:t>
      </w:r>
      <w:r>
        <w:rPr>
          <w:rFonts w:hint="eastAsia" w:ascii="方正仿宋简体" w:hAnsi="仿宋_GB2312" w:eastAsia="方正仿宋简体" w:cs="仿宋_GB2312"/>
          <w:color w:val="000000"/>
          <w:sz w:val="32"/>
          <w:szCs w:val="32"/>
        </w:rPr>
        <w:t>招标方书面通知</w:t>
      </w:r>
      <w:r>
        <w:rPr>
          <w:rFonts w:ascii="方正仿宋简体" w:hAnsi="仿宋_GB2312" w:eastAsia="方正仿宋简体" w:cs="仿宋_GB2312"/>
          <w:color w:val="000000"/>
          <w:sz w:val="32"/>
          <w:szCs w:val="32"/>
        </w:rPr>
        <w:t>（含短信、微信）</w:t>
      </w:r>
      <w:r>
        <w:rPr>
          <w:rFonts w:hint="eastAsia" w:ascii="方正仿宋简体" w:hAnsi="仿宋_GB2312" w:eastAsia="方正仿宋简体" w:cs="仿宋_GB2312"/>
          <w:color w:val="000000"/>
          <w:sz w:val="32"/>
          <w:szCs w:val="32"/>
        </w:rPr>
        <w:t>中标方</w:t>
      </w:r>
      <w:r>
        <w:rPr>
          <w:rFonts w:ascii="方正仿宋简体" w:hAnsi="仿宋_GB2312" w:eastAsia="方正仿宋简体" w:cs="仿宋_GB2312"/>
          <w:color w:val="000000"/>
          <w:sz w:val="32"/>
          <w:szCs w:val="32"/>
        </w:rPr>
        <w:t>，中标方应在接到通</w:t>
      </w:r>
      <w:r>
        <w:rPr>
          <w:rFonts w:ascii="方正仿宋简体" w:hAnsi="仿宋_GB2312" w:eastAsia="方正仿宋简体" w:cs="仿宋_GB2312"/>
          <w:color w:val="FF0000"/>
          <w:sz w:val="32"/>
          <w:szCs w:val="32"/>
        </w:rPr>
        <w:t>知1</w:t>
      </w:r>
      <w:r>
        <w:rPr>
          <w:rFonts w:ascii="方正仿宋简体" w:hAnsi="仿宋_GB2312" w:eastAsia="方正仿宋简体" w:cs="仿宋_GB2312"/>
          <w:color w:val="000000"/>
          <w:sz w:val="32"/>
          <w:szCs w:val="32"/>
        </w:rPr>
        <w:t>小时内到现场</w:t>
      </w:r>
      <w:r>
        <w:rPr>
          <w:rFonts w:hint="eastAsia" w:ascii="方正仿宋简体" w:hAnsi="仿宋_GB2312" w:eastAsia="方正仿宋简体" w:cs="仿宋_GB2312"/>
          <w:color w:val="000000"/>
          <w:sz w:val="32"/>
          <w:szCs w:val="32"/>
        </w:rPr>
        <w:t>开展维修工作</w:t>
      </w:r>
      <w:r>
        <w:rPr>
          <w:rFonts w:ascii="方正仿宋简体" w:hAnsi="仿宋_GB2312" w:eastAsia="方正仿宋简体" w:cs="仿宋_GB2312"/>
          <w:color w:val="000000"/>
          <w:sz w:val="32"/>
          <w:szCs w:val="32"/>
        </w:rPr>
        <w:t>。</w:t>
      </w:r>
      <w:r>
        <w:rPr>
          <w:rFonts w:hint="eastAsia" w:ascii="方正仿宋简体" w:hAnsi="仿宋_GB2312" w:eastAsia="方正仿宋简体" w:cs="仿宋_GB2312"/>
          <w:color w:val="000000"/>
          <w:sz w:val="32"/>
          <w:szCs w:val="32"/>
        </w:rPr>
        <w:t>每次故障维修结束后2日内，中标方须</w:t>
      </w:r>
      <w:r>
        <w:rPr>
          <w:rFonts w:ascii="方正仿宋简体" w:hAnsi="仿宋_GB2312" w:eastAsia="方正仿宋简体" w:cs="仿宋_GB2312"/>
          <w:color w:val="000000"/>
          <w:sz w:val="32"/>
          <w:szCs w:val="32"/>
        </w:rPr>
        <w:t>及时办理</w:t>
      </w:r>
      <w:r>
        <w:rPr>
          <w:rFonts w:hint="eastAsia" w:ascii="方正仿宋简体" w:hAnsi="仿宋_GB2312" w:eastAsia="方正仿宋简体" w:cs="仿宋_GB2312"/>
          <w:color w:val="000000"/>
          <w:sz w:val="32"/>
          <w:szCs w:val="32"/>
        </w:rPr>
        <w:t>故障维修</w:t>
      </w:r>
      <w:r>
        <w:rPr>
          <w:rFonts w:ascii="方正仿宋简体" w:hAnsi="仿宋_GB2312" w:eastAsia="方正仿宋简体" w:cs="仿宋_GB2312"/>
          <w:color w:val="000000"/>
          <w:sz w:val="32"/>
          <w:szCs w:val="32"/>
        </w:rPr>
        <w:t>共检手续</w:t>
      </w:r>
      <w:r>
        <w:rPr>
          <w:rFonts w:hint="eastAsia" w:ascii="方正仿宋简体" w:hAnsi="仿宋_GB2312" w:eastAsia="方正仿宋简体" w:cs="仿宋_GB2312"/>
          <w:color w:val="000000"/>
          <w:sz w:val="32"/>
          <w:szCs w:val="32"/>
        </w:rPr>
        <w:t>，</w:t>
      </w:r>
      <w:r>
        <w:rPr>
          <w:rFonts w:ascii="方正仿宋简体" w:hAnsi="仿宋_GB2312" w:eastAsia="方正仿宋简体" w:cs="仿宋_GB2312"/>
          <w:color w:val="000000"/>
          <w:sz w:val="32"/>
          <w:szCs w:val="32"/>
        </w:rPr>
        <w:t>并经</w:t>
      </w:r>
      <w:r>
        <w:rPr>
          <w:rFonts w:hint="eastAsia" w:ascii="方正仿宋简体" w:hAnsi="仿宋_GB2312" w:eastAsia="方正仿宋简体" w:cs="仿宋_GB2312"/>
          <w:color w:val="000000"/>
          <w:sz w:val="32"/>
          <w:szCs w:val="32"/>
        </w:rPr>
        <w:t>招标方</w:t>
      </w:r>
      <w:r>
        <w:rPr>
          <w:rFonts w:ascii="方正仿宋简体" w:hAnsi="仿宋_GB2312" w:eastAsia="方正仿宋简体" w:cs="仿宋_GB2312"/>
          <w:color w:val="000000"/>
          <w:sz w:val="32"/>
          <w:szCs w:val="32"/>
        </w:rPr>
        <w:t>相关人员签字确认，作为考核维保单位维保质量及结算维保费用的依据。</w:t>
      </w:r>
    </w:p>
    <w:p w14:paraId="60C2D49C">
      <w:pPr>
        <w:spacing w:line="360" w:lineRule="auto"/>
        <w:ind w:firstLine="465"/>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8．突发</w:t>
      </w:r>
      <w:r>
        <w:rPr>
          <w:rFonts w:ascii="方正仿宋简体" w:hAnsi="仿宋_GB2312" w:eastAsia="方正仿宋简体" w:cs="仿宋_GB2312"/>
          <w:sz w:val="32"/>
          <w:szCs w:val="32"/>
        </w:rPr>
        <w:t>性故障维修费用确定：列入</w:t>
      </w:r>
      <w:r>
        <w:rPr>
          <w:rFonts w:hint="eastAsia" w:ascii="方正仿宋简体" w:hAnsi="仿宋_GB2312" w:eastAsia="方正仿宋简体" w:cs="仿宋_GB2312"/>
          <w:sz w:val="32"/>
          <w:szCs w:val="32"/>
        </w:rPr>
        <w:t>附表《卸船机维修分项清单及报价表》</w:t>
      </w:r>
      <w:r>
        <w:rPr>
          <w:rFonts w:ascii="方正仿宋简体" w:hAnsi="仿宋_GB2312" w:eastAsia="方正仿宋简体" w:cs="仿宋_GB2312"/>
          <w:sz w:val="32"/>
          <w:szCs w:val="32"/>
        </w:rPr>
        <w:t>中的检修项目，按中标方</w:t>
      </w:r>
      <w:r>
        <w:rPr>
          <w:rFonts w:hint="eastAsia" w:ascii="方正仿宋简体" w:hAnsi="仿宋_GB2312" w:eastAsia="方正仿宋简体" w:cs="仿宋_GB2312"/>
          <w:sz w:val="32"/>
          <w:szCs w:val="32"/>
        </w:rPr>
        <w:t>投标</w:t>
      </w:r>
      <w:r>
        <w:rPr>
          <w:rFonts w:ascii="方正仿宋简体" w:hAnsi="仿宋_GB2312" w:eastAsia="方正仿宋简体" w:cs="仿宋_GB2312"/>
          <w:sz w:val="32"/>
          <w:szCs w:val="32"/>
        </w:rPr>
        <w:t>单价计价。</w:t>
      </w:r>
      <w:r>
        <w:rPr>
          <w:rFonts w:hint="eastAsia" w:ascii="方正仿宋简体" w:hAnsi="仿宋_GB2312" w:eastAsia="方正仿宋简体" w:cs="仿宋_GB2312"/>
          <w:sz w:val="32"/>
          <w:szCs w:val="32"/>
        </w:rPr>
        <w:t>，未</w:t>
      </w:r>
      <w:r>
        <w:rPr>
          <w:rFonts w:ascii="方正仿宋简体" w:hAnsi="仿宋_GB2312" w:eastAsia="方正仿宋简体" w:cs="仿宋_GB2312"/>
          <w:sz w:val="32"/>
          <w:szCs w:val="32"/>
        </w:rPr>
        <w:t>列入</w:t>
      </w:r>
      <w:r>
        <w:rPr>
          <w:rFonts w:hint="eastAsia" w:ascii="方正仿宋简体" w:hAnsi="仿宋_GB2312" w:eastAsia="方正仿宋简体" w:cs="仿宋_GB2312"/>
          <w:sz w:val="32"/>
          <w:szCs w:val="32"/>
        </w:rPr>
        <w:t>附表《卸船机维修分项清单及报价表》</w:t>
      </w:r>
      <w:r>
        <w:rPr>
          <w:rFonts w:ascii="方正仿宋简体" w:hAnsi="仿宋_GB2312" w:eastAsia="方正仿宋简体" w:cs="仿宋_GB2312"/>
          <w:sz w:val="32"/>
          <w:szCs w:val="32"/>
        </w:rPr>
        <w:t>中的检修项目</w:t>
      </w:r>
      <w:r>
        <w:rPr>
          <w:rFonts w:hint="eastAsia" w:ascii="方正仿宋简体" w:hAnsi="仿宋_GB2312" w:eastAsia="方正仿宋简体" w:cs="仿宋_GB2312"/>
          <w:sz w:val="32"/>
          <w:szCs w:val="32"/>
        </w:rPr>
        <w:t>，签订</w:t>
      </w:r>
      <w:r>
        <w:rPr>
          <w:rFonts w:ascii="方正仿宋简体" w:hAnsi="仿宋_GB2312" w:eastAsia="方正仿宋简体" w:cs="仿宋_GB2312"/>
          <w:sz w:val="32"/>
          <w:szCs w:val="32"/>
        </w:rPr>
        <w:t>补充协议，</w:t>
      </w:r>
      <w:r>
        <w:rPr>
          <w:rFonts w:hint="eastAsia" w:ascii="方正仿宋简体" w:hAnsi="仿宋_GB2312" w:eastAsia="方正仿宋简体" w:cs="仿宋_GB2312"/>
          <w:sz w:val="32"/>
          <w:szCs w:val="32"/>
        </w:rPr>
        <w:t>最终都以审计部门依法作出的审计结果作为结算的依据。</w:t>
      </w:r>
    </w:p>
    <w:p w14:paraId="5B40E063">
      <w:pPr>
        <w:spacing w:line="360" w:lineRule="auto"/>
        <w:ind w:firstLine="480" w:firstLineChars="150"/>
        <w:jc w:val="left"/>
        <w:rPr>
          <w:rFonts w:ascii="方正仿宋简体" w:hAnsi="仿宋_GB2312" w:eastAsia="方正仿宋简体" w:cs="仿宋_GB2312"/>
          <w:color w:val="000000"/>
          <w:sz w:val="32"/>
          <w:szCs w:val="32"/>
        </w:rPr>
      </w:pPr>
      <w:r>
        <w:rPr>
          <w:rFonts w:hint="eastAsia" w:ascii="方正仿宋简体" w:hAnsi="仿宋_GB2312" w:eastAsia="方正仿宋简体" w:cs="仿宋_GB2312"/>
          <w:color w:val="000000"/>
          <w:sz w:val="32"/>
          <w:szCs w:val="32"/>
        </w:rPr>
        <w:t>9. 报价依据</w:t>
      </w:r>
    </w:p>
    <w:p w14:paraId="13620095">
      <w:pPr>
        <w:spacing w:line="360" w:lineRule="auto"/>
        <w:ind w:firstLine="465"/>
        <w:jc w:val="left"/>
        <w:rPr>
          <w:rFonts w:ascii="方正仿宋简体" w:hAnsi="仿宋_GB2312" w:eastAsia="方正仿宋简体" w:cs="仿宋_GB2312"/>
          <w:sz w:val="32"/>
          <w:szCs w:val="32"/>
        </w:rPr>
      </w:pPr>
      <w:r>
        <w:rPr>
          <w:rFonts w:hint="eastAsia" w:ascii="方正仿宋简体" w:hAnsi="仿宋_GB2312" w:eastAsia="方正仿宋简体" w:cs="仿宋_GB2312"/>
          <w:color w:val="000000"/>
          <w:sz w:val="32"/>
          <w:szCs w:val="32"/>
        </w:rPr>
        <w:t>投标方</w:t>
      </w:r>
      <w:r>
        <w:rPr>
          <w:rFonts w:ascii="方正仿宋简体" w:hAnsi="仿宋_GB2312" w:eastAsia="方正仿宋简体" w:cs="仿宋_GB2312"/>
          <w:color w:val="000000"/>
          <w:sz w:val="32"/>
          <w:szCs w:val="32"/>
        </w:rPr>
        <w:t>除</w:t>
      </w:r>
      <w:r>
        <w:rPr>
          <w:rFonts w:hint="eastAsia" w:ascii="方正仿宋简体" w:hAnsi="仿宋_GB2312" w:eastAsia="方正仿宋简体" w:cs="仿宋_GB2312"/>
          <w:color w:val="000000"/>
          <w:sz w:val="32"/>
          <w:szCs w:val="32"/>
        </w:rPr>
        <w:t>根据附件1</w:t>
      </w:r>
      <w:r>
        <w:rPr>
          <w:rFonts w:ascii="方正仿宋简体" w:hAnsi="仿宋_GB2312" w:eastAsia="方正仿宋简体" w:cs="仿宋_GB2312"/>
          <w:sz w:val="32"/>
          <w:szCs w:val="32"/>
        </w:rPr>
        <w:t>《卸船机年度维保内容及要求》</w:t>
      </w:r>
      <w:r>
        <w:rPr>
          <w:rFonts w:hint="eastAsia" w:ascii="方正仿宋简体" w:hAnsi="仿宋_GB2312" w:eastAsia="方正仿宋简体" w:cs="仿宋_GB2312"/>
          <w:sz w:val="32"/>
          <w:szCs w:val="32"/>
        </w:rPr>
        <w:t>和附件2</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1t</w:t>
      </w:r>
      <w:r>
        <w:rPr>
          <w:rFonts w:ascii="方正仿宋简体" w:hAnsi="仿宋_GB2312" w:eastAsia="方正仿宋简体" w:cs="仿宋_GB2312"/>
          <w:sz w:val="32"/>
          <w:szCs w:val="32"/>
        </w:rPr>
        <w:t>起重机年度维保内容及要求》</w:t>
      </w:r>
      <w:r>
        <w:rPr>
          <w:rFonts w:ascii="方正仿宋简体" w:hAnsi="仿宋_GB2312" w:eastAsia="方正仿宋简体" w:cs="仿宋_GB2312"/>
          <w:color w:val="000000"/>
          <w:sz w:val="32"/>
          <w:szCs w:val="32"/>
        </w:rPr>
        <w:t>在《</w:t>
      </w:r>
      <w:r>
        <w:rPr>
          <w:rFonts w:hint="eastAsia" w:ascii="方正仿宋简体" w:hAnsi="仿宋_GB2312" w:eastAsia="方正仿宋简体" w:cs="仿宋_GB2312"/>
          <w:color w:val="000000"/>
          <w:sz w:val="32"/>
          <w:szCs w:val="32"/>
        </w:rPr>
        <w:t>报价函</w:t>
      </w:r>
      <w:r>
        <w:rPr>
          <w:rFonts w:ascii="方正仿宋简体" w:hAnsi="仿宋_GB2312" w:eastAsia="方正仿宋简体" w:cs="仿宋_GB2312"/>
          <w:color w:val="000000"/>
          <w:sz w:val="32"/>
          <w:szCs w:val="32"/>
        </w:rPr>
        <w:t>》报出总价，</w:t>
      </w:r>
      <w:r>
        <w:rPr>
          <w:rFonts w:hint="eastAsia" w:ascii="方正仿宋简体" w:hAnsi="仿宋_GB2312" w:eastAsia="方正仿宋简体" w:cs="仿宋_GB2312"/>
          <w:color w:val="000000"/>
          <w:sz w:val="32"/>
          <w:szCs w:val="32"/>
        </w:rPr>
        <w:t>并注明税率</w:t>
      </w:r>
      <w:r>
        <w:rPr>
          <w:rFonts w:ascii="方正仿宋简体" w:hAnsi="仿宋_GB2312" w:eastAsia="方正仿宋简体" w:cs="仿宋_GB2312"/>
          <w:color w:val="000000"/>
          <w:sz w:val="32"/>
          <w:szCs w:val="32"/>
        </w:rPr>
        <w:t>外，还需在附</w:t>
      </w:r>
      <w:r>
        <w:rPr>
          <w:rFonts w:hint="eastAsia" w:ascii="方正仿宋简体" w:hAnsi="仿宋_GB2312" w:eastAsia="方正仿宋简体" w:cs="仿宋_GB2312"/>
          <w:color w:val="000000"/>
          <w:sz w:val="32"/>
          <w:szCs w:val="32"/>
        </w:rPr>
        <w:t>表</w:t>
      </w:r>
      <w:r>
        <w:rPr>
          <w:rFonts w:ascii="方正仿宋简体" w:hAnsi="仿宋_GB2312" w:eastAsia="方正仿宋简体" w:cs="仿宋_GB2312"/>
          <w:color w:val="000000"/>
          <w:sz w:val="32"/>
          <w:szCs w:val="32"/>
        </w:rPr>
        <w:t>《</w:t>
      </w:r>
      <w:r>
        <w:rPr>
          <w:rFonts w:hint="eastAsia" w:ascii="方正仿宋简体" w:hAnsi="仿宋_GB2312" w:eastAsia="方正仿宋简体" w:cs="仿宋_GB2312"/>
          <w:sz w:val="32"/>
          <w:szCs w:val="32"/>
        </w:rPr>
        <w:t>卸船机维修分项清单及报价表</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报价。</w:t>
      </w:r>
    </w:p>
    <w:p w14:paraId="158EE5F4">
      <w:pPr>
        <w:numPr>
          <w:ilvl w:val="0"/>
          <w:numId w:val="1"/>
        </w:numPr>
        <w:spacing w:line="360" w:lineRule="auto"/>
        <w:ind w:firstLine="465"/>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验收：由招标方与中标方根据《卸船机维修分项清单及报价表》内容共同验收。验收标准：GB6067-2010《起重机械安全规程》、</w:t>
      </w:r>
      <w:r>
        <w:rPr>
          <w:rFonts w:ascii="方正仿宋简体" w:hAnsi="仿宋_GB2312" w:eastAsia="方正仿宋简体" w:cs="仿宋_GB2312"/>
          <w:sz w:val="32"/>
          <w:szCs w:val="32"/>
        </w:rPr>
        <w:t>GB/T18224-2008《桥式抓斗卸船机安全规程》、</w:t>
      </w:r>
      <w:r>
        <w:rPr>
          <w:rFonts w:hint="eastAsia" w:ascii="方正仿宋简体" w:hAnsi="仿宋_GB2312" w:eastAsia="方正仿宋简体" w:cs="仿宋_GB2312"/>
          <w:sz w:val="32"/>
          <w:szCs w:val="32"/>
        </w:rPr>
        <w:t>GB 50254-2014《电气装置安装工程施工及验收规范》、JTJ244-2005《港口设备安装工程质量检验标准》</w:t>
      </w:r>
      <w:r>
        <w:rPr>
          <w:rFonts w:ascii="方正仿宋简体" w:hAnsi="仿宋_GB2312" w:eastAsia="方正仿宋简体" w:cs="仿宋_GB2312"/>
          <w:sz w:val="32"/>
          <w:szCs w:val="32"/>
        </w:rPr>
        <w:t>。</w:t>
      </w:r>
    </w:p>
    <w:p w14:paraId="79F31028">
      <w:pPr>
        <w:wordWrap w:val="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615E98AD">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14:paraId="44BFA4DA">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14:paraId="65B1F781">
      <w:pPr>
        <w:wordWrap w:val="0"/>
        <w:spacing w:line="360" w:lineRule="auto"/>
        <w:ind w:left="480"/>
        <w:jc w:val="left"/>
        <w:rPr>
          <w:rFonts w:ascii="方正仿宋简体" w:hAnsi="仿宋_GB2312" w:eastAsia="方正仿宋简体" w:cs="仿宋_GB2312"/>
          <w:sz w:val="32"/>
          <w:szCs w:val="32"/>
        </w:rPr>
      </w:pPr>
      <w:r>
        <w:rPr>
          <w:rFonts w:hint="eastAsia" w:ascii="方正仿宋简体" w:hAnsi="方正仿宋简体" w:eastAsia="方正仿宋简体" w:cs="方正仿宋简体"/>
          <w:sz w:val="32"/>
          <w:szCs w:val="32"/>
        </w:rPr>
        <w:t>1.投标时需提供</w:t>
      </w:r>
      <w:r>
        <w:rPr>
          <w:rFonts w:hint="eastAsia" w:ascii="方正仿宋简体" w:hAnsi="仿宋_GB2312" w:eastAsia="方正仿宋简体" w:cs="仿宋_GB2312"/>
          <w:sz w:val="32"/>
          <w:szCs w:val="32"/>
        </w:rPr>
        <w:t>营业执照</w:t>
      </w:r>
      <w:r>
        <w:rPr>
          <w:rFonts w:hint="eastAsia" w:ascii="方正仿宋简体" w:eastAsia="方正仿宋简体" w:cs="仿宋_GB2312"/>
          <w:color w:val="FF0000"/>
          <w:sz w:val="32"/>
          <w:szCs w:val="32"/>
        </w:rPr>
        <w:t>《税务登记证》、《组织机构代码证》（或三证合一）；</w:t>
      </w:r>
      <w:r>
        <w:rPr>
          <w:rFonts w:hint="eastAsia" w:ascii="方正仿宋简体" w:hAnsi="仿宋_GB2312" w:eastAsia="方正仿宋简体" w:cs="仿宋_GB2312"/>
          <w:sz w:val="32"/>
          <w:szCs w:val="32"/>
        </w:rPr>
        <w:t>省市场监督管理局颁发的《起重机械安装（含维修）（桥式、门式起重机）B级》及以上许可证；</w:t>
      </w:r>
      <w:r>
        <w:rPr>
          <w:rFonts w:hint="eastAsia" w:ascii="方正仿宋简体" w:eastAsia="方正仿宋简体" w:cs="仿宋_GB2312"/>
          <w:color w:val="000000"/>
          <w:sz w:val="32"/>
          <w:szCs w:val="32"/>
        </w:rPr>
        <w:t>法人代表身份证或授权委托书；专职安全员证书；安全管理机构设置说明；特种作业操作证（焊工、低压电工、起重机械维修）；安全生产许可证；</w:t>
      </w:r>
      <w:r>
        <w:rPr>
          <w:rFonts w:hint="eastAsia" w:ascii="方正仿宋简体" w:hAnsi="仿宋_GB2312" w:eastAsia="方正仿宋简体" w:cs="仿宋_GB2312"/>
          <w:sz w:val="32"/>
          <w:szCs w:val="32"/>
        </w:rPr>
        <w:t>承包单位与派遣作业人员的劳务合同或劳动合同或作业人员工伤保险证明或人身意外伤害保险缴纳证明（以上资格证明证件可提供复印件，但需加盖公章）。确定中标后，在签订合同前，需提供一般纳税人证明材料；安全生产责任险；安全生产规章制度；以往的安全生产业绩（不少于3年）；中标项目的安全生产措施；中标项目的应急准备及响应预案；作业人员的体检报告(以上资格证明证件均可提供复印件，但需加盖公章)。</w:t>
      </w:r>
    </w:p>
    <w:p w14:paraId="276B786C">
      <w:pPr>
        <w:wordWrap w:val="0"/>
        <w:adjustRightInd w:val="0"/>
        <w:snapToGrid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kern w:val="1"/>
          <w:sz w:val="32"/>
          <w:szCs w:val="32"/>
        </w:rPr>
        <w:t>现场做好维保人员的个人防护，维保过程中发生意外伤害由中标人自行负责等。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16789BDD">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2.中标单位与招标单位签订合同时，须按照海纳川相关安全管理规定签订或提供《外包项目(工程)安全生产管理协议书》并依照《海纳川承包商安全环保管理制度》管理；维保工作前，招标方安全管理部门对中</w:t>
      </w:r>
      <w:r>
        <w:rPr>
          <w:rFonts w:ascii="方正仿宋简体" w:hAnsi="方正仿宋简体" w:eastAsia="方正仿宋简体" w:cs="方正仿宋简体"/>
          <w:kern w:val="1"/>
          <w:sz w:val="32"/>
          <w:szCs w:val="32"/>
        </w:rPr>
        <w:t>标方</w:t>
      </w:r>
      <w:r>
        <w:rPr>
          <w:rFonts w:hint="eastAsia" w:ascii="方正仿宋简体" w:hAnsi="方正仿宋简体" w:eastAsia="方正仿宋简体" w:cs="方正仿宋简体"/>
          <w:kern w:val="1"/>
          <w:sz w:val="32"/>
          <w:szCs w:val="32"/>
        </w:rPr>
        <w:t>作业人员进行安全告知并</w:t>
      </w:r>
      <w:r>
        <w:rPr>
          <w:rFonts w:ascii="方正仿宋简体" w:hAnsi="方正仿宋简体" w:eastAsia="方正仿宋简体" w:cs="方正仿宋简体"/>
          <w:kern w:val="1"/>
          <w:sz w:val="32"/>
          <w:szCs w:val="32"/>
        </w:rPr>
        <w:t>填写</w:t>
      </w:r>
      <w:r>
        <w:rPr>
          <w:rFonts w:hint="eastAsia" w:ascii="方正仿宋简体" w:hAnsi="方正仿宋简体" w:eastAsia="方正仿宋简体" w:cs="方正仿宋简体"/>
          <w:kern w:val="1"/>
          <w:sz w:val="32"/>
          <w:szCs w:val="32"/>
        </w:rPr>
        <w:t>《安全</w:t>
      </w:r>
      <w:r>
        <w:rPr>
          <w:rFonts w:ascii="方正仿宋简体" w:hAnsi="方正仿宋简体" w:eastAsia="方正仿宋简体" w:cs="方正仿宋简体"/>
          <w:kern w:val="1"/>
          <w:sz w:val="32"/>
          <w:szCs w:val="32"/>
        </w:rPr>
        <w:t>告知</w:t>
      </w:r>
      <w:r>
        <w:rPr>
          <w:rFonts w:hint="eastAsia" w:ascii="方正仿宋简体" w:hAnsi="方正仿宋简体" w:eastAsia="方正仿宋简体" w:cs="方正仿宋简体"/>
          <w:kern w:val="1"/>
          <w:sz w:val="32"/>
          <w:szCs w:val="32"/>
        </w:rPr>
        <w:t>记录》后</w:t>
      </w:r>
      <w:r>
        <w:rPr>
          <w:rFonts w:ascii="方正仿宋简体" w:hAnsi="方正仿宋简体" w:eastAsia="方正仿宋简体" w:cs="方正仿宋简体"/>
          <w:kern w:val="1"/>
          <w:sz w:val="32"/>
          <w:szCs w:val="32"/>
        </w:rPr>
        <w:t>方可</w:t>
      </w:r>
      <w:r>
        <w:rPr>
          <w:rFonts w:hint="eastAsia" w:ascii="方正仿宋简体" w:hAnsi="方正仿宋简体" w:eastAsia="方正仿宋简体" w:cs="方正仿宋简体"/>
          <w:kern w:val="1"/>
          <w:sz w:val="32"/>
          <w:szCs w:val="32"/>
        </w:rPr>
        <w:t>赴属地办理作业票证</w:t>
      </w:r>
      <w:r>
        <w:rPr>
          <w:rFonts w:ascii="方正仿宋简体" w:hAnsi="方正仿宋简体" w:eastAsia="方正仿宋简体" w:cs="方正仿宋简体"/>
          <w:kern w:val="1"/>
          <w:sz w:val="32"/>
          <w:szCs w:val="32"/>
        </w:rPr>
        <w:t>开展</w:t>
      </w:r>
      <w:r>
        <w:rPr>
          <w:rFonts w:hint="eastAsia" w:ascii="方正仿宋简体" w:hAnsi="方正仿宋简体" w:eastAsia="方正仿宋简体" w:cs="方正仿宋简体"/>
          <w:kern w:val="1"/>
          <w:sz w:val="32"/>
          <w:szCs w:val="32"/>
        </w:rPr>
        <w:t>维保</w:t>
      </w:r>
      <w:r>
        <w:rPr>
          <w:rFonts w:ascii="方正仿宋简体" w:hAnsi="方正仿宋简体" w:eastAsia="方正仿宋简体" w:cs="方正仿宋简体"/>
          <w:kern w:val="1"/>
          <w:sz w:val="32"/>
          <w:szCs w:val="32"/>
        </w:rPr>
        <w:t>工作</w:t>
      </w:r>
      <w:r>
        <w:rPr>
          <w:rFonts w:hint="eastAsia" w:ascii="方正仿宋简体" w:hAnsi="方正仿宋简体" w:eastAsia="方正仿宋简体" w:cs="方正仿宋简体"/>
          <w:kern w:val="1"/>
          <w:sz w:val="32"/>
          <w:szCs w:val="32"/>
        </w:rPr>
        <w:t>。</w:t>
      </w:r>
    </w:p>
    <w:p w14:paraId="5BDE1F2F">
      <w:pPr>
        <w:pStyle w:val="10"/>
        <w:widowControl/>
        <w:shd w:val="clear" w:color="auto" w:fill="FFFFFF"/>
        <w:spacing w:line="600" w:lineRule="exact"/>
        <w:ind w:firstLine="640" w:firstLineChars="200"/>
        <w:rPr>
          <w:rFonts w:hint="default" w:ascii="方正仿宋简体" w:hAnsi="方正仿宋简体" w:eastAsia="方正仿宋简体" w:cs="方正仿宋简体"/>
          <w:color w:val="FF0000"/>
          <w:kern w:val="2"/>
          <w:sz w:val="32"/>
          <w:szCs w:val="32"/>
        </w:rPr>
      </w:pPr>
      <w:r>
        <w:rPr>
          <w:rFonts w:ascii="方正仿宋简体" w:hAnsi="方正仿宋简体" w:eastAsia="方正仿宋简体" w:cs="方正仿宋简体"/>
          <w:kern w:val="1"/>
          <w:sz w:val="32"/>
          <w:szCs w:val="32"/>
        </w:rPr>
        <w:t>3.作业过程中，若涉及特种作业（如焊接、动火、低压电工等）的需提供相应的特种作业证，必须人证一致，且在有效期内。</w:t>
      </w:r>
    </w:p>
    <w:p w14:paraId="4EB83D45">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28224859">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5.中标人应具备良好的售后服务能力，要求电话联系后</w:t>
      </w:r>
      <w:r>
        <w:rPr>
          <w:rFonts w:ascii="方正仿宋简体" w:hAnsi="方正仿宋简体" w:eastAsia="方正仿宋简体" w:cs="方正仿宋简体"/>
          <w:color w:val="FF0000"/>
          <w:kern w:val="1"/>
          <w:sz w:val="32"/>
          <w:szCs w:val="32"/>
          <w:u w:val="single"/>
        </w:rPr>
        <w:t>1</w:t>
      </w:r>
      <w:r>
        <w:rPr>
          <w:rFonts w:hint="eastAsia" w:ascii="方正仿宋简体" w:hAnsi="方正仿宋简体" w:eastAsia="方正仿宋简体" w:cs="方正仿宋简体"/>
          <w:color w:val="FF0000"/>
          <w:kern w:val="1"/>
          <w:sz w:val="32"/>
          <w:szCs w:val="32"/>
          <w:u w:val="single"/>
        </w:rPr>
        <w:t>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6D3F292C">
      <w:pPr>
        <w:spacing w:line="360" w:lineRule="auto"/>
        <w:ind w:firstLine="465"/>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w:t>
      </w:r>
      <w:r>
        <w:rPr>
          <w:rFonts w:ascii="方正黑体_GBK" w:hAnsi="方正黑体_GBK" w:eastAsia="方正黑体_GBK" w:cs="方正黑体_GBK"/>
          <w:sz w:val="32"/>
          <w:szCs w:val="32"/>
        </w:rPr>
        <w:t>踏勘</w:t>
      </w:r>
    </w:p>
    <w:p w14:paraId="1A3E73C0">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rPr>
        <w:t>（一）</w:t>
      </w:r>
      <w:r>
        <w:rPr>
          <w:rFonts w:hint="eastAsia" w:ascii="方正仿宋简体" w:hAnsi="仿宋_GB2312" w:eastAsia="方正仿宋简体" w:cs="仿宋_GB2312"/>
          <w:sz w:val="32"/>
          <w:szCs w:val="32"/>
        </w:rPr>
        <w:t>投标方必须对招标方现场的卸船机及1t起重机进行实地考察，并详细了解卸船机及1t起重机的工作状况，为保证公平性，招标方在现场对投标单位介绍卸船机的工作状况以及此次</w:t>
      </w:r>
      <w:r>
        <w:rPr>
          <w:rFonts w:hint="eastAsia" w:ascii="方正仿宋简体" w:hAnsi="仿宋_GB2312" w:eastAsia="方正仿宋简体" w:cs="仿宋_GB2312"/>
          <w:color w:val="000000"/>
          <w:sz w:val="32"/>
          <w:szCs w:val="32"/>
        </w:rPr>
        <w:t>招标的相关工作量，投标方在招标文件发布之日起</w:t>
      </w:r>
      <w:r>
        <w:rPr>
          <w:rFonts w:ascii="方正仿宋简体" w:hAnsi="仿宋_GB2312" w:eastAsia="方正仿宋简体" w:cs="仿宋_GB2312"/>
          <w:color w:val="000000"/>
          <w:sz w:val="32"/>
          <w:szCs w:val="32"/>
        </w:rPr>
        <w:t>至</w:t>
      </w:r>
      <w:r>
        <w:rPr>
          <w:rFonts w:hint="eastAsia" w:ascii="方正仿宋简体" w:hAnsi="仿宋_GB2312" w:eastAsia="方正仿宋简体" w:cs="仿宋_GB2312"/>
          <w:color w:val="FF0000"/>
          <w:sz w:val="32"/>
          <w:szCs w:val="32"/>
        </w:rPr>
        <w:t>投标截止日</w:t>
      </w:r>
      <w:r>
        <w:rPr>
          <w:rFonts w:hint="eastAsia" w:ascii="方正仿宋简体" w:hAnsi="仿宋_GB2312" w:eastAsia="方正仿宋简体" w:cs="仿宋_GB2312"/>
          <w:color w:val="000000"/>
          <w:sz w:val="32"/>
          <w:szCs w:val="32"/>
        </w:rPr>
        <w:t>前一天上午12点前都可与</w:t>
      </w:r>
      <w:r>
        <w:rPr>
          <w:rFonts w:hint="eastAsia" w:ascii="方正仿宋简体" w:hAnsi="方正仿宋简体" w:eastAsia="方正仿宋简体" w:cs="方正仿宋简体"/>
          <w:bCs/>
          <w:color w:val="000000"/>
          <w:kern w:val="1"/>
          <w:sz w:val="32"/>
          <w:szCs w:val="32"/>
        </w:rPr>
        <w:t>技术部门联系人卞骏联系，确定现场踏勘具体时间，电话：</w:t>
      </w:r>
      <w:r>
        <w:rPr>
          <w:rFonts w:ascii="方正仿宋简体" w:hAnsi="方正仿宋简体" w:eastAsia="方正仿宋简体" w:cs="方正仿宋简体"/>
          <w:bCs/>
          <w:color w:val="000000"/>
          <w:kern w:val="1"/>
          <w:sz w:val="32"/>
          <w:szCs w:val="32"/>
        </w:rPr>
        <w:t>15306107162</w:t>
      </w:r>
      <w:r>
        <w:rPr>
          <w:rFonts w:hint="eastAsia" w:ascii="方正仿宋简体" w:hAnsi="方正仿宋简体" w:eastAsia="方正仿宋简体" w:cs="方正仿宋简体"/>
          <w:bCs/>
          <w:color w:val="000000"/>
          <w:kern w:val="1"/>
          <w:sz w:val="32"/>
          <w:szCs w:val="32"/>
        </w:rPr>
        <w:t>。</w:t>
      </w:r>
      <w:r>
        <w:rPr>
          <w:rFonts w:hint="eastAsia" w:ascii="方正仿宋简体" w:hAnsi="仿宋_GB2312" w:eastAsia="方正仿宋简体" w:cs="仿宋_GB2312"/>
          <w:color w:val="000000"/>
          <w:sz w:val="32"/>
          <w:szCs w:val="32"/>
        </w:rPr>
        <w:t>对于参加现场踏勘的投标单位招标方将做好记录，对于未现场踏勘的投标单位，招标方</w:t>
      </w:r>
      <w:r>
        <w:rPr>
          <w:rFonts w:ascii="方正仿宋简体" w:hAnsi="仿宋_GB2312" w:eastAsia="方正仿宋简体" w:cs="仿宋_GB2312"/>
          <w:color w:val="000000"/>
          <w:sz w:val="32"/>
          <w:szCs w:val="32"/>
        </w:rPr>
        <w:t>将不接受其</w:t>
      </w:r>
      <w:r>
        <w:rPr>
          <w:rFonts w:hint="eastAsia" w:ascii="方正仿宋简体" w:hAnsi="仿宋_GB2312" w:eastAsia="方正仿宋简体" w:cs="仿宋_GB2312"/>
          <w:color w:val="000000"/>
          <w:sz w:val="32"/>
          <w:szCs w:val="32"/>
        </w:rPr>
        <w:t>投标报价。</w:t>
      </w:r>
    </w:p>
    <w:p w14:paraId="191421C0">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方正仿宋简体" w:eastAsia="方正仿宋简体" w:cs="方正仿宋简体"/>
          <w:sz w:val="32"/>
          <w:szCs w:val="32"/>
        </w:rPr>
        <w:t>（二）</w:t>
      </w:r>
      <w:r>
        <w:rPr>
          <w:rFonts w:hint="eastAsia" w:ascii="方正仿宋简体" w:hAnsi="仿宋_GB2312" w:eastAsia="方正仿宋简体" w:cs="仿宋_GB2312"/>
          <w:sz w:val="32"/>
          <w:szCs w:val="32"/>
        </w:rPr>
        <w:t>招标人在踏勘现场中介绍的情况，供投标人在编制投标文件时参考，招标人不对投标人据此作出的判断和决策负责。</w:t>
      </w:r>
    </w:p>
    <w:p w14:paraId="420399AA">
      <w:pPr>
        <w:spacing w:line="360" w:lineRule="auto"/>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w:t>
      </w:r>
      <w:r>
        <w:rPr>
          <w:rFonts w:ascii="方正仿宋简体" w:hAnsi="仿宋_GB2312" w:eastAsia="方正仿宋简体" w:cs="仿宋_GB2312"/>
          <w:sz w:val="32"/>
          <w:szCs w:val="32"/>
        </w:rPr>
        <w:t>现场</w:t>
      </w:r>
      <w:r>
        <w:rPr>
          <w:rFonts w:hint="eastAsia" w:ascii="方正仿宋简体" w:hAnsi="仿宋_GB2312" w:eastAsia="方正仿宋简体" w:cs="仿宋_GB2312"/>
          <w:sz w:val="32"/>
          <w:szCs w:val="32"/>
        </w:rPr>
        <w:t>踏勘后对投标人所提问题的澄清（如果有），招标人</w:t>
      </w:r>
      <w:r>
        <w:rPr>
          <w:rFonts w:ascii="方正仿宋简体" w:hAnsi="仿宋_GB2312" w:eastAsia="方正仿宋简体" w:cs="仿宋_GB2312"/>
          <w:sz w:val="32"/>
          <w:szCs w:val="32"/>
        </w:rPr>
        <w:t>应在投标截止时</w:t>
      </w:r>
      <w:r>
        <w:rPr>
          <w:rFonts w:hint="eastAsia" w:ascii="方正仿宋简体" w:hAnsi="仿宋_GB2312" w:eastAsia="方正仿宋简体" w:cs="仿宋_GB2312"/>
          <w:sz w:val="32"/>
          <w:szCs w:val="32"/>
        </w:rPr>
        <w:t>间</w:t>
      </w:r>
      <w:r>
        <w:rPr>
          <w:rFonts w:ascii="方正仿宋简体" w:hAnsi="仿宋_GB2312" w:eastAsia="方正仿宋简体" w:cs="仿宋_GB2312"/>
          <w:sz w:val="32"/>
          <w:szCs w:val="32"/>
        </w:rPr>
        <w:t>前</w:t>
      </w:r>
      <w:r>
        <w:rPr>
          <w:rFonts w:hint="eastAsia" w:ascii="方正仿宋简体" w:hAnsi="仿宋_GB2312" w:eastAsia="方正仿宋简体" w:cs="仿宋_GB2312"/>
          <w:sz w:val="32"/>
          <w:szCs w:val="32"/>
        </w:rPr>
        <w:t>3天以书面形式通知所有报名的投标人。该澄清内容为招标文件的组成部分。</w:t>
      </w:r>
    </w:p>
    <w:p w14:paraId="3964D730">
      <w:pPr>
        <w:spacing w:line="360" w:lineRule="auto"/>
        <w:ind w:firstLine="640" w:firstLineChars="200"/>
        <w:jc w:val="left"/>
        <w:rPr>
          <w:rFonts w:ascii="方正仿宋简体" w:hAnsi="方正仿宋简体" w:eastAsia="方正仿宋简体" w:cs="方正仿宋简体"/>
          <w:kern w:val="1"/>
          <w:sz w:val="32"/>
          <w:szCs w:val="32"/>
        </w:rPr>
      </w:pPr>
    </w:p>
    <w:p w14:paraId="281E3AAA">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14:paraId="063CFF3E">
      <w:pPr>
        <w:pStyle w:val="6"/>
        <w:spacing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w:t>
      </w:r>
      <w:r>
        <w:rPr>
          <w:rFonts w:hint="eastAsia" w:ascii="方正仿宋简体" w:hAnsi="方正仿宋简体" w:eastAsia="方正仿宋简体" w:cs="方正仿宋简体"/>
          <w:bCs/>
          <w:sz w:val="30"/>
          <w:szCs w:val="30"/>
        </w:rPr>
        <w:t>如国家税率调整，按合同含税价格/（1+合同约定税率）*（1+国家规定的新税率）调整合同价格开具发票；</w:t>
      </w:r>
    </w:p>
    <w:p w14:paraId="539D427D">
      <w:pPr>
        <w:pStyle w:val="6"/>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（二）付款方式：</w:t>
      </w:r>
    </w:p>
    <w:p w14:paraId="4D600882">
      <w:pPr>
        <w:pStyle w:val="6"/>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sz w:val="32"/>
          <w:szCs w:val="32"/>
        </w:rPr>
        <w:t xml:space="preserve">费用每季度结算一次，结算金额=维保费用+故障维修费用，其中突发性故障维修费用经招标方确认后，中标方根据招标方提供的工程造价审核认定单开具增值税发票后30日内付款，付款方式为承兑 </w:t>
      </w:r>
      <w:r>
        <w:rPr>
          <w:rFonts w:hint="eastAsia" w:ascii="方正仿宋简体" w:hAnsi="方正仿宋简体" w:eastAsia="方正仿宋简体" w:cs="方正仿宋简体"/>
          <w:bCs/>
          <w:kern w:val="1"/>
          <w:sz w:val="32"/>
          <w:szCs w:val="32"/>
        </w:rPr>
        <w:t>。</w:t>
      </w:r>
    </w:p>
    <w:p w14:paraId="1A11A07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77DDB191">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将报价书及相关资料以标袋形式送达，标袋必须密封并加盖公章；在标袋封面上需注明投标项目名称、投标方名称、联系人、联系电话等；</w:t>
      </w:r>
      <w:r>
        <w:rPr>
          <w:rFonts w:hint="eastAsia" w:ascii="方正仿宋简体" w:hAnsi="方正仿宋简体" w:eastAsia="方正仿宋简体" w:cs="方正仿宋简体"/>
          <w:kern w:val="1"/>
          <w:sz w:val="32"/>
          <w:szCs w:val="32"/>
        </w:rPr>
        <w:t>并要求在投标截止时间之前送达，逾期将作为废标处理。</w:t>
      </w:r>
    </w:p>
    <w:p w14:paraId="179B1078">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38D8C19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584FD8A6">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78D1165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08A57F4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354F38F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3E8B47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045631F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36A89EF2">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FF189DB">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3C7635C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招标业务联系电话：13952943464</w:t>
      </w:r>
    </w:p>
    <w:p w14:paraId="546D3BB4">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技术部门联系人：卞骏   电话：</w:t>
      </w:r>
      <w:r>
        <w:rPr>
          <w:rFonts w:ascii="方正仿宋简体" w:hAnsi="方正仿宋简体" w:eastAsia="方正仿宋简体" w:cs="方正仿宋简体"/>
          <w:bCs/>
          <w:kern w:val="1"/>
          <w:sz w:val="32"/>
          <w:szCs w:val="32"/>
        </w:rPr>
        <w:t>15306107162</w:t>
      </w:r>
    </w:p>
    <w:p w14:paraId="57BDCC37">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开标、评标及废标：</w:t>
      </w:r>
    </w:p>
    <w:p w14:paraId="16ED7EA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1A7F95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4B29973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5D1BC0C0">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63AFDEF5">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34926A90">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r>
        <w:rPr>
          <w:rFonts w:hint="eastAsia" w:ascii="方正仿宋简体" w:hAnsi="方正仿宋简体" w:eastAsia="方正仿宋简体" w:cs="方正仿宋简体"/>
          <w:color w:val="FF0000"/>
          <w:sz w:val="32"/>
          <w:szCs w:val="32"/>
        </w:rPr>
        <w:t>（本次采用该种评标方式）</w:t>
      </w:r>
    </w:p>
    <w:p w14:paraId="6A440E36">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采取综合评审方法进行打分，具体按价格得分、技术得分、响应和</w:t>
      </w:r>
      <w:r>
        <w:rPr>
          <w:rFonts w:ascii="方正仿宋简体" w:hAnsi="方正仿宋简体" w:eastAsia="方正仿宋简体" w:cs="方正仿宋简体"/>
          <w:bCs/>
          <w:kern w:val="1"/>
          <w:sz w:val="32"/>
          <w:szCs w:val="32"/>
        </w:rPr>
        <w:t>排除故障</w:t>
      </w:r>
      <w:r>
        <w:rPr>
          <w:rFonts w:hint="eastAsia" w:ascii="方正仿宋简体" w:hAnsi="方正仿宋简体" w:eastAsia="方正仿宋简体" w:cs="方正仿宋简体"/>
          <w:bCs/>
          <w:kern w:val="1"/>
          <w:sz w:val="32"/>
          <w:szCs w:val="32"/>
        </w:rPr>
        <w:t>时间得分（得分比例根据货物内容确定）三个方面进行评审，并按综合得分由高到低顺序推选一名中标候选人。</w:t>
      </w:r>
    </w:p>
    <w:p w14:paraId="4D270D82">
      <w:pPr>
        <w:spacing w:line="360" w:lineRule="auto"/>
        <w:ind w:firstLine="640" w:firstLineChars="200"/>
        <w:rPr>
          <w:rFonts w:ascii="方正仿宋简体" w:hAnsi="方正仿宋简体" w:eastAsia="方正仿宋简体" w:cs="方正仿宋简体"/>
          <w:bCs/>
          <w:kern w:val="1"/>
          <w:sz w:val="32"/>
          <w:szCs w:val="32"/>
        </w:rPr>
      </w:pPr>
      <w:bookmarkStart w:id="0" w:name="_Toc14791"/>
      <w:r>
        <w:rPr>
          <w:rFonts w:ascii="方正仿宋简体" w:hAnsi="方正仿宋简体" w:eastAsia="方正仿宋简体" w:cs="方正仿宋简体"/>
          <w:bCs/>
          <w:kern w:val="1"/>
          <w:sz w:val="32"/>
          <w:szCs w:val="32"/>
        </w:rPr>
        <w:t xml:space="preserve">1.1 </w:t>
      </w:r>
      <w:r>
        <w:rPr>
          <w:rFonts w:hint="eastAsia" w:ascii="方正仿宋简体" w:hAnsi="方正仿宋简体" w:eastAsia="方正仿宋简体" w:cs="方正仿宋简体"/>
          <w:bCs/>
          <w:kern w:val="1"/>
          <w:sz w:val="32"/>
          <w:szCs w:val="32"/>
        </w:rPr>
        <w:t>评分因素及分值分配如下：</w:t>
      </w:r>
      <w:bookmarkEnd w:id="0"/>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3108"/>
        <w:gridCol w:w="975"/>
        <w:gridCol w:w="5280"/>
      </w:tblGrid>
      <w:tr w14:paraId="1FE1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14:paraId="5CE9BF59">
            <w:pPr>
              <w:spacing w:line="360" w:lineRule="auto"/>
              <w:jc w:val="center"/>
              <w:rPr>
                <w:rFonts w:ascii="仿宋" w:eastAsia="仿宋" w:cs="宋体"/>
                <w:bCs/>
                <w:szCs w:val="21"/>
              </w:rPr>
            </w:pPr>
            <w:r>
              <w:rPr>
                <w:rFonts w:hint="eastAsia" w:ascii="仿宋" w:eastAsia="仿宋" w:cs="宋体"/>
                <w:bCs/>
                <w:szCs w:val="21"/>
              </w:rPr>
              <w:t>序号</w:t>
            </w:r>
          </w:p>
        </w:tc>
        <w:tc>
          <w:tcPr>
            <w:tcW w:w="3108" w:type="dxa"/>
            <w:tcBorders>
              <w:top w:val="single" w:color="auto" w:sz="4" w:space="0"/>
              <w:left w:val="single" w:color="auto" w:sz="4" w:space="0"/>
              <w:bottom w:val="single" w:color="auto" w:sz="4" w:space="0"/>
              <w:right w:val="single" w:color="auto" w:sz="4" w:space="0"/>
            </w:tcBorders>
            <w:vAlign w:val="center"/>
          </w:tcPr>
          <w:p w14:paraId="4A39EDBD">
            <w:pPr>
              <w:spacing w:line="360" w:lineRule="auto"/>
              <w:jc w:val="center"/>
              <w:rPr>
                <w:rFonts w:ascii="仿宋" w:eastAsia="仿宋" w:cs="宋体"/>
                <w:bCs/>
                <w:szCs w:val="21"/>
              </w:rPr>
            </w:pPr>
            <w:r>
              <w:rPr>
                <w:rFonts w:hint="eastAsia" w:ascii="仿宋" w:eastAsia="仿宋" w:cs="宋体"/>
                <w:bCs/>
                <w:szCs w:val="21"/>
              </w:rPr>
              <w:t>评分因素</w:t>
            </w:r>
          </w:p>
        </w:tc>
        <w:tc>
          <w:tcPr>
            <w:tcW w:w="975" w:type="dxa"/>
            <w:tcBorders>
              <w:top w:val="single" w:color="auto" w:sz="4" w:space="0"/>
              <w:left w:val="single" w:color="auto" w:sz="4" w:space="0"/>
              <w:bottom w:val="single" w:color="auto" w:sz="4" w:space="0"/>
              <w:right w:val="single" w:color="auto" w:sz="4" w:space="0"/>
            </w:tcBorders>
            <w:vAlign w:val="center"/>
          </w:tcPr>
          <w:p w14:paraId="15C4B3AA">
            <w:pPr>
              <w:spacing w:line="360" w:lineRule="auto"/>
              <w:jc w:val="center"/>
              <w:rPr>
                <w:rFonts w:ascii="仿宋" w:eastAsia="仿宋" w:cs="宋体"/>
                <w:bCs/>
                <w:szCs w:val="21"/>
              </w:rPr>
            </w:pPr>
            <w:r>
              <w:rPr>
                <w:rFonts w:hint="eastAsia" w:ascii="仿宋" w:eastAsia="仿宋" w:cs="宋体"/>
                <w:bCs/>
                <w:szCs w:val="21"/>
              </w:rPr>
              <w:t>满分</w:t>
            </w:r>
          </w:p>
        </w:tc>
        <w:tc>
          <w:tcPr>
            <w:tcW w:w="5280" w:type="dxa"/>
            <w:tcBorders>
              <w:top w:val="single" w:color="auto" w:sz="4" w:space="0"/>
              <w:left w:val="single" w:color="auto" w:sz="4" w:space="0"/>
              <w:bottom w:val="single" w:color="auto" w:sz="4" w:space="0"/>
              <w:right w:val="single" w:color="auto" w:sz="4" w:space="0"/>
            </w:tcBorders>
            <w:vAlign w:val="center"/>
          </w:tcPr>
          <w:p w14:paraId="465DF3EF">
            <w:pPr>
              <w:spacing w:line="360" w:lineRule="auto"/>
              <w:jc w:val="center"/>
              <w:rPr>
                <w:rFonts w:ascii="仿宋" w:eastAsia="仿宋" w:cs="宋体"/>
                <w:bCs/>
                <w:szCs w:val="21"/>
              </w:rPr>
            </w:pPr>
            <w:r>
              <w:rPr>
                <w:rFonts w:hint="eastAsia" w:ascii="仿宋" w:eastAsia="仿宋" w:cs="宋体"/>
                <w:bCs/>
                <w:szCs w:val="21"/>
              </w:rPr>
              <w:t>说          明</w:t>
            </w:r>
          </w:p>
        </w:tc>
      </w:tr>
      <w:tr w14:paraId="2A12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14:paraId="2D3FFC17">
            <w:pPr>
              <w:spacing w:line="360" w:lineRule="auto"/>
              <w:jc w:val="center"/>
              <w:rPr>
                <w:rFonts w:ascii="仿宋" w:eastAsia="仿宋" w:cs="宋体"/>
                <w:bCs/>
                <w:szCs w:val="21"/>
              </w:rPr>
            </w:pPr>
            <w:r>
              <w:rPr>
                <w:rFonts w:hint="eastAsia" w:ascii="仿宋" w:eastAsia="仿宋" w:cs="宋体"/>
                <w:bCs/>
                <w:szCs w:val="21"/>
              </w:rPr>
              <w:t>A</w:t>
            </w:r>
          </w:p>
        </w:tc>
        <w:tc>
          <w:tcPr>
            <w:tcW w:w="3108" w:type="dxa"/>
            <w:tcBorders>
              <w:top w:val="single" w:color="auto" w:sz="4" w:space="0"/>
              <w:left w:val="single" w:color="auto" w:sz="4" w:space="0"/>
              <w:bottom w:val="single" w:color="auto" w:sz="4" w:space="0"/>
              <w:right w:val="single" w:color="auto" w:sz="4" w:space="0"/>
            </w:tcBorders>
            <w:vAlign w:val="center"/>
          </w:tcPr>
          <w:p w14:paraId="193DB9E8">
            <w:pPr>
              <w:spacing w:line="360" w:lineRule="auto"/>
              <w:rPr>
                <w:rFonts w:ascii="仿宋" w:eastAsia="仿宋" w:cs="宋体"/>
                <w:bCs/>
                <w:szCs w:val="21"/>
              </w:rPr>
            </w:pPr>
            <w:r>
              <w:rPr>
                <w:rFonts w:hint="eastAsia" w:ascii="仿宋" w:eastAsia="仿宋" w:cs="宋体"/>
                <w:bCs/>
                <w:szCs w:val="21"/>
              </w:rPr>
              <w:t>价格得分</w:t>
            </w:r>
          </w:p>
        </w:tc>
        <w:tc>
          <w:tcPr>
            <w:tcW w:w="975" w:type="dxa"/>
            <w:tcBorders>
              <w:top w:val="single" w:color="auto" w:sz="4" w:space="0"/>
              <w:left w:val="single" w:color="auto" w:sz="4" w:space="0"/>
              <w:bottom w:val="single" w:color="auto" w:sz="4" w:space="0"/>
              <w:right w:val="single" w:color="auto" w:sz="4" w:space="0"/>
            </w:tcBorders>
            <w:vAlign w:val="center"/>
          </w:tcPr>
          <w:p w14:paraId="6591AF9A">
            <w:pPr>
              <w:spacing w:line="360" w:lineRule="auto"/>
              <w:jc w:val="center"/>
              <w:rPr>
                <w:rFonts w:ascii="仿宋" w:eastAsia="仿宋" w:cs="宋体"/>
                <w:bCs/>
                <w:szCs w:val="21"/>
              </w:rPr>
            </w:pPr>
            <w:r>
              <w:rPr>
                <w:rFonts w:hint="eastAsia" w:ascii="仿宋" w:eastAsia="仿宋" w:cs="宋体"/>
                <w:bCs/>
                <w:szCs w:val="21"/>
              </w:rPr>
              <w:t>50</w:t>
            </w:r>
          </w:p>
        </w:tc>
        <w:tc>
          <w:tcPr>
            <w:tcW w:w="5280" w:type="dxa"/>
            <w:tcBorders>
              <w:top w:val="single" w:color="auto" w:sz="4" w:space="0"/>
              <w:left w:val="single" w:color="auto" w:sz="4" w:space="0"/>
              <w:bottom w:val="single" w:color="auto" w:sz="4" w:space="0"/>
              <w:right w:val="single" w:color="auto" w:sz="4" w:space="0"/>
            </w:tcBorders>
            <w:vAlign w:val="center"/>
          </w:tcPr>
          <w:p w14:paraId="7B7D057C">
            <w:pPr>
              <w:rPr>
                <w:rFonts w:ascii="仿宋" w:eastAsia="仿宋" w:cs="宋体"/>
                <w:bCs/>
                <w:szCs w:val="21"/>
              </w:rPr>
            </w:pPr>
            <w:r>
              <w:rPr>
                <w:rFonts w:hint="eastAsia" w:ascii="仿宋" w:eastAsia="仿宋" w:cs="宋体"/>
                <w:bCs/>
                <w:szCs w:val="21"/>
              </w:rPr>
              <w:t>投标报价</w:t>
            </w:r>
            <w:r>
              <w:rPr>
                <w:rFonts w:ascii="仿宋" w:eastAsia="仿宋" w:cs="宋体"/>
                <w:bCs/>
                <w:szCs w:val="21"/>
              </w:rPr>
              <w:t>（卸船机年度维保报价+卸船机故障维修报价+</w:t>
            </w:r>
            <w:r>
              <w:rPr>
                <w:rFonts w:hint="eastAsia" w:ascii="仿宋" w:eastAsia="仿宋" w:cs="宋体"/>
                <w:bCs/>
                <w:szCs w:val="21"/>
              </w:rPr>
              <w:t>3台1t</w:t>
            </w:r>
            <w:r>
              <w:rPr>
                <w:rFonts w:ascii="仿宋" w:eastAsia="仿宋" w:cs="宋体"/>
                <w:bCs/>
                <w:szCs w:val="21"/>
              </w:rPr>
              <w:t>起重机年度维保报价）</w:t>
            </w:r>
          </w:p>
        </w:tc>
      </w:tr>
      <w:tr w14:paraId="2AB7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14:paraId="69E0003B">
            <w:pPr>
              <w:spacing w:line="360" w:lineRule="auto"/>
              <w:jc w:val="center"/>
              <w:rPr>
                <w:rFonts w:ascii="仿宋" w:eastAsia="仿宋" w:cs="宋体"/>
                <w:bCs/>
                <w:szCs w:val="21"/>
              </w:rPr>
            </w:pPr>
            <w:r>
              <w:rPr>
                <w:rFonts w:hint="eastAsia" w:ascii="仿宋" w:eastAsia="仿宋" w:cs="宋体"/>
                <w:bCs/>
                <w:szCs w:val="21"/>
              </w:rPr>
              <w:t>B</w:t>
            </w:r>
          </w:p>
        </w:tc>
        <w:tc>
          <w:tcPr>
            <w:tcW w:w="3108" w:type="dxa"/>
            <w:tcBorders>
              <w:top w:val="single" w:color="auto" w:sz="4" w:space="0"/>
              <w:left w:val="single" w:color="auto" w:sz="4" w:space="0"/>
              <w:bottom w:val="single" w:color="auto" w:sz="4" w:space="0"/>
              <w:right w:val="single" w:color="auto" w:sz="4" w:space="0"/>
            </w:tcBorders>
            <w:vAlign w:val="center"/>
          </w:tcPr>
          <w:p w14:paraId="21D33B69">
            <w:pPr>
              <w:spacing w:line="360" w:lineRule="auto"/>
              <w:rPr>
                <w:rFonts w:ascii="仿宋" w:eastAsia="仿宋" w:cs="宋体"/>
                <w:bCs/>
                <w:szCs w:val="21"/>
              </w:rPr>
            </w:pPr>
            <w:r>
              <w:rPr>
                <w:rFonts w:hint="eastAsia" w:ascii="仿宋" w:eastAsia="仿宋" w:cs="宋体"/>
                <w:bCs/>
                <w:szCs w:val="21"/>
              </w:rPr>
              <w:t>技术得分</w:t>
            </w:r>
          </w:p>
        </w:tc>
        <w:tc>
          <w:tcPr>
            <w:tcW w:w="975" w:type="dxa"/>
            <w:tcBorders>
              <w:top w:val="single" w:color="auto" w:sz="4" w:space="0"/>
              <w:left w:val="single" w:color="auto" w:sz="4" w:space="0"/>
              <w:bottom w:val="single" w:color="auto" w:sz="4" w:space="0"/>
              <w:right w:val="single" w:color="auto" w:sz="4" w:space="0"/>
            </w:tcBorders>
            <w:vAlign w:val="center"/>
          </w:tcPr>
          <w:p w14:paraId="35189509">
            <w:pPr>
              <w:spacing w:line="360" w:lineRule="auto"/>
              <w:jc w:val="center"/>
              <w:rPr>
                <w:rFonts w:ascii="仿宋" w:eastAsia="仿宋" w:cs="宋体"/>
                <w:bCs/>
                <w:szCs w:val="21"/>
              </w:rPr>
            </w:pPr>
            <w:r>
              <w:rPr>
                <w:rFonts w:hint="eastAsia" w:ascii="仿宋" w:eastAsia="仿宋" w:cs="宋体"/>
                <w:bCs/>
                <w:szCs w:val="21"/>
              </w:rPr>
              <w:t>35</w:t>
            </w:r>
          </w:p>
        </w:tc>
        <w:tc>
          <w:tcPr>
            <w:tcW w:w="5280" w:type="dxa"/>
            <w:tcBorders>
              <w:top w:val="single" w:color="auto" w:sz="4" w:space="0"/>
              <w:left w:val="single" w:color="auto" w:sz="4" w:space="0"/>
              <w:bottom w:val="single" w:color="auto" w:sz="4" w:space="0"/>
              <w:right w:val="single" w:color="auto" w:sz="4" w:space="0"/>
            </w:tcBorders>
            <w:vAlign w:val="center"/>
          </w:tcPr>
          <w:p w14:paraId="681110FC">
            <w:pPr>
              <w:rPr>
                <w:rFonts w:ascii="仿宋" w:eastAsia="仿宋" w:cs="宋体"/>
                <w:bCs/>
                <w:szCs w:val="21"/>
              </w:rPr>
            </w:pPr>
            <w:r>
              <w:rPr>
                <w:rFonts w:hint="eastAsia" w:ascii="仿宋" w:eastAsia="仿宋" w:cs="宋体"/>
                <w:bCs/>
                <w:szCs w:val="21"/>
              </w:rPr>
              <w:t>投标单位业绩能力、</w:t>
            </w:r>
            <w:r>
              <w:rPr>
                <w:rFonts w:ascii="仿宋" w:eastAsia="仿宋" w:cs="宋体"/>
                <w:bCs/>
                <w:szCs w:val="21"/>
              </w:rPr>
              <w:t>业绩、企业</w:t>
            </w:r>
            <w:r>
              <w:rPr>
                <w:rFonts w:hint="eastAsia" w:ascii="仿宋" w:eastAsia="仿宋" w:cs="宋体"/>
                <w:bCs/>
                <w:szCs w:val="21"/>
              </w:rPr>
              <w:t>资质、</w:t>
            </w:r>
            <w:r>
              <w:rPr>
                <w:rFonts w:ascii="仿宋" w:eastAsia="仿宋"/>
                <w:szCs w:val="21"/>
              </w:rPr>
              <w:t>人员资格等</w:t>
            </w:r>
          </w:p>
        </w:tc>
      </w:tr>
      <w:tr w14:paraId="0F47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14:paraId="5E035F30">
            <w:pPr>
              <w:spacing w:line="360" w:lineRule="auto"/>
              <w:jc w:val="center"/>
              <w:rPr>
                <w:rFonts w:ascii="仿宋" w:eastAsia="仿宋" w:cs="宋体"/>
                <w:bCs/>
                <w:color w:val="FF0000"/>
                <w:szCs w:val="21"/>
              </w:rPr>
            </w:pPr>
            <w:r>
              <w:rPr>
                <w:rFonts w:hint="eastAsia" w:ascii="仿宋" w:eastAsia="仿宋" w:cs="宋体"/>
                <w:bCs/>
                <w:color w:val="FF0000"/>
                <w:szCs w:val="21"/>
              </w:rPr>
              <w:t>C</w:t>
            </w:r>
          </w:p>
        </w:tc>
        <w:tc>
          <w:tcPr>
            <w:tcW w:w="3108" w:type="dxa"/>
            <w:tcBorders>
              <w:top w:val="single" w:color="auto" w:sz="4" w:space="0"/>
              <w:left w:val="single" w:color="auto" w:sz="4" w:space="0"/>
              <w:bottom w:val="single" w:color="auto" w:sz="4" w:space="0"/>
              <w:right w:val="single" w:color="auto" w:sz="4" w:space="0"/>
            </w:tcBorders>
            <w:vAlign w:val="center"/>
          </w:tcPr>
          <w:p w14:paraId="19863F2A">
            <w:pPr>
              <w:spacing w:line="360" w:lineRule="auto"/>
              <w:rPr>
                <w:rFonts w:ascii="仿宋" w:eastAsia="仿宋" w:cs="宋体"/>
                <w:bCs/>
                <w:color w:val="FF0000"/>
                <w:szCs w:val="21"/>
              </w:rPr>
            </w:pPr>
            <w:r>
              <w:rPr>
                <w:rFonts w:hint="eastAsia" w:ascii="仿宋" w:eastAsia="仿宋" w:cs="宋体"/>
                <w:bCs/>
                <w:color w:val="FF0000"/>
                <w:szCs w:val="21"/>
              </w:rPr>
              <w:t>响应和</w:t>
            </w:r>
            <w:r>
              <w:rPr>
                <w:rFonts w:ascii="仿宋" w:eastAsia="仿宋" w:cs="宋体"/>
                <w:bCs/>
                <w:color w:val="FF0000"/>
                <w:szCs w:val="21"/>
              </w:rPr>
              <w:t>排除故障</w:t>
            </w:r>
            <w:r>
              <w:rPr>
                <w:rFonts w:hint="eastAsia" w:ascii="仿宋" w:eastAsia="仿宋" w:cs="宋体"/>
                <w:bCs/>
                <w:color w:val="FF0000"/>
                <w:szCs w:val="21"/>
              </w:rPr>
              <w:t>时间</w:t>
            </w:r>
          </w:p>
        </w:tc>
        <w:tc>
          <w:tcPr>
            <w:tcW w:w="975" w:type="dxa"/>
            <w:tcBorders>
              <w:top w:val="single" w:color="auto" w:sz="4" w:space="0"/>
              <w:left w:val="single" w:color="auto" w:sz="4" w:space="0"/>
              <w:bottom w:val="single" w:color="auto" w:sz="4" w:space="0"/>
              <w:right w:val="single" w:color="auto" w:sz="4" w:space="0"/>
            </w:tcBorders>
            <w:vAlign w:val="center"/>
          </w:tcPr>
          <w:p w14:paraId="2C76C791">
            <w:pPr>
              <w:spacing w:line="360" w:lineRule="auto"/>
              <w:jc w:val="center"/>
              <w:rPr>
                <w:rFonts w:ascii="仿宋" w:eastAsia="仿宋" w:cs="宋体"/>
                <w:bCs/>
                <w:color w:val="FF0000"/>
                <w:szCs w:val="21"/>
              </w:rPr>
            </w:pPr>
            <w:r>
              <w:rPr>
                <w:rFonts w:hint="eastAsia" w:ascii="仿宋" w:eastAsia="仿宋" w:cs="宋体"/>
                <w:bCs/>
                <w:color w:val="FF0000"/>
                <w:szCs w:val="21"/>
              </w:rPr>
              <w:t>15</w:t>
            </w:r>
          </w:p>
        </w:tc>
        <w:tc>
          <w:tcPr>
            <w:tcW w:w="5280" w:type="dxa"/>
            <w:tcBorders>
              <w:top w:val="single" w:color="auto" w:sz="4" w:space="0"/>
              <w:left w:val="single" w:color="auto" w:sz="4" w:space="0"/>
              <w:bottom w:val="single" w:color="auto" w:sz="4" w:space="0"/>
              <w:right w:val="single" w:color="auto" w:sz="4" w:space="0"/>
            </w:tcBorders>
            <w:vAlign w:val="center"/>
          </w:tcPr>
          <w:p w14:paraId="02100B15">
            <w:pPr>
              <w:spacing w:line="360" w:lineRule="auto"/>
              <w:rPr>
                <w:rFonts w:ascii="仿宋" w:eastAsia="仿宋" w:cs="宋体"/>
                <w:bCs/>
                <w:color w:val="FF0000"/>
                <w:szCs w:val="21"/>
              </w:rPr>
            </w:pPr>
            <w:r>
              <w:rPr>
                <w:rFonts w:hint="eastAsia" w:ascii="仿宋" w:eastAsia="仿宋" w:cs="宋体"/>
                <w:bCs/>
                <w:color w:val="FF0000"/>
                <w:szCs w:val="21"/>
              </w:rPr>
              <w:t>响应时间、</w:t>
            </w:r>
            <w:r>
              <w:rPr>
                <w:rFonts w:ascii="仿宋" w:eastAsia="仿宋" w:cs="宋体"/>
                <w:bCs/>
                <w:color w:val="FF0000"/>
                <w:szCs w:val="21"/>
              </w:rPr>
              <w:t>排除故障</w:t>
            </w:r>
            <w:r>
              <w:rPr>
                <w:rFonts w:hint="eastAsia" w:ascii="仿宋" w:eastAsia="仿宋" w:cs="宋体"/>
                <w:bCs/>
                <w:color w:val="FF0000"/>
                <w:szCs w:val="21"/>
              </w:rPr>
              <w:t>时间</w:t>
            </w:r>
            <w:r>
              <w:rPr>
                <w:rFonts w:ascii="仿宋" w:eastAsia="仿宋" w:cs="宋体"/>
                <w:bCs/>
                <w:color w:val="FF0000"/>
                <w:szCs w:val="21"/>
              </w:rPr>
              <w:t>等</w:t>
            </w:r>
          </w:p>
        </w:tc>
      </w:tr>
      <w:tr w14:paraId="2302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14:paraId="7CF74E7A">
            <w:pPr>
              <w:spacing w:line="360" w:lineRule="auto"/>
              <w:jc w:val="center"/>
              <w:rPr>
                <w:rFonts w:ascii="仿宋" w:eastAsia="仿宋" w:cs="宋体"/>
                <w:bCs/>
                <w:szCs w:val="21"/>
              </w:rPr>
            </w:pPr>
            <w:r>
              <w:rPr>
                <w:rFonts w:hint="eastAsia" w:ascii="仿宋" w:eastAsia="仿宋" w:cs="宋体"/>
                <w:bCs/>
                <w:szCs w:val="21"/>
              </w:rPr>
              <w:t>合计</w:t>
            </w:r>
          </w:p>
        </w:tc>
        <w:tc>
          <w:tcPr>
            <w:tcW w:w="3108" w:type="dxa"/>
            <w:tcBorders>
              <w:top w:val="single" w:color="auto" w:sz="4" w:space="0"/>
              <w:left w:val="single" w:color="auto" w:sz="4" w:space="0"/>
              <w:bottom w:val="single" w:color="auto" w:sz="4" w:space="0"/>
              <w:right w:val="single" w:color="auto" w:sz="4" w:space="0"/>
            </w:tcBorders>
            <w:vAlign w:val="center"/>
          </w:tcPr>
          <w:p w14:paraId="4C4320FC">
            <w:pPr>
              <w:spacing w:line="360" w:lineRule="auto"/>
              <w:rPr>
                <w:rFonts w:ascii="仿宋" w:eastAsia="仿宋" w:cs="宋体"/>
                <w:bCs/>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3470B6E1">
            <w:pPr>
              <w:spacing w:line="360" w:lineRule="auto"/>
              <w:jc w:val="center"/>
              <w:rPr>
                <w:rFonts w:ascii="仿宋" w:eastAsia="仿宋" w:cs="宋体"/>
                <w:bCs/>
                <w:szCs w:val="21"/>
              </w:rPr>
            </w:pPr>
            <w:r>
              <w:rPr>
                <w:rFonts w:hint="eastAsia" w:ascii="仿宋" w:eastAsia="仿宋" w:cs="宋体"/>
                <w:bCs/>
                <w:szCs w:val="21"/>
              </w:rPr>
              <w:t>100</w:t>
            </w:r>
          </w:p>
        </w:tc>
        <w:tc>
          <w:tcPr>
            <w:tcW w:w="5280" w:type="dxa"/>
            <w:tcBorders>
              <w:top w:val="single" w:color="auto" w:sz="4" w:space="0"/>
              <w:left w:val="single" w:color="auto" w:sz="4" w:space="0"/>
              <w:bottom w:val="single" w:color="auto" w:sz="4" w:space="0"/>
              <w:right w:val="single" w:color="auto" w:sz="4" w:space="0"/>
            </w:tcBorders>
            <w:vAlign w:val="center"/>
          </w:tcPr>
          <w:p w14:paraId="1A9FBD4F">
            <w:pPr>
              <w:spacing w:line="360" w:lineRule="auto"/>
              <w:rPr>
                <w:rFonts w:ascii="仿宋" w:eastAsia="仿宋" w:cs="宋体"/>
                <w:bCs/>
                <w:szCs w:val="21"/>
              </w:rPr>
            </w:pPr>
          </w:p>
        </w:tc>
      </w:tr>
    </w:tbl>
    <w:p w14:paraId="75872306">
      <w:pPr>
        <w:spacing w:line="360" w:lineRule="auto"/>
        <w:ind w:firstLine="320" w:firstLineChars="1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1.2价格评分（50分）</w:t>
      </w:r>
    </w:p>
    <w:p w14:paraId="03B2A81D">
      <w:pPr>
        <w:spacing w:line="360" w:lineRule="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投标单位</w:t>
      </w:r>
      <w:r>
        <w:rPr>
          <w:rFonts w:ascii="方正仿宋简体" w:hAnsi="方正仿宋简体" w:eastAsia="方正仿宋简体" w:cs="方正仿宋简体"/>
          <w:bCs/>
          <w:kern w:val="1"/>
          <w:sz w:val="32"/>
          <w:szCs w:val="32"/>
        </w:rPr>
        <w:t>价格</w:t>
      </w:r>
      <w:r>
        <w:rPr>
          <w:rFonts w:hint="eastAsia" w:ascii="方正仿宋简体" w:hAnsi="方正仿宋简体" w:eastAsia="方正仿宋简体" w:cs="方正仿宋简体"/>
          <w:bCs/>
          <w:kern w:val="1"/>
          <w:sz w:val="32"/>
          <w:szCs w:val="32"/>
        </w:rPr>
        <w:t>评分标准如下：</w:t>
      </w:r>
    </w:p>
    <w:tbl>
      <w:tblPr>
        <w:tblStyle w:val="13"/>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135"/>
        <w:gridCol w:w="982"/>
        <w:gridCol w:w="5275"/>
      </w:tblGrid>
      <w:tr w14:paraId="7FDC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dxa"/>
            <w:tcBorders>
              <w:top w:val="single" w:color="auto" w:sz="4" w:space="0"/>
              <w:left w:val="single" w:color="auto" w:sz="4" w:space="0"/>
              <w:bottom w:val="single" w:color="auto" w:sz="4" w:space="0"/>
              <w:right w:val="single" w:color="auto" w:sz="4" w:space="0"/>
            </w:tcBorders>
            <w:vAlign w:val="center"/>
          </w:tcPr>
          <w:p w14:paraId="357D6912">
            <w:pPr>
              <w:spacing w:line="360" w:lineRule="auto"/>
              <w:jc w:val="center"/>
              <w:rPr>
                <w:rFonts w:ascii="仿宋" w:eastAsia="仿宋" w:cs="宋体"/>
                <w:bCs/>
                <w:szCs w:val="21"/>
              </w:rPr>
            </w:pPr>
            <w:r>
              <w:rPr>
                <w:rFonts w:hint="eastAsia" w:ascii="仿宋" w:eastAsia="仿宋" w:cs="宋体"/>
                <w:bCs/>
                <w:szCs w:val="21"/>
              </w:rPr>
              <w:t>序号</w:t>
            </w:r>
          </w:p>
        </w:tc>
        <w:tc>
          <w:tcPr>
            <w:tcW w:w="3135" w:type="dxa"/>
            <w:tcBorders>
              <w:top w:val="single" w:color="auto" w:sz="4" w:space="0"/>
              <w:left w:val="single" w:color="auto" w:sz="4" w:space="0"/>
              <w:bottom w:val="single" w:color="auto" w:sz="4" w:space="0"/>
              <w:right w:val="single" w:color="auto" w:sz="4" w:space="0"/>
            </w:tcBorders>
            <w:vAlign w:val="center"/>
          </w:tcPr>
          <w:p w14:paraId="2E567EDE">
            <w:pPr>
              <w:spacing w:line="360" w:lineRule="auto"/>
              <w:jc w:val="center"/>
              <w:rPr>
                <w:rFonts w:ascii="仿宋" w:eastAsia="仿宋" w:cs="宋体"/>
                <w:bCs/>
                <w:szCs w:val="21"/>
              </w:rPr>
            </w:pPr>
            <w:r>
              <w:rPr>
                <w:rFonts w:hint="eastAsia" w:ascii="仿宋" w:eastAsia="仿宋" w:cs="宋体"/>
                <w:bCs/>
                <w:szCs w:val="21"/>
              </w:rPr>
              <w:t>评分因素</w:t>
            </w:r>
          </w:p>
        </w:tc>
        <w:tc>
          <w:tcPr>
            <w:tcW w:w="982" w:type="dxa"/>
            <w:tcBorders>
              <w:top w:val="single" w:color="auto" w:sz="4" w:space="0"/>
              <w:left w:val="single" w:color="auto" w:sz="4" w:space="0"/>
              <w:bottom w:val="single" w:color="auto" w:sz="4" w:space="0"/>
              <w:right w:val="single" w:color="auto" w:sz="4" w:space="0"/>
            </w:tcBorders>
            <w:vAlign w:val="center"/>
          </w:tcPr>
          <w:p w14:paraId="5C74C8B1">
            <w:pPr>
              <w:spacing w:line="360" w:lineRule="auto"/>
              <w:jc w:val="center"/>
              <w:rPr>
                <w:rFonts w:ascii="仿宋" w:eastAsia="仿宋" w:cs="宋体"/>
                <w:bCs/>
                <w:szCs w:val="21"/>
              </w:rPr>
            </w:pPr>
            <w:r>
              <w:rPr>
                <w:rFonts w:hint="eastAsia" w:ascii="仿宋" w:eastAsia="仿宋" w:cs="宋体"/>
                <w:bCs/>
                <w:szCs w:val="21"/>
              </w:rPr>
              <w:t>分值</w:t>
            </w:r>
          </w:p>
        </w:tc>
        <w:tc>
          <w:tcPr>
            <w:tcW w:w="5275" w:type="dxa"/>
            <w:tcBorders>
              <w:top w:val="single" w:color="auto" w:sz="4" w:space="0"/>
              <w:left w:val="single" w:color="auto" w:sz="4" w:space="0"/>
              <w:bottom w:val="single" w:color="auto" w:sz="4" w:space="0"/>
              <w:right w:val="single" w:color="auto" w:sz="4" w:space="0"/>
            </w:tcBorders>
            <w:vAlign w:val="center"/>
          </w:tcPr>
          <w:p w14:paraId="4A4ADC85">
            <w:pPr>
              <w:spacing w:line="360" w:lineRule="auto"/>
              <w:jc w:val="center"/>
              <w:rPr>
                <w:rFonts w:ascii="仿宋" w:eastAsia="仿宋" w:cs="宋体"/>
                <w:bCs/>
                <w:szCs w:val="21"/>
              </w:rPr>
            </w:pPr>
            <w:r>
              <w:rPr>
                <w:rFonts w:hint="eastAsia" w:ascii="仿宋" w:eastAsia="仿宋" w:cs="宋体"/>
                <w:bCs/>
                <w:szCs w:val="21"/>
              </w:rPr>
              <w:t>评分标准说明</w:t>
            </w:r>
          </w:p>
        </w:tc>
      </w:tr>
      <w:tr w14:paraId="3E3A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97" w:type="dxa"/>
            <w:tcBorders>
              <w:top w:val="single" w:color="auto" w:sz="4" w:space="0"/>
              <w:left w:val="single" w:color="auto" w:sz="4" w:space="0"/>
              <w:bottom w:val="single" w:color="auto" w:sz="4" w:space="0"/>
              <w:right w:val="single" w:color="auto" w:sz="4" w:space="0"/>
            </w:tcBorders>
            <w:vAlign w:val="center"/>
          </w:tcPr>
          <w:p w14:paraId="7E53CC37">
            <w:pPr>
              <w:spacing w:line="360" w:lineRule="auto"/>
              <w:jc w:val="center"/>
              <w:rPr>
                <w:rFonts w:ascii="仿宋" w:eastAsia="仿宋" w:cs="宋体"/>
                <w:bCs/>
                <w:szCs w:val="21"/>
              </w:rPr>
            </w:pPr>
            <w:r>
              <w:rPr>
                <w:rFonts w:hint="eastAsia" w:ascii="仿宋" w:eastAsia="仿宋" w:cs="宋体"/>
                <w:bCs/>
                <w:szCs w:val="21"/>
              </w:rPr>
              <w:t>1</w:t>
            </w:r>
          </w:p>
        </w:tc>
        <w:tc>
          <w:tcPr>
            <w:tcW w:w="3135" w:type="dxa"/>
            <w:tcBorders>
              <w:top w:val="single" w:color="auto" w:sz="4" w:space="0"/>
              <w:left w:val="single" w:color="auto" w:sz="4" w:space="0"/>
              <w:bottom w:val="single" w:color="auto" w:sz="4" w:space="0"/>
              <w:right w:val="single" w:color="auto" w:sz="4" w:space="0"/>
            </w:tcBorders>
            <w:vAlign w:val="center"/>
          </w:tcPr>
          <w:p w14:paraId="5E39295B">
            <w:pPr>
              <w:spacing w:line="360" w:lineRule="auto"/>
              <w:jc w:val="center"/>
              <w:rPr>
                <w:rFonts w:ascii="仿宋" w:eastAsia="仿宋" w:cs="宋体"/>
                <w:bCs/>
                <w:szCs w:val="21"/>
              </w:rPr>
            </w:pPr>
            <w:r>
              <w:rPr>
                <w:rFonts w:hint="eastAsia" w:ascii="仿宋" w:eastAsia="仿宋" w:cs="宋体"/>
                <w:bCs/>
                <w:szCs w:val="21"/>
              </w:rPr>
              <w:t>投标报价得分</w:t>
            </w:r>
          </w:p>
          <w:p w14:paraId="6CA25882">
            <w:pPr>
              <w:spacing w:line="360" w:lineRule="auto"/>
              <w:jc w:val="center"/>
              <w:rPr>
                <w:rFonts w:ascii="仿宋" w:eastAsia="仿宋" w:cs="宋体"/>
                <w:bCs/>
                <w:szCs w:val="21"/>
              </w:rPr>
            </w:pPr>
            <w:r>
              <w:rPr>
                <w:rFonts w:hint="eastAsia" w:ascii="仿宋" w:eastAsia="仿宋" w:cs="宋体"/>
                <w:bCs/>
                <w:szCs w:val="21"/>
              </w:rPr>
              <w:t>（投标人最后报价为评审报价）</w:t>
            </w:r>
          </w:p>
        </w:tc>
        <w:tc>
          <w:tcPr>
            <w:tcW w:w="982" w:type="dxa"/>
            <w:tcBorders>
              <w:top w:val="single" w:color="auto" w:sz="4" w:space="0"/>
              <w:left w:val="single" w:color="auto" w:sz="4" w:space="0"/>
              <w:bottom w:val="single" w:color="auto" w:sz="4" w:space="0"/>
              <w:right w:val="single" w:color="auto" w:sz="4" w:space="0"/>
            </w:tcBorders>
            <w:vAlign w:val="center"/>
          </w:tcPr>
          <w:p w14:paraId="537CBFD7">
            <w:pPr>
              <w:spacing w:line="360" w:lineRule="auto"/>
              <w:jc w:val="center"/>
              <w:rPr>
                <w:rFonts w:ascii="仿宋" w:eastAsia="仿宋" w:cs="宋体"/>
                <w:bCs/>
                <w:szCs w:val="21"/>
              </w:rPr>
            </w:pPr>
            <w:r>
              <w:rPr>
                <w:rFonts w:hint="eastAsia" w:ascii="仿宋" w:eastAsia="仿宋" w:cs="宋体"/>
                <w:bCs/>
                <w:szCs w:val="21"/>
              </w:rPr>
              <w:t>50</w:t>
            </w:r>
          </w:p>
        </w:tc>
        <w:tc>
          <w:tcPr>
            <w:tcW w:w="5275" w:type="dxa"/>
            <w:tcBorders>
              <w:top w:val="single" w:color="auto" w:sz="4" w:space="0"/>
              <w:left w:val="single" w:color="auto" w:sz="4" w:space="0"/>
              <w:bottom w:val="single" w:color="auto" w:sz="4" w:space="0"/>
              <w:right w:val="single" w:color="auto" w:sz="4" w:space="0"/>
            </w:tcBorders>
            <w:vAlign w:val="center"/>
          </w:tcPr>
          <w:p w14:paraId="266EE1CE">
            <w:pPr>
              <w:ind w:left="1"/>
              <w:jc w:val="left"/>
              <w:rPr>
                <w:rFonts w:ascii="仿宋" w:eastAsia="仿宋"/>
                <w:szCs w:val="21"/>
              </w:rPr>
            </w:pPr>
            <w:r>
              <w:rPr>
                <w:rFonts w:hint="eastAsia" w:ascii="仿宋" w:eastAsia="仿宋"/>
                <w:szCs w:val="21"/>
              </w:rPr>
              <w:t>以各投标人有效报价</w:t>
            </w:r>
            <w:r>
              <w:rPr>
                <w:rFonts w:ascii="仿宋" w:eastAsia="仿宋"/>
                <w:szCs w:val="21"/>
              </w:rPr>
              <w:t>（</w:t>
            </w:r>
            <w:r>
              <w:rPr>
                <w:rFonts w:ascii="仿宋" w:eastAsia="仿宋" w:cs="宋体"/>
                <w:bCs/>
                <w:szCs w:val="21"/>
              </w:rPr>
              <w:t>卸船机年度维保报价+卸船机故障维修报价+</w:t>
            </w:r>
            <w:r>
              <w:rPr>
                <w:rFonts w:hint="eastAsia" w:ascii="仿宋" w:eastAsia="仿宋" w:cs="宋体"/>
                <w:bCs/>
                <w:szCs w:val="21"/>
              </w:rPr>
              <w:t>1t</w:t>
            </w:r>
            <w:r>
              <w:rPr>
                <w:rFonts w:ascii="仿宋" w:eastAsia="仿宋" w:cs="宋体"/>
                <w:bCs/>
                <w:szCs w:val="21"/>
              </w:rPr>
              <w:t>起重机年度维保报价</w:t>
            </w:r>
            <w:r>
              <w:rPr>
                <w:rFonts w:ascii="仿宋" w:eastAsia="仿宋"/>
                <w:szCs w:val="21"/>
              </w:rPr>
              <w:t>）</w:t>
            </w:r>
            <w:r>
              <w:rPr>
                <w:rFonts w:hint="eastAsia" w:ascii="仿宋" w:eastAsia="仿宋"/>
                <w:szCs w:val="21"/>
              </w:rPr>
              <w:t>的算术平均值作为基准价A。</w:t>
            </w:r>
          </w:p>
          <w:p w14:paraId="2E7795C3">
            <w:pPr>
              <w:pStyle w:val="12"/>
              <w:spacing w:line="240" w:lineRule="auto"/>
              <w:ind w:left="0"/>
              <w:rPr>
                <w:rFonts w:ascii="仿宋" w:eastAsia="仿宋"/>
                <w:color w:val="000000"/>
                <w:kern w:val="2"/>
                <w:sz w:val="21"/>
                <w:szCs w:val="21"/>
              </w:rPr>
            </w:pPr>
            <w:r>
              <w:rPr>
                <w:rFonts w:hint="eastAsia" w:ascii="仿宋" w:eastAsia="仿宋"/>
                <w:color w:val="000000"/>
                <w:kern w:val="2"/>
                <w:sz w:val="21"/>
                <w:szCs w:val="21"/>
              </w:rPr>
              <w:t>投标报价等于基准价的得满分50分；</w:t>
            </w:r>
          </w:p>
          <w:p w14:paraId="29F50F9F">
            <w:pPr>
              <w:ind w:left="1"/>
              <w:jc w:val="left"/>
              <w:rPr>
                <w:rFonts w:ascii="仿宋" w:eastAsia="仿宋"/>
                <w:szCs w:val="21"/>
              </w:rPr>
            </w:pPr>
            <w:r>
              <w:rPr>
                <w:rFonts w:hint="eastAsia" w:ascii="仿宋" w:eastAsia="仿宋"/>
                <w:szCs w:val="21"/>
              </w:rPr>
              <w:t>各投标人的投标报价Si比A值每高1个百分点扣0.5分，扣至0分为止；</w:t>
            </w:r>
          </w:p>
          <w:p w14:paraId="17ED1E34">
            <w:pPr>
              <w:ind w:left="1"/>
              <w:jc w:val="left"/>
              <w:rPr>
                <w:rFonts w:ascii="仿宋" w:eastAsia="仿宋" w:cs="宋体"/>
                <w:bCs/>
                <w:szCs w:val="21"/>
              </w:rPr>
            </w:pPr>
            <w:r>
              <w:rPr>
                <w:rFonts w:hint="eastAsia" w:ascii="仿宋" w:eastAsia="仿宋"/>
                <w:szCs w:val="21"/>
              </w:rPr>
              <w:t>各投标人的投标报价Si比A值每低1个百分点扣0.25分,扣至0分为止。（报价为含税价格)</w:t>
            </w:r>
            <w:r>
              <w:rPr>
                <w:rFonts w:hint="eastAsia" w:ascii="宋体" w:hAnsi="宋体" w:eastAsia="仿宋" w:cs="宋体"/>
                <w:szCs w:val="21"/>
              </w:rPr>
              <w:t> </w:t>
            </w:r>
            <w:r>
              <w:rPr>
                <w:rFonts w:hint="eastAsia" w:ascii="宋体" w:hAnsi="宋体" w:eastAsia="仿宋" w:cs="宋体"/>
                <w:szCs w:val="21"/>
              </w:rPr>
              <w:br w:type="textWrapping"/>
            </w:r>
            <w:r>
              <w:rPr>
                <w:rFonts w:hint="eastAsia" w:ascii="仿宋" w:eastAsia="仿宋" w:cs="宋体"/>
                <w:szCs w:val="21"/>
              </w:rPr>
              <w:t>评委评审认为价格明显不合理的有可能导致废标。</w:t>
            </w:r>
          </w:p>
        </w:tc>
      </w:tr>
    </w:tbl>
    <w:p w14:paraId="79B76892">
      <w:pPr>
        <w:spacing w:line="360" w:lineRule="auto"/>
        <w:ind w:firstLine="480" w:firstLineChars="15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1.3技术评分</w:t>
      </w:r>
      <w:r>
        <w:rPr>
          <w:rFonts w:hint="eastAsia" w:ascii="方正仿宋简体" w:hAnsi="方正仿宋简体" w:eastAsia="方正仿宋简体" w:cs="方正仿宋简体"/>
          <w:bCs/>
          <w:kern w:val="1"/>
          <w:sz w:val="32"/>
          <w:szCs w:val="32"/>
        </w:rPr>
        <w:t>（35分）</w:t>
      </w:r>
    </w:p>
    <w:p w14:paraId="5D8D9D2E">
      <w:pPr>
        <w:spacing w:line="360" w:lineRule="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投标单位技术评分标准如下：</w:t>
      </w:r>
    </w:p>
    <w:tbl>
      <w:tblPr>
        <w:tblStyle w:val="13"/>
        <w:tblpPr w:leftFromText="180" w:rightFromText="180" w:vertAnchor="text" w:horzAnchor="page" w:tblpXSpec="center" w:tblpY="237"/>
        <w:tblOverlap w:val="never"/>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31"/>
        <w:gridCol w:w="2055"/>
        <w:gridCol w:w="885"/>
        <w:gridCol w:w="885"/>
        <w:gridCol w:w="5640"/>
      </w:tblGrid>
      <w:tr w14:paraId="19F307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931" w:type="dxa"/>
            <w:tcBorders>
              <w:top w:val="single" w:color="auto" w:sz="4" w:space="0"/>
              <w:left w:val="single" w:color="auto" w:sz="4" w:space="0"/>
              <w:bottom w:val="single" w:color="auto" w:sz="4" w:space="0"/>
              <w:right w:val="single" w:color="auto" w:sz="4" w:space="0"/>
            </w:tcBorders>
            <w:vAlign w:val="center"/>
          </w:tcPr>
          <w:p w14:paraId="06DA922D">
            <w:pPr>
              <w:spacing w:line="360" w:lineRule="auto"/>
              <w:jc w:val="center"/>
              <w:rPr>
                <w:rFonts w:ascii="仿宋" w:eastAsia="仿宋" w:cs="宋体"/>
                <w:bCs/>
                <w:szCs w:val="21"/>
              </w:rPr>
            </w:pPr>
            <w:r>
              <w:rPr>
                <w:rFonts w:hint="eastAsia" w:ascii="仿宋" w:eastAsia="仿宋" w:cs="宋体"/>
                <w:bCs/>
                <w:szCs w:val="21"/>
              </w:rPr>
              <w:t>序号</w:t>
            </w:r>
          </w:p>
        </w:tc>
        <w:tc>
          <w:tcPr>
            <w:tcW w:w="2055" w:type="dxa"/>
            <w:tcBorders>
              <w:top w:val="single" w:color="auto" w:sz="4" w:space="0"/>
              <w:left w:val="single" w:color="auto" w:sz="4" w:space="0"/>
              <w:bottom w:val="single" w:color="auto" w:sz="4" w:space="0"/>
              <w:right w:val="single" w:color="auto" w:sz="4" w:space="0"/>
            </w:tcBorders>
            <w:vAlign w:val="center"/>
          </w:tcPr>
          <w:p w14:paraId="341E5724">
            <w:pPr>
              <w:spacing w:line="360" w:lineRule="auto"/>
              <w:jc w:val="center"/>
              <w:rPr>
                <w:rFonts w:ascii="仿宋" w:eastAsia="仿宋" w:cs="宋体"/>
                <w:bCs/>
                <w:szCs w:val="21"/>
              </w:rPr>
            </w:pPr>
            <w:r>
              <w:rPr>
                <w:rFonts w:hint="eastAsia" w:ascii="仿宋" w:eastAsia="仿宋" w:cs="宋体"/>
                <w:bCs/>
                <w:szCs w:val="21"/>
              </w:rPr>
              <w:t>评审因素</w:t>
            </w:r>
          </w:p>
        </w:tc>
        <w:tc>
          <w:tcPr>
            <w:tcW w:w="885" w:type="dxa"/>
            <w:tcBorders>
              <w:top w:val="single" w:color="auto" w:sz="4" w:space="0"/>
              <w:left w:val="single" w:color="auto" w:sz="4" w:space="0"/>
              <w:bottom w:val="single" w:color="auto" w:sz="4" w:space="0"/>
              <w:right w:val="single" w:color="auto" w:sz="4" w:space="0"/>
            </w:tcBorders>
            <w:vAlign w:val="center"/>
          </w:tcPr>
          <w:p w14:paraId="35E0688C">
            <w:pPr>
              <w:spacing w:line="360" w:lineRule="auto"/>
              <w:jc w:val="center"/>
              <w:rPr>
                <w:rFonts w:ascii="仿宋" w:eastAsia="仿宋" w:cs="宋体"/>
                <w:bCs/>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4DC2D3BE">
            <w:pPr>
              <w:spacing w:line="360" w:lineRule="auto"/>
              <w:jc w:val="center"/>
              <w:rPr>
                <w:rFonts w:ascii="仿宋" w:eastAsia="仿宋" w:cs="宋体"/>
                <w:bCs/>
                <w:szCs w:val="21"/>
              </w:rPr>
            </w:pPr>
            <w:r>
              <w:rPr>
                <w:rFonts w:hint="eastAsia" w:ascii="仿宋" w:eastAsia="仿宋" w:cs="宋体"/>
                <w:bCs/>
                <w:szCs w:val="21"/>
              </w:rPr>
              <w:t>分值</w:t>
            </w:r>
          </w:p>
        </w:tc>
        <w:tc>
          <w:tcPr>
            <w:tcW w:w="5640" w:type="dxa"/>
            <w:tcBorders>
              <w:top w:val="single" w:color="auto" w:sz="4" w:space="0"/>
              <w:left w:val="single" w:color="auto" w:sz="4" w:space="0"/>
              <w:bottom w:val="single" w:color="auto" w:sz="4" w:space="0"/>
              <w:right w:val="single" w:color="auto" w:sz="4" w:space="0"/>
            </w:tcBorders>
            <w:vAlign w:val="center"/>
          </w:tcPr>
          <w:p w14:paraId="33A3EA15">
            <w:pPr>
              <w:spacing w:line="360" w:lineRule="auto"/>
              <w:jc w:val="center"/>
              <w:rPr>
                <w:rFonts w:ascii="仿宋" w:eastAsia="仿宋" w:cs="宋体"/>
                <w:bCs/>
                <w:szCs w:val="21"/>
              </w:rPr>
            </w:pPr>
            <w:r>
              <w:rPr>
                <w:rFonts w:hint="eastAsia" w:ascii="仿宋" w:eastAsia="仿宋" w:cs="宋体"/>
                <w:bCs/>
                <w:szCs w:val="21"/>
              </w:rPr>
              <w:t>评分标准说明</w:t>
            </w:r>
          </w:p>
        </w:tc>
      </w:tr>
      <w:tr w14:paraId="1EFE11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88" w:hRule="atLeast"/>
        </w:trPr>
        <w:tc>
          <w:tcPr>
            <w:tcW w:w="931" w:type="dxa"/>
            <w:tcBorders>
              <w:top w:val="single" w:color="auto" w:sz="4" w:space="0"/>
              <w:left w:val="single" w:color="auto" w:sz="4" w:space="0"/>
              <w:bottom w:val="single" w:color="auto" w:sz="4" w:space="0"/>
              <w:right w:val="single" w:color="auto" w:sz="4" w:space="0"/>
            </w:tcBorders>
            <w:vAlign w:val="center"/>
          </w:tcPr>
          <w:p w14:paraId="41427CD0">
            <w:pPr>
              <w:spacing w:line="360" w:lineRule="auto"/>
              <w:jc w:val="center"/>
              <w:rPr>
                <w:rFonts w:ascii="仿宋" w:eastAsia="仿宋" w:cs="宋体"/>
                <w:bCs/>
                <w:szCs w:val="21"/>
              </w:rPr>
            </w:pPr>
            <w:r>
              <w:rPr>
                <w:rFonts w:hint="eastAsia" w:ascii="仿宋" w:eastAsia="仿宋" w:cs="宋体"/>
                <w:bCs/>
                <w:szCs w:val="21"/>
              </w:rPr>
              <w:t>1</w:t>
            </w:r>
          </w:p>
        </w:tc>
        <w:tc>
          <w:tcPr>
            <w:tcW w:w="2055" w:type="dxa"/>
            <w:tcBorders>
              <w:top w:val="single" w:color="auto" w:sz="4" w:space="0"/>
              <w:left w:val="single" w:color="auto" w:sz="4" w:space="0"/>
              <w:bottom w:val="single" w:color="auto" w:sz="4" w:space="0"/>
              <w:right w:val="single" w:color="auto" w:sz="4" w:space="0"/>
            </w:tcBorders>
            <w:vAlign w:val="center"/>
          </w:tcPr>
          <w:p w14:paraId="2FC92726">
            <w:pPr>
              <w:spacing w:line="360" w:lineRule="auto"/>
              <w:jc w:val="center"/>
              <w:rPr>
                <w:rFonts w:ascii="仿宋" w:eastAsia="仿宋" w:cs="宋体"/>
                <w:bCs/>
                <w:szCs w:val="21"/>
              </w:rPr>
            </w:pPr>
            <w:r>
              <w:rPr>
                <w:rFonts w:ascii="仿宋" w:eastAsia="仿宋" w:cs="宋体"/>
                <w:bCs/>
                <w:szCs w:val="21"/>
              </w:rPr>
              <w:t>能力、</w:t>
            </w:r>
            <w:r>
              <w:rPr>
                <w:rFonts w:hint="eastAsia" w:ascii="仿宋" w:eastAsia="仿宋" w:cs="宋体"/>
                <w:bCs/>
                <w:szCs w:val="21"/>
              </w:rPr>
              <w:t>业绩</w:t>
            </w:r>
          </w:p>
        </w:tc>
        <w:tc>
          <w:tcPr>
            <w:tcW w:w="885" w:type="dxa"/>
            <w:tcBorders>
              <w:top w:val="single" w:color="auto" w:sz="4" w:space="0"/>
              <w:left w:val="single" w:color="auto" w:sz="4" w:space="0"/>
              <w:bottom w:val="single" w:color="auto" w:sz="4" w:space="0"/>
              <w:right w:val="single" w:color="auto" w:sz="4" w:space="0"/>
            </w:tcBorders>
            <w:vAlign w:val="center"/>
          </w:tcPr>
          <w:p w14:paraId="06E76DCF">
            <w:pPr>
              <w:spacing w:line="360" w:lineRule="auto"/>
              <w:jc w:val="center"/>
              <w:rPr>
                <w:rFonts w:ascii="仿宋" w:eastAsia="仿宋" w:cs="宋体"/>
                <w:bCs/>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44DB9912">
            <w:pPr>
              <w:spacing w:line="360" w:lineRule="auto"/>
              <w:jc w:val="center"/>
              <w:rPr>
                <w:rFonts w:ascii="仿宋" w:eastAsia="仿宋" w:cs="宋体"/>
                <w:bCs/>
                <w:szCs w:val="21"/>
              </w:rPr>
            </w:pPr>
            <w:r>
              <w:rPr>
                <w:rFonts w:hint="eastAsia" w:ascii="仿宋" w:eastAsia="仿宋" w:cs="宋体"/>
                <w:bCs/>
                <w:szCs w:val="21"/>
              </w:rPr>
              <w:t>15</w:t>
            </w:r>
          </w:p>
        </w:tc>
        <w:tc>
          <w:tcPr>
            <w:tcW w:w="5640" w:type="dxa"/>
            <w:tcBorders>
              <w:top w:val="single" w:color="auto" w:sz="4" w:space="0"/>
              <w:left w:val="single" w:color="auto" w:sz="4" w:space="0"/>
              <w:bottom w:val="single" w:color="auto" w:sz="4" w:space="0"/>
              <w:right w:val="single" w:color="auto" w:sz="4" w:space="0"/>
            </w:tcBorders>
          </w:tcPr>
          <w:p w14:paraId="2FBA0DA3">
            <w:pPr>
              <w:tabs>
                <w:tab w:val="left" w:pos="0"/>
              </w:tabs>
              <w:adjustRightInd w:val="0"/>
              <w:spacing w:before="78" w:beforeLines="25" w:after="78" w:afterLines="25"/>
              <w:textAlignment w:val="baseline"/>
              <w:rPr>
                <w:rFonts w:ascii="仿宋" w:eastAsia="仿宋" w:cs="宋体"/>
                <w:bCs/>
                <w:szCs w:val="21"/>
              </w:rPr>
            </w:pPr>
            <w:r>
              <w:rPr>
                <w:rFonts w:ascii="仿宋_GB2312" w:eastAsia="仿宋_GB2312" w:cs="仿宋_GB2312"/>
                <w:szCs w:val="21"/>
              </w:rPr>
              <w:t>至少</w:t>
            </w:r>
            <w:r>
              <w:rPr>
                <w:rFonts w:hint="eastAsia" w:ascii="仿宋" w:eastAsia="仿宋" w:cs="宋体"/>
                <w:bCs/>
                <w:szCs w:val="21"/>
              </w:rPr>
              <w:t>有</w:t>
            </w:r>
            <w:r>
              <w:rPr>
                <w:rFonts w:ascii="仿宋" w:eastAsia="仿宋" w:cs="宋体"/>
                <w:bCs/>
                <w:szCs w:val="21"/>
              </w:rPr>
              <w:t>1</w:t>
            </w:r>
            <w:r>
              <w:rPr>
                <w:rFonts w:hint="eastAsia" w:ascii="仿宋" w:eastAsia="仿宋" w:cs="宋体"/>
                <w:bCs/>
                <w:szCs w:val="21"/>
              </w:rPr>
              <w:t>台同类卸船机维保、维修和大修业绩</w:t>
            </w:r>
            <w:r>
              <w:rPr>
                <w:rFonts w:ascii="仿宋" w:eastAsia="仿宋" w:cs="宋体"/>
                <w:bCs/>
                <w:szCs w:val="21"/>
              </w:rPr>
              <w:t>并信誉良好</w:t>
            </w:r>
            <w:r>
              <w:rPr>
                <w:rFonts w:hint="eastAsia" w:ascii="仿宋" w:eastAsia="仿宋" w:cs="宋体"/>
                <w:bCs/>
                <w:szCs w:val="21"/>
              </w:rPr>
              <w:t>者</w:t>
            </w:r>
            <w:r>
              <w:rPr>
                <w:rFonts w:ascii="仿宋" w:eastAsia="仿宋" w:cs="宋体"/>
                <w:bCs/>
                <w:szCs w:val="21"/>
              </w:rPr>
              <w:t>，</w:t>
            </w:r>
            <w:r>
              <w:rPr>
                <w:rFonts w:hint="eastAsia" w:ascii="仿宋" w:eastAsia="仿宋" w:cs="宋体"/>
                <w:bCs/>
                <w:szCs w:val="21"/>
              </w:rPr>
              <w:t>得</w:t>
            </w:r>
            <w:r>
              <w:rPr>
                <w:rFonts w:ascii="仿宋" w:eastAsia="仿宋" w:cs="宋体"/>
                <w:bCs/>
                <w:szCs w:val="21"/>
              </w:rPr>
              <w:t>6</w:t>
            </w:r>
            <w:r>
              <w:rPr>
                <w:rFonts w:hint="eastAsia" w:ascii="仿宋" w:eastAsia="仿宋" w:cs="宋体"/>
                <w:bCs/>
                <w:szCs w:val="21"/>
              </w:rPr>
              <w:t>分，每多1台加</w:t>
            </w:r>
            <w:r>
              <w:rPr>
                <w:rFonts w:ascii="仿宋" w:eastAsia="仿宋" w:cs="宋体"/>
                <w:bCs/>
                <w:szCs w:val="21"/>
              </w:rPr>
              <w:t>2</w:t>
            </w:r>
            <w:r>
              <w:rPr>
                <w:rFonts w:hint="eastAsia" w:ascii="仿宋" w:eastAsia="仿宋" w:cs="宋体"/>
                <w:bCs/>
                <w:szCs w:val="21"/>
              </w:rPr>
              <w:t>分，最多得</w:t>
            </w:r>
            <w:r>
              <w:rPr>
                <w:rFonts w:ascii="仿宋" w:eastAsia="仿宋" w:cs="宋体"/>
                <w:bCs/>
                <w:szCs w:val="21"/>
              </w:rPr>
              <w:t>10</w:t>
            </w:r>
            <w:r>
              <w:rPr>
                <w:rFonts w:hint="eastAsia" w:ascii="仿宋" w:eastAsia="仿宋" w:cs="宋体"/>
                <w:bCs/>
                <w:szCs w:val="21"/>
              </w:rPr>
              <w:t>分</w:t>
            </w:r>
            <w:r>
              <w:rPr>
                <w:rFonts w:ascii="仿宋" w:eastAsia="仿宋" w:cs="宋体"/>
                <w:bCs/>
                <w:szCs w:val="21"/>
              </w:rPr>
              <w:t>，无业绩者0分</w:t>
            </w:r>
            <w:r>
              <w:rPr>
                <w:rFonts w:hint="eastAsia" w:ascii="仿宋" w:eastAsia="仿宋" w:cs="宋体"/>
                <w:bCs/>
                <w:szCs w:val="21"/>
              </w:rPr>
              <w:t>。</w:t>
            </w:r>
          </w:p>
          <w:p w14:paraId="50F78092">
            <w:pPr>
              <w:tabs>
                <w:tab w:val="left" w:pos="0"/>
              </w:tabs>
              <w:adjustRightInd w:val="0"/>
              <w:spacing w:before="78" w:beforeLines="25" w:after="78" w:afterLines="25"/>
              <w:textAlignment w:val="baseline"/>
              <w:rPr>
                <w:rFonts w:ascii="仿宋" w:eastAsia="仿宋" w:cs="宋体"/>
                <w:bCs/>
                <w:szCs w:val="21"/>
              </w:rPr>
            </w:pPr>
            <w:r>
              <w:rPr>
                <w:rFonts w:ascii="仿宋_GB2312" w:eastAsia="仿宋_GB2312" w:cs="仿宋_GB2312"/>
                <w:szCs w:val="21"/>
              </w:rPr>
              <w:t>至少</w:t>
            </w:r>
            <w:r>
              <w:rPr>
                <w:rFonts w:hint="eastAsia" w:ascii="仿宋" w:eastAsia="仿宋" w:cs="宋体"/>
                <w:bCs/>
                <w:szCs w:val="21"/>
              </w:rPr>
              <w:t>有</w:t>
            </w:r>
            <w:r>
              <w:rPr>
                <w:rFonts w:ascii="仿宋" w:eastAsia="仿宋" w:cs="宋体"/>
                <w:bCs/>
                <w:szCs w:val="21"/>
              </w:rPr>
              <w:t>1</w:t>
            </w:r>
            <w:r>
              <w:rPr>
                <w:rFonts w:hint="eastAsia" w:ascii="仿宋" w:eastAsia="仿宋" w:cs="宋体"/>
                <w:bCs/>
                <w:szCs w:val="21"/>
              </w:rPr>
              <w:t>台起重机维保、维修和大修业绩</w:t>
            </w:r>
            <w:r>
              <w:rPr>
                <w:rFonts w:ascii="仿宋" w:eastAsia="仿宋" w:cs="宋体"/>
                <w:bCs/>
                <w:szCs w:val="21"/>
              </w:rPr>
              <w:t>并信誉良好</w:t>
            </w:r>
            <w:r>
              <w:rPr>
                <w:rFonts w:hint="eastAsia" w:ascii="仿宋" w:eastAsia="仿宋" w:cs="宋体"/>
                <w:bCs/>
                <w:szCs w:val="21"/>
              </w:rPr>
              <w:t>者</w:t>
            </w:r>
            <w:r>
              <w:rPr>
                <w:rFonts w:ascii="仿宋" w:eastAsia="仿宋" w:cs="宋体"/>
                <w:bCs/>
                <w:szCs w:val="21"/>
              </w:rPr>
              <w:t>，</w:t>
            </w:r>
            <w:r>
              <w:rPr>
                <w:rFonts w:hint="eastAsia" w:ascii="仿宋" w:eastAsia="仿宋" w:cs="宋体"/>
                <w:bCs/>
                <w:szCs w:val="21"/>
              </w:rPr>
              <w:t>得</w:t>
            </w:r>
            <w:r>
              <w:rPr>
                <w:rFonts w:ascii="仿宋" w:eastAsia="仿宋" w:cs="宋体"/>
                <w:bCs/>
                <w:szCs w:val="21"/>
              </w:rPr>
              <w:t>3</w:t>
            </w:r>
            <w:r>
              <w:rPr>
                <w:rFonts w:hint="eastAsia" w:ascii="仿宋" w:eastAsia="仿宋" w:cs="宋体"/>
                <w:bCs/>
                <w:szCs w:val="21"/>
              </w:rPr>
              <w:t>分，每多1台加</w:t>
            </w:r>
            <w:r>
              <w:rPr>
                <w:rFonts w:ascii="仿宋" w:eastAsia="仿宋" w:cs="宋体"/>
                <w:bCs/>
                <w:szCs w:val="21"/>
              </w:rPr>
              <w:t>1</w:t>
            </w:r>
            <w:r>
              <w:rPr>
                <w:rFonts w:hint="eastAsia" w:ascii="仿宋" w:eastAsia="仿宋" w:cs="宋体"/>
                <w:bCs/>
                <w:szCs w:val="21"/>
              </w:rPr>
              <w:t>分，最多得</w:t>
            </w:r>
            <w:r>
              <w:rPr>
                <w:rFonts w:ascii="仿宋" w:eastAsia="仿宋" w:cs="宋体"/>
                <w:bCs/>
                <w:szCs w:val="21"/>
              </w:rPr>
              <w:t>5</w:t>
            </w:r>
            <w:r>
              <w:rPr>
                <w:rFonts w:hint="eastAsia" w:ascii="仿宋" w:eastAsia="仿宋" w:cs="宋体"/>
                <w:bCs/>
                <w:szCs w:val="21"/>
              </w:rPr>
              <w:t>分</w:t>
            </w:r>
            <w:r>
              <w:rPr>
                <w:rFonts w:ascii="仿宋" w:eastAsia="仿宋" w:cs="宋体"/>
                <w:bCs/>
                <w:szCs w:val="21"/>
              </w:rPr>
              <w:t>，无业绩者0分</w:t>
            </w:r>
            <w:r>
              <w:rPr>
                <w:rFonts w:hint="eastAsia" w:ascii="仿宋" w:eastAsia="仿宋" w:cs="宋体"/>
                <w:bCs/>
                <w:szCs w:val="21"/>
              </w:rPr>
              <w:t>。</w:t>
            </w:r>
          </w:p>
          <w:p w14:paraId="0FFFD454">
            <w:pPr>
              <w:pStyle w:val="12"/>
              <w:ind w:left="0"/>
            </w:pPr>
            <w:r>
              <w:rPr>
                <w:rFonts w:hint="eastAsia" w:ascii="仿宋" w:eastAsia="仿宋" w:cs="宋体"/>
                <w:bCs/>
                <w:sz w:val="21"/>
                <w:szCs w:val="21"/>
              </w:rPr>
              <w:t>业绩提供合同的首末页，信誉</w:t>
            </w:r>
            <w:r>
              <w:rPr>
                <w:rFonts w:ascii="仿宋" w:eastAsia="仿宋" w:cs="宋体"/>
                <w:bCs/>
                <w:sz w:val="21"/>
                <w:szCs w:val="21"/>
              </w:rPr>
              <w:t>通过向投标方提供的业绩单位咨询，同时通过互联网收集相关信息综合评价。</w:t>
            </w:r>
          </w:p>
        </w:tc>
      </w:tr>
      <w:tr w14:paraId="283C48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57" w:hRule="atLeast"/>
        </w:trPr>
        <w:tc>
          <w:tcPr>
            <w:tcW w:w="931" w:type="dxa"/>
            <w:vMerge w:val="restart"/>
            <w:tcBorders>
              <w:top w:val="single" w:color="auto" w:sz="4" w:space="0"/>
              <w:left w:val="single" w:color="auto" w:sz="4" w:space="0"/>
              <w:bottom w:val="single" w:color="auto" w:sz="4" w:space="0"/>
              <w:right w:val="single" w:color="auto" w:sz="4" w:space="0"/>
            </w:tcBorders>
            <w:vAlign w:val="center"/>
          </w:tcPr>
          <w:p w14:paraId="6A2142BA">
            <w:pPr>
              <w:spacing w:line="360" w:lineRule="auto"/>
              <w:jc w:val="center"/>
              <w:rPr>
                <w:rFonts w:ascii="仿宋" w:eastAsia="仿宋" w:cs="宋体"/>
                <w:bCs/>
                <w:szCs w:val="21"/>
              </w:rPr>
            </w:pPr>
            <w:r>
              <w:rPr>
                <w:rFonts w:hint="eastAsia" w:ascii="仿宋" w:eastAsia="仿宋" w:cs="宋体"/>
                <w:bCs/>
                <w:szCs w:val="21"/>
              </w:rPr>
              <w:t>2</w:t>
            </w:r>
          </w:p>
        </w:tc>
        <w:tc>
          <w:tcPr>
            <w:tcW w:w="2055" w:type="dxa"/>
            <w:vMerge w:val="restart"/>
            <w:tcBorders>
              <w:top w:val="single" w:color="auto" w:sz="4" w:space="0"/>
              <w:left w:val="single" w:color="auto" w:sz="4" w:space="0"/>
              <w:bottom w:val="single" w:color="auto" w:sz="4" w:space="0"/>
              <w:right w:val="single" w:color="auto" w:sz="4" w:space="0"/>
            </w:tcBorders>
            <w:vAlign w:val="center"/>
          </w:tcPr>
          <w:p w14:paraId="4ACCAC8C">
            <w:pPr>
              <w:spacing w:line="360" w:lineRule="auto"/>
              <w:jc w:val="center"/>
              <w:rPr>
                <w:rFonts w:ascii="仿宋" w:eastAsia="仿宋" w:cs="宋体"/>
                <w:bCs/>
                <w:szCs w:val="21"/>
              </w:rPr>
            </w:pPr>
            <w:r>
              <w:rPr>
                <w:rFonts w:hint="eastAsia" w:ascii="仿宋" w:eastAsia="仿宋"/>
                <w:szCs w:val="21"/>
              </w:rPr>
              <w:t>资质</w:t>
            </w:r>
          </w:p>
        </w:tc>
        <w:tc>
          <w:tcPr>
            <w:tcW w:w="885" w:type="dxa"/>
            <w:tcBorders>
              <w:top w:val="single" w:color="auto" w:sz="4" w:space="0"/>
              <w:left w:val="single" w:color="auto" w:sz="4" w:space="0"/>
              <w:bottom w:val="single" w:color="auto" w:sz="4" w:space="0"/>
              <w:right w:val="single" w:color="auto" w:sz="4" w:space="0"/>
            </w:tcBorders>
            <w:vAlign w:val="center"/>
          </w:tcPr>
          <w:p w14:paraId="12872343">
            <w:pPr>
              <w:spacing w:line="360" w:lineRule="auto"/>
              <w:jc w:val="center"/>
              <w:rPr>
                <w:rFonts w:ascii="仿宋" w:eastAsia="仿宋" w:cs="宋体"/>
                <w:bCs/>
                <w:szCs w:val="21"/>
              </w:rPr>
            </w:pPr>
            <w:r>
              <w:rPr>
                <w:rFonts w:ascii="仿宋" w:eastAsia="仿宋" w:cs="宋体"/>
                <w:bCs/>
                <w:szCs w:val="21"/>
              </w:rPr>
              <w:t>企业</w:t>
            </w:r>
          </w:p>
        </w:tc>
        <w:tc>
          <w:tcPr>
            <w:tcW w:w="885" w:type="dxa"/>
            <w:tcBorders>
              <w:top w:val="single" w:color="auto" w:sz="4" w:space="0"/>
              <w:left w:val="single" w:color="auto" w:sz="4" w:space="0"/>
              <w:bottom w:val="single" w:color="auto" w:sz="4" w:space="0"/>
              <w:right w:val="single" w:color="auto" w:sz="4" w:space="0"/>
            </w:tcBorders>
            <w:vAlign w:val="center"/>
          </w:tcPr>
          <w:p w14:paraId="123EB5CE">
            <w:pPr>
              <w:spacing w:line="360" w:lineRule="auto"/>
              <w:jc w:val="center"/>
              <w:rPr>
                <w:rFonts w:ascii="仿宋" w:eastAsia="仿宋" w:cs="宋体"/>
                <w:bCs/>
                <w:szCs w:val="21"/>
              </w:rPr>
            </w:pPr>
            <w:r>
              <w:rPr>
                <w:rFonts w:hint="eastAsia" w:ascii="仿宋" w:eastAsia="仿宋" w:cs="宋体"/>
                <w:bCs/>
                <w:szCs w:val="21"/>
              </w:rPr>
              <w:t>10</w:t>
            </w:r>
          </w:p>
        </w:tc>
        <w:tc>
          <w:tcPr>
            <w:tcW w:w="5640" w:type="dxa"/>
            <w:tcBorders>
              <w:top w:val="single" w:color="auto" w:sz="4" w:space="0"/>
              <w:left w:val="single" w:color="auto" w:sz="4" w:space="0"/>
              <w:bottom w:val="single" w:color="auto" w:sz="4" w:space="0"/>
              <w:right w:val="single" w:color="auto" w:sz="4" w:space="0"/>
            </w:tcBorders>
            <w:vAlign w:val="center"/>
          </w:tcPr>
          <w:p w14:paraId="053B2592">
            <w:pPr>
              <w:widowControl/>
              <w:rPr>
                <w:rFonts w:ascii="仿宋" w:eastAsia="仿宋" w:cs="仿宋"/>
                <w:szCs w:val="21"/>
              </w:rPr>
            </w:pPr>
            <w:r>
              <w:rPr>
                <w:rFonts w:hint="eastAsia" w:ascii="仿宋" w:eastAsia="仿宋" w:cs="仿宋"/>
                <w:szCs w:val="21"/>
              </w:rPr>
              <w:t>取得起重机械安装（维修）：（桥式、门式起重机）B级资质，得5分</w:t>
            </w:r>
          </w:p>
          <w:p w14:paraId="43D81199">
            <w:pPr>
              <w:pStyle w:val="12"/>
              <w:ind w:left="0"/>
              <w:rPr>
                <w:rFonts w:ascii="仿宋" w:eastAsia="仿宋" w:cs="仿宋"/>
                <w:sz w:val="21"/>
                <w:szCs w:val="21"/>
              </w:rPr>
            </w:pPr>
            <w:r>
              <w:rPr>
                <w:rFonts w:hint="eastAsia" w:ascii="仿宋" w:eastAsia="仿宋" w:cs="仿宋"/>
                <w:sz w:val="21"/>
                <w:szCs w:val="21"/>
              </w:rPr>
              <w:t>取得起重机械安装（维修）：（桥式、门式起重机）A级资质，得10分</w:t>
            </w:r>
          </w:p>
        </w:tc>
      </w:tr>
      <w:tr w14:paraId="7CC160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trPr>
        <w:tc>
          <w:tcPr>
            <w:tcW w:w="931" w:type="dxa"/>
            <w:vMerge w:val="continue"/>
            <w:tcBorders>
              <w:top w:val="single" w:color="auto" w:sz="4" w:space="0"/>
              <w:left w:val="single" w:color="auto" w:sz="4" w:space="0"/>
              <w:bottom w:val="single" w:color="auto" w:sz="4" w:space="0"/>
              <w:right w:val="single" w:color="auto" w:sz="4" w:space="0"/>
            </w:tcBorders>
            <w:vAlign w:val="center"/>
          </w:tcPr>
          <w:p w14:paraId="67F88E0B"/>
        </w:tc>
        <w:tc>
          <w:tcPr>
            <w:tcW w:w="2055" w:type="dxa"/>
            <w:vMerge w:val="continue"/>
            <w:tcBorders>
              <w:top w:val="single" w:color="auto" w:sz="4" w:space="0"/>
              <w:left w:val="single" w:color="auto" w:sz="4" w:space="0"/>
              <w:bottom w:val="single" w:color="auto" w:sz="4" w:space="0"/>
              <w:right w:val="single" w:color="auto" w:sz="4" w:space="0"/>
            </w:tcBorders>
            <w:vAlign w:val="center"/>
          </w:tcPr>
          <w:p w14:paraId="366BF82E"/>
        </w:tc>
        <w:tc>
          <w:tcPr>
            <w:tcW w:w="885" w:type="dxa"/>
            <w:tcBorders>
              <w:top w:val="single" w:color="auto" w:sz="4" w:space="0"/>
              <w:left w:val="single" w:color="auto" w:sz="4" w:space="0"/>
              <w:bottom w:val="single" w:color="auto" w:sz="4" w:space="0"/>
              <w:right w:val="single" w:color="auto" w:sz="4" w:space="0"/>
            </w:tcBorders>
            <w:vAlign w:val="center"/>
          </w:tcPr>
          <w:p w14:paraId="63E4BACD">
            <w:pPr>
              <w:spacing w:line="360" w:lineRule="auto"/>
              <w:jc w:val="center"/>
              <w:rPr>
                <w:rFonts w:ascii="仿宋" w:eastAsia="仿宋" w:cs="宋体"/>
                <w:bCs/>
                <w:szCs w:val="21"/>
              </w:rPr>
            </w:pPr>
            <w:r>
              <w:rPr>
                <w:rFonts w:ascii="仿宋" w:eastAsia="仿宋" w:cs="宋体"/>
                <w:bCs/>
                <w:szCs w:val="21"/>
              </w:rPr>
              <w:t>人员</w:t>
            </w:r>
          </w:p>
        </w:tc>
        <w:tc>
          <w:tcPr>
            <w:tcW w:w="885" w:type="dxa"/>
            <w:tcBorders>
              <w:top w:val="single" w:color="auto" w:sz="4" w:space="0"/>
              <w:left w:val="single" w:color="auto" w:sz="4" w:space="0"/>
              <w:bottom w:val="single" w:color="auto" w:sz="4" w:space="0"/>
              <w:right w:val="single" w:color="auto" w:sz="4" w:space="0"/>
            </w:tcBorders>
            <w:vAlign w:val="center"/>
          </w:tcPr>
          <w:p w14:paraId="280B4BCC">
            <w:pPr>
              <w:spacing w:line="360" w:lineRule="auto"/>
              <w:jc w:val="center"/>
              <w:rPr>
                <w:rFonts w:ascii="仿宋" w:eastAsia="仿宋" w:cs="宋体"/>
                <w:bCs/>
                <w:szCs w:val="21"/>
              </w:rPr>
            </w:pPr>
            <w:r>
              <w:rPr>
                <w:rFonts w:hint="eastAsia" w:ascii="仿宋" w:eastAsia="仿宋" w:cs="宋体"/>
                <w:bCs/>
                <w:szCs w:val="21"/>
              </w:rPr>
              <w:t>10</w:t>
            </w:r>
          </w:p>
        </w:tc>
        <w:tc>
          <w:tcPr>
            <w:tcW w:w="5640" w:type="dxa"/>
            <w:tcBorders>
              <w:top w:val="single" w:color="auto" w:sz="4" w:space="0"/>
              <w:left w:val="single" w:color="auto" w:sz="4" w:space="0"/>
              <w:bottom w:val="single" w:color="auto" w:sz="4" w:space="0"/>
              <w:right w:val="single" w:color="auto" w:sz="4" w:space="0"/>
            </w:tcBorders>
            <w:vAlign w:val="center"/>
          </w:tcPr>
          <w:p w14:paraId="15B3BA70">
            <w:pPr>
              <w:widowControl/>
              <w:rPr>
                <w:rFonts w:ascii="仿宋" w:eastAsia="仿宋" w:cs="仿宋"/>
                <w:szCs w:val="21"/>
              </w:rPr>
            </w:pPr>
            <w:r>
              <w:rPr>
                <w:rFonts w:hint="eastAsia" w:ascii="仿宋" w:eastAsia="仿宋" w:cs="仿宋"/>
                <w:szCs w:val="21"/>
              </w:rPr>
              <w:t>提供2023年人员工伤保险缴纳证明或人员意外伤害保险（100万元及以上）证明，每人1分，最高5分，未提供不得分。</w:t>
            </w:r>
          </w:p>
          <w:p w14:paraId="7A1ABD66">
            <w:pPr>
              <w:pStyle w:val="12"/>
              <w:ind w:left="0"/>
              <w:rPr>
                <w:rFonts w:ascii="仿宋" w:eastAsia="仿宋" w:cs="仿宋"/>
                <w:sz w:val="21"/>
                <w:szCs w:val="21"/>
              </w:rPr>
            </w:pPr>
            <w:r>
              <w:rPr>
                <w:rFonts w:hint="eastAsia" w:ascii="仿宋" w:eastAsia="仿宋" w:cs="仿宋"/>
                <w:sz w:val="21"/>
                <w:szCs w:val="21"/>
              </w:rPr>
              <w:t>电工</w:t>
            </w:r>
            <w:r>
              <w:rPr>
                <w:rFonts w:ascii="仿宋" w:eastAsia="仿宋" w:cs="仿宋"/>
                <w:sz w:val="21"/>
                <w:szCs w:val="21"/>
              </w:rPr>
              <w:t>、电焊工提供</w:t>
            </w:r>
            <w:r>
              <w:rPr>
                <w:rFonts w:hint="eastAsia" w:ascii="仿宋" w:eastAsia="仿宋" w:cs="仿宋"/>
                <w:sz w:val="21"/>
                <w:szCs w:val="21"/>
              </w:rPr>
              <w:t>特种作业</w:t>
            </w:r>
            <w:r>
              <w:rPr>
                <w:rFonts w:ascii="仿宋" w:eastAsia="仿宋" w:cs="仿宋"/>
                <w:sz w:val="21"/>
                <w:szCs w:val="21"/>
              </w:rPr>
              <w:t>操作证</w:t>
            </w:r>
            <w:r>
              <w:rPr>
                <w:rFonts w:hint="eastAsia" w:ascii="仿宋" w:eastAsia="仿宋" w:cs="仿宋"/>
                <w:sz w:val="21"/>
                <w:szCs w:val="21"/>
              </w:rPr>
              <w:t>，</w:t>
            </w:r>
            <w:r>
              <w:rPr>
                <w:rFonts w:ascii="仿宋" w:eastAsia="仿宋" w:cs="仿宋"/>
                <w:sz w:val="21"/>
                <w:szCs w:val="21"/>
              </w:rPr>
              <w:t>其它</w:t>
            </w:r>
            <w:r>
              <w:rPr>
                <w:rFonts w:hint="eastAsia" w:ascii="仿宋" w:eastAsia="仿宋" w:cs="仿宋"/>
                <w:sz w:val="21"/>
                <w:szCs w:val="21"/>
              </w:rPr>
              <w:t>维修人员</w:t>
            </w:r>
            <w:r>
              <w:rPr>
                <w:rFonts w:ascii="仿宋" w:eastAsia="仿宋" w:cs="仿宋"/>
                <w:sz w:val="21"/>
                <w:szCs w:val="21"/>
              </w:rPr>
              <w:t>提供起重机械维修</w:t>
            </w:r>
            <w:r>
              <w:rPr>
                <w:rFonts w:hint="eastAsia" w:ascii="仿宋" w:eastAsia="仿宋" w:cs="仿宋"/>
                <w:sz w:val="21"/>
                <w:szCs w:val="21"/>
              </w:rPr>
              <w:t>资格（</w:t>
            </w:r>
            <w:r>
              <w:rPr>
                <w:rFonts w:ascii="仿宋" w:eastAsia="仿宋" w:cs="仿宋"/>
                <w:sz w:val="21"/>
                <w:szCs w:val="21"/>
              </w:rPr>
              <w:t>或</w:t>
            </w:r>
            <w:r>
              <w:rPr>
                <w:rFonts w:hint="eastAsia" w:ascii="仿宋" w:eastAsia="仿宋" w:cs="仿宋"/>
                <w:sz w:val="21"/>
                <w:szCs w:val="21"/>
              </w:rPr>
              <w:t>培训）证明，每人1分，最高5分。</w:t>
            </w:r>
            <w:r>
              <w:rPr>
                <w:rFonts w:ascii="仿宋" w:eastAsia="仿宋" w:cs="仿宋"/>
                <w:sz w:val="21"/>
                <w:szCs w:val="21"/>
              </w:rPr>
              <w:t xml:space="preserve">        </w:t>
            </w:r>
          </w:p>
        </w:tc>
      </w:tr>
      <w:tr w14:paraId="0DC846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2986" w:type="dxa"/>
            <w:gridSpan w:val="2"/>
            <w:tcBorders>
              <w:top w:val="single" w:color="auto" w:sz="4" w:space="0"/>
              <w:left w:val="single" w:color="auto" w:sz="4" w:space="0"/>
              <w:bottom w:val="single" w:color="auto" w:sz="4" w:space="0"/>
              <w:right w:val="single" w:color="auto" w:sz="4" w:space="0"/>
            </w:tcBorders>
            <w:vAlign w:val="center"/>
          </w:tcPr>
          <w:p w14:paraId="30D792E4">
            <w:pPr>
              <w:spacing w:line="360" w:lineRule="auto"/>
              <w:jc w:val="center"/>
              <w:rPr>
                <w:rFonts w:ascii="仿宋" w:eastAsia="仿宋" w:cs="宋体"/>
                <w:bCs/>
                <w:szCs w:val="21"/>
              </w:rPr>
            </w:pPr>
            <w:r>
              <w:rPr>
                <w:rFonts w:hint="eastAsia" w:ascii="仿宋" w:eastAsia="仿宋" w:cs="宋体"/>
                <w:bCs/>
                <w:szCs w:val="21"/>
              </w:rPr>
              <w:t>合计</w:t>
            </w:r>
          </w:p>
        </w:tc>
        <w:tc>
          <w:tcPr>
            <w:tcW w:w="885" w:type="dxa"/>
            <w:tcBorders>
              <w:top w:val="single" w:color="auto" w:sz="4" w:space="0"/>
              <w:left w:val="single" w:color="auto" w:sz="4" w:space="0"/>
              <w:bottom w:val="single" w:color="auto" w:sz="4" w:space="0"/>
              <w:right w:val="single" w:color="auto" w:sz="4" w:space="0"/>
            </w:tcBorders>
            <w:vAlign w:val="center"/>
          </w:tcPr>
          <w:p w14:paraId="205BDF2C">
            <w:pPr>
              <w:spacing w:line="360" w:lineRule="auto"/>
              <w:jc w:val="center"/>
              <w:rPr>
                <w:rFonts w:ascii="仿宋" w:eastAsia="仿宋" w:cs="宋体"/>
                <w:bCs/>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719DD747">
            <w:pPr>
              <w:spacing w:line="360" w:lineRule="auto"/>
              <w:jc w:val="center"/>
              <w:rPr>
                <w:rFonts w:ascii="仿宋" w:eastAsia="仿宋" w:cs="宋体"/>
                <w:bCs/>
                <w:szCs w:val="21"/>
              </w:rPr>
            </w:pPr>
            <w:r>
              <w:rPr>
                <w:rFonts w:hint="eastAsia" w:ascii="仿宋" w:eastAsia="仿宋" w:cs="宋体"/>
                <w:bCs/>
                <w:szCs w:val="21"/>
              </w:rPr>
              <w:t>35</w:t>
            </w:r>
          </w:p>
        </w:tc>
        <w:tc>
          <w:tcPr>
            <w:tcW w:w="5640" w:type="dxa"/>
            <w:tcBorders>
              <w:top w:val="single" w:color="auto" w:sz="4" w:space="0"/>
              <w:left w:val="single" w:color="auto" w:sz="4" w:space="0"/>
              <w:bottom w:val="single" w:color="auto" w:sz="4" w:space="0"/>
              <w:right w:val="single" w:color="auto" w:sz="4" w:space="0"/>
            </w:tcBorders>
          </w:tcPr>
          <w:p w14:paraId="5F422C4E">
            <w:pPr>
              <w:spacing w:line="360" w:lineRule="auto"/>
              <w:rPr>
                <w:rFonts w:ascii="仿宋" w:eastAsia="仿宋" w:cs="宋体"/>
                <w:bCs/>
                <w:szCs w:val="21"/>
              </w:rPr>
            </w:pPr>
          </w:p>
        </w:tc>
      </w:tr>
    </w:tbl>
    <w:p w14:paraId="27555332">
      <w:pPr>
        <w:spacing w:line="360" w:lineRule="auto"/>
        <w:ind w:firstLine="320" w:firstLineChars="1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 xml:space="preserve">1.4 </w:t>
      </w:r>
      <w:r>
        <w:rPr>
          <w:rFonts w:hint="eastAsia" w:ascii="方正仿宋简体" w:hAnsi="方正仿宋简体" w:eastAsia="方正仿宋简体" w:cs="方正仿宋简体"/>
          <w:bCs/>
          <w:kern w:val="1"/>
          <w:sz w:val="32"/>
          <w:szCs w:val="32"/>
        </w:rPr>
        <w:t>响应时间</w:t>
      </w:r>
      <w:r>
        <w:rPr>
          <w:rFonts w:ascii="方正仿宋简体" w:hAnsi="方正仿宋简体" w:eastAsia="方正仿宋简体" w:cs="方正仿宋简体"/>
          <w:bCs/>
          <w:kern w:val="1"/>
          <w:sz w:val="32"/>
          <w:szCs w:val="32"/>
        </w:rPr>
        <w:t>（15分）</w:t>
      </w:r>
    </w:p>
    <w:p w14:paraId="7826F8B7">
      <w:pPr>
        <w:spacing w:line="360" w:lineRule="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投标单位响应和</w:t>
      </w:r>
      <w:r>
        <w:rPr>
          <w:rFonts w:ascii="方正仿宋简体" w:hAnsi="方正仿宋简体" w:eastAsia="方正仿宋简体" w:cs="方正仿宋简体"/>
          <w:bCs/>
          <w:color w:val="FF0000"/>
          <w:kern w:val="1"/>
          <w:sz w:val="32"/>
          <w:szCs w:val="32"/>
        </w:rPr>
        <w:t>排除故障</w:t>
      </w:r>
      <w:r>
        <w:rPr>
          <w:rFonts w:hint="eastAsia" w:ascii="方正仿宋简体" w:hAnsi="方正仿宋简体" w:eastAsia="方正仿宋简体" w:cs="方正仿宋简体"/>
          <w:bCs/>
          <w:color w:val="FF0000"/>
          <w:kern w:val="1"/>
          <w:sz w:val="32"/>
          <w:szCs w:val="32"/>
        </w:rPr>
        <w:t>时间评分</w:t>
      </w:r>
      <w:r>
        <w:rPr>
          <w:rFonts w:hint="eastAsia" w:ascii="方正仿宋简体" w:hAnsi="方正仿宋简体" w:eastAsia="方正仿宋简体" w:cs="方正仿宋简体"/>
          <w:bCs/>
          <w:kern w:val="1"/>
          <w:sz w:val="32"/>
          <w:szCs w:val="32"/>
        </w:rPr>
        <w:t>标准如下：</w:t>
      </w:r>
    </w:p>
    <w:tbl>
      <w:tblPr>
        <w:tblStyle w:val="13"/>
        <w:tblW w:w="0" w:type="auto"/>
        <w:tblInd w:w="-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055"/>
        <w:gridCol w:w="885"/>
        <w:gridCol w:w="6525"/>
      </w:tblGrid>
      <w:tr w14:paraId="20C3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945" w:type="dxa"/>
            <w:tcBorders>
              <w:top w:val="single" w:color="auto" w:sz="4" w:space="0"/>
              <w:left w:val="single" w:color="auto" w:sz="4" w:space="0"/>
              <w:bottom w:val="single" w:color="auto" w:sz="4" w:space="0"/>
              <w:right w:val="single" w:color="auto" w:sz="4" w:space="0"/>
            </w:tcBorders>
            <w:vAlign w:val="center"/>
          </w:tcPr>
          <w:p w14:paraId="3C3DC0FF">
            <w:pPr>
              <w:spacing w:line="360" w:lineRule="auto"/>
              <w:jc w:val="center"/>
              <w:rPr>
                <w:rFonts w:ascii="仿宋" w:eastAsia="仿宋" w:cs="宋体"/>
                <w:bCs/>
                <w:szCs w:val="21"/>
              </w:rPr>
            </w:pPr>
            <w:r>
              <w:rPr>
                <w:rFonts w:hint="eastAsia" w:ascii="仿宋" w:eastAsia="仿宋" w:cs="宋体"/>
                <w:bCs/>
                <w:szCs w:val="21"/>
              </w:rPr>
              <w:t>序号</w:t>
            </w:r>
          </w:p>
        </w:tc>
        <w:tc>
          <w:tcPr>
            <w:tcW w:w="2055" w:type="dxa"/>
            <w:tcBorders>
              <w:top w:val="single" w:color="auto" w:sz="4" w:space="0"/>
              <w:left w:val="single" w:color="auto" w:sz="4" w:space="0"/>
              <w:bottom w:val="single" w:color="auto" w:sz="4" w:space="0"/>
              <w:right w:val="single" w:color="auto" w:sz="4" w:space="0"/>
            </w:tcBorders>
            <w:vAlign w:val="center"/>
          </w:tcPr>
          <w:p w14:paraId="34DF2B46">
            <w:pPr>
              <w:spacing w:line="360" w:lineRule="auto"/>
              <w:jc w:val="center"/>
              <w:rPr>
                <w:rFonts w:ascii="仿宋" w:eastAsia="仿宋" w:cs="宋体"/>
                <w:bCs/>
                <w:szCs w:val="21"/>
              </w:rPr>
            </w:pPr>
            <w:r>
              <w:rPr>
                <w:rFonts w:hint="eastAsia" w:ascii="仿宋" w:eastAsia="仿宋" w:cs="宋体"/>
                <w:bCs/>
                <w:szCs w:val="21"/>
              </w:rPr>
              <w:t>评审因素</w:t>
            </w:r>
          </w:p>
        </w:tc>
        <w:tc>
          <w:tcPr>
            <w:tcW w:w="885" w:type="dxa"/>
            <w:tcBorders>
              <w:top w:val="single" w:color="auto" w:sz="4" w:space="0"/>
              <w:left w:val="single" w:color="auto" w:sz="4" w:space="0"/>
              <w:bottom w:val="single" w:color="auto" w:sz="4" w:space="0"/>
              <w:right w:val="single" w:color="auto" w:sz="4" w:space="0"/>
            </w:tcBorders>
            <w:vAlign w:val="center"/>
          </w:tcPr>
          <w:p w14:paraId="0D591BBF">
            <w:pPr>
              <w:spacing w:line="360" w:lineRule="auto"/>
              <w:jc w:val="center"/>
              <w:rPr>
                <w:rFonts w:ascii="仿宋" w:eastAsia="仿宋" w:cs="宋体"/>
                <w:bCs/>
                <w:szCs w:val="21"/>
              </w:rPr>
            </w:pPr>
            <w:r>
              <w:rPr>
                <w:rFonts w:hint="eastAsia" w:ascii="仿宋" w:eastAsia="仿宋" w:cs="宋体"/>
                <w:bCs/>
                <w:szCs w:val="21"/>
              </w:rPr>
              <w:t>分值</w:t>
            </w:r>
          </w:p>
        </w:tc>
        <w:tc>
          <w:tcPr>
            <w:tcW w:w="6525" w:type="dxa"/>
            <w:tcBorders>
              <w:top w:val="single" w:color="auto" w:sz="4" w:space="0"/>
              <w:left w:val="single" w:color="auto" w:sz="4" w:space="0"/>
              <w:bottom w:val="single" w:color="auto" w:sz="4" w:space="0"/>
              <w:right w:val="single" w:color="auto" w:sz="4" w:space="0"/>
            </w:tcBorders>
            <w:vAlign w:val="center"/>
          </w:tcPr>
          <w:p w14:paraId="5D9AFAE2">
            <w:pPr>
              <w:spacing w:line="360" w:lineRule="auto"/>
              <w:jc w:val="center"/>
              <w:rPr>
                <w:rFonts w:ascii="仿宋" w:eastAsia="仿宋" w:cs="宋体"/>
                <w:bCs/>
                <w:szCs w:val="21"/>
              </w:rPr>
            </w:pPr>
            <w:r>
              <w:rPr>
                <w:rFonts w:hint="eastAsia" w:ascii="仿宋" w:eastAsia="仿宋" w:cs="宋体"/>
                <w:bCs/>
                <w:szCs w:val="21"/>
              </w:rPr>
              <w:t>评分标准说明</w:t>
            </w:r>
          </w:p>
        </w:tc>
      </w:tr>
      <w:tr w14:paraId="0FD3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9" w:hRule="atLeast"/>
        </w:trPr>
        <w:tc>
          <w:tcPr>
            <w:tcW w:w="945" w:type="dxa"/>
            <w:tcBorders>
              <w:top w:val="single" w:color="auto" w:sz="4" w:space="0"/>
              <w:left w:val="single" w:color="auto" w:sz="4" w:space="0"/>
              <w:bottom w:val="single" w:color="auto" w:sz="4" w:space="0"/>
              <w:right w:val="single" w:color="auto" w:sz="4" w:space="0"/>
            </w:tcBorders>
            <w:vAlign w:val="center"/>
          </w:tcPr>
          <w:p w14:paraId="71E7FF34">
            <w:pPr>
              <w:spacing w:line="360" w:lineRule="auto"/>
              <w:jc w:val="center"/>
              <w:rPr>
                <w:rFonts w:ascii="仿宋" w:eastAsia="仿宋" w:cs="宋体"/>
                <w:bCs/>
                <w:szCs w:val="21"/>
              </w:rPr>
            </w:pPr>
            <w:r>
              <w:rPr>
                <w:rFonts w:hint="eastAsia" w:ascii="仿宋" w:eastAsia="仿宋" w:cs="宋体"/>
                <w:bCs/>
                <w:szCs w:val="21"/>
              </w:rPr>
              <w:t>1</w:t>
            </w:r>
          </w:p>
        </w:tc>
        <w:tc>
          <w:tcPr>
            <w:tcW w:w="2055" w:type="dxa"/>
            <w:tcBorders>
              <w:top w:val="single" w:color="auto" w:sz="4" w:space="0"/>
              <w:left w:val="single" w:color="auto" w:sz="4" w:space="0"/>
              <w:bottom w:val="single" w:color="auto" w:sz="4" w:space="0"/>
              <w:right w:val="single" w:color="auto" w:sz="4" w:space="0"/>
            </w:tcBorders>
            <w:vAlign w:val="center"/>
          </w:tcPr>
          <w:p w14:paraId="748E405C">
            <w:pPr>
              <w:spacing w:line="360" w:lineRule="auto"/>
              <w:jc w:val="center"/>
              <w:rPr>
                <w:rFonts w:ascii="仿宋" w:eastAsia="仿宋" w:cs="宋体"/>
                <w:bCs/>
                <w:szCs w:val="21"/>
              </w:rPr>
            </w:pPr>
            <w:r>
              <w:rPr>
                <w:rFonts w:hint="eastAsia" w:ascii="仿宋" w:eastAsia="仿宋" w:cs="宋体"/>
                <w:bCs/>
                <w:szCs w:val="21"/>
              </w:rPr>
              <w:t>路程</w:t>
            </w:r>
            <w:r>
              <w:rPr>
                <w:rFonts w:ascii="仿宋" w:eastAsia="仿宋" w:cs="宋体"/>
                <w:bCs/>
                <w:szCs w:val="21"/>
              </w:rPr>
              <w:t>、到达时间</w:t>
            </w:r>
          </w:p>
        </w:tc>
        <w:tc>
          <w:tcPr>
            <w:tcW w:w="885" w:type="dxa"/>
            <w:tcBorders>
              <w:top w:val="single" w:color="auto" w:sz="4" w:space="0"/>
              <w:left w:val="single" w:color="auto" w:sz="4" w:space="0"/>
              <w:bottom w:val="single" w:color="auto" w:sz="4" w:space="0"/>
              <w:right w:val="single" w:color="auto" w:sz="4" w:space="0"/>
            </w:tcBorders>
            <w:vAlign w:val="center"/>
          </w:tcPr>
          <w:p w14:paraId="13BF6CEC">
            <w:pPr>
              <w:spacing w:line="360" w:lineRule="auto"/>
              <w:jc w:val="center"/>
              <w:rPr>
                <w:rFonts w:ascii="仿宋" w:eastAsia="仿宋" w:cs="宋体"/>
                <w:bCs/>
                <w:szCs w:val="21"/>
              </w:rPr>
            </w:pPr>
            <w:r>
              <w:rPr>
                <w:rFonts w:hint="eastAsia" w:ascii="仿宋" w:eastAsia="仿宋" w:cs="宋体"/>
                <w:bCs/>
                <w:szCs w:val="21"/>
              </w:rPr>
              <w:t>10</w:t>
            </w:r>
          </w:p>
        </w:tc>
        <w:tc>
          <w:tcPr>
            <w:tcW w:w="6525" w:type="dxa"/>
            <w:tcBorders>
              <w:top w:val="single" w:color="auto" w:sz="4" w:space="0"/>
              <w:left w:val="single" w:color="auto" w:sz="4" w:space="0"/>
              <w:bottom w:val="single" w:color="auto" w:sz="4" w:space="0"/>
              <w:right w:val="single" w:color="auto" w:sz="4" w:space="0"/>
            </w:tcBorders>
            <w:vAlign w:val="center"/>
          </w:tcPr>
          <w:p w14:paraId="217B9400">
            <w:pPr>
              <w:jc w:val="left"/>
              <w:rPr>
                <w:rFonts w:ascii="仿宋" w:eastAsia="仿宋" w:cs="宋体"/>
                <w:bCs/>
                <w:color w:val="FF0000"/>
                <w:szCs w:val="21"/>
              </w:rPr>
            </w:pPr>
            <w:r>
              <w:rPr>
                <w:rFonts w:ascii="仿宋" w:eastAsia="仿宋" w:cs="仿宋_GB2312"/>
                <w:color w:val="FF0000"/>
                <w:szCs w:val="21"/>
              </w:rPr>
              <w:t>《及时响应</w:t>
            </w:r>
            <w:r>
              <w:rPr>
                <w:rFonts w:hint="eastAsia" w:ascii="仿宋" w:eastAsia="仿宋" w:cs="仿宋_GB2312"/>
                <w:color w:val="FF0000"/>
                <w:szCs w:val="21"/>
              </w:rPr>
              <w:t>和</w:t>
            </w:r>
            <w:r>
              <w:rPr>
                <w:rFonts w:ascii="仿宋" w:eastAsia="仿宋" w:cs="仿宋_GB2312"/>
                <w:color w:val="FF0000"/>
                <w:szCs w:val="21"/>
              </w:rPr>
              <w:t>排除故障</w:t>
            </w:r>
            <w:r>
              <w:rPr>
                <w:rFonts w:hint="eastAsia" w:ascii="仿宋" w:eastAsia="仿宋" w:cs="仿宋_GB2312"/>
                <w:color w:val="FF0000"/>
                <w:szCs w:val="21"/>
              </w:rPr>
              <w:t>承诺函</w:t>
            </w:r>
            <w:r>
              <w:rPr>
                <w:rFonts w:ascii="仿宋" w:eastAsia="仿宋" w:cs="仿宋_GB2312"/>
                <w:color w:val="FF0000"/>
                <w:szCs w:val="21"/>
              </w:rPr>
              <w:t>》</w:t>
            </w:r>
            <w:r>
              <w:rPr>
                <w:rFonts w:hint="eastAsia" w:ascii="仿宋" w:eastAsia="仿宋" w:cs="仿宋_GB2312"/>
                <w:color w:val="FF0000"/>
                <w:szCs w:val="21"/>
              </w:rPr>
              <w:t>中</w:t>
            </w:r>
            <w:r>
              <w:rPr>
                <w:rFonts w:hint="eastAsia" w:ascii="仿宋" w:eastAsia="仿宋" w:cs="宋体"/>
                <w:bCs/>
                <w:color w:val="FF0000"/>
                <w:szCs w:val="21"/>
              </w:rPr>
              <w:t>维保单位主要维修人员能在30分钟内到达现场进行抢修的，得10分；</w:t>
            </w:r>
          </w:p>
          <w:p w14:paraId="6D181302">
            <w:pPr>
              <w:jc w:val="left"/>
              <w:rPr>
                <w:rFonts w:ascii="仿宋" w:eastAsia="仿宋" w:cs="宋体"/>
                <w:bCs/>
                <w:color w:val="FF0000"/>
                <w:szCs w:val="21"/>
              </w:rPr>
            </w:pPr>
            <w:r>
              <w:rPr>
                <w:rFonts w:hint="eastAsia" w:ascii="仿宋" w:eastAsia="仿宋" w:cs="宋体"/>
                <w:bCs/>
                <w:color w:val="FF0000"/>
                <w:szCs w:val="21"/>
              </w:rPr>
              <w:t>能在60分钟内到达现场进行抢修的得8分；</w:t>
            </w:r>
          </w:p>
          <w:p w14:paraId="1C6C22B4">
            <w:pPr>
              <w:jc w:val="left"/>
              <w:rPr>
                <w:rFonts w:ascii="仿宋" w:eastAsia="仿宋" w:cs="宋体"/>
                <w:bCs/>
                <w:color w:val="FF0000"/>
                <w:szCs w:val="21"/>
              </w:rPr>
            </w:pPr>
            <w:r>
              <w:rPr>
                <w:rFonts w:hint="eastAsia" w:ascii="仿宋" w:eastAsia="仿宋" w:cs="宋体"/>
                <w:bCs/>
                <w:color w:val="FF0000"/>
                <w:szCs w:val="21"/>
              </w:rPr>
              <w:t>能在2小时内到达现场进行抢修的得5分；</w:t>
            </w:r>
          </w:p>
          <w:p w14:paraId="1B462546">
            <w:pPr>
              <w:jc w:val="left"/>
              <w:rPr>
                <w:rFonts w:ascii="仿宋" w:eastAsia="仿宋" w:cs="宋体"/>
                <w:bCs/>
                <w:color w:val="FF0000"/>
                <w:szCs w:val="21"/>
              </w:rPr>
            </w:pPr>
            <w:r>
              <w:rPr>
                <w:rFonts w:hint="eastAsia" w:ascii="仿宋" w:eastAsia="仿宋" w:cs="宋体"/>
                <w:bCs/>
                <w:color w:val="FF0000"/>
                <w:szCs w:val="21"/>
              </w:rPr>
              <w:t>超过2小时的得0分。</w:t>
            </w:r>
          </w:p>
          <w:p w14:paraId="3C638FB2">
            <w:pPr>
              <w:jc w:val="left"/>
              <w:rPr>
                <w:rFonts w:ascii="仿宋" w:eastAsia="仿宋" w:cs="宋体"/>
                <w:bCs/>
                <w:color w:val="000000"/>
                <w:szCs w:val="21"/>
              </w:rPr>
            </w:pPr>
            <w:r>
              <w:rPr>
                <w:rFonts w:ascii="仿宋" w:eastAsia="仿宋" w:cs="仿宋_GB2312"/>
                <w:color w:val="FF0000"/>
                <w:szCs w:val="21"/>
              </w:rPr>
              <w:t>（根据投标方《及时响应</w:t>
            </w:r>
            <w:r>
              <w:rPr>
                <w:rFonts w:hint="eastAsia" w:ascii="仿宋" w:eastAsia="仿宋" w:cs="仿宋_GB2312"/>
                <w:color w:val="FF0000"/>
                <w:szCs w:val="21"/>
              </w:rPr>
              <w:t>和</w:t>
            </w:r>
            <w:r>
              <w:rPr>
                <w:rFonts w:ascii="仿宋" w:eastAsia="仿宋" w:cs="仿宋_GB2312"/>
                <w:color w:val="FF0000"/>
                <w:szCs w:val="21"/>
              </w:rPr>
              <w:t>排除故障</w:t>
            </w:r>
            <w:r>
              <w:rPr>
                <w:rFonts w:hint="eastAsia" w:ascii="仿宋" w:eastAsia="仿宋" w:cs="仿宋_GB2312"/>
                <w:color w:val="FF0000"/>
                <w:szCs w:val="21"/>
              </w:rPr>
              <w:t>承诺函</w:t>
            </w:r>
            <w:r>
              <w:rPr>
                <w:rFonts w:ascii="仿宋" w:eastAsia="仿宋" w:cs="仿宋_GB2312"/>
                <w:color w:val="FF0000"/>
                <w:szCs w:val="21"/>
              </w:rPr>
              <w:t>》（附件</w:t>
            </w:r>
            <w:r>
              <w:rPr>
                <w:rFonts w:hint="eastAsia" w:ascii="仿宋" w:eastAsia="仿宋" w:cs="仿宋_GB2312"/>
                <w:color w:val="FF0000"/>
                <w:szCs w:val="21"/>
              </w:rPr>
              <w:t>3</w:t>
            </w:r>
            <w:r>
              <w:rPr>
                <w:rFonts w:ascii="仿宋" w:eastAsia="仿宋" w:cs="仿宋_GB2312"/>
                <w:color w:val="FF0000"/>
                <w:szCs w:val="21"/>
              </w:rPr>
              <w:t>）提供的相</w:t>
            </w:r>
            <w:r>
              <w:rPr>
                <w:rFonts w:hint="eastAsia" w:ascii="仿宋" w:eastAsia="仿宋" w:cs="仿宋_GB2312"/>
                <w:color w:val="FF0000"/>
                <w:szCs w:val="21"/>
              </w:rPr>
              <w:t>关</w:t>
            </w:r>
            <w:r>
              <w:rPr>
                <w:rFonts w:ascii="仿宋" w:eastAsia="仿宋" w:cs="仿宋_GB2312"/>
                <w:color w:val="FF0000"/>
                <w:szCs w:val="21"/>
              </w:rPr>
              <w:t>承诺评分）</w:t>
            </w:r>
            <w:r>
              <w:rPr>
                <w:rFonts w:hint="eastAsia" w:ascii="仿宋" w:eastAsia="仿宋" w:cs="仿宋_GB2312"/>
                <w:color w:val="FF0000"/>
                <w:szCs w:val="21"/>
              </w:rPr>
              <w:t>，</w:t>
            </w:r>
            <w:r>
              <w:rPr>
                <w:rFonts w:ascii="仿宋" w:eastAsia="仿宋" w:cs="仿宋_GB2312"/>
                <w:color w:val="FF0000"/>
                <w:szCs w:val="21"/>
              </w:rPr>
              <w:t>如</w:t>
            </w:r>
            <w:r>
              <w:rPr>
                <w:rFonts w:hint="eastAsia" w:ascii="仿宋" w:eastAsia="仿宋" w:cs="仿宋_GB2312"/>
                <w:color w:val="FF0000"/>
                <w:szCs w:val="21"/>
              </w:rPr>
              <w:t>中标方在</w:t>
            </w:r>
            <w:r>
              <w:rPr>
                <w:rFonts w:ascii="仿宋" w:eastAsia="仿宋" w:cs="仿宋_GB2312"/>
                <w:color w:val="FF0000"/>
                <w:szCs w:val="21"/>
              </w:rPr>
              <w:t>合同期不能满足承诺函要求，按照招标文件</w:t>
            </w:r>
            <w:r>
              <w:rPr>
                <w:rFonts w:hint="eastAsia" w:ascii="仿宋" w:eastAsia="仿宋" w:cs="仿宋_GB2312"/>
                <w:color w:val="FF0000"/>
                <w:szCs w:val="21"/>
              </w:rPr>
              <w:t>第七（四）条</w:t>
            </w:r>
            <w:r>
              <w:rPr>
                <w:rFonts w:ascii="仿宋" w:eastAsia="仿宋" w:cs="仿宋_GB2312"/>
                <w:color w:val="FF0000"/>
                <w:szCs w:val="21"/>
              </w:rPr>
              <w:t>考核</w:t>
            </w:r>
            <w:r>
              <w:rPr>
                <w:rFonts w:hint="eastAsia" w:ascii="仿宋" w:eastAsia="仿宋" w:cs="仿宋_GB2312"/>
                <w:color w:val="FF0000"/>
                <w:szCs w:val="21"/>
              </w:rPr>
              <w:t>。</w:t>
            </w:r>
          </w:p>
        </w:tc>
      </w:tr>
      <w:tr w14:paraId="4019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45" w:type="dxa"/>
            <w:tcBorders>
              <w:top w:val="single" w:color="auto" w:sz="4" w:space="0"/>
              <w:left w:val="single" w:color="auto" w:sz="4" w:space="0"/>
              <w:bottom w:val="single" w:color="auto" w:sz="4" w:space="0"/>
              <w:right w:val="single" w:color="auto" w:sz="4" w:space="0"/>
            </w:tcBorders>
            <w:vAlign w:val="center"/>
          </w:tcPr>
          <w:p w14:paraId="691E30A3">
            <w:pPr>
              <w:spacing w:line="360" w:lineRule="auto"/>
              <w:jc w:val="center"/>
              <w:rPr>
                <w:rFonts w:ascii="仿宋" w:eastAsia="仿宋" w:cs="宋体"/>
                <w:bCs/>
                <w:szCs w:val="21"/>
              </w:rPr>
            </w:pPr>
            <w:r>
              <w:rPr>
                <w:rFonts w:hint="eastAsia" w:ascii="仿宋" w:eastAsia="仿宋" w:cs="宋体"/>
                <w:bCs/>
                <w:szCs w:val="21"/>
              </w:rPr>
              <w:t>2</w:t>
            </w:r>
          </w:p>
        </w:tc>
        <w:tc>
          <w:tcPr>
            <w:tcW w:w="2055" w:type="dxa"/>
            <w:tcBorders>
              <w:top w:val="single" w:color="auto" w:sz="4" w:space="0"/>
              <w:left w:val="single" w:color="auto" w:sz="4" w:space="0"/>
              <w:bottom w:val="single" w:color="auto" w:sz="4" w:space="0"/>
              <w:right w:val="single" w:color="auto" w:sz="4" w:space="0"/>
            </w:tcBorders>
            <w:vAlign w:val="center"/>
          </w:tcPr>
          <w:p w14:paraId="15F64B5F">
            <w:pPr>
              <w:spacing w:line="360" w:lineRule="auto"/>
              <w:jc w:val="center"/>
              <w:rPr>
                <w:rFonts w:ascii="仿宋" w:eastAsia="仿宋" w:cs="宋体"/>
                <w:bCs/>
                <w:szCs w:val="21"/>
              </w:rPr>
            </w:pPr>
            <w:r>
              <w:rPr>
                <w:rFonts w:hint="eastAsia" w:ascii="仿宋" w:eastAsia="仿宋" w:cs="宋体"/>
                <w:bCs/>
                <w:szCs w:val="21"/>
              </w:rPr>
              <w:t>排除故障时间</w:t>
            </w:r>
          </w:p>
        </w:tc>
        <w:tc>
          <w:tcPr>
            <w:tcW w:w="885" w:type="dxa"/>
            <w:tcBorders>
              <w:top w:val="single" w:color="auto" w:sz="4" w:space="0"/>
              <w:left w:val="single" w:color="auto" w:sz="4" w:space="0"/>
              <w:bottom w:val="single" w:color="auto" w:sz="4" w:space="0"/>
              <w:right w:val="single" w:color="auto" w:sz="4" w:space="0"/>
            </w:tcBorders>
            <w:vAlign w:val="center"/>
          </w:tcPr>
          <w:p w14:paraId="72EB7D3E">
            <w:pPr>
              <w:spacing w:line="360" w:lineRule="auto"/>
              <w:jc w:val="center"/>
              <w:rPr>
                <w:rFonts w:ascii="仿宋" w:eastAsia="仿宋" w:cs="宋体"/>
                <w:bCs/>
                <w:szCs w:val="21"/>
              </w:rPr>
            </w:pPr>
            <w:r>
              <w:rPr>
                <w:rFonts w:hint="eastAsia" w:ascii="仿宋" w:eastAsia="仿宋" w:cs="宋体"/>
                <w:bCs/>
                <w:szCs w:val="21"/>
              </w:rPr>
              <w:t>5</w:t>
            </w:r>
          </w:p>
        </w:tc>
        <w:tc>
          <w:tcPr>
            <w:tcW w:w="6525" w:type="dxa"/>
            <w:tcBorders>
              <w:top w:val="single" w:color="auto" w:sz="4" w:space="0"/>
              <w:left w:val="single" w:color="auto" w:sz="4" w:space="0"/>
              <w:bottom w:val="single" w:color="auto" w:sz="4" w:space="0"/>
              <w:right w:val="single" w:color="auto" w:sz="4" w:space="0"/>
            </w:tcBorders>
            <w:vAlign w:val="center"/>
          </w:tcPr>
          <w:p w14:paraId="0E197168">
            <w:pPr>
              <w:jc w:val="left"/>
              <w:rPr>
                <w:rFonts w:ascii="仿宋" w:eastAsia="仿宋" w:cs="仿宋_GB2312"/>
                <w:color w:val="FF0000"/>
                <w:szCs w:val="21"/>
              </w:rPr>
            </w:pPr>
            <w:r>
              <w:rPr>
                <w:rFonts w:ascii="仿宋" w:eastAsia="仿宋" w:cs="仿宋_GB2312"/>
                <w:color w:val="FF0000"/>
                <w:szCs w:val="21"/>
              </w:rPr>
              <w:t>《及时响应</w:t>
            </w:r>
            <w:r>
              <w:rPr>
                <w:rFonts w:hint="eastAsia" w:ascii="仿宋" w:eastAsia="仿宋" w:cs="仿宋_GB2312"/>
                <w:color w:val="FF0000"/>
                <w:szCs w:val="21"/>
              </w:rPr>
              <w:t>和</w:t>
            </w:r>
            <w:r>
              <w:rPr>
                <w:rFonts w:ascii="仿宋" w:eastAsia="仿宋" w:cs="仿宋_GB2312"/>
                <w:color w:val="FF0000"/>
                <w:szCs w:val="21"/>
              </w:rPr>
              <w:t>排除故障</w:t>
            </w:r>
            <w:r>
              <w:rPr>
                <w:rFonts w:hint="eastAsia" w:ascii="仿宋" w:eastAsia="仿宋" w:cs="仿宋_GB2312"/>
                <w:color w:val="FF0000"/>
                <w:szCs w:val="21"/>
              </w:rPr>
              <w:t>承诺函</w:t>
            </w:r>
            <w:r>
              <w:rPr>
                <w:rFonts w:ascii="仿宋" w:eastAsia="仿宋" w:cs="仿宋_GB2312"/>
                <w:color w:val="FF0000"/>
                <w:szCs w:val="21"/>
              </w:rPr>
              <w:t>》</w:t>
            </w:r>
            <w:r>
              <w:rPr>
                <w:rFonts w:hint="eastAsia" w:ascii="仿宋" w:eastAsia="仿宋" w:cs="仿宋_GB2312"/>
                <w:color w:val="FF0000"/>
                <w:szCs w:val="21"/>
              </w:rPr>
              <w:t>中</w:t>
            </w:r>
            <w:r>
              <w:rPr>
                <w:rFonts w:hint="eastAsia" w:ascii="仿宋" w:eastAsia="仿宋" w:cs="宋体"/>
                <w:bCs/>
                <w:color w:val="FF0000"/>
                <w:szCs w:val="21"/>
              </w:rPr>
              <w:t>维保单位</w:t>
            </w:r>
            <w:r>
              <w:rPr>
                <w:rFonts w:hint="eastAsia" w:ascii="仿宋" w:eastAsia="仿宋" w:cs="仿宋_GB2312"/>
                <w:color w:val="FF0000"/>
                <w:szCs w:val="21"/>
              </w:rPr>
              <w:t>排除</w:t>
            </w:r>
            <w:r>
              <w:rPr>
                <w:rFonts w:ascii="仿宋" w:eastAsia="仿宋" w:cs="仿宋_GB2312"/>
                <w:color w:val="FF0000"/>
                <w:szCs w:val="21"/>
              </w:rPr>
              <w:t>故障时间排名第一的</w:t>
            </w:r>
            <w:r>
              <w:rPr>
                <w:rFonts w:hint="eastAsia" w:ascii="仿宋" w:eastAsia="仿宋" w:cs="仿宋_GB2312"/>
                <w:color w:val="FF0000"/>
                <w:szCs w:val="21"/>
              </w:rPr>
              <w:t>得5分；排名</w:t>
            </w:r>
            <w:r>
              <w:rPr>
                <w:rFonts w:ascii="仿宋" w:eastAsia="仿宋" w:cs="仿宋_GB2312"/>
                <w:color w:val="FF0000"/>
                <w:szCs w:val="21"/>
              </w:rPr>
              <w:t>第二的得</w:t>
            </w:r>
            <w:r>
              <w:rPr>
                <w:rFonts w:hint="eastAsia" w:ascii="仿宋" w:eastAsia="仿宋" w:cs="仿宋_GB2312"/>
                <w:color w:val="FF0000"/>
                <w:szCs w:val="21"/>
              </w:rPr>
              <w:t>3分</w:t>
            </w:r>
            <w:r>
              <w:rPr>
                <w:rFonts w:ascii="仿宋" w:eastAsia="仿宋" w:cs="仿宋_GB2312"/>
                <w:color w:val="FF0000"/>
                <w:szCs w:val="21"/>
              </w:rPr>
              <w:t>，排名第三的得</w:t>
            </w:r>
            <w:r>
              <w:rPr>
                <w:rFonts w:hint="eastAsia" w:ascii="仿宋" w:eastAsia="仿宋" w:cs="仿宋_GB2312"/>
                <w:color w:val="FF0000"/>
                <w:szCs w:val="21"/>
              </w:rPr>
              <w:t>1分，三</w:t>
            </w:r>
            <w:r>
              <w:rPr>
                <w:rFonts w:ascii="仿宋" w:eastAsia="仿宋" w:cs="仿宋_GB2312"/>
                <w:color w:val="FF0000"/>
                <w:szCs w:val="21"/>
              </w:rPr>
              <w:t>名以后的</w:t>
            </w:r>
            <w:r>
              <w:rPr>
                <w:rFonts w:hint="eastAsia" w:ascii="仿宋" w:eastAsia="仿宋" w:cs="仿宋_GB2312"/>
                <w:color w:val="FF0000"/>
                <w:szCs w:val="21"/>
              </w:rPr>
              <w:t>0分</w:t>
            </w:r>
            <w:r>
              <w:rPr>
                <w:rFonts w:ascii="仿宋" w:eastAsia="仿宋" w:cs="仿宋_GB2312"/>
                <w:color w:val="FF0000"/>
                <w:szCs w:val="21"/>
              </w:rPr>
              <w:t>。</w:t>
            </w:r>
          </w:p>
          <w:p w14:paraId="7687FD0B">
            <w:pPr>
              <w:jc w:val="left"/>
              <w:rPr>
                <w:rFonts w:ascii="仿宋" w:eastAsia="仿宋" w:cs="仿宋_GB2312"/>
                <w:szCs w:val="21"/>
              </w:rPr>
            </w:pPr>
            <w:r>
              <w:rPr>
                <w:rFonts w:ascii="仿宋" w:eastAsia="仿宋" w:cs="仿宋_GB2312"/>
                <w:color w:val="FF0000"/>
                <w:szCs w:val="21"/>
              </w:rPr>
              <w:t>（根据投标方《及时响应</w:t>
            </w:r>
            <w:r>
              <w:rPr>
                <w:rFonts w:hint="eastAsia" w:ascii="仿宋" w:eastAsia="仿宋" w:cs="仿宋_GB2312"/>
                <w:color w:val="FF0000"/>
                <w:szCs w:val="21"/>
              </w:rPr>
              <w:t>和</w:t>
            </w:r>
            <w:r>
              <w:rPr>
                <w:rFonts w:ascii="仿宋" w:eastAsia="仿宋" w:cs="仿宋_GB2312"/>
                <w:color w:val="FF0000"/>
                <w:szCs w:val="21"/>
              </w:rPr>
              <w:t>排除故障</w:t>
            </w:r>
            <w:r>
              <w:rPr>
                <w:rFonts w:hint="eastAsia" w:ascii="仿宋" w:eastAsia="仿宋" w:cs="仿宋_GB2312"/>
                <w:color w:val="FF0000"/>
                <w:szCs w:val="21"/>
              </w:rPr>
              <w:t>承诺函</w:t>
            </w:r>
            <w:r>
              <w:rPr>
                <w:rFonts w:ascii="仿宋" w:eastAsia="仿宋" w:cs="仿宋_GB2312"/>
                <w:color w:val="FF0000"/>
                <w:szCs w:val="21"/>
              </w:rPr>
              <w:t>》（附件</w:t>
            </w:r>
            <w:r>
              <w:rPr>
                <w:rFonts w:hint="eastAsia" w:ascii="仿宋" w:eastAsia="仿宋" w:cs="仿宋_GB2312"/>
                <w:color w:val="FF0000"/>
                <w:szCs w:val="21"/>
              </w:rPr>
              <w:t>3</w:t>
            </w:r>
            <w:r>
              <w:rPr>
                <w:rFonts w:ascii="仿宋" w:eastAsia="仿宋" w:cs="仿宋_GB2312"/>
                <w:color w:val="FF0000"/>
                <w:szCs w:val="21"/>
              </w:rPr>
              <w:t>）提供的相</w:t>
            </w:r>
            <w:r>
              <w:rPr>
                <w:rFonts w:hint="eastAsia" w:ascii="仿宋" w:eastAsia="仿宋" w:cs="仿宋_GB2312"/>
                <w:color w:val="FF0000"/>
                <w:szCs w:val="21"/>
              </w:rPr>
              <w:t>关</w:t>
            </w:r>
            <w:r>
              <w:rPr>
                <w:rFonts w:ascii="仿宋" w:eastAsia="仿宋" w:cs="仿宋_GB2312"/>
                <w:color w:val="FF0000"/>
                <w:szCs w:val="21"/>
              </w:rPr>
              <w:t>承诺评分）</w:t>
            </w:r>
            <w:r>
              <w:rPr>
                <w:rFonts w:hint="eastAsia" w:ascii="仿宋" w:eastAsia="仿宋" w:cs="仿宋_GB2312"/>
                <w:color w:val="FF0000"/>
                <w:szCs w:val="21"/>
              </w:rPr>
              <w:t>，</w:t>
            </w:r>
            <w:r>
              <w:rPr>
                <w:rFonts w:ascii="仿宋" w:eastAsia="仿宋" w:cs="仿宋_GB2312"/>
                <w:color w:val="FF0000"/>
                <w:szCs w:val="21"/>
              </w:rPr>
              <w:t>如</w:t>
            </w:r>
            <w:r>
              <w:rPr>
                <w:rFonts w:hint="eastAsia" w:ascii="仿宋" w:eastAsia="仿宋" w:cs="仿宋_GB2312"/>
                <w:color w:val="FF0000"/>
                <w:szCs w:val="21"/>
              </w:rPr>
              <w:t>中标方在</w:t>
            </w:r>
            <w:r>
              <w:rPr>
                <w:rFonts w:ascii="仿宋" w:eastAsia="仿宋" w:cs="仿宋_GB2312"/>
                <w:color w:val="FF0000"/>
                <w:szCs w:val="21"/>
              </w:rPr>
              <w:t>合同期不能满足承诺函要求，按照招标文件</w:t>
            </w:r>
            <w:r>
              <w:rPr>
                <w:rFonts w:hint="eastAsia" w:ascii="仿宋" w:eastAsia="仿宋" w:cs="仿宋_GB2312"/>
                <w:color w:val="FF0000"/>
                <w:szCs w:val="21"/>
              </w:rPr>
              <w:t>第七（四）条</w:t>
            </w:r>
            <w:r>
              <w:rPr>
                <w:rFonts w:ascii="仿宋" w:eastAsia="仿宋" w:cs="仿宋_GB2312"/>
                <w:color w:val="FF0000"/>
                <w:szCs w:val="21"/>
              </w:rPr>
              <w:t>考核</w:t>
            </w:r>
            <w:r>
              <w:rPr>
                <w:rFonts w:hint="eastAsia" w:ascii="仿宋" w:eastAsia="仿宋" w:cs="仿宋_GB2312"/>
                <w:color w:val="FF0000"/>
                <w:szCs w:val="21"/>
              </w:rPr>
              <w:t>。</w:t>
            </w:r>
          </w:p>
        </w:tc>
      </w:tr>
      <w:tr w14:paraId="5873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00" w:type="dxa"/>
            <w:gridSpan w:val="2"/>
            <w:tcBorders>
              <w:top w:val="single" w:color="auto" w:sz="4" w:space="0"/>
              <w:left w:val="single" w:color="auto" w:sz="4" w:space="0"/>
              <w:bottom w:val="single" w:color="auto" w:sz="4" w:space="0"/>
              <w:right w:val="single" w:color="auto" w:sz="4" w:space="0"/>
            </w:tcBorders>
            <w:vAlign w:val="center"/>
          </w:tcPr>
          <w:p w14:paraId="38414EC9">
            <w:pPr>
              <w:spacing w:line="360" w:lineRule="auto"/>
              <w:jc w:val="center"/>
              <w:rPr>
                <w:rFonts w:ascii="仿宋" w:eastAsia="仿宋" w:cs="宋体"/>
                <w:bCs/>
                <w:szCs w:val="21"/>
              </w:rPr>
            </w:pPr>
            <w:r>
              <w:rPr>
                <w:rFonts w:hint="eastAsia" w:ascii="仿宋" w:eastAsia="仿宋" w:cs="宋体"/>
                <w:bCs/>
                <w:szCs w:val="21"/>
              </w:rPr>
              <w:t>合计</w:t>
            </w:r>
          </w:p>
        </w:tc>
        <w:tc>
          <w:tcPr>
            <w:tcW w:w="885" w:type="dxa"/>
            <w:tcBorders>
              <w:top w:val="single" w:color="auto" w:sz="4" w:space="0"/>
              <w:left w:val="single" w:color="auto" w:sz="4" w:space="0"/>
              <w:bottom w:val="single" w:color="auto" w:sz="4" w:space="0"/>
              <w:right w:val="single" w:color="auto" w:sz="4" w:space="0"/>
            </w:tcBorders>
            <w:vAlign w:val="center"/>
          </w:tcPr>
          <w:p w14:paraId="57455C6A">
            <w:pPr>
              <w:spacing w:line="360" w:lineRule="auto"/>
              <w:jc w:val="center"/>
              <w:rPr>
                <w:rFonts w:ascii="仿宋" w:eastAsia="仿宋" w:cs="宋体"/>
                <w:bCs/>
                <w:szCs w:val="21"/>
              </w:rPr>
            </w:pPr>
            <w:r>
              <w:rPr>
                <w:rFonts w:hint="eastAsia" w:ascii="仿宋" w:eastAsia="仿宋" w:cs="宋体"/>
                <w:bCs/>
                <w:szCs w:val="21"/>
              </w:rPr>
              <w:t>15</w:t>
            </w:r>
          </w:p>
        </w:tc>
        <w:tc>
          <w:tcPr>
            <w:tcW w:w="6525" w:type="dxa"/>
            <w:tcBorders>
              <w:top w:val="single" w:color="auto" w:sz="4" w:space="0"/>
              <w:left w:val="single" w:color="auto" w:sz="4" w:space="0"/>
              <w:bottom w:val="single" w:color="auto" w:sz="4" w:space="0"/>
              <w:right w:val="single" w:color="auto" w:sz="4" w:space="0"/>
            </w:tcBorders>
          </w:tcPr>
          <w:p w14:paraId="28C2AF44">
            <w:pPr>
              <w:spacing w:line="360" w:lineRule="auto"/>
              <w:rPr>
                <w:rFonts w:ascii="仿宋" w:eastAsia="仿宋" w:cs="宋体"/>
                <w:bCs/>
                <w:szCs w:val="21"/>
              </w:rPr>
            </w:pPr>
            <w:r>
              <w:rPr>
                <w:rFonts w:hint="eastAsia" w:ascii="仿宋" w:eastAsia="仿宋" w:cs="宋体"/>
                <w:bCs/>
                <w:szCs w:val="21"/>
              </w:rPr>
              <w:t xml:space="preserve"> </w:t>
            </w:r>
          </w:p>
        </w:tc>
      </w:tr>
    </w:tbl>
    <w:p w14:paraId="764295B1">
      <w:pPr>
        <w:rPr>
          <w:rFonts w:ascii="宋体"/>
          <w:b/>
          <w:szCs w:val="21"/>
        </w:rPr>
      </w:pPr>
    </w:p>
    <w:p w14:paraId="7C8CDC21">
      <w:pPr>
        <w:spacing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注： </w:t>
      </w:r>
      <w:r>
        <w:rPr>
          <w:rFonts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rPr>
        <w:t>评标</w:t>
      </w:r>
      <w:r>
        <w:rPr>
          <w:rFonts w:ascii="方正仿宋简体" w:hAnsi="方正仿宋简体" w:eastAsia="方正仿宋简体" w:cs="方正仿宋简体"/>
          <w:bCs/>
          <w:kern w:val="1"/>
          <w:sz w:val="32"/>
          <w:szCs w:val="32"/>
        </w:rPr>
        <w:t>小组</w:t>
      </w:r>
      <w:r>
        <w:rPr>
          <w:rFonts w:hint="eastAsia" w:ascii="方正仿宋简体" w:hAnsi="方正仿宋简体" w:eastAsia="方正仿宋简体" w:cs="方正仿宋简体"/>
          <w:bCs/>
          <w:kern w:val="1"/>
          <w:sz w:val="32"/>
          <w:szCs w:val="32"/>
        </w:rPr>
        <w:t>每位评委根据上述评标办法首先对响应文件技术部分、响应</w:t>
      </w:r>
      <w:r>
        <w:rPr>
          <w:rFonts w:ascii="方正仿宋简体" w:hAnsi="方正仿宋简体" w:eastAsia="方正仿宋简体" w:cs="方正仿宋简体"/>
          <w:bCs/>
          <w:kern w:val="1"/>
          <w:sz w:val="32"/>
          <w:szCs w:val="32"/>
        </w:rPr>
        <w:t>时间</w:t>
      </w:r>
      <w:r>
        <w:rPr>
          <w:rFonts w:hint="eastAsia" w:ascii="方正仿宋简体" w:hAnsi="方正仿宋简体" w:eastAsia="方正仿宋简体" w:cs="方正仿宋简体"/>
          <w:bCs/>
          <w:kern w:val="1"/>
          <w:sz w:val="32"/>
          <w:szCs w:val="32"/>
        </w:rPr>
        <w:t>部分等分别进行评审打分，计算出每一投标的技术部分、响应时间部分等的合计分。评标</w:t>
      </w:r>
      <w:r>
        <w:rPr>
          <w:rFonts w:ascii="方正仿宋简体" w:hAnsi="方正仿宋简体" w:eastAsia="方正仿宋简体" w:cs="方正仿宋简体"/>
          <w:bCs/>
          <w:kern w:val="1"/>
          <w:sz w:val="32"/>
          <w:szCs w:val="32"/>
        </w:rPr>
        <w:t>小组</w:t>
      </w:r>
      <w:r>
        <w:rPr>
          <w:rFonts w:hint="eastAsia" w:ascii="方正仿宋简体" w:hAnsi="方正仿宋简体" w:eastAsia="方正仿宋简体" w:cs="方正仿宋简体"/>
          <w:bCs/>
          <w:kern w:val="1"/>
          <w:sz w:val="32"/>
          <w:szCs w:val="32"/>
        </w:rPr>
        <w:t>所有评委共同对响应文件的最后报价进行评审打分。然后，根据报价评分办法计算出符合规定的供应商的综合得分，经核对无误后，评标</w:t>
      </w:r>
      <w:r>
        <w:rPr>
          <w:rFonts w:ascii="方正仿宋简体" w:hAnsi="方正仿宋简体" w:eastAsia="方正仿宋简体" w:cs="方正仿宋简体"/>
          <w:bCs/>
          <w:kern w:val="1"/>
          <w:sz w:val="32"/>
          <w:szCs w:val="32"/>
        </w:rPr>
        <w:t>小组</w:t>
      </w:r>
      <w:r>
        <w:rPr>
          <w:rFonts w:hint="eastAsia" w:ascii="方正仿宋简体" w:hAnsi="方正仿宋简体" w:eastAsia="方正仿宋简体" w:cs="方正仿宋简体"/>
          <w:bCs/>
          <w:kern w:val="1"/>
          <w:sz w:val="32"/>
          <w:szCs w:val="32"/>
        </w:rPr>
        <w:t>全体成员签字确认。</w:t>
      </w:r>
    </w:p>
    <w:p w14:paraId="3373F1E9">
      <w:pPr>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kern w:val="1"/>
          <w:sz w:val="32"/>
          <w:szCs w:val="32"/>
        </w:rPr>
        <w:t>技术部分评标专家集体讨论，独立打分。</w:t>
      </w:r>
    </w:p>
    <w:p w14:paraId="09DC1D57">
      <w:pPr>
        <w:tabs>
          <w:tab w:val="center" w:pos="4153"/>
          <w:tab w:val="right" w:pos="8306"/>
        </w:tabs>
        <w:autoSpaceDE w:val="0"/>
        <w:autoSpaceDN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2"/>
          <w:szCs w:val="32"/>
        </w:rPr>
        <w:t>供应商提供的业绩，应具备可考察性，并为业主考察提供方便。</w:t>
      </w:r>
    </w:p>
    <w:p w14:paraId="36E9714F">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p>
    <w:p w14:paraId="1EB31246">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在能够满足招标人技术要求及响应时间要求的投标人中选择总投标价最低的一家投标人作为中标候选人。</w:t>
      </w:r>
    </w:p>
    <w:p w14:paraId="1EBD7CF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48D8283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E7BFA2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00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14:paraId="7395A331">
      <w:pPr>
        <w:pStyle w:val="6"/>
        <w:spacing w:line="600" w:lineRule="exact"/>
        <w:ind w:firstLine="643"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14:paraId="01CB04E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未经招标人允许,中标人不得以任何方式将本项目分包给第三方，否则按本合同总价的10%作为违约金，同时招标人有权终止本合同。　　</w:t>
      </w:r>
    </w:p>
    <w:p w14:paraId="799423AF">
      <w:pPr>
        <w:adjustRightInd w:val="0"/>
        <w:snapToGrid w:val="0"/>
        <w:spacing w:line="600" w:lineRule="exact"/>
        <w:ind w:firstLine="640" w:firstLineChars="200"/>
        <w:jc w:val="left"/>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中标人中标以后应严格按照标书约定与招标方签定供需合同，并按合同约定做好服务工作。对中标人所有违背标书及合同约定的行为，招标人均可持续保留与中标方中止合作的一切权利。</w:t>
      </w:r>
    </w:p>
    <w:p w14:paraId="3C24239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如因中标人不能正常履约，对招标人生产经营活动造成影响的，招标人将依法追究投标方法律责任。</w:t>
      </w:r>
    </w:p>
    <w:p w14:paraId="37F3C9E9">
      <w:pPr>
        <w:pStyle w:val="4"/>
        <w:spacing w:line="600" w:lineRule="exact"/>
        <w:ind w:firstLine="640" w:firstLineChars="200"/>
        <w:rPr>
          <w:rFonts w:ascii="方正仿宋简体" w:hAnsi="方正仿宋简体" w:eastAsia="方正仿宋简体" w:cs="方正仿宋简体"/>
          <w:bCs/>
          <w:color w:val="FF0000"/>
          <w:kern w:val="1"/>
          <w:sz w:val="32"/>
          <w:szCs w:val="32"/>
        </w:rPr>
      </w:pPr>
      <w:r>
        <w:rPr>
          <w:rFonts w:hint="eastAsia" w:ascii="方正楷体_GBK" w:hAnsi="方正楷体_GBK" w:eastAsia="方正楷体_GBK" w:cs="方正楷体_GBK"/>
          <w:bCs/>
          <w:color w:val="FF0000"/>
          <w:kern w:val="1"/>
          <w:sz w:val="32"/>
          <w:szCs w:val="32"/>
        </w:rPr>
        <w:t>（四）</w:t>
      </w:r>
      <w:r>
        <w:rPr>
          <w:rFonts w:hint="eastAsia" w:ascii="方正仿宋简体" w:hAnsi="方正仿宋简体" w:eastAsia="方正仿宋简体" w:cs="方正仿宋简体"/>
          <w:bCs/>
          <w:color w:val="FF0000"/>
          <w:kern w:val="1"/>
          <w:sz w:val="32"/>
          <w:szCs w:val="32"/>
        </w:rPr>
        <w:t>因中标人原因，应急维修响应时间</w:t>
      </w:r>
      <w:r>
        <w:rPr>
          <w:rFonts w:ascii="方正仿宋简体" w:hAnsi="方正仿宋简体" w:eastAsia="方正仿宋简体" w:cs="方正仿宋简体"/>
          <w:bCs/>
          <w:color w:val="FF0000"/>
          <w:kern w:val="1"/>
          <w:sz w:val="32"/>
          <w:szCs w:val="32"/>
        </w:rPr>
        <w:t>、</w:t>
      </w:r>
      <w:r>
        <w:rPr>
          <w:rFonts w:hint="eastAsia" w:ascii="方正仿宋简体" w:hAnsi="方正仿宋简体" w:eastAsia="方正仿宋简体" w:cs="方正仿宋简体"/>
          <w:bCs/>
          <w:color w:val="FF0000"/>
          <w:kern w:val="1"/>
          <w:sz w:val="32"/>
          <w:szCs w:val="32"/>
        </w:rPr>
        <w:t>排除</w:t>
      </w:r>
      <w:r>
        <w:rPr>
          <w:rFonts w:ascii="方正仿宋简体" w:hAnsi="方正仿宋简体" w:eastAsia="方正仿宋简体" w:cs="方正仿宋简体"/>
          <w:bCs/>
          <w:color w:val="FF0000"/>
          <w:kern w:val="1"/>
          <w:sz w:val="32"/>
          <w:szCs w:val="32"/>
        </w:rPr>
        <w:t>故障</w:t>
      </w:r>
      <w:r>
        <w:rPr>
          <w:rFonts w:hint="eastAsia" w:ascii="方正仿宋简体" w:hAnsi="方正仿宋简体" w:eastAsia="方正仿宋简体" w:cs="方正仿宋简体"/>
          <w:bCs/>
          <w:color w:val="FF0000"/>
          <w:kern w:val="1"/>
          <w:sz w:val="32"/>
          <w:szCs w:val="32"/>
        </w:rPr>
        <w:t>时间、不能按中标方</w:t>
      </w:r>
      <w:r>
        <w:rPr>
          <w:rFonts w:ascii="方正仿宋简体" w:hAnsi="方正仿宋简体" w:eastAsia="方正仿宋简体" w:cs="方正仿宋简体"/>
          <w:bCs/>
          <w:color w:val="FF0000"/>
          <w:kern w:val="1"/>
          <w:sz w:val="32"/>
          <w:szCs w:val="32"/>
        </w:rPr>
        <w:t>承诺函</w:t>
      </w:r>
      <w:r>
        <w:rPr>
          <w:rFonts w:hint="eastAsia" w:ascii="方正仿宋简体" w:hAnsi="方正仿宋简体" w:eastAsia="方正仿宋简体" w:cs="方正仿宋简体"/>
          <w:bCs/>
          <w:color w:val="FF0000"/>
          <w:kern w:val="1"/>
          <w:sz w:val="32"/>
          <w:szCs w:val="32"/>
        </w:rPr>
        <w:t>的期限完成，违约金从本项目年度维保费中扣除，每延迟一小时按本项目年度维保费的</w:t>
      </w:r>
      <w:r>
        <w:rPr>
          <w:rFonts w:ascii="方正仿宋简体" w:hAnsi="方正仿宋简体" w:eastAsia="方正仿宋简体" w:cs="方正仿宋简体"/>
          <w:bCs/>
          <w:color w:val="FF0000"/>
          <w:kern w:val="1"/>
          <w:sz w:val="32"/>
          <w:szCs w:val="32"/>
        </w:rPr>
        <w:t>0.3</w:t>
      </w:r>
      <w:r>
        <w:rPr>
          <w:rFonts w:hint="eastAsia" w:ascii="方正仿宋简体" w:hAnsi="方正仿宋简体" w:eastAsia="方正仿宋简体" w:cs="方正仿宋简体"/>
          <w:bCs/>
          <w:color w:val="FF0000"/>
          <w:kern w:val="1"/>
          <w:sz w:val="32"/>
          <w:szCs w:val="32"/>
        </w:rPr>
        <w:t>%计收违约金，不足部分由中标人另行支付（如有异议请在报价时注明）。不能在规定的期限完成本项目维修，延期20日内（含20天），招标人有权解除合同，并按合同总额20%追究中标人违约责任（如有异议请在报价时注明）。</w:t>
      </w:r>
    </w:p>
    <w:p w14:paraId="5EB09758">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中标人项目完成后，经验收不合格的，招标人可选择以下处理方式：</w:t>
      </w:r>
    </w:p>
    <w:p w14:paraId="7E488EE5">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选择重新检测的，重新检测过程中产生的费用由中标人全部承担，且需在招标人第一次验收不合格之日起2日内完成，逾期未完成的，违约责任参照第（四）条执行。如果出现两次验收不合格的情况，招标人有权解除合同，并有权要求中标人赔偿合同总价款的20%违约金给招标人（如有异议请在报价时注明）。</w:t>
      </w:r>
    </w:p>
    <w:p w14:paraId="1AEFAFDC">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2.招标人选择解除合同的，招标人有权要求中标人赔偿合同总价款的20%违约金给招标人（如有异议请在报价时注明）。</w:t>
      </w:r>
    </w:p>
    <w:p w14:paraId="17116EA0">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3.因中标人的项目质量、逾期完成等原因给招标人造成直接和间接经济损失的，由中标人承担全部责任（如有异议请在报价时注明）。</w:t>
      </w:r>
    </w:p>
    <w:p w14:paraId="060856F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中标人应严格按照标书约定与招标方签定供需合同，并按合同约定做好服务工作。对中标人所有违背标书及合同约定的行为，招标人均可持续保留与中标方中止合作的一切权利。　</w:t>
      </w:r>
    </w:p>
    <w:p w14:paraId="3689AE1D">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14:paraId="1C044B01">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184749B7">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5C71AFB5">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外协作业人员需先进行安全教育培训。</w:t>
      </w:r>
    </w:p>
    <w:p w14:paraId="540501AD">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（十一）</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7653C091">
      <w:pPr>
        <w:rPr>
          <w:rFonts w:ascii="方正小标宋简体" w:hAnsi="方正小标宋简体" w:eastAsia="方正小标宋简体" w:cs="方正小标宋简体"/>
          <w:sz w:val="44"/>
          <w:szCs w:val="44"/>
        </w:rPr>
      </w:pPr>
    </w:p>
    <w:p w14:paraId="3A02B589">
      <w:pPr>
        <w:pStyle w:val="5"/>
      </w:pPr>
    </w:p>
    <w:p w14:paraId="753B21CD">
      <w:pPr>
        <w:pStyle w:val="2"/>
        <w:jc w:val="both"/>
        <w:rPr>
          <w:rFonts w:ascii="Arial" w:hAnsi="Arial" w:eastAsia="黑体"/>
          <w:b/>
          <w:kern w:val="2"/>
          <w:sz w:val="32"/>
        </w:rPr>
      </w:pPr>
    </w:p>
    <w:p w14:paraId="725488D1"/>
    <w:p w14:paraId="6B90EE15">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681D3981">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698B490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174D6AAE">
      <w:pPr>
        <w:numPr>
          <w:ilvl w:val="0"/>
          <w:numId w:val="2"/>
        </w:num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(大写)            </w:t>
      </w:r>
      <w:r>
        <w:rPr>
          <w:rFonts w:hint="eastAsia" w:ascii="方正仿宋简体" w:hAnsi="方正仿宋简体" w:eastAsia="方正仿宋简体" w:cs="方正仿宋简体"/>
          <w:kern w:val="1"/>
          <w:sz w:val="32"/>
          <w:szCs w:val="32"/>
          <w:u w:val="single"/>
        </w:rPr>
        <w:t xml:space="preserve">                               </w:t>
      </w:r>
    </w:p>
    <w:p w14:paraId="499A4AD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5D297C2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83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9"/>
        <w:gridCol w:w="1295"/>
        <w:gridCol w:w="805"/>
        <w:gridCol w:w="2019"/>
        <w:gridCol w:w="1292"/>
        <w:gridCol w:w="992"/>
      </w:tblGrid>
      <w:tr w14:paraId="558C0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exact"/>
          <w:jc w:val="center"/>
        </w:trPr>
        <w:tc>
          <w:tcPr>
            <w:tcW w:w="1959" w:type="dxa"/>
            <w:tcBorders>
              <w:top w:val="single" w:color="000000" w:sz="4" w:space="0"/>
              <w:left w:val="single" w:color="000000" w:sz="4" w:space="0"/>
              <w:bottom w:val="single" w:color="000000" w:sz="4" w:space="0"/>
              <w:right w:val="single" w:color="000000" w:sz="4" w:space="0"/>
            </w:tcBorders>
            <w:vAlign w:val="center"/>
          </w:tcPr>
          <w:p w14:paraId="6875C409">
            <w:pPr>
              <w:spacing w:line="320" w:lineRule="exact"/>
              <w:jc w:val="center"/>
              <w:rPr>
                <w:rFonts w:ascii="仿宋_GB2312" w:eastAsia="仿宋_GB2312" w:cs="仿宋_GB2312"/>
                <w:sz w:val="24"/>
                <w:szCs w:val="24"/>
              </w:rPr>
            </w:pPr>
            <w:r>
              <w:rPr>
                <w:rFonts w:hint="eastAsia" w:ascii="仿宋_GB2312" w:eastAsia="仿宋_GB2312" w:cs="仿宋_GB2312"/>
                <w:sz w:val="24"/>
                <w:szCs w:val="24"/>
              </w:rPr>
              <w:t>标的名称</w:t>
            </w:r>
          </w:p>
        </w:tc>
        <w:tc>
          <w:tcPr>
            <w:tcW w:w="1295" w:type="dxa"/>
            <w:tcBorders>
              <w:top w:val="single" w:color="000000" w:sz="4" w:space="0"/>
              <w:left w:val="single" w:color="000000" w:sz="4" w:space="0"/>
              <w:bottom w:val="single" w:color="000000" w:sz="4" w:space="0"/>
              <w:right w:val="single" w:color="000000" w:sz="4" w:space="0"/>
            </w:tcBorders>
            <w:vAlign w:val="center"/>
          </w:tcPr>
          <w:p w14:paraId="42FD203C">
            <w:pPr>
              <w:spacing w:line="320" w:lineRule="exact"/>
              <w:jc w:val="center"/>
              <w:rPr>
                <w:rFonts w:ascii="仿宋_GB2312" w:eastAsia="仿宋_GB2312" w:cs="仿宋_GB2312"/>
                <w:sz w:val="24"/>
                <w:szCs w:val="24"/>
              </w:rPr>
            </w:pPr>
            <w:r>
              <w:rPr>
                <w:rFonts w:hint="eastAsia" w:ascii="仿宋_GB2312" w:eastAsia="仿宋_GB2312" w:cs="仿宋_GB2312"/>
                <w:sz w:val="24"/>
                <w:szCs w:val="24"/>
              </w:rPr>
              <w:t>规格型号</w:t>
            </w:r>
          </w:p>
        </w:tc>
        <w:tc>
          <w:tcPr>
            <w:tcW w:w="805" w:type="dxa"/>
            <w:tcBorders>
              <w:top w:val="single" w:color="000000" w:sz="4" w:space="0"/>
              <w:left w:val="single" w:color="000000" w:sz="4" w:space="0"/>
              <w:bottom w:val="single" w:color="000000" w:sz="4" w:space="0"/>
              <w:right w:val="single" w:color="000000" w:sz="4" w:space="0"/>
            </w:tcBorders>
            <w:vAlign w:val="center"/>
          </w:tcPr>
          <w:p w14:paraId="76F30B4D">
            <w:pPr>
              <w:spacing w:line="320" w:lineRule="exact"/>
              <w:jc w:val="center"/>
              <w:rPr>
                <w:rFonts w:ascii="仿宋_GB2312" w:eastAsia="仿宋_GB2312" w:cs="仿宋_GB2312"/>
                <w:sz w:val="24"/>
                <w:szCs w:val="24"/>
              </w:rPr>
            </w:pPr>
            <w:r>
              <w:rPr>
                <w:rFonts w:hint="eastAsia" w:ascii="仿宋_GB2312" w:eastAsia="仿宋_GB2312" w:cs="仿宋_GB2312"/>
                <w:sz w:val="24"/>
                <w:szCs w:val="24"/>
              </w:rPr>
              <w:t>数量</w:t>
            </w:r>
          </w:p>
        </w:tc>
        <w:tc>
          <w:tcPr>
            <w:tcW w:w="2019" w:type="dxa"/>
            <w:tcBorders>
              <w:top w:val="single" w:color="000000" w:sz="4" w:space="0"/>
              <w:left w:val="single" w:color="000000" w:sz="4" w:space="0"/>
              <w:bottom w:val="single" w:color="000000" w:sz="4" w:space="0"/>
              <w:right w:val="single" w:color="000000" w:sz="4" w:space="0"/>
            </w:tcBorders>
            <w:vAlign w:val="center"/>
          </w:tcPr>
          <w:p w14:paraId="6386F860">
            <w:pPr>
              <w:spacing w:line="320" w:lineRule="exact"/>
              <w:jc w:val="center"/>
              <w:rPr>
                <w:rFonts w:ascii="仿宋_GB2312" w:eastAsia="仿宋_GB2312" w:cs="仿宋_GB2312"/>
                <w:sz w:val="24"/>
                <w:szCs w:val="24"/>
              </w:rPr>
            </w:pPr>
            <w:r>
              <w:rPr>
                <w:rFonts w:hint="eastAsia" w:ascii="仿宋_GB2312" w:eastAsia="仿宋_GB2312" w:cs="仿宋_GB2312"/>
                <w:sz w:val="24"/>
                <w:szCs w:val="24"/>
              </w:rPr>
              <w:t xml:space="preserve"> 报价（含税）</w:t>
            </w:r>
          </w:p>
        </w:tc>
        <w:tc>
          <w:tcPr>
            <w:tcW w:w="1292" w:type="dxa"/>
            <w:tcBorders>
              <w:top w:val="single" w:color="000000" w:sz="4" w:space="0"/>
              <w:left w:val="single" w:color="000000" w:sz="4" w:space="0"/>
              <w:bottom w:val="single" w:color="000000" w:sz="4" w:space="0"/>
              <w:right w:val="single" w:color="000000" w:sz="4" w:space="0"/>
            </w:tcBorders>
            <w:vAlign w:val="center"/>
          </w:tcPr>
          <w:p w14:paraId="064B4CA5">
            <w:pPr>
              <w:spacing w:line="320" w:lineRule="exact"/>
              <w:jc w:val="center"/>
              <w:rPr>
                <w:rFonts w:ascii="仿宋_GB2312" w:eastAsia="仿宋_GB2312" w:cs="仿宋_GB2312"/>
                <w:sz w:val="24"/>
                <w:szCs w:val="24"/>
              </w:rPr>
            </w:pPr>
            <w:r>
              <w:rPr>
                <w:rFonts w:hint="eastAsia" w:ascii="仿宋_GB2312" w:eastAsia="仿宋_GB2312" w:cs="仿宋_GB2312"/>
                <w:sz w:val="24"/>
                <w:szCs w:val="24"/>
              </w:rPr>
              <w:t>备注</w:t>
            </w:r>
          </w:p>
        </w:tc>
        <w:tc>
          <w:tcPr>
            <w:tcW w:w="992" w:type="dxa"/>
            <w:tcBorders>
              <w:top w:val="single" w:color="000000" w:sz="4" w:space="0"/>
              <w:left w:val="single" w:color="000000" w:sz="4" w:space="0"/>
              <w:bottom w:val="single" w:color="000000" w:sz="4" w:space="0"/>
              <w:right w:val="single" w:color="000000" w:sz="4" w:space="0"/>
            </w:tcBorders>
            <w:vAlign w:val="center"/>
          </w:tcPr>
          <w:p w14:paraId="3FEDB0FF">
            <w:pPr>
              <w:spacing w:line="320" w:lineRule="exact"/>
              <w:jc w:val="center"/>
              <w:rPr>
                <w:rFonts w:ascii="仿宋_GB2312" w:eastAsia="仿宋_GB2312" w:cs="仿宋_GB2312"/>
                <w:sz w:val="24"/>
                <w:szCs w:val="24"/>
              </w:rPr>
            </w:pPr>
            <w:r>
              <w:rPr>
                <w:rFonts w:hint="eastAsia" w:ascii="仿宋_GB2312" w:eastAsia="仿宋_GB2312" w:cs="仿宋_GB2312"/>
                <w:sz w:val="24"/>
                <w:szCs w:val="24"/>
              </w:rPr>
              <w:t>质保期</w:t>
            </w:r>
          </w:p>
        </w:tc>
      </w:tr>
      <w:tr w14:paraId="592BD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exact"/>
          <w:jc w:val="center"/>
        </w:trPr>
        <w:tc>
          <w:tcPr>
            <w:tcW w:w="1959" w:type="dxa"/>
            <w:tcBorders>
              <w:top w:val="single" w:color="000000" w:sz="4" w:space="0"/>
              <w:left w:val="single" w:color="000000" w:sz="4" w:space="0"/>
              <w:bottom w:val="single" w:color="000000" w:sz="4" w:space="0"/>
              <w:right w:val="single" w:color="000000" w:sz="4" w:space="0"/>
            </w:tcBorders>
            <w:vAlign w:val="center"/>
          </w:tcPr>
          <w:p w14:paraId="73800407">
            <w:pPr>
              <w:tabs>
                <w:tab w:val="left" w:pos="237"/>
              </w:tabs>
              <w:spacing w:line="360" w:lineRule="auto"/>
              <w:jc w:val="left"/>
              <w:rPr>
                <w:rFonts w:ascii="仿宋_GB2312" w:eastAsia="仿宋_GB2312" w:cs="仿宋_GB2312"/>
                <w:sz w:val="24"/>
                <w:szCs w:val="24"/>
              </w:rPr>
            </w:pPr>
            <w:r>
              <w:rPr>
                <w:rFonts w:hint="eastAsia" w:ascii="仿宋_GB2312" w:eastAsia="仿宋_GB2312" w:cs="仿宋_GB2312"/>
                <w:sz w:val="24"/>
              </w:rPr>
              <w:t>卸船机年度维保</w:t>
            </w:r>
          </w:p>
        </w:tc>
        <w:tc>
          <w:tcPr>
            <w:tcW w:w="1295" w:type="dxa"/>
            <w:tcBorders>
              <w:top w:val="single" w:color="000000" w:sz="4" w:space="0"/>
              <w:left w:val="single" w:color="000000" w:sz="4" w:space="0"/>
              <w:bottom w:val="single" w:color="000000" w:sz="4" w:space="0"/>
              <w:right w:val="single" w:color="000000" w:sz="4" w:space="0"/>
            </w:tcBorders>
            <w:vAlign w:val="center"/>
          </w:tcPr>
          <w:p w14:paraId="388D415A">
            <w:pPr>
              <w:rPr>
                <w:rFonts w:ascii="仿宋_GB2312" w:eastAsia="仿宋_GB2312" w:cs="仿宋_GB2312"/>
                <w:sz w:val="24"/>
                <w:szCs w:val="24"/>
              </w:rPr>
            </w:pPr>
            <w:r>
              <w:rPr>
                <w:rFonts w:hint="eastAsia" w:ascii="仿宋_GB2312" w:eastAsia="仿宋_GB2312" w:cs="仿宋_GB2312"/>
                <w:sz w:val="18"/>
                <w:szCs w:val="18"/>
              </w:rPr>
              <w:t>ZQX600</w:t>
            </w:r>
            <w:r>
              <w:rPr>
                <w:rFonts w:ascii="仿宋_GB2312" w:eastAsia="仿宋_GB2312" w:cs="仿宋_GB2312"/>
                <w:sz w:val="18"/>
                <w:szCs w:val="18"/>
              </w:rPr>
              <w:t>桥式抓</w:t>
            </w:r>
            <w:r>
              <w:rPr>
                <w:rFonts w:ascii="仿宋_GB2312" w:eastAsia="仿宋_GB2312" w:cs="仿宋_GB2312"/>
                <w:szCs w:val="21"/>
              </w:rPr>
              <w:t>斗卸船机</w:t>
            </w:r>
          </w:p>
        </w:tc>
        <w:tc>
          <w:tcPr>
            <w:tcW w:w="805" w:type="dxa"/>
            <w:tcBorders>
              <w:top w:val="single" w:color="000000" w:sz="4" w:space="0"/>
              <w:left w:val="single" w:color="000000" w:sz="4" w:space="0"/>
              <w:bottom w:val="single" w:color="000000" w:sz="4" w:space="0"/>
              <w:right w:val="single" w:color="000000" w:sz="4" w:space="0"/>
            </w:tcBorders>
            <w:vAlign w:val="center"/>
          </w:tcPr>
          <w:p w14:paraId="554CB4A8">
            <w:pPr>
              <w:spacing w:line="360" w:lineRule="auto"/>
              <w:rPr>
                <w:rFonts w:ascii="仿宋_GB2312" w:eastAsia="仿宋_GB2312" w:cs="仿宋_GB2312"/>
                <w:sz w:val="24"/>
                <w:szCs w:val="24"/>
              </w:rPr>
            </w:pPr>
            <w:r>
              <w:rPr>
                <w:rFonts w:hint="eastAsia" w:ascii="仿宋_GB2312" w:eastAsia="仿宋_GB2312" w:cs="仿宋_GB2312"/>
                <w:sz w:val="24"/>
                <w:szCs w:val="24"/>
              </w:rPr>
              <w:t>1</w:t>
            </w:r>
            <w:r>
              <w:rPr>
                <w:rFonts w:ascii="仿宋_GB2312" w:eastAsia="仿宋_GB2312" w:cs="仿宋_GB2312"/>
                <w:sz w:val="24"/>
                <w:szCs w:val="24"/>
              </w:rPr>
              <w:t>台</w:t>
            </w:r>
          </w:p>
          <w:p w14:paraId="3BAA8765">
            <w:pPr>
              <w:spacing w:line="360" w:lineRule="auto"/>
              <w:rPr>
                <w:rFonts w:ascii="仿宋_GB2312" w:eastAsia="仿宋_GB2312" w:cs="仿宋_GB2312"/>
                <w:sz w:val="24"/>
                <w:szCs w:val="24"/>
              </w:rPr>
            </w:pPr>
          </w:p>
        </w:tc>
        <w:tc>
          <w:tcPr>
            <w:tcW w:w="2019" w:type="dxa"/>
            <w:tcBorders>
              <w:top w:val="single" w:color="000000" w:sz="4" w:space="0"/>
              <w:left w:val="single" w:color="000000" w:sz="4" w:space="0"/>
              <w:bottom w:val="single" w:color="000000" w:sz="4" w:space="0"/>
              <w:right w:val="single" w:color="000000" w:sz="4" w:space="0"/>
            </w:tcBorders>
            <w:vAlign w:val="center"/>
          </w:tcPr>
          <w:p w14:paraId="0B7581FE">
            <w:pPr>
              <w:spacing w:line="360" w:lineRule="auto"/>
              <w:ind w:firstLine="480" w:firstLineChars="200"/>
              <w:jc w:val="center"/>
              <w:rPr>
                <w:rFonts w:ascii="仿宋_GB2312" w:eastAsia="仿宋_GB2312" w:cs="仿宋_GB2312"/>
                <w:sz w:val="24"/>
                <w:szCs w:val="24"/>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6C796378">
            <w:pPr>
              <w:spacing w:line="360" w:lineRule="auto"/>
              <w:ind w:firstLine="480" w:firstLineChars="200"/>
              <w:jc w:val="center"/>
              <w:rPr>
                <w:rFonts w:ascii="仿宋_GB2312" w:eastAsia="仿宋_GB2312" w:cs="仿宋_GB2312"/>
                <w:sz w:val="24"/>
                <w:szCs w:val="24"/>
              </w:rPr>
            </w:pPr>
          </w:p>
        </w:tc>
        <w:tc>
          <w:tcPr>
            <w:tcW w:w="992" w:type="dxa"/>
            <w:vMerge w:val="restart"/>
            <w:tcBorders>
              <w:top w:val="single" w:color="000000" w:sz="4" w:space="0"/>
              <w:left w:val="single" w:color="000000" w:sz="4" w:space="0"/>
              <w:right w:val="single" w:color="000000" w:sz="4" w:space="0"/>
            </w:tcBorders>
            <w:vAlign w:val="center"/>
          </w:tcPr>
          <w:p w14:paraId="31A13623">
            <w:pPr>
              <w:spacing w:line="360" w:lineRule="auto"/>
              <w:ind w:firstLine="240" w:firstLineChars="100"/>
              <w:rPr>
                <w:rFonts w:ascii="仿宋_GB2312" w:eastAsia="仿宋_GB2312" w:cs="仿宋_GB2312"/>
                <w:sz w:val="24"/>
                <w:szCs w:val="24"/>
              </w:rPr>
            </w:pPr>
            <w:r>
              <w:rPr>
                <w:rFonts w:hint="eastAsia" w:ascii="仿宋_GB2312" w:eastAsia="仿宋_GB2312" w:cs="仿宋_GB2312"/>
                <w:sz w:val="24"/>
                <w:szCs w:val="24"/>
              </w:rPr>
              <w:t>一年</w:t>
            </w:r>
          </w:p>
        </w:tc>
      </w:tr>
      <w:tr w14:paraId="1EF39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959" w:type="dxa"/>
            <w:tcBorders>
              <w:top w:val="single" w:color="000000" w:sz="4" w:space="0"/>
              <w:left w:val="single" w:color="000000" w:sz="4" w:space="0"/>
              <w:bottom w:val="single" w:color="000000" w:sz="4" w:space="0"/>
              <w:right w:val="single" w:color="000000" w:sz="4" w:space="0"/>
            </w:tcBorders>
            <w:vAlign w:val="center"/>
          </w:tcPr>
          <w:p w14:paraId="410DDF4D">
            <w:pPr>
              <w:spacing w:line="360" w:lineRule="auto"/>
              <w:rPr>
                <w:rFonts w:ascii="仿宋_GB2312" w:eastAsia="仿宋_GB2312" w:cs="仿宋_GB2312"/>
                <w:sz w:val="24"/>
                <w:szCs w:val="24"/>
              </w:rPr>
            </w:pPr>
            <w:r>
              <w:rPr>
                <w:rFonts w:hint="eastAsia" w:ascii="仿宋_GB2312" w:eastAsia="仿宋_GB2312" w:cs="仿宋_GB2312"/>
                <w:sz w:val="24"/>
              </w:rPr>
              <w:t>卸船机故障维修</w:t>
            </w:r>
          </w:p>
        </w:tc>
        <w:tc>
          <w:tcPr>
            <w:tcW w:w="1295" w:type="dxa"/>
            <w:tcBorders>
              <w:top w:val="single" w:color="000000" w:sz="4" w:space="0"/>
              <w:left w:val="single" w:color="000000" w:sz="4" w:space="0"/>
              <w:bottom w:val="single" w:color="000000" w:sz="4" w:space="0"/>
              <w:right w:val="single" w:color="000000" w:sz="4" w:space="0"/>
            </w:tcBorders>
            <w:vAlign w:val="center"/>
          </w:tcPr>
          <w:p w14:paraId="32620FFE">
            <w:pPr>
              <w:rPr>
                <w:rFonts w:ascii="仿宋_GB2312" w:eastAsia="仿宋_GB2312" w:cs="仿宋_GB2312"/>
                <w:sz w:val="24"/>
                <w:szCs w:val="24"/>
              </w:rPr>
            </w:pPr>
            <w:r>
              <w:rPr>
                <w:rFonts w:hint="eastAsia" w:ascii="仿宋_GB2312" w:eastAsia="仿宋_GB2312" w:cs="仿宋_GB2312"/>
                <w:sz w:val="18"/>
                <w:szCs w:val="18"/>
              </w:rPr>
              <w:t>ZQX600</w:t>
            </w:r>
            <w:r>
              <w:rPr>
                <w:rFonts w:ascii="仿宋_GB2312" w:eastAsia="仿宋_GB2312" w:cs="仿宋_GB2312"/>
                <w:sz w:val="18"/>
                <w:szCs w:val="18"/>
              </w:rPr>
              <w:t>桥式抓</w:t>
            </w:r>
            <w:r>
              <w:rPr>
                <w:rFonts w:ascii="仿宋_GB2312" w:eastAsia="仿宋_GB2312" w:cs="仿宋_GB2312"/>
                <w:szCs w:val="21"/>
              </w:rPr>
              <w:t>斗卸船机</w:t>
            </w:r>
          </w:p>
        </w:tc>
        <w:tc>
          <w:tcPr>
            <w:tcW w:w="805" w:type="dxa"/>
            <w:tcBorders>
              <w:top w:val="single" w:color="000000" w:sz="4" w:space="0"/>
              <w:left w:val="single" w:color="000000" w:sz="4" w:space="0"/>
              <w:bottom w:val="single" w:color="000000" w:sz="4" w:space="0"/>
              <w:right w:val="single" w:color="000000" w:sz="4" w:space="0"/>
            </w:tcBorders>
            <w:vAlign w:val="center"/>
          </w:tcPr>
          <w:p w14:paraId="245846BB">
            <w:pPr>
              <w:spacing w:line="360" w:lineRule="auto"/>
              <w:rPr>
                <w:rFonts w:ascii="仿宋_GB2312" w:eastAsia="仿宋_GB2312" w:cs="仿宋_GB2312"/>
                <w:sz w:val="24"/>
                <w:szCs w:val="24"/>
              </w:rPr>
            </w:pPr>
            <w:r>
              <w:rPr>
                <w:rFonts w:hint="eastAsia" w:ascii="仿宋_GB2312" w:eastAsia="仿宋_GB2312" w:cs="仿宋_GB2312"/>
                <w:sz w:val="24"/>
                <w:szCs w:val="24"/>
              </w:rPr>
              <w:t>1</w:t>
            </w:r>
            <w:r>
              <w:rPr>
                <w:rFonts w:ascii="仿宋_GB2312" w:eastAsia="仿宋_GB2312" w:cs="仿宋_GB2312"/>
                <w:sz w:val="24"/>
                <w:szCs w:val="24"/>
              </w:rPr>
              <w:t>台</w:t>
            </w:r>
          </w:p>
          <w:p w14:paraId="19DED280">
            <w:pPr>
              <w:spacing w:line="360" w:lineRule="auto"/>
              <w:ind w:firstLine="360" w:firstLineChars="150"/>
              <w:rPr>
                <w:rFonts w:ascii="仿宋_GB2312" w:eastAsia="仿宋_GB2312" w:cs="仿宋_GB2312"/>
                <w:sz w:val="24"/>
                <w:szCs w:val="24"/>
              </w:rPr>
            </w:pPr>
          </w:p>
        </w:tc>
        <w:tc>
          <w:tcPr>
            <w:tcW w:w="2019" w:type="dxa"/>
            <w:tcBorders>
              <w:top w:val="single" w:color="000000" w:sz="4" w:space="0"/>
              <w:left w:val="single" w:color="000000" w:sz="4" w:space="0"/>
              <w:bottom w:val="single" w:color="000000" w:sz="4" w:space="0"/>
              <w:right w:val="single" w:color="000000" w:sz="4" w:space="0"/>
            </w:tcBorders>
            <w:vAlign w:val="center"/>
          </w:tcPr>
          <w:p w14:paraId="2054CACA">
            <w:pPr>
              <w:spacing w:line="360" w:lineRule="auto"/>
              <w:rPr>
                <w:rFonts w:ascii="仿宋_GB2312" w:eastAsia="仿宋_GB2312" w:cs="仿宋_GB2312"/>
                <w:sz w:val="24"/>
                <w:szCs w:val="24"/>
              </w:rPr>
            </w:pPr>
            <w:r>
              <w:rPr>
                <w:rFonts w:hint="eastAsia" w:ascii="仿宋_GB2312" w:eastAsia="仿宋_GB2312" w:cs="仿宋_GB2312"/>
                <w:sz w:val="24"/>
                <w:szCs w:val="24"/>
              </w:rPr>
              <w:t>此处填附表总价</w:t>
            </w:r>
          </w:p>
        </w:tc>
        <w:tc>
          <w:tcPr>
            <w:tcW w:w="1292" w:type="dxa"/>
            <w:tcBorders>
              <w:top w:val="single" w:color="000000" w:sz="4" w:space="0"/>
              <w:left w:val="single" w:color="000000" w:sz="4" w:space="0"/>
              <w:bottom w:val="single" w:color="000000" w:sz="4" w:space="0"/>
              <w:right w:val="single" w:color="000000" w:sz="4" w:space="0"/>
            </w:tcBorders>
            <w:vAlign w:val="center"/>
          </w:tcPr>
          <w:p w14:paraId="0D7546F7">
            <w:pPr>
              <w:spacing w:line="360" w:lineRule="auto"/>
              <w:ind w:firstLine="480" w:firstLineChars="200"/>
              <w:jc w:val="center"/>
              <w:rPr>
                <w:rFonts w:ascii="仿宋_GB2312" w:eastAsia="仿宋_GB2312" w:cs="仿宋_GB2312"/>
                <w:sz w:val="24"/>
                <w:szCs w:val="24"/>
              </w:rPr>
            </w:pPr>
          </w:p>
        </w:tc>
        <w:tc>
          <w:tcPr>
            <w:tcW w:w="992" w:type="dxa"/>
            <w:vMerge w:val="continue"/>
            <w:tcBorders>
              <w:left w:val="single" w:color="000000" w:sz="4" w:space="0"/>
              <w:right w:val="single" w:color="000000" w:sz="4" w:space="0"/>
            </w:tcBorders>
            <w:vAlign w:val="center"/>
          </w:tcPr>
          <w:p w14:paraId="5A97736F">
            <w:pPr>
              <w:spacing w:line="360" w:lineRule="auto"/>
              <w:ind w:firstLine="480" w:firstLineChars="200"/>
              <w:jc w:val="center"/>
              <w:rPr>
                <w:rFonts w:ascii="仿宋_GB2312" w:eastAsia="仿宋_GB2312" w:cs="仿宋_GB2312"/>
                <w:sz w:val="24"/>
                <w:szCs w:val="24"/>
              </w:rPr>
            </w:pPr>
          </w:p>
        </w:tc>
      </w:tr>
      <w:tr w14:paraId="40E1F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959" w:type="dxa"/>
            <w:tcBorders>
              <w:top w:val="single" w:color="000000" w:sz="4" w:space="0"/>
              <w:left w:val="single" w:color="000000" w:sz="4" w:space="0"/>
              <w:bottom w:val="single" w:color="000000" w:sz="4" w:space="0"/>
              <w:right w:val="single" w:color="000000" w:sz="4" w:space="0"/>
            </w:tcBorders>
            <w:vAlign w:val="center"/>
          </w:tcPr>
          <w:p w14:paraId="0E771B29">
            <w:pPr>
              <w:widowControl/>
              <w:jc w:val="center"/>
              <w:textAlignment w:val="center"/>
              <w:rPr>
                <w:rFonts w:ascii="仿宋_GB2312" w:eastAsia="仿宋_GB2312" w:cs="仿宋_GB2312"/>
                <w:sz w:val="24"/>
                <w:szCs w:val="24"/>
              </w:rPr>
            </w:pPr>
            <w:r>
              <w:rPr>
                <w:rFonts w:hint="eastAsia" w:ascii="仿宋_GB2312" w:eastAsia="仿宋_GB2312" w:cs="仿宋_GB2312"/>
                <w:sz w:val="24"/>
              </w:rPr>
              <w:t>液压防爆起重机年度维保</w:t>
            </w:r>
          </w:p>
        </w:tc>
        <w:tc>
          <w:tcPr>
            <w:tcW w:w="1295" w:type="dxa"/>
            <w:tcBorders>
              <w:top w:val="single" w:color="000000" w:sz="4" w:space="0"/>
              <w:left w:val="single" w:color="000000" w:sz="4" w:space="0"/>
              <w:bottom w:val="single" w:color="000000" w:sz="4" w:space="0"/>
              <w:right w:val="single" w:color="000000" w:sz="4" w:space="0"/>
            </w:tcBorders>
            <w:vAlign w:val="center"/>
          </w:tcPr>
          <w:p w14:paraId="28E01098">
            <w:pPr>
              <w:widowControl/>
              <w:jc w:val="center"/>
              <w:textAlignment w:val="center"/>
              <w:rPr>
                <w:rFonts w:ascii="仿宋_GB2312" w:eastAsia="仿宋_GB2312" w:cs="仿宋_GB2312"/>
                <w:sz w:val="18"/>
                <w:szCs w:val="18"/>
              </w:rPr>
            </w:pPr>
            <w:r>
              <w:rPr>
                <w:rFonts w:hint="eastAsia" w:ascii="仿宋_GB2312" w:eastAsia="仿宋_GB2312" w:cs="仿宋_GB2312"/>
                <w:sz w:val="18"/>
                <w:szCs w:val="18"/>
              </w:rPr>
              <w:t>YBQ0-98</w:t>
            </w:r>
          </w:p>
        </w:tc>
        <w:tc>
          <w:tcPr>
            <w:tcW w:w="805" w:type="dxa"/>
            <w:tcBorders>
              <w:top w:val="single" w:color="000000" w:sz="4" w:space="0"/>
              <w:left w:val="single" w:color="000000" w:sz="4" w:space="0"/>
              <w:bottom w:val="single" w:color="000000" w:sz="4" w:space="0"/>
              <w:right w:val="single" w:color="000000" w:sz="4" w:space="0"/>
            </w:tcBorders>
            <w:vAlign w:val="center"/>
          </w:tcPr>
          <w:p w14:paraId="5937EA5B">
            <w:pPr>
              <w:spacing w:line="360" w:lineRule="auto"/>
              <w:rPr>
                <w:rFonts w:ascii="仿宋_GB2312" w:eastAsia="仿宋_GB2312" w:cs="仿宋_GB2312"/>
                <w:sz w:val="24"/>
                <w:szCs w:val="24"/>
              </w:rPr>
            </w:pPr>
            <w:r>
              <w:rPr>
                <w:rFonts w:hint="eastAsia" w:ascii="仿宋_GB2312" w:eastAsia="仿宋_GB2312" w:cs="仿宋_GB2312"/>
                <w:sz w:val="24"/>
                <w:szCs w:val="24"/>
              </w:rPr>
              <w:t>1</w:t>
            </w:r>
            <w:r>
              <w:rPr>
                <w:rFonts w:ascii="仿宋_GB2312" w:eastAsia="仿宋_GB2312" w:cs="仿宋_GB2312"/>
                <w:sz w:val="24"/>
                <w:szCs w:val="24"/>
              </w:rPr>
              <w:t>台</w:t>
            </w:r>
          </w:p>
          <w:p w14:paraId="78372E6A">
            <w:pPr>
              <w:widowControl/>
              <w:jc w:val="center"/>
              <w:textAlignment w:val="center"/>
              <w:rPr>
                <w:rFonts w:ascii="仿宋_GB2312" w:eastAsia="仿宋_GB2312" w:cs="仿宋_GB2312"/>
                <w:sz w:val="24"/>
                <w:szCs w:val="24"/>
              </w:rPr>
            </w:pPr>
          </w:p>
        </w:tc>
        <w:tc>
          <w:tcPr>
            <w:tcW w:w="2019" w:type="dxa"/>
            <w:tcBorders>
              <w:top w:val="single" w:color="000000" w:sz="4" w:space="0"/>
              <w:left w:val="single" w:color="000000" w:sz="4" w:space="0"/>
              <w:bottom w:val="single" w:color="000000" w:sz="4" w:space="0"/>
              <w:right w:val="single" w:color="000000" w:sz="4" w:space="0"/>
            </w:tcBorders>
            <w:vAlign w:val="center"/>
          </w:tcPr>
          <w:p w14:paraId="131B157F">
            <w:pPr>
              <w:spacing w:line="360" w:lineRule="auto"/>
              <w:ind w:firstLine="480" w:firstLineChars="200"/>
              <w:jc w:val="center"/>
              <w:rPr>
                <w:rFonts w:ascii="仿宋_GB2312" w:eastAsia="仿宋_GB2312" w:cs="仿宋_GB2312"/>
                <w:sz w:val="24"/>
                <w:szCs w:val="24"/>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74EFA018">
            <w:pPr>
              <w:spacing w:line="360" w:lineRule="auto"/>
              <w:ind w:firstLine="480" w:firstLineChars="200"/>
              <w:jc w:val="center"/>
              <w:rPr>
                <w:rFonts w:ascii="仿宋_GB2312" w:eastAsia="仿宋_GB2312" w:cs="仿宋_GB2312"/>
                <w:sz w:val="24"/>
                <w:szCs w:val="24"/>
              </w:rPr>
            </w:pPr>
          </w:p>
        </w:tc>
        <w:tc>
          <w:tcPr>
            <w:tcW w:w="992" w:type="dxa"/>
            <w:vMerge w:val="continue"/>
            <w:tcBorders>
              <w:left w:val="single" w:color="000000" w:sz="4" w:space="0"/>
              <w:right w:val="single" w:color="000000" w:sz="4" w:space="0"/>
            </w:tcBorders>
            <w:vAlign w:val="center"/>
          </w:tcPr>
          <w:p w14:paraId="216B1FB2">
            <w:pPr>
              <w:spacing w:line="360" w:lineRule="auto"/>
              <w:ind w:firstLine="480" w:firstLineChars="200"/>
              <w:jc w:val="center"/>
              <w:rPr>
                <w:rFonts w:ascii="仿宋_GB2312" w:eastAsia="仿宋_GB2312" w:cs="仿宋_GB2312"/>
                <w:sz w:val="24"/>
                <w:szCs w:val="24"/>
              </w:rPr>
            </w:pPr>
          </w:p>
        </w:tc>
      </w:tr>
      <w:tr w14:paraId="49E0E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959" w:type="dxa"/>
            <w:tcBorders>
              <w:top w:val="single" w:color="000000" w:sz="4" w:space="0"/>
              <w:left w:val="single" w:color="000000" w:sz="4" w:space="0"/>
              <w:bottom w:val="single" w:color="000000" w:sz="4" w:space="0"/>
              <w:right w:val="single" w:color="000000" w:sz="4" w:space="0"/>
            </w:tcBorders>
            <w:vAlign w:val="center"/>
          </w:tcPr>
          <w:p w14:paraId="75100AA1">
            <w:pPr>
              <w:widowControl/>
              <w:jc w:val="center"/>
              <w:textAlignment w:val="center"/>
              <w:rPr>
                <w:rFonts w:ascii="仿宋_GB2312" w:eastAsia="仿宋_GB2312" w:cs="仿宋_GB2312"/>
                <w:sz w:val="24"/>
              </w:rPr>
            </w:pPr>
            <w:r>
              <w:rPr>
                <w:rFonts w:hint="eastAsia" w:ascii="仿宋_GB2312" w:eastAsia="仿宋_GB2312" w:cs="仿宋_GB2312"/>
                <w:sz w:val="24"/>
              </w:rPr>
              <w:t>液压防爆起重机年度维保</w:t>
            </w:r>
          </w:p>
        </w:tc>
        <w:tc>
          <w:tcPr>
            <w:tcW w:w="1295" w:type="dxa"/>
            <w:tcBorders>
              <w:top w:val="single" w:color="000000" w:sz="4" w:space="0"/>
              <w:left w:val="single" w:color="000000" w:sz="4" w:space="0"/>
              <w:bottom w:val="single" w:color="000000" w:sz="4" w:space="0"/>
              <w:right w:val="single" w:color="000000" w:sz="4" w:space="0"/>
            </w:tcBorders>
            <w:vAlign w:val="center"/>
          </w:tcPr>
          <w:p w14:paraId="6549CAE7">
            <w:pPr>
              <w:widowControl/>
              <w:jc w:val="center"/>
              <w:textAlignment w:val="center"/>
              <w:rPr>
                <w:rFonts w:ascii="仿宋_GB2312" w:eastAsia="仿宋_GB2312" w:cs="仿宋_GB2312"/>
                <w:sz w:val="18"/>
                <w:szCs w:val="18"/>
              </w:rPr>
            </w:pPr>
            <w:r>
              <w:rPr>
                <w:rFonts w:ascii="仿宋_GB2312" w:eastAsia="仿宋_GB2312" w:cs="仿宋_GB2312"/>
                <w:sz w:val="18"/>
                <w:szCs w:val="18"/>
              </w:rPr>
              <w:t>YBQ1</w:t>
            </w:r>
          </w:p>
        </w:tc>
        <w:tc>
          <w:tcPr>
            <w:tcW w:w="805" w:type="dxa"/>
            <w:tcBorders>
              <w:top w:val="single" w:color="000000" w:sz="4" w:space="0"/>
              <w:left w:val="single" w:color="000000" w:sz="4" w:space="0"/>
              <w:bottom w:val="single" w:color="000000" w:sz="4" w:space="0"/>
              <w:right w:val="single" w:color="000000" w:sz="4" w:space="0"/>
            </w:tcBorders>
            <w:vAlign w:val="center"/>
          </w:tcPr>
          <w:p w14:paraId="78C2B2FC">
            <w:pPr>
              <w:spacing w:line="360" w:lineRule="auto"/>
              <w:rPr>
                <w:rFonts w:ascii="仿宋_GB2312" w:eastAsia="仿宋_GB2312" w:cs="仿宋_GB2312"/>
                <w:sz w:val="24"/>
                <w:szCs w:val="24"/>
              </w:rPr>
            </w:pPr>
            <w:r>
              <w:rPr>
                <w:rFonts w:hint="eastAsia" w:ascii="仿宋_GB2312" w:eastAsia="仿宋_GB2312" w:cs="仿宋_GB2312"/>
                <w:sz w:val="24"/>
                <w:szCs w:val="24"/>
              </w:rPr>
              <w:t>1</w:t>
            </w:r>
            <w:r>
              <w:rPr>
                <w:rFonts w:ascii="仿宋_GB2312" w:eastAsia="仿宋_GB2312" w:cs="仿宋_GB2312"/>
                <w:sz w:val="24"/>
                <w:szCs w:val="24"/>
              </w:rPr>
              <w:t>台</w:t>
            </w:r>
          </w:p>
          <w:p w14:paraId="6730030D">
            <w:pPr>
              <w:widowControl/>
              <w:jc w:val="center"/>
              <w:textAlignment w:val="center"/>
              <w:rPr>
                <w:rFonts w:ascii="仿宋_GB2312" w:eastAsia="仿宋_GB2312" w:cs="仿宋_GB2312"/>
                <w:sz w:val="24"/>
                <w:szCs w:val="24"/>
              </w:rPr>
            </w:pPr>
          </w:p>
        </w:tc>
        <w:tc>
          <w:tcPr>
            <w:tcW w:w="2019" w:type="dxa"/>
            <w:tcBorders>
              <w:top w:val="single" w:color="000000" w:sz="4" w:space="0"/>
              <w:left w:val="single" w:color="000000" w:sz="4" w:space="0"/>
              <w:bottom w:val="single" w:color="000000" w:sz="4" w:space="0"/>
              <w:right w:val="single" w:color="000000" w:sz="4" w:space="0"/>
            </w:tcBorders>
            <w:vAlign w:val="center"/>
          </w:tcPr>
          <w:p w14:paraId="46B70249">
            <w:pPr>
              <w:spacing w:line="360" w:lineRule="auto"/>
              <w:ind w:firstLine="480" w:firstLineChars="200"/>
              <w:jc w:val="center"/>
              <w:rPr>
                <w:rFonts w:ascii="仿宋_GB2312" w:eastAsia="仿宋_GB2312" w:cs="仿宋_GB2312"/>
                <w:sz w:val="24"/>
                <w:szCs w:val="24"/>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2037791B">
            <w:pPr>
              <w:spacing w:line="360" w:lineRule="auto"/>
              <w:ind w:firstLine="480" w:firstLineChars="200"/>
              <w:jc w:val="center"/>
              <w:rPr>
                <w:rFonts w:ascii="仿宋_GB2312" w:eastAsia="仿宋_GB2312" w:cs="仿宋_GB2312"/>
                <w:sz w:val="24"/>
                <w:szCs w:val="24"/>
              </w:rPr>
            </w:pPr>
          </w:p>
        </w:tc>
        <w:tc>
          <w:tcPr>
            <w:tcW w:w="992" w:type="dxa"/>
            <w:vMerge w:val="continue"/>
            <w:tcBorders>
              <w:left w:val="single" w:color="000000" w:sz="4" w:space="0"/>
              <w:right w:val="single" w:color="000000" w:sz="4" w:space="0"/>
            </w:tcBorders>
            <w:vAlign w:val="center"/>
          </w:tcPr>
          <w:p w14:paraId="5C60E5EF">
            <w:pPr>
              <w:spacing w:line="360" w:lineRule="auto"/>
              <w:ind w:firstLine="480" w:firstLineChars="200"/>
              <w:jc w:val="center"/>
              <w:rPr>
                <w:rFonts w:ascii="仿宋_GB2312" w:eastAsia="仿宋_GB2312" w:cs="仿宋_GB2312"/>
                <w:sz w:val="24"/>
                <w:szCs w:val="24"/>
              </w:rPr>
            </w:pPr>
          </w:p>
        </w:tc>
      </w:tr>
      <w:tr w14:paraId="135F2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959" w:type="dxa"/>
            <w:tcBorders>
              <w:top w:val="single" w:color="000000" w:sz="4" w:space="0"/>
              <w:left w:val="single" w:color="000000" w:sz="4" w:space="0"/>
              <w:bottom w:val="single" w:color="000000" w:sz="4" w:space="0"/>
              <w:right w:val="single" w:color="000000" w:sz="4" w:space="0"/>
            </w:tcBorders>
            <w:vAlign w:val="center"/>
          </w:tcPr>
          <w:p w14:paraId="7EA693BA">
            <w:pPr>
              <w:widowControl/>
              <w:jc w:val="center"/>
              <w:textAlignment w:val="center"/>
              <w:rPr>
                <w:rFonts w:ascii="仿宋_GB2312" w:eastAsia="仿宋_GB2312" w:cs="仿宋_GB2312"/>
                <w:sz w:val="24"/>
              </w:rPr>
            </w:pPr>
            <w:r>
              <w:rPr>
                <w:rFonts w:hint="eastAsia" w:ascii="仿宋_GB2312" w:eastAsia="仿宋_GB2312" w:cs="仿宋_GB2312"/>
                <w:sz w:val="24"/>
              </w:rPr>
              <w:t>固定式船用起重机年度维保</w:t>
            </w:r>
          </w:p>
        </w:tc>
        <w:tc>
          <w:tcPr>
            <w:tcW w:w="1295" w:type="dxa"/>
            <w:tcBorders>
              <w:top w:val="single" w:color="000000" w:sz="4" w:space="0"/>
              <w:left w:val="single" w:color="000000" w:sz="4" w:space="0"/>
              <w:bottom w:val="single" w:color="000000" w:sz="4" w:space="0"/>
              <w:right w:val="single" w:color="000000" w:sz="4" w:space="0"/>
            </w:tcBorders>
            <w:vAlign w:val="center"/>
          </w:tcPr>
          <w:p w14:paraId="3C515C97">
            <w:pPr>
              <w:widowControl/>
              <w:jc w:val="center"/>
              <w:textAlignment w:val="center"/>
              <w:rPr>
                <w:rFonts w:ascii="仿宋_GB2312" w:eastAsia="仿宋_GB2312" w:cs="仿宋_GB2312"/>
                <w:sz w:val="18"/>
                <w:szCs w:val="18"/>
              </w:rPr>
            </w:pPr>
            <w:r>
              <w:rPr>
                <w:rFonts w:hint="eastAsia" w:ascii="仿宋_GB2312" w:eastAsia="仿宋_GB2312" w:cs="仿宋_GB2312"/>
                <w:sz w:val="18"/>
                <w:szCs w:val="18"/>
              </w:rPr>
              <w:t>YCQ1</w:t>
            </w:r>
          </w:p>
        </w:tc>
        <w:tc>
          <w:tcPr>
            <w:tcW w:w="805" w:type="dxa"/>
            <w:tcBorders>
              <w:top w:val="single" w:color="000000" w:sz="4" w:space="0"/>
              <w:left w:val="single" w:color="000000" w:sz="4" w:space="0"/>
              <w:bottom w:val="single" w:color="000000" w:sz="4" w:space="0"/>
              <w:right w:val="single" w:color="000000" w:sz="4" w:space="0"/>
            </w:tcBorders>
            <w:vAlign w:val="center"/>
          </w:tcPr>
          <w:p w14:paraId="092F3504">
            <w:pPr>
              <w:spacing w:line="360" w:lineRule="auto"/>
              <w:rPr>
                <w:rFonts w:ascii="仿宋_GB2312" w:eastAsia="仿宋_GB2312" w:cs="仿宋_GB2312"/>
                <w:sz w:val="24"/>
                <w:szCs w:val="24"/>
              </w:rPr>
            </w:pPr>
            <w:r>
              <w:rPr>
                <w:rFonts w:hint="eastAsia" w:ascii="仿宋_GB2312" w:eastAsia="仿宋_GB2312" w:cs="仿宋_GB2312"/>
                <w:sz w:val="24"/>
                <w:szCs w:val="24"/>
              </w:rPr>
              <w:t>1</w:t>
            </w:r>
            <w:r>
              <w:rPr>
                <w:rFonts w:ascii="仿宋_GB2312" w:eastAsia="仿宋_GB2312" w:cs="仿宋_GB2312"/>
                <w:sz w:val="24"/>
                <w:szCs w:val="24"/>
              </w:rPr>
              <w:t>台</w:t>
            </w:r>
          </w:p>
          <w:p w14:paraId="2788FB3B">
            <w:pPr>
              <w:widowControl/>
              <w:jc w:val="center"/>
              <w:textAlignment w:val="center"/>
              <w:rPr>
                <w:rFonts w:ascii="仿宋_GB2312" w:eastAsia="仿宋_GB2312" w:cs="仿宋_GB2312"/>
                <w:sz w:val="24"/>
                <w:szCs w:val="24"/>
              </w:rPr>
            </w:pPr>
          </w:p>
        </w:tc>
        <w:tc>
          <w:tcPr>
            <w:tcW w:w="2019" w:type="dxa"/>
            <w:tcBorders>
              <w:top w:val="single" w:color="000000" w:sz="4" w:space="0"/>
              <w:left w:val="single" w:color="000000" w:sz="4" w:space="0"/>
              <w:bottom w:val="single" w:color="000000" w:sz="4" w:space="0"/>
              <w:right w:val="single" w:color="000000" w:sz="4" w:space="0"/>
            </w:tcBorders>
            <w:vAlign w:val="center"/>
          </w:tcPr>
          <w:p w14:paraId="43E0007D">
            <w:pPr>
              <w:spacing w:line="360" w:lineRule="auto"/>
              <w:ind w:firstLine="480" w:firstLineChars="200"/>
              <w:jc w:val="center"/>
              <w:rPr>
                <w:rFonts w:ascii="仿宋_GB2312" w:eastAsia="仿宋_GB2312" w:cs="仿宋_GB2312"/>
                <w:sz w:val="24"/>
                <w:szCs w:val="24"/>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2B1DB924">
            <w:pPr>
              <w:spacing w:line="360" w:lineRule="auto"/>
              <w:ind w:firstLine="480" w:firstLineChars="200"/>
              <w:jc w:val="center"/>
              <w:rPr>
                <w:rFonts w:ascii="仿宋_GB2312" w:eastAsia="仿宋_GB2312" w:cs="仿宋_GB2312"/>
                <w:sz w:val="24"/>
                <w:szCs w:val="24"/>
              </w:rPr>
            </w:pPr>
          </w:p>
        </w:tc>
        <w:tc>
          <w:tcPr>
            <w:tcW w:w="992" w:type="dxa"/>
            <w:vMerge w:val="continue"/>
            <w:tcBorders>
              <w:left w:val="single" w:color="000000" w:sz="4" w:space="0"/>
              <w:bottom w:val="single" w:color="000000" w:sz="4" w:space="0"/>
              <w:right w:val="single" w:color="000000" w:sz="4" w:space="0"/>
            </w:tcBorders>
            <w:vAlign w:val="center"/>
          </w:tcPr>
          <w:p w14:paraId="3EF438C2">
            <w:pPr>
              <w:spacing w:line="360" w:lineRule="auto"/>
              <w:ind w:firstLine="480" w:firstLineChars="200"/>
              <w:jc w:val="center"/>
              <w:rPr>
                <w:rFonts w:ascii="仿宋_GB2312" w:eastAsia="仿宋_GB2312" w:cs="仿宋_GB2312"/>
                <w:sz w:val="24"/>
                <w:szCs w:val="24"/>
              </w:rPr>
            </w:pPr>
          </w:p>
        </w:tc>
      </w:tr>
      <w:tr w14:paraId="4EA01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62" w:type="dxa"/>
            <w:gridSpan w:val="6"/>
            <w:tcBorders>
              <w:top w:val="single" w:color="000000" w:sz="4" w:space="0"/>
              <w:left w:val="single" w:color="000000" w:sz="4" w:space="0"/>
              <w:bottom w:val="single" w:color="000000" w:sz="4" w:space="0"/>
              <w:right w:val="single" w:color="000000" w:sz="4" w:space="0"/>
            </w:tcBorders>
            <w:vAlign w:val="center"/>
          </w:tcPr>
          <w:p w14:paraId="500D18CB">
            <w:pPr>
              <w:spacing w:line="480" w:lineRule="auto"/>
              <w:jc w:val="left"/>
              <w:rPr>
                <w:rFonts w:ascii="仿宋_GB2312" w:eastAsia="仿宋_GB2312" w:cs="仿宋_GB2312"/>
                <w:sz w:val="28"/>
                <w:szCs w:val="28"/>
              </w:rPr>
            </w:pPr>
            <w:r>
              <w:rPr>
                <w:rFonts w:hint="eastAsia" w:ascii="仿宋_GB2312" w:eastAsia="仿宋_GB2312" w:cs="仿宋_GB2312"/>
                <w:sz w:val="24"/>
                <w:szCs w:val="24"/>
              </w:rPr>
              <w:t>以上合计总价（小写）：</w:t>
            </w:r>
            <w:r>
              <w:rPr>
                <w:rFonts w:ascii="仿宋_GB2312" w:eastAsia="仿宋_GB2312" w:cs="仿宋_GB2312"/>
                <w:sz w:val="24"/>
                <w:szCs w:val="24"/>
              </w:rPr>
              <w:t xml:space="preserve">                             </w:t>
            </w:r>
            <w:r>
              <w:rPr>
                <w:rFonts w:ascii="仿宋_GB2312" w:eastAsia="仿宋_GB2312" w:cs="仿宋_GB2312"/>
                <w:sz w:val="32"/>
                <w:szCs w:val="32"/>
              </w:rPr>
              <w:t xml:space="preserve">   </w:t>
            </w:r>
          </w:p>
          <w:p w14:paraId="569372A3">
            <w:pPr>
              <w:tabs>
                <w:tab w:val="center" w:pos="2426"/>
              </w:tabs>
              <w:spacing w:line="480" w:lineRule="auto"/>
              <w:jc w:val="left"/>
              <w:rPr>
                <w:rFonts w:ascii="仿宋_GB2312" w:eastAsia="仿宋_GB2312" w:cs="仿宋_GB2312"/>
                <w:sz w:val="24"/>
                <w:szCs w:val="24"/>
              </w:rPr>
            </w:pPr>
          </w:p>
        </w:tc>
      </w:tr>
    </w:tbl>
    <w:p w14:paraId="0F2E953B">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注：按报价格式进行填报，每格均需填报。</w:t>
      </w:r>
    </w:p>
    <w:p w14:paraId="6FBF8989">
      <w:pPr>
        <w:pStyle w:val="5"/>
        <w:spacing w:after="0" w:line="600" w:lineRule="exact"/>
        <w:ind w:firstLine="640" w:firstLineChars="200"/>
        <w:rPr>
          <w:rFonts w:ascii="方正仿宋简体" w:hAnsi="方正仿宋简体" w:eastAsia="方正仿宋简体" w:cs="方正仿宋简体"/>
          <w:color w:val="FF0000"/>
          <w:sz w:val="32"/>
          <w:szCs w:val="32"/>
          <w:u w:val="single"/>
        </w:rPr>
      </w:pPr>
      <w:r>
        <w:rPr>
          <w:rFonts w:hint="eastAsia" w:ascii="方正仿宋简体" w:hAnsi="方正仿宋简体" w:eastAsia="方正仿宋简体" w:cs="方正仿宋简体"/>
          <w:color w:val="FF0000"/>
          <w:sz w:val="32"/>
          <w:szCs w:val="32"/>
        </w:rPr>
        <w:t>三、应急响应时间：</w:t>
      </w:r>
      <w:r>
        <w:rPr>
          <w:rFonts w:hint="eastAsia" w:ascii="方正仿宋简体" w:hAnsi="方正仿宋简体" w:eastAsia="方正仿宋简体" w:cs="方正仿宋简体"/>
          <w:sz w:val="32"/>
          <w:szCs w:val="32"/>
          <w:u w:val="single"/>
        </w:rPr>
        <w:t>中标方接到</w:t>
      </w:r>
      <w:r>
        <w:rPr>
          <w:rFonts w:ascii="方正仿宋简体" w:hAnsi="方正仿宋简体" w:eastAsia="方正仿宋简体" w:cs="方正仿宋简体"/>
          <w:sz w:val="32"/>
          <w:szCs w:val="32"/>
          <w:u w:val="single"/>
        </w:rPr>
        <w:t>招标方通知，</w:t>
      </w:r>
      <w:r>
        <w:rPr>
          <w:rFonts w:hint="eastAsia" w:ascii="方正仿宋简体" w:hAnsi="方正仿宋简体" w:eastAsia="方正仿宋简体" w:cs="方正仿宋简体"/>
          <w:sz w:val="32"/>
          <w:szCs w:val="32"/>
          <w:u w:val="single"/>
        </w:rPr>
        <w:t>1小时内赶</w:t>
      </w:r>
      <w:r>
        <w:rPr>
          <w:rFonts w:ascii="方正仿宋简体" w:hAnsi="方正仿宋简体" w:eastAsia="方正仿宋简体" w:cs="方正仿宋简体"/>
          <w:sz w:val="32"/>
          <w:szCs w:val="32"/>
          <w:u w:val="single"/>
        </w:rPr>
        <w:t>到</w:t>
      </w:r>
      <w:r>
        <w:rPr>
          <w:rFonts w:hint="eastAsia" w:ascii="方正仿宋简体" w:hAnsi="方正仿宋简体" w:eastAsia="方正仿宋简体" w:cs="方正仿宋简体"/>
          <w:sz w:val="32"/>
          <w:szCs w:val="32"/>
          <w:u w:val="single"/>
        </w:rPr>
        <w:t>招标方</w:t>
      </w:r>
      <w:r>
        <w:rPr>
          <w:rFonts w:ascii="方正仿宋简体" w:hAnsi="方正仿宋简体" w:eastAsia="方正仿宋简体" w:cs="方正仿宋简体"/>
          <w:sz w:val="32"/>
          <w:szCs w:val="32"/>
          <w:u w:val="single"/>
        </w:rPr>
        <w:t>现场。</w:t>
      </w:r>
    </w:p>
    <w:p w14:paraId="1600C7E0">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14:paraId="4021F30B">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14:paraId="23D81AE9">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2F5D46A2">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75E883F1">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1B000BF9">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6C027D7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53FEC51E">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0EA0074F">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A977D32">
      <w:pPr>
        <w:rPr>
          <w:rFonts w:ascii="方正小标宋简体" w:hAnsi="宋体" w:eastAsia="方正小标宋简体" w:cs="宋体"/>
          <w:b/>
          <w:bCs/>
          <w:sz w:val="32"/>
          <w:szCs w:val="32"/>
        </w:rPr>
      </w:pPr>
    </w:p>
    <w:p w14:paraId="509C7F6C">
      <w:pPr>
        <w:rPr>
          <w:rFonts w:ascii="方正小标宋简体" w:hAnsi="宋体" w:eastAsia="方正小标宋简体" w:cs="宋体"/>
          <w:b/>
          <w:bCs/>
          <w:sz w:val="32"/>
          <w:szCs w:val="32"/>
        </w:rPr>
      </w:pPr>
    </w:p>
    <w:p w14:paraId="728ED677">
      <w:pPr>
        <w:rPr>
          <w:rFonts w:ascii="方正小标宋简体" w:hAnsi="宋体" w:eastAsia="方正小标宋简体" w:cs="宋体"/>
          <w:b/>
          <w:bCs/>
          <w:sz w:val="32"/>
          <w:szCs w:val="32"/>
        </w:rPr>
      </w:pPr>
    </w:p>
    <w:p w14:paraId="2D8767DD">
      <w:pPr>
        <w:pStyle w:val="11"/>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15AC4E7D">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52F6E5F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51FE31F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6D3B9AA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7690EA7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2EFDE1E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587A529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4930D1E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审计风控部负责归口公司招投标负面清单，具体工作由海纳川各部室及直属单位共同承担。</w:t>
      </w:r>
    </w:p>
    <w:p w14:paraId="18C4DB2D">
      <w:pPr>
        <w:tabs>
          <w:tab w:val="left" w:pos="2565"/>
        </w:tabs>
        <w:spacing w:line="600" w:lineRule="exact"/>
        <w:rPr>
          <w:rFonts w:ascii="方正仿宋简体" w:hAnsi="方正仿宋简体" w:eastAsia="方正仿宋简体" w:cs="方正仿宋简体"/>
          <w:sz w:val="32"/>
          <w:szCs w:val="32"/>
        </w:rPr>
      </w:pPr>
    </w:p>
    <w:p w14:paraId="7744C820">
      <w:pPr>
        <w:tabs>
          <w:tab w:val="left" w:pos="2565"/>
        </w:tabs>
        <w:spacing w:line="600" w:lineRule="exact"/>
        <w:rPr>
          <w:rFonts w:ascii="方正仿宋简体" w:hAnsi="方正仿宋简体" w:eastAsia="方正仿宋简体" w:cs="方正仿宋简体"/>
          <w:sz w:val="32"/>
          <w:szCs w:val="32"/>
        </w:rPr>
      </w:pPr>
    </w:p>
    <w:p w14:paraId="256903F8">
      <w:pPr>
        <w:tabs>
          <w:tab w:val="left" w:pos="2565"/>
        </w:tabs>
        <w:spacing w:line="600" w:lineRule="exact"/>
        <w:rPr>
          <w:rFonts w:ascii="方正仿宋简体" w:hAnsi="方正仿宋简体" w:eastAsia="方正仿宋简体" w:cs="方正仿宋简体"/>
          <w:sz w:val="32"/>
          <w:szCs w:val="32"/>
        </w:rPr>
      </w:pPr>
    </w:p>
    <w:p w14:paraId="11F26B36">
      <w:pPr>
        <w:pStyle w:val="5"/>
      </w:pPr>
    </w:p>
    <w:p w14:paraId="0659E209">
      <w:pPr>
        <w:tabs>
          <w:tab w:val="left" w:pos="2565"/>
        </w:tabs>
        <w:spacing w:line="600" w:lineRule="exact"/>
        <w:rPr>
          <w:rFonts w:ascii="方正仿宋简体" w:hAnsi="方正仿宋简体" w:eastAsia="方正仿宋简体" w:cs="方正仿宋简体"/>
          <w:sz w:val="32"/>
          <w:szCs w:val="32"/>
        </w:rPr>
      </w:pPr>
    </w:p>
    <w:p w14:paraId="531E58EB">
      <w:pPr>
        <w:tabs>
          <w:tab w:val="left" w:pos="2565"/>
        </w:tabs>
        <w:spacing w:line="600" w:lineRule="exact"/>
        <w:rPr>
          <w:rFonts w:ascii="方正仿宋简体" w:hAnsi="方正仿宋简体" w:eastAsia="方正仿宋简体" w:cs="方正仿宋简体"/>
          <w:sz w:val="32"/>
          <w:szCs w:val="32"/>
        </w:rPr>
      </w:pPr>
    </w:p>
    <w:p w14:paraId="4ECFECD8">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66FA142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45E8036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008CF79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7C07C5C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2354395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2443C79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1DA926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16C9B1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6C96722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4220D408">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ADE1B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66E7DBB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95A0E0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301185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3BAD6D98">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18CF8C9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022640F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5618F7F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BF5626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F3B45D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EC26202">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020301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651C4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AFFE54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BC5920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FD372A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380E86">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47AECA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865584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D6067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70A70F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4A16FA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BF6716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22A784A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ADEE3D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D913BF">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6BF7F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21AD50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B0169B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2E1A57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3CD4868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D207C8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4ADA23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4D31C2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9C790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798ED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7B37B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D972954">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60BCFBB7">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5D25AAF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56F14B8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808922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19456F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E9FEE1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275D77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7352F6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3163C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051DA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8000DB2">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EFCEDE">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7830153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6D7128EA">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3F8DF1D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C5F1D3D">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7D22E88A">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3E7178FC">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7E882E05">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792CB3">
      <w:pPr>
        <w:spacing w:line="600" w:lineRule="exact"/>
        <w:ind w:firstLine="640" w:firstLineChars="200"/>
        <w:jc w:val="left"/>
        <w:rPr>
          <w:rFonts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58C20">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B1E453A">
                          <w:pPr>
                            <w:pStyle w:val="8"/>
                            <w:jc w:val="center"/>
                          </w:pPr>
                          <w:r>
                            <w:fldChar w:fldCharType="begin"/>
                          </w:r>
                          <w:r>
                            <w:instrText xml:space="preserve"> PAGE  \* MERGEFORMAT </w:instrText>
                          </w:r>
                          <w:r>
                            <w:fldChar w:fldCharType="separate"/>
                          </w:r>
                          <w:r>
                            <w:t>20</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14:paraId="2B1E453A">
                    <w:pPr>
                      <w:pStyle w:val="8"/>
                      <w:jc w:val="center"/>
                    </w:pPr>
                    <w:r>
                      <w:fldChar w:fldCharType="begin"/>
                    </w:r>
                    <w:r>
                      <w:instrText xml:space="preserve"> PAGE  \* MERGEFORMAT </w:instrText>
                    </w:r>
                    <w:r>
                      <w:fldChar w:fldCharType="separate"/>
                    </w:r>
                    <w:r>
                      <w:t>20</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D25CB"/>
    <w:multiLevelType w:val="singleLevel"/>
    <w:tmpl w:val="C43D25CB"/>
    <w:lvl w:ilvl="0" w:tentative="0">
      <w:start w:val="1"/>
      <w:numFmt w:val="chineseCounting"/>
      <w:lvlText w:val="%1."/>
      <w:lvlJc w:val="left"/>
      <w:pPr>
        <w:tabs>
          <w:tab w:val="left" w:pos="312"/>
        </w:tabs>
      </w:pPr>
      <w:rPr>
        <w:rFonts w:hint="eastAsia"/>
      </w:rPr>
    </w:lvl>
  </w:abstractNum>
  <w:abstractNum w:abstractNumId="1">
    <w:nsid w:val="3C8CDDCF"/>
    <w:multiLevelType w:val="singleLevel"/>
    <w:tmpl w:val="3C8CDDCF"/>
    <w:lvl w:ilvl="0" w:tentative="0">
      <w:start w:val="10"/>
      <w:numFmt w:val="decimal"/>
      <w:suff w:val="space"/>
      <w:lvlText w:val="%1."/>
      <w:lvlJc w:val="left"/>
    </w:lvl>
  </w:abstractNum>
  <w:abstractNum w:abstractNumId="2">
    <w:nsid w:val="58613EF7"/>
    <w:multiLevelType w:val="singleLevel"/>
    <w:tmpl w:val="58613EF7"/>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0095C"/>
    <w:rsid w:val="000116AC"/>
    <w:rsid w:val="000141C3"/>
    <w:rsid w:val="00017A0B"/>
    <w:rsid w:val="00026471"/>
    <w:rsid w:val="00026798"/>
    <w:rsid w:val="0003014A"/>
    <w:rsid w:val="00030F87"/>
    <w:rsid w:val="00057564"/>
    <w:rsid w:val="00065EAD"/>
    <w:rsid w:val="00070A9E"/>
    <w:rsid w:val="000A22DB"/>
    <w:rsid w:val="000A4392"/>
    <w:rsid w:val="000B05C2"/>
    <w:rsid w:val="000B1FDE"/>
    <w:rsid w:val="000B224F"/>
    <w:rsid w:val="000B240D"/>
    <w:rsid w:val="000C0FB0"/>
    <w:rsid w:val="000C1845"/>
    <w:rsid w:val="000D6A23"/>
    <w:rsid w:val="000D7239"/>
    <w:rsid w:val="001053AF"/>
    <w:rsid w:val="0010553B"/>
    <w:rsid w:val="00112DAE"/>
    <w:rsid w:val="00124336"/>
    <w:rsid w:val="00124702"/>
    <w:rsid w:val="001251C4"/>
    <w:rsid w:val="001260B7"/>
    <w:rsid w:val="00135692"/>
    <w:rsid w:val="00147EA3"/>
    <w:rsid w:val="00160290"/>
    <w:rsid w:val="00162DF0"/>
    <w:rsid w:val="00166793"/>
    <w:rsid w:val="00182662"/>
    <w:rsid w:val="00193418"/>
    <w:rsid w:val="001A7FE6"/>
    <w:rsid w:val="001C2ED9"/>
    <w:rsid w:val="001D1E3B"/>
    <w:rsid w:val="001D749A"/>
    <w:rsid w:val="001E269B"/>
    <w:rsid w:val="001E5294"/>
    <w:rsid w:val="001F0841"/>
    <w:rsid w:val="001F16BE"/>
    <w:rsid w:val="00204BA6"/>
    <w:rsid w:val="002055DD"/>
    <w:rsid w:val="00210C67"/>
    <w:rsid w:val="002133E5"/>
    <w:rsid w:val="0024403B"/>
    <w:rsid w:val="0025137B"/>
    <w:rsid w:val="00260A65"/>
    <w:rsid w:val="002628A1"/>
    <w:rsid w:val="002663C8"/>
    <w:rsid w:val="0027458E"/>
    <w:rsid w:val="00295F58"/>
    <w:rsid w:val="002A4FEF"/>
    <w:rsid w:val="002C7D82"/>
    <w:rsid w:val="002D08DB"/>
    <w:rsid w:val="002E6868"/>
    <w:rsid w:val="002F66BD"/>
    <w:rsid w:val="002F7B74"/>
    <w:rsid w:val="00300959"/>
    <w:rsid w:val="00304955"/>
    <w:rsid w:val="003130E5"/>
    <w:rsid w:val="003134B3"/>
    <w:rsid w:val="00317FD9"/>
    <w:rsid w:val="00331F42"/>
    <w:rsid w:val="00354DF6"/>
    <w:rsid w:val="00355E41"/>
    <w:rsid w:val="0035637E"/>
    <w:rsid w:val="00372C3A"/>
    <w:rsid w:val="003732C8"/>
    <w:rsid w:val="00383DDD"/>
    <w:rsid w:val="003C384A"/>
    <w:rsid w:val="003C5E49"/>
    <w:rsid w:val="003C7784"/>
    <w:rsid w:val="003D3B18"/>
    <w:rsid w:val="003E6C64"/>
    <w:rsid w:val="00404F98"/>
    <w:rsid w:val="00407A92"/>
    <w:rsid w:val="00407E4D"/>
    <w:rsid w:val="00407F8E"/>
    <w:rsid w:val="00413897"/>
    <w:rsid w:val="004247DD"/>
    <w:rsid w:val="00424FE1"/>
    <w:rsid w:val="00440CDF"/>
    <w:rsid w:val="00455075"/>
    <w:rsid w:val="004553E5"/>
    <w:rsid w:val="00466243"/>
    <w:rsid w:val="004679B5"/>
    <w:rsid w:val="004715DF"/>
    <w:rsid w:val="004875EB"/>
    <w:rsid w:val="004975D5"/>
    <w:rsid w:val="004C1280"/>
    <w:rsid w:val="004C289D"/>
    <w:rsid w:val="004D4FFE"/>
    <w:rsid w:val="004F039F"/>
    <w:rsid w:val="004F353E"/>
    <w:rsid w:val="004F4F62"/>
    <w:rsid w:val="004F5E27"/>
    <w:rsid w:val="00520D81"/>
    <w:rsid w:val="00541A3D"/>
    <w:rsid w:val="0054684F"/>
    <w:rsid w:val="00554526"/>
    <w:rsid w:val="005644E0"/>
    <w:rsid w:val="00571705"/>
    <w:rsid w:val="00581D3E"/>
    <w:rsid w:val="00585C59"/>
    <w:rsid w:val="005C3E95"/>
    <w:rsid w:val="005C6D13"/>
    <w:rsid w:val="00605A91"/>
    <w:rsid w:val="006168FD"/>
    <w:rsid w:val="006218AD"/>
    <w:rsid w:val="00622A8D"/>
    <w:rsid w:val="006253B4"/>
    <w:rsid w:val="00630257"/>
    <w:rsid w:val="00650CA2"/>
    <w:rsid w:val="00652B4B"/>
    <w:rsid w:val="00675CA6"/>
    <w:rsid w:val="006835A9"/>
    <w:rsid w:val="00687600"/>
    <w:rsid w:val="006A5EB6"/>
    <w:rsid w:val="006B2243"/>
    <w:rsid w:val="006D00BD"/>
    <w:rsid w:val="006D12A4"/>
    <w:rsid w:val="006D3CEC"/>
    <w:rsid w:val="006E07FF"/>
    <w:rsid w:val="006E0809"/>
    <w:rsid w:val="006F1C93"/>
    <w:rsid w:val="0072104A"/>
    <w:rsid w:val="007254B5"/>
    <w:rsid w:val="00740615"/>
    <w:rsid w:val="00753CD1"/>
    <w:rsid w:val="00756CEF"/>
    <w:rsid w:val="007573D6"/>
    <w:rsid w:val="00767487"/>
    <w:rsid w:val="007820F5"/>
    <w:rsid w:val="0078321F"/>
    <w:rsid w:val="007856FB"/>
    <w:rsid w:val="007875CD"/>
    <w:rsid w:val="0079121E"/>
    <w:rsid w:val="00793220"/>
    <w:rsid w:val="007B14D2"/>
    <w:rsid w:val="007C772C"/>
    <w:rsid w:val="007D630F"/>
    <w:rsid w:val="007E6E47"/>
    <w:rsid w:val="007F0E1D"/>
    <w:rsid w:val="007F50F6"/>
    <w:rsid w:val="00813574"/>
    <w:rsid w:val="00814842"/>
    <w:rsid w:val="008249E2"/>
    <w:rsid w:val="008414F2"/>
    <w:rsid w:val="00842B41"/>
    <w:rsid w:val="00856599"/>
    <w:rsid w:val="00882A3F"/>
    <w:rsid w:val="00887DB8"/>
    <w:rsid w:val="00892E49"/>
    <w:rsid w:val="008B6E7D"/>
    <w:rsid w:val="008C15BB"/>
    <w:rsid w:val="008C785B"/>
    <w:rsid w:val="008D2F65"/>
    <w:rsid w:val="008D5377"/>
    <w:rsid w:val="0091028A"/>
    <w:rsid w:val="0091114C"/>
    <w:rsid w:val="0091252B"/>
    <w:rsid w:val="0093613E"/>
    <w:rsid w:val="0094305E"/>
    <w:rsid w:val="00975ECA"/>
    <w:rsid w:val="0099001A"/>
    <w:rsid w:val="009A7843"/>
    <w:rsid w:val="009B5752"/>
    <w:rsid w:val="009C0A90"/>
    <w:rsid w:val="009C1B9D"/>
    <w:rsid w:val="009D135B"/>
    <w:rsid w:val="009D1883"/>
    <w:rsid w:val="009E2975"/>
    <w:rsid w:val="00A303BA"/>
    <w:rsid w:val="00A34408"/>
    <w:rsid w:val="00A54DF7"/>
    <w:rsid w:val="00A62208"/>
    <w:rsid w:val="00A63D7F"/>
    <w:rsid w:val="00A64586"/>
    <w:rsid w:val="00A7381A"/>
    <w:rsid w:val="00A86910"/>
    <w:rsid w:val="00A934E7"/>
    <w:rsid w:val="00A97749"/>
    <w:rsid w:val="00AA0514"/>
    <w:rsid w:val="00AA7C48"/>
    <w:rsid w:val="00AB1284"/>
    <w:rsid w:val="00AB6095"/>
    <w:rsid w:val="00AC569D"/>
    <w:rsid w:val="00AD1B32"/>
    <w:rsid w:val="00AD4931"/>
    <w:rsid w:val="00AD59AF"/>
    <w:rsid w:val="00AF3655"/>
    <w:rsid w:val="00B05EF4"/>
    <w:rsid w:val="00B13AB6"/>
    <w:rsid w:val="00B17FFA"/>
    <w:rsid w:val="00B353E5"/>
    <w:rsid w:val="00B51C96"/>
    <w:rsid w:val="00B74619"/>
    <w:rsid w:val="00B7550F"/>
    <w:rsid w:val="00B82CED"/>
    <w:rsid w:val="00B92F7B"/>
    <w:rsid w:val="00BB4AB2"/>
    <w:rsid w:val="00BD5DA8"/>
    <w:rsid w:val="00BD78FB"/>
    <w:rsid w:val="00BF2809"/>
    <w:rsid w:val="00C13056"/>
    <w:rsid w:val="00C13EC3"/>
    <w:rsid w:val="00C1662A"/>
    <w:rsid w:val="00C21131"/>
    <w:rsid w:val="00C258E8"/>
    <w:rsid w:val="00C266AB"/>
    <w:rsid w:val="00C372AD"/>
    <w:rsid w:val="00C46E5D"/>
    <w:rsid w:val="00C56465"/>
    <w:rsid w:val="00C56960"/>
    <w:rsid w:val="00C95CDE"/>
    <w:rsid w:val="00C97E7F"/>
    <w:rsid w:val="00CC0ED7"/>
    <w:rsid w:val="00CC1DC6"/>
    <w:rsid w:val="00CC3EB8"/>
    <w:rsid w:val="00CD136A"/>
    <w:rsid w:val="00D24639"/>
    <w:rsid w:val="00D32CC0"/>
    <w:rsid w:val="00D35BFF"/>
    <w:rsid w:val="00D51C9C"/>
    <w:rsid w:val="00D74619"/>
    <w:rsid w:val="00D82D6F"/>
    <w:rsid w:val="00D85EF7"/>
    <w:rsid w:val="00D94759"/>
    <w:rsid w:val="00D96DDE"/>
    <w:rsid w:val="00DB3725"/>
    <w:rsid w:val="00DC041C"/>
    <w:rsid w:val="00DC063D"/>
    <w:rsid w:val="00DC6099"/>
    <w:rsid w:val="00DD194E"/>
    <w:rsid w:val="00DE7ECE"/>
    <w:rsid w:val="00E07481"/>
    <w:rsid w:val="00E1048D"/>
    <w:rsid w:val="00E14327"/>
    <w:rsid w:val="00E45A9C"/>
    <w:rsid w:val="00E4738E"/>
    <w:rsid w:val="00E50CF1"/>
    <w:rsid w:val="00E60EFF"/>
    <w:rsid w:val="00E65D0B"/>
    <w:rsid w:val="00E74639"/>
    <w:rsid w:val="00E80713"/>
    <w:rsid w:val="00E85439"/>
    <w:rsid w:val="00E9659A"/>
    <w:rsid w:val="00ED7B8D"/>
    <w:rsid w:val="00EE274A"/>
    <w:rsid w:val="00EE408D"/>
    <w:rsid w:val="00EE5E6B"/>
    <w:rsid w:val="00F131D4"/>
    <w:rsid w:val="00F16E4B"/>
    <w:rsid w:val="00F32DB5"/>
    <w:rsid w:val="00F40B91"/>
    <w:rsid w:val="00F41CBE"/>
    <w:rsid w:val="00F45B42"/>
    <w:rsid w:val="00F73EB9"/>
    <w:rsid w:val="00F85547"/>
    <w:rsid w:val="00FA1409"/>
    <w:rsid w:val="00FB0D6C"/>
    <w:rsid w:val="00FC486E"/>
    <w:rsid w:val="00FD6560"/>
    <w:rsid w:val="00FE673F"/>
    <w:rsid w:val="00FF61CA"/>
    <w:rsid w:val="0164050F"/>
    <w:rsid w:val="02056778"/>
    <w:rsid w:val="0355512A"/>
    <w:rsid w:val="04E42F38"/>
    <w:rsid w:val="06D85C83"/>
    <w:rsid w:val="08053EC9"/>
    <w:rsid w:val="0BD400F3"/>
    <w:rsid w:val="0CCD460E"/>
    <w:rsid w:val="0E301273"/>
    <w:rsid w:val="0EDC703A"/>
    <w:rsid w:val="0F866E5F"/>
    <w:rsid w:val="126F548F"/>
    <w:rsid w:val="13345697"/>
    <w:rsid w:val="1444244B"/>
    <w:rsid w:val="148B12E6"/>
    <w:rsid w:val="14EA645D"/>
    <w:rsid w:val="19181A3A"/>
    <w:rsid w:val="19693DA3"/>
    <w:rsid w:val="19DD0389"/>
    <w:rsid w:val="1A3D3083"/>
    <w:rsid w:val="1D074620"/>
    <w:rsid w:val="1FAF27B2"/>
    <w:rsid w:val="20684DBC"/>
    <w:rsid w:val="20A41476"/>
    <w:rsid w:val="20CF030D"/>
    <w:rsid w:val="22140B6D"/>
    <w:rsid w:val="225D796E"/>
    <w:rsid w:val="24EC6623"/>
    <w:rsid w:val="250F1AC0"/>
    <w:rsid w:val="251B2B2D"/>
    <w:rsid w:val="25BC2C7C"/>
    <w:rsid w:val="2B1716CE"/>
    <w:rsid w:val="2BBD3669"/>
    <w:rsid w:val="2E16582B"/>
    <w:rsid w:val="2E4116FA"/>
    <w:rsid w:val="2E76621A"/>
    <w:rsid w:val="2FC02DD6"/>
    <w:rsid w:val="2FD8767E"/>
    <w:rsid w:val="30406DC2"/>
    <w:rsid w:val="31262BAF"/>
    <w:rsid w:val="330F093A"/>
    <w:rsid w:val="33194A39"/>
    <w:rsid w:val="33AD1E6F"/>
    <w:rsid w:val="34E37CA8"/>
    <w:rsid w:val="359E47FF"/>
    <w:rsid w:val="35B72FCB"/>
    <w:rsid w:val="35C91817"/>
    <w:rsid w:val="35DA3E68"/>
    <w:rsid w:val="379A3E49"/>
    <w:rsid w:val="37AD1125"/>
    <w:rsid w:val="39050DB8"/>
    <w:rsid w:val="391E61C3"/>
    <w:rsid w:val="3B9B3980"/>
    <w:rsid w:val="3C9F5C81"/>
    <w:rsid w:val="3D98669F"/>
    <w:rsid w:val="3DF04746"/>
    <w:rsid w:val="3F683A30"/>
    <w:rsid w:val="3F89585D"/>
    <w:rsid w:val="416D2207"/>
    <w:rsid w:val="43EC12FF"/>
    <w:rsid w:val="44E509D4"/>
    <w:rsid w:val="452A0524"/>
    <w:rsid w:val="455B22CF"/>
    <w:rsid w:val="48585050"/>
    <w:rsid w:val="488F68F0"/>
    <w:rsid w:val="49C10D2B"/>
    <w:rsid w:val="4A434323"/>
    <w:rsid w:val="4AFA44F5"/>
    <w:rsid w:val="4B060719"/>
    <w:rsid w:val="4D185277"/>
    <w:rsid w:val="4DC0511E"/>
    <w:rsid w:val="4ED14A41"/>
    <w:rsid w:val="4FAC5BC3"/>
    <w:rsid w:val="4FC61FF0"/>
    <w:rsid w:val="50846203"/>
    <w:rsid w:val="50DD469C"/>
    <w:rsid w:val="51ED4DB3"/>
    <w:rsid w:val="525D4F27"/>
    <w:rsid w:val="538763B9"/>
    <w:rsid w:val="55DC546E"/>
    <w:rsid w:val="56BA5D7F"/>
    <w:rsid w:val="579C3951"/>
    <w:rsid w:val="58E54B9B"/>
    <w:rsid w:val="596D6B7C"/>
    <w:rsid w:val="5CEC747F"/>
    <w:rsid w:val="5E8F2D4E"/>
    <w:rsid w:val="5FC1162D"/>
    <w:rsid w:val="60DD5FF3"/>
    <w:rsid w:val="65151005"/>
    <w:rsid w:val="654407EC"/>
    <w:rsid w:val="66202ABE"/>
    <w:rsid w:val="66441755"/>
    <w:rsid w:val="66461558"/>
    <w:rsid w:val="66CF713B"/>
    <w:rsid w:val="68961ACE"/>
    <w:rsid w:val="6B1479D8"/>
    <w:rsid w:val="6B5B4715"/>
    <w:rsid w:val="6C180827"/>
    <w:rsid w:val="6C9F262D"/>
    <w:rsid w:val="6CD02EB0"/>
    <w:rsid w:val="6D9745DB"/>
    <w:rsid w:val="6E136704"/>
    <w:rsid w:val="7257401A"/>
    <w:rsid w:val="726141AB"/>
    <w:rsid w:val="72B172DF"/>
    <w:rsid w:val="72FE7B26"/>
    <w:rsid w:val="7406451D"/>
    <w:rsid w:val="756A3232"/>
    <w:rsid w:val="76853A1F"/>
    <w:rsid w:val="76CA658E"/>
    <w:rsid w:val="783458C3"/>
    <w:rsid w:val="7941380E"/>
    <w:rsid w:val="79DC6491"/>
    <w:rsid w:val="7A1E0C67"/>
    <w:rsid w:val="7A5E5F9F"/>
    <w:rsid w:val="7B044DE1"/>
    <w:rsid w:val="7BEF4253"/>
    <w:rsid w:val="7BFF2E69"/>
    <w:rsid w:val="7D8A2C07"/>
    <w:rsid w:val="7DD76804"/>
    <w:rsid w:val="7EF22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0"/>
    <w:pPr>
      <w:adjustRightInd w:val="0"/>
      <w:spacing w:after="0" w:line="312" w:lineRule="atLeast"/>
      <w:ind w:left="1296" w:leftChars="0"/>
      <w:textAlignment w:val="baseline"/>
    </w:pPr>
    <w:rPr>
      <w:rFonts w:eastAsia="仿宋_GB2312"/>
      <w:kern w:val="21"/>
      <w:sz w:val="32"/>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3EE33-AF82-4F3A-A9C5-985403BAC8A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8498</Words>
  <Characters>8868</Characters>
  <Lines>66</Lines>
  <Paragraphs>18</Paragraphs>
  <TotalTime>0</TotalTime>
  <ScaleCrop>false</ScaleCrop>
  <LinksUpToDate>false</LinksUpToDate>
  <CharactersWithSpaces>9078</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2023-03-16T00:26:00Z</cp:lastPrinted>
  <dcterms:modified xsi:type="dcterms:W3CDTF">2024-07-12T03:44:51Z</dcterms:modified>
  <dc:title>镇江海纳川物流产业发展有限责任公司</dc:title>
  <cp:revision>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E695694EA80D48E1A54CF3A3083423BA_13</vt:lpwstr>
  </property>
</Properties>
</file>