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盐化事业部零星安装招标工作量及要求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有机膜亚硫酸钠管道改造工作：φ32 304不锈钢管道38米、弯头12只、法兰6片、阀门2只，DN200*1米管道混合器1只安装，切割钛管1米，焊接TA/20#对焊环松套法兰2组；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脱硝新增板式换热器配管工作：φ108 304不锈钢管6米、弯头10只、阀门2只、法兰6片；φ159衬塑管安装12米、弯头10只、阀门3只；10#槽钢做支架约8米；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脱硝冷冻机循环水管改造：在V409B东北侧循环水管处抽头，φ219管道120米、弯头20只、阀门4只、法兰8只，DN125阀门2只；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合成氢气冷却器钢结构制作安装：H300型钢90米、10#槽钢50米、格栅板铺设20㎡、10mm厚钢板2㎡、扶手栏杆立柱φ45镀锌管70米、40角钢*120米、50角钢*30米、100角钢28米、900*250踏步板25块、16#槽钢18米；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冷冻站冷冻水优化：安装冷冻水分配台1只φ800*3000mm（原蒸汽分配台利旧），安装DN250阀门5只、管道24米、法兰10片、弯头12只，DN25阀</w:t>
      </w:r>
      <w:r>
        <w:rPr>
          <w:rFonts w:hint="eastAsia"/>
          <w:sz w:val="24"/>
          <w:szCs w:val="32"/>
          <w:lang w:val="en-US" w:eastAsia="zh-CN"/>
        </w:rPr>
        <w:t>门1只、法兰2片，12#槽钢支架24米；安装55KW冷水泵1台、放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ZR-YJV-4*50+1*25动力电缆线400米、ZR-KVVP-10*1.5控制电缆400米，接线调试，ZR-KVVP-5*1.5控制电缆400米，ZR-KVVP-2*1.5控制电缆800米，穿线管DN50*12米，穿线管DN20*12米，钢构件制作安装10#槽钢6米、50角钢6米、40扁铁12米，操作柱1只，接线调试进出口配管DN250*200偏心异径管1只、DN200*150同心异径管1只、进出口</w:t>
      </w:r>
      <w:r>
        <w:rPr>
          <w:rFonts w:hint="eastAsia"/>
          <w:sz w:val="24"/>
          <w:szCs w:val="32"/>
          <w:lang w:val="en-US" w:eastAsia="zh-CN"/>
        </w:rPr>
        <w:t>导淋2处、压力表1只、DN25三通1只、法兰3片、φ32管道1米、DN200管道12米、弯头4只；</w:t>
      </w:r>
    </w:p>
    <w:p>
      <w:pPr>
        <w:rPr>
          <w:rFonts w:hint="default" w:ascii="Calibri" w:hAnsi="Calibri" w:eastAsia="微软雅黑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施工过程中的车辆，吊装，脚手架及安全防护措施均由施工单位自备。其中管廊动火作业为</w:t>
      </w:r>
      <w:r>
        <w:rPr>
          <w:rFonts w:hint="eastAsia" w:ascii="Calibri" w:hAnsi="Calibri" w:eastAsia="微软雅黑" w:cs="Times New Roman"/>
          <w:b/>
          <w:bCs/>
          <w:color w:val="auto"/>
          <w:sz w:val="22"/>
          <w:szCs w:val="22"/>
          <w:lang w:val="en-US" w:eastAsia="zh-CN"/>
        </w:rPr>
        <w:t>一级动火</w:t>
      </w:r>
      <w:r>
        <w:rPr>
          <w:rFonts w:hint="eastAsia" w:ascii="Calibri" w:hAnsi="Calibri" w:eastAsia="微软雅黑" w:cs="Times New Roman"/>
          <w:color w:val="auto"/>
          <w:sz w:val="22"/>
          <w:szCs w:val="22"/>
          <w:lang w:val="en-US" w:eastAsia="zh-CN"/>
        </w:rPr>
        <w:t>，尽量提前预制，减少管廊一级动火作业，遇到节假日需升级管理，外部检查、参观如需现场停止作业应积极响应甲方要求。部分作业为登高、动火作业，施工人员需持有登高证（应急厅颁发）、焊工证等资质并接受我公司以及新区推行的外包项目、劳务派遣人员申报制度，安全培训教育合格方可施工。</w:t>
      </w:r>
    </w:p>
    <w:p>
      <w:pPr>
        <w:rPr>
          <w:rFonts w:hint="eastAsia" w:ascii="Calibri" w:hAnsi="Calibri" w:eastAsia="微软雅黑" w:cs="Times New Roman"/>
          <w:color w:val="auto"/>
          <w:sz w:val="28"/>
          <w:szCs w:val="28"/>
          <w:lang w:val="en-US" w:eastAsia="zh-CN"/>
        </w:rPr>
      </w:pPr>
    </w:p>
    <w:p>
      <w:pPr>
        <w:rPr>
          <w:rFonts w:hint="default" w:ascii="Calibri" w:hAnsi="Calibri" w:eastAsia="微软雅黑" w:cs="Times New Roman"/>
          <w:color w:val="auto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C2D04"/>
    <w:multiLevelType w:val="singleLevel"/>
    <w:tmpl w:val="693C2D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mRjZDc3NjMxM2ZjNTk1MjFhZTZhZDFkYmY0MDUifQ=="/>
  </w:docVars>
  <w:rsids>
    <w:rsidRoot w:val="19C6177D"/>
    <w:rsid w:val="19C6177D"/>
    <w:rsid w:val="485909E1"/>
    <w:rsid w:val="53065A01"/>
    <w:rsid w:val="706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2024-07-04T23:39:00Z</dcterms:created>
  <dc:creator>梓悦她爸</dc:creator>
  <cp:lastModifiedBy>梓悦她爸</cp:lastModifiedBy>
  <dcterms:modified xsi:type="dcterms:W3CDTF">2024-07-05T07:40:17Z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9E546A40C2574C8580B04E03E24FC7AF_11</vt:lpwstr>
  </property>
</Properties>
</file>