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海纳川2024-202</w:t>
      </w:r>
      <w:r>
        <w:rPr>
          <w:rFonts w:ascii="方正仿宋简体" w:hAnsi="仿宋_GB2312" w:eastAsia="方正仿宋简体" w:cs="仿宋_GB2312"/>
          <w:kern w:val="1"/>
          <w:sz w:val="32"/>
          <w:szCs w:val="32"/>
          <w:u w:val="single"/>
        </w:rPr>
        <w:t>5</w:t>
      </w:r>
      <w:r>
        <w:rPr>
          <w:rFonts w:hint="eastAsia" w:ascii="方正仿宋简体" w:hAnsi="仿宋_GB2312" w:eastAsia="方正仿宋简体" w:cs="仿宋_GB2312"/>
          <w:kern w:val="1"/>
          <w:sz w:val="32"/>
          <w:szCs w:val="32"/>
          <w:u w:val="single"/>
        </w:rPr>
        <w:t>年度电机</w:t>
      </w:r>
      <w:r>
        <w:rPr>
          <w:rFonts w:ascii="方正仿宋简体" w:hAnsi="仿宋_GB2312" w:eastAsia="方正仿宋简体" w:cs="仿宋_GB2312"/>
          <w:kern w:val="1"/>
          <w:sz w:val="32"/>
          <w:szCs w:val="32"/>
          <w:u w:val="single"/>
        </w:rPr>
        <w:t>维保</w:t>
      </w:r>
      <w:r>
        <w:rPr>
          <w:rFonts w:hint="eastAsia" w:ascii="方正仿宋简体" w:hAnsi="仿宋_GB2312" w:eastAsia="方正仿宋简体" w:cs="仿宋_GB2312"/>
          <w:kern w:val="1"/>
          <w:sz w:val="32"/>
          <w:szCs w:val="32"/>
          <w:u w:val="single"/>
        </w:rPr>
        <w:t>（</w:t>
      </w:r>
      <w:r>
        <w:rPr>
          <w:rFonts w:ascii="方正仿宋简体" w:hAnsi="仿宋_GB2312" w:eastAsia="方正仿宋简体" w:cs="仿宋_GB2312"/>
          <w:kern w:val="1"/>
          <w:sz w:val="32"/>
          <w:szCs w:val="32"/>
          <w:u w:val="single"/>
        </w:rPr>
        <w:t>18</w:t>
      </w:r>
      <w:r>
        <w:rPr>
          <w:rFonts w:hint="eastAsia" w:ascii="方正仿宋简体" w:hAnsi="仿宋_GB2312" w:eastAsia="方正仿宋简体" w:cs="仿宋_GB2312"/>
          <w:kern w:val="1"/>
          <w:sz w:val="32"/>
          <w:szCs w:val="32"/>
          <w:u w:val="single"/>
        </w:rPr>
        <w:t>个</w:t>
      </w:r>
      <w:r>
        <w:rPr>
          <w:rFonts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rPr>
        <w:t>）</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024</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7</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-2025</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12月</w:t>
      </w:r>
      <w:r>
        <w:rPr>
          <w:rFonts w:hint="eastAsia" w:ascii="方正仿宋简体" w:hAnsi="仿宋_GB2312" w:eastAsia="方正仿宋简体" w:cs="仿宋_GB2312"/>
          <w:kern w:val="1"/>
          <w:sz w:val="32"/>
          <w:szCs w:val="32"/>
          <w:u w:val="single"/>
        </w:rPr>
        <w:t>3</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2024年7月4日上午10:00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2024年7月4日上午10:00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Style w:val="7"/>
        <w:ind w:firstLine="640" w:firstLineChars="200"/>
      </w:pPr>
      <w:r>
        <w:rPr>
          <w:rFonts w:hint="eastAsia" w:ascii="方正仿宋简体" w:hAnsi="方正仿宋简体" w:eastAsia="方正仿宋简体"/>
          <w:sz w:val="32"/>
          <w:szCs w:val="32"/>
        </w:rPr>
        <w:t>（八）该项目由海纳川统一招标，中标单位根据报价明细分别与镇江海纳川物流产业发展有限责任公司（简称海纳川）、镇江海纳川公铁运输有限公司（简称公铁运输）签订合同。</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海纳川电机</w:t>
      </w:r>
      <w:r>
        <w:rPr>
          <w:rFonts w:ascii="方正仿宋简体" w:hAnsi="仿宋_GB2312" w:eastAsia="方正仿宋简体" w:cs="仿宋_GB2312"/>
          <w:kern w:val="1"/>
          <w:sz w:val="32"/>
          <w:szCs w:val="32"/>
        </w:rPr>
        <w:t>年度维保</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024</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7</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6</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-2025</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12月</w:t>
      </w:r>
      <w:r>
        <w:rPr>
          <w:rFonts w:hint="eastAsia" w:ascii="方正仿宋简体" w:hAnsi="仿宋_GB2312" w:eastAsia="方正仿宋简体" w:cs="仿宋_GB2312"/>
          <w:kern w:val="1"/>
          <w:sz w:val="32"/>
          <w:szCs w:val="32"/>
        </w:rPr>
        <w:t>3</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w:t>
      </w:r>
      <w:r>
        <w:rPr>
          <w:rFonts w:hint="eastAsia" w:ascii="方正仿宋简体" w:hAnsi="仿宋_GB2312" w:eastAsia="方正仿宋简体" w:cs="仿宋_GB2312"/>
          <w:sz w:val="32"/>
          <w:szCs w:val="32"/>
        </w:rPr>
        <w:t>附表</w:t>
      </w: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：海纳川</w:t>
      </w:r>
      <w:r>
        <w:rPr>
          <w:rFonts w:ascii="方正仿宋简体" w:hAnsi="仿宋_GB2312" w:eastAsia="方正仿宋简体" w:cs="仿宋_GB2312"/>
          <w:sz w:val="32"/>
          <w:szCs w:val="32"/>
        </w:rPr>
        <w:t>港口</w:t>
      </w:r>
      <w:r>
        <w:rPr>
          <w:rFonts w:hint="eastAsia" w:ascii="方正仿宋简体" w:hAnsi="仿宋_GB2312" w:eastAsia="方正仿宋简体" w:cs="仿宋_GB2312"/>
          <w:sz w:val="32"/>
          <w:szCs w:val="32"/>
        </w:rPr>
        <w:t>电机</w:t>
      </w:r>
      <w:r>
        <w:rPr>
          <w:rFonts w:ascii="方正仿宋简体" w:hAnsi="仿宋_GB2312" w:eastAsia="方正仿宋简体" w:cs="仿宋_GB2312"/>
          <w:sz w:val="32"/>
          <w:szCs w:val="32"/>
        </w:rPr>
        <w:t>清单</w:t>
      </w:r>
    </w:p>
    <w:p>
      <w:pPr>
        <w:pStyle w:val="2"/>
        <w:ind w:firstLine="1760" w:firstLineChars="550"/>
        <w:rPr>
          <w:rFonts w:ascii="方正仿宋简体" w:hAnsi="仿宋_GB2312" w:eastAsia="方正仿宋简体" w:cs="仿宋_GB2312"/>
          <w:b w:val="0"/>
          <w:kern w:val="1"/>
          <w:szCs w:val="32"/>
        </w:rPr>
      </w:pPr>
      <w:r>
        <w:rPr>
          <w:rFonts w:hint="eastAsia" w:ascii="方正仿宋简体" w:hAnsi="仿宋_GB2312" w:eastAsia="方正仿宋简体" w:cs="仿宋_GB2312"/>
          <w:b w:val="0"/>
          <w:kern w:val="1"/>
          <w:szCs w:val="32"/>
        </w:rPr>
        <w:t>附表</w:t>
      </w:r>
      <w:r>
        <w:rPr>
          <w:rFonts w:ascii="方正仿宋简体" w:hAnsi="仿宋_GB2312" w:eastAsia="方正仿宋简体" w:cs="仿宋_GB2312"/>
          <w:b w:val="0"/>
          <w:kern w:val="1"/>
          <w:szCs w:val="32"/>
        </w:rPr>
        <w:t>3</w:t>
      </w:r>
      <w:r>
        <w:rPr>
          <w:rFonts w:hint="eastAsia" w:ascii="方正仿宋简体" w:hAnsi="仿宋_GB2312" w:eastAsia="方正仿宋简体" w:cs="仿宋_GB2312"/>
          <w:b w:val="0"/>
          <w:kern w:val="1"/>
          <w:szCs w:val="32"/>
        </w:rPr>
        <w:t>：海纳川公铁</w:t>
      </w:r>
      <w:r>
        <w:rPr>
          <w:rFonts w:ascii="方正仿宋简体" w:hAnsi="仿宋_GB2312" w:eastAsia="方正仿宋简体" w:cs="仿宋_GB2312"/>
          <w:b w:val="0"/>
          <w:kern w:val="1"/>
          <w:szCs w:val="32"/>
        </w:rPr>
        <w:t>电机清单</w:t>
      </w:r>
      <w:r>
        <w:rPr>
          <w:rFonts w:hint="eastAsia"/>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电机维保服务工作内容：</w:t>
      </w:r>
    </w:p>
    <w:p>
      <w:pPr>
        <w:pStyle w:val="2"/>
        <w:ind w:firstLine="800" w:firstLineChars="250"/>
        <w:rPr>
          <w:rFonts w:ascii="方正仿宋简体" w:hAnsi="仿宋_GB2312" w:eastAsia="方正仿宋简体" w:cs="仿宋_GB2312"/>
          <w:b w:val="0"/>
          <w:szCs w:val="32"/>
        </w:rPr>
      </w:pPr>
      <w:r>
        <w:rPr>
          <w:rFonts w:hint="eastAsia" w:ascii="方正仿宋简体" w:hAnsi="仿宋_GB2312" w:eastAsia="方正仿宋简体" w:cs="仿宋_GB2312"/>
          <w:b w:val="0"/>
          <w:szCs w:val="32"/>
        </w:rPr>
        <w:t>海纳川共有各类电机</w:t>
      </w:r>
      <w:r>
        <w:rPr>
          <w:rFonts w:ascii="方正仿宋简体" w:hAnsi="仿宋_GB2312" w:eastAsia="方正仿宋简体" w:cs="仿宋_GB2312"/>
          <w:b w:val="0"/>
          <w:szCs w:val="32"/>
        </w:rPr>
        <w:t>107</w:t>
      </w:r>
      <w:r>
        <w:rPr>
          <w:rFonts w:hint="eastAsia" w:ascii="方正仿宋简体" w:hAnsi="仿宋_GB2312" w:eastAsia="方正仿宋简体" w:cs="仿宋_GB2312"/>
          <w:b w:val="0"/>
          <w:szCs w:val="32"/>
        </w:rPr>
        <w:t>台（详见附表</w:t>
      </w:r>
      <w:r>
        <w:rPr>
          <w:rFonts w:ascii="方正仿宋简体" w:hAnsi="仿宋_GB2312" w:eastAsia="方正仿宋简体" w:cs="仿宋_GB2312"/>
          <w:b w:val="0"/>
          <w:szCs w:val="32"/>
        </w:rPr>
        <w:t>2</w:t>
      </w:r>
      <w:r>
        <w:rPr>
          <w:rFonts w:hint="eastAsia" w:ascii="方正仿宋简体" w:hAnsi="仿宋_GB2312" w:eastAsia="方正仿宋简体" w:cs="仿宋_GB2312"/>
          <w:b w:val="0"/>
          <w:szCs w:val="32"/>
        </w:rPr>
        <w:t>：海纳川港口电机清单；</w:t>
      </w:r>
      <w:r>
        <w:rPr>
          <w:rFonts w:ascii="方正仿宋简体" w:hAnsi="仿宋_GB2312" w:eastAsia="方正仿宋简体" w:cs="仿宋_GB2312"/>
          <w:b w:val="0"/>
          <w:szCs w:val="32"/>
        </w:rPr>
        <w:t>附表3</w:t>
      </w:r>
      <w:r>
        <w:rPr>
          <w:rFonts w:hint="eastAsia" w:ascii="方正仿宋简体" w:hAnsi="仿宋_GB2312" w:eastAsia="方正仿宋简体" w:cs="仿宋_GB2312"/>
          <w:b w:val="0"/>
          <w:szCs w:val="32"/>
        </w:rPr>
        <w:t>：</w:t>
      </w:r>
      <w:r>
        <w:rPr>
          <w:rFonts w:ascii="方正仿宋简体" w:hAnsi="仿宋_GB2312" w:eastAsia="方正仿宋简体" w:cs="仿宋_GB2312"/>
          <w:b w:val="0"/>
          <w:szCs w:val="32"/>
        </w:rPr>
        <w:t>海纳川公铁电机清单</w:t>
      </w:r>
      <w:r>
        <w:rPr>
          <w:rFonts w:hint="eastAsia" w:ascii="方正仿宋简体" w:hAnsi="仿宋_GB2312" w:eastAsia="方正仿宋简体" w:cs="仿宋_GB2312"/>
          <w:b w:val="0"/>
          <w:szCs w:val="32"/>
        </w:rPr>
        <w:t>），中标方每半年对海纳川电机进行一次现场保养，招标方提前一周通知中标方，中标方接到招标方保养电机通知后，用3周时间完成全部电机保养。招标方电机出现故障，中标方必须在接到通知后</w:t>
      </w:r>
      <w:r>
        <w:rPr>
          <w:rFonts w:ascii="方正仿宋简体" w:hAnsi="仿宋_GB2312" w:eastAsia="方正仿宋简体" w:cs="仿宋_GB2312"/>
          <w:b w:val="0"/>
          <w:szCs w:val="32"/>
        </w:rPr>
        <w:t>4</w:t>
      </w:r>
      <w:r>
        <w:rPr>
          <w:rFonts w:hint="eastAsia" w:ascii="方正仿宋简体" w:hAnsi="仿宋_GB2312" w:eastAsia="方正仿宋简体" w:cs="仿宋_GB2312"/>
          <w:b w:val="0"/>
          <w:szCs w:val="32"/>
        </w:rPr>
        <w:t xml:space="preserve">小时内赶到招标方现场判断故障并现场维修，如电机需运至中标方维修工厂进行维修，电机往返由中标方负责，现场拆卸、安装、叉车由招标方负责，维修时间不超过72小时。 </w:t>
      </w:r>
    </w:p>
    <w:p>
      <w:pPr>
        <w:widowControl/>
        <w:ind w:firstLine="640" w:firstLineChars="200"/>
        <w:rPr>
          <w:rFonts w:ascii="方正仿宋简体" w:hAnsi="仿宋_GB2312" w:eastAsia="方正仿宋简体" w:cs="仿宋_GB2312"/>
          <w:kern w:val="1"/>
          <w:sz w:val="32"/>
          <w:szCs w:val="32"/>
        </w:rPr>
      </w:pPr>
      <w:r>
        <w:rPr>
          <w:rFonts w:ascii="方正仿宋简体" w:hAnsi="仿宋_GB2312" w:eastAsia="方正仿宋简体" w:cs="仿宋_GB2312"/>
          <w:sz w:val="32"/>
          <w:szCs w:val="32"/>
        </w:rPr>
        <w:t xml:space="preserve"> 2</w:t>
      </w:r>
      <w:r>
        <w:rPr>
          <w:rFonts w:hint="eastAsia" w:ascii="方正仿宋简体" w:hAnsi="仿宋_GB2312" w:eastAsia="方正仿宋简体" w:cs="仿宋_GB2312"/>
          <w:sz w:val="32"/>
          <w:szCs w:val="32"/>
        </w:rPr>
        <w:t>．现场</w:t>
      </w:r>
      <w:r>
        <w:rPr>
          <w:rFonts w:ascii="方正仿宋简体" w:hAnsi="仿宋_GB2312" w:eastAsia="方正仿宋简体" w:cs="仿宋_GB2312"/>
          <w:sz w:val="32"/>
          <w:szCs w:val="32"/>
        </w:rPr>
        <w:t>维保及返厂维修</w:t>
      </w:r>
      <w:r>
        <w:rPr>
          <w:rFonts w:hint="eastAsia" w:ascii="方正仿宋简体" w:hAnsi="仿宋_GB2312" w:eastAsia="方正仿宋简体" w:cs="仿宋_GB2312"/>
          <w:kern w:val="1"/>
          <w:sz w:val="32"/>
          <w:szCs w:val="32"/>
        </w:rPr>
        <w:t>技术要求</w:t>
      </w:r>
    </w:p>
    <w:p>
      <w:pPr>
        <w:ind w:firstLine="800" w:firstLineChars="250"/>
        <w:rPr>
          <w:rFonts w:ascii="方正仿宋简体" w:hAnsi="仿宋_GB2312" w:eastAsia="方正仿宋简体" w:cs="仿宋_GB2312"/>
          <w:color w:val="000000"/>
          <w:kern w:val="1"/>
          <w:sz w:val="32"/>
          <w:szCs w:val="32"/>
        </w:rPr>
      </w:pPr>
      <w:r>
        <w:rPr>
          <w:rFonts w:hint="eastAsia" w:ascii="方正仿宋简体" w:hAnsi="仿宋_GB2312" w:eastAsia="方正仿宋简体" w:cs="仿宋_GB2312"/>
          <w:sz w:val="32"/>
          <w:szCs w:val="32"/>
        </w:rPr>
        <w:t>现场保养要求详见附件2：</w:t>
      </w:r>
      <w:r>
        <w:rPr>
          <w:rFonts w:ascii="方正仿宋简体" w:hAnsi="仿宋_GB2312" w:eastAsia="方正仿宋简体" w:cs="仿宋_GB2312"/>
          <w:sz w:val="32"/>
          <w:szCs w:val="32"/>
        </w:rPr>
        <w:t>电机现场维保</w:t>
      </w:r>
      <w:r>
        <w:rPr>
          <w:rFonts w:hint="eastAsia" w:ascii="方正仿宋简体" w:hAnsi="仿宋_GB2312" w:eastAsia="方正仿宋简体" w:cs="仿宋_GB2312"/>
          <w:sz w:val="32"/>
          <w:szCs w:val="32"/>
        </w:rPr>
        <w:t>技术</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rPr>
        <w:t>；返厂维修要求详见附件</w:t>
      </w: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：返厂维修技术要求</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sz w:val="32"/>
          <w:szCs w:val="32"/>
        </w:rPr>
        <w:t>（含</w:t>
      </w:r>
      <w:r>
        <w:rPr>
          <w:rFonts w:hint="eastAsia" w:ascii="方正仿宋简体" w:hAnsi="方正仿宋简体" w:eastAsia="方正仿宋简体" w:cs="方正仿宋简体"/>
          <w:sz w:val="32"/>
          <w:szCs w:val="32"/>
        </w:rPr>
        <w:t>机电设备维修或电机维修</w:t>
      </w:r>
      <w:r>
        <w:rPr>
          <w:rFonts w:hint="eastAsia" w:ascii="方正仿宋简体" w:hAnsi="仿宋_GB2312" w:eastAsia="方正仿宋简体" w:cs="仿宋_GB2312"/>
          <w:sz w:val="32"/>
          <w:szCs w:val="32"/>
        </w:rPr>
        <w:t>）；</w:t>
      </w:r>
      <w:r>
        <w:rPr>
          <w:rFonts w:hint="eastAsia" w:ascii="方正仿宋简体" w:eastAsia="方正仿宋简体" w:cs="仿宋_GB2312"/>
          <w:color w:val="000000"/>
          <w:sz w:val="32"/>
          <w:szCs w:val="32"/>
        </w:rPr>
        <w:t>法人代表身份证或授权委托书；</w:t>
      </w:r>
      <w:r>
        <w:rPr>
          <w:rFonts w:ascii="方正仿宋简体" w:eastAsia="方正仿宋简体" w:cs="仿宋_GB2312"/>
          <w:color w:val="000000"/>
          <w:sz w:val="32"/>
          <w:szCs w:val="32"/>
        </w:rPr>
        <w:t>2</w:t>
      </w:r>
      <w:r>
        <w:rPr>
          <w:rFonts w:hint="eastAsia" w:ascii="方正仿宋简体" w:eastAsia="方正仿宋简体" w:cs="仿宋_GB2312"/>
          <w:color w:val="000000"/>
          <w:sz w:val="32"/>
          <w:szCs w:val="32"/>
        </w:rPr>
        <w:t>名作业人员特种作业操作证书（</w:t>
      </w:r>
      <w:r>
        <w:rPr>
          <w:rFonts w:ascii="方正仿宋简体" w:eastAsia="方正仿宋简体" w:cs="仿宋_GB2312"/>
          <w:color w:val="000000"/>
          <w:sz w:val="32"/>
          <w:szCs w:val="32"/>
        </w:rPr>
        <w:t>电工证</w:t>
      </w:r>
      <w:r>
        <w:rPr>
          <w:rFonts w:hint="eastAsia" w:ascii="方正仿宋简体" w:eastAsia="方正仿宋简体" w:cs="仿宋_GB2312"/>
          <w:color w:val="000000"/>
          <w:sz w:val="32"/>
          <w:szCs w:val="32"/>
        </w:rPr>
        <w:t>）</w:t>
      </w:r>
      <w:r>
        <w:rPr>
          <w:rFonts w:hint="eastAsia" w:ascii="方正仿宋简体" w:hAnsi="仿宋_GB2312" w:eastAsia="方正仿宋简体" w:cs="仿宋_GB2312"/>
          <w:sz w:val="32"/>
          <w:szCs w:val="32"/>
        </w:rPr>
        <w:t>（以上资格证明证件可提供复印件，但需加盖公章）。</w:t>
      </w:r>
    </w:p>
    <w:p>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color w:val="000000"/>
          <w:sz w:val="32"/>
          <w:szCs w:val="32"/>
        </w:rPr>
        <w:t>确定中标后，在签订合同前，</w:t>
      </w:r>
      <w:r>
        <w:rPr>
          <w:rFonts w:hint="eastAsia" w:ascii="方正仿宋简体" w:eastAsia="方正仿宋简体" w:cs="仿宋_GB2312"/>
          <w:color w:val="000000"/>
          <w:sz w:val="32"/>
          <w:szCs w:val="32"/>
        </w:rPr>
        <w:t>中标单位需</w:t>
      </w:r>
      <w:r>
        <w:rPr>
          <w:rFonts w:ascii="方正仿宋简体" w:eastAsia="方正仿宋简体" w:cs="仿宋_GB2312"/>
          <w:color w:val="000000"/>
          <w:sz w:val="32"/>
          <w:szCs w:val="32"/>
        </w:rPr>
        <w:t>提供</w:t>
      </w:r>
      <w:r>
        <w:rPr>
          <w:rFonts w:hint="eastAsia" w:ascii="方正仿宋简体" w:eastAsia="方正仿宋简体" w:cs="仿宋_GB2312"/>
          <w:color w:val="000000"/>
          <w:sz w:val="32"/>
          <w:szCs w:val="32"/>
        </w:rPr>
        <w:t>与派遣检测人员的劳务</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或</w:t>
      </w:r>
      <w:r>
        <w:rPr>
          <w:rFonts w:ascii="方正仿宋简体" w:eastAsia="方正仿宋简体" w:cs="仿宋_GB2312"/>
          <w:color w:val="000000"/>
          <w:sz w:val="32"/>
          <w:szCs w:val="32"/>
        </w:rPr>
        <w:t>劳</w:t>
      </w:r>
      <w:r>
        <w:rPr>
          <w:rFonts w:hint="eastAsia" w:ascii="方正仿宋简体" w:eastAsia="方正仿宋简体" w:cs="仿宋_GB2312"/>
          <w:color w:val="000000"/>
          <w:sz w:val="32"/>
          <w:szCs w:val="32"/>
        </w:rPr>
        <w:t>动</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检测人员工伤保险证明或人身意外伤害保险缴纳证明，根据维保工期要求，至少提供本单位</w:t>
      </w:r>
      <w:r>
        <w:rPr>
          <w:rFonts w:ascii="方正仿宋简体" w:eastAsia="方正仿宋简体" w:cs="仿宋_GB2312"/>
          <w:color w:val="000000"/>
          <w:sz w:val="32"/>
          <w:szCs w:val="32"/>
        </w:rPr>
        <w:t>2</w:t>
      </w:r>
      <w:r>
        <w:rPr>
          <w:rFonts w:hint="eastAsia" w:ascii="方正仿宋简体" w:eastAsia="方正仿宋简体" w:cs="仿宋_GB2312"/>
          <w:color w:val="000000"/>
          <w:sz w:val="32"/>
          <w:szCs w:val="32"/>
        </w:rPr>
        <w:t>位作业人员的缴纳证明（需加盖公章）。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检测现场做好维护人员的个人防护，维护过程中发生意外伤害由中标人自行负责等。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2.中标单位与招标单位签订合同时，须按照海纳川相关安全管理规定签订或提供《外包项目(工程)安全生产管理协议书》并依照《海纳川承包商安全环保管理制度》管理；检测前，招标方安全管理部门对中</w:t>
      </w:r>
      <w:r>
        <w:rPr>
          <w:rFonts w:ascii="方正仿宋简体" w:hAnsi="方正仿宋简体" w:eastAsia="方正仿宋简体" w:cs="方正仿宋简体"/>
          <w:kern w:val="1"/>
          <w:sz w:val="32"/>
          <w:szCs w:val="32"/>
        </w:rPr>
        <w:t>标方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pPr>
        <w:pStyle w:val="12"/>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3.作业过程中，若涉及特种作业（如电工证等）的需提供相应的特种作业证，必须人证一致，且在有效期内。</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5.中标人应具备良好的售后服务能力，要求电话联系后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1.本项目建议投标人员到现场进行踏勘，对未踏勘造成的一切后果由投标人自行承担，现场踏勘不作为投标资格的必要条件。</w:t>
      </w:r>
    </w:p>
    <w:p>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．招标人在踏勘现场中介绍电机运行情况及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，供投标人在编制投标文件时参考，招标人不对投标人据此作出的判断和决策负责。</w:t>
      </w:r>
    </w:p>
    <w:p>
      <w:pPr>
        <w:pStyle w:val="7"/>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7"/>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pPr>
        <w:pStyle w:val="7"/>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pPr>
        <w:pStyle w:val="7"/>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中标方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：“现场维保”服务第一年</w:t>
      </w:r>
      <w:r>
        <w:rPr>
          <w:rFonts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rPr>
        <w:t>费用；二年</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中标方开具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：“现场维保”服务第二</w:t>
      </w:r>
      <w:r>
        <w:rPr>
          <w:rFonts w:ascii="方正仿宋简体" w:hAnsi="方正仿宋简体" w:eastAsia="方正仿宋简体" w:cs="方正仿宋简体"/>
          <w:bCs/>
          <w:kern w:val="1"/>
          <w:sz w:val="32"/>
          <w:szCs w:val="32"/>
        </w:rPr>
        <w:t>年</w:t>
      </w:r>
      <w:r>
        <w:rPr>
          <w:rFonts w:hint="eastAsia" w:ascii="方正仿宋简体" w:hAnsi="方正仿宋简体" w:eastAsia="方正仿宋简体" w:cs="方正仿宋简体"/>
          <w:bCs/>
          <w:kern w:val="1"/>
          <w:sz w:val="32"/>
          <w:szCs w:val="32"/>
        </w:rPr>
        <w:t>的费用。</w:t>
      </w:r>
    </w:p>
    <w:p>
      <w:pPr>
        <w:pStyle w:val="7"/>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 xml:space="preserve">2. </w:t>
      </w:r>
      <w:r>
        <w:rPr>
          <w:rFonts w:hint="eastAsia" w:ascii="方正仿宋简体" w:hAnsi="方正仿宋简体" w:eastAsia="方正仿宋简体" w:cs="方正仿宋简体"/>
          <w:bCs/>
          <w:kern w:val="1"/>
          <w:sz w:val="32"/>
          <w:szCs w:val="32"/>
        </w:rPr>
        <w:t>如电机返厂维修需拆解</w:t>
      </w:r>
      <w:r>
        <w:rPr>
          <w:rFonts w:ascii="方正仿宋简体" w:hAnsi="方正仿宋简体" w:eastAsia="方正仿宋简体" w:cs="方正仿宋简体"/>
          <w:bCs/>
          <w:kern w:val="1"/>
          <w:sz w:val="32"/>
          <w:szCs w:val="32"/>
        </w:rPr>
        <w:t>保养或更换线圈</w:t>
      </w:r>
      <w:r>
        <w:rPr>
          <w:rFonts w:hint="eastAsia" w:ascii="方正仿宋简体" w:hAnsi="方正仿宋简体" w:eastAsia="方正仿宋简体" w:cs="方正仿宋简体"/>
          <w:bCs/>
          <w:kern w:val="1"/>
          <w:sz w:val="32"/>
          <w:szCs w:val="32"/>
        </w:rPr>
        <w:t>，依据</w:t>
      </w:r>
      <w:r>
        <w:rPr>
          <w:rFonts w:ascii="方正仿宋简体" w:hAnsi="方正仿宋简体" w:eastAsia="方正仿宋简体" w:cs="方正仿宋简体"/>
          <w:bCs/>
          <w:kern w:val="1"/>
          <w:sz w:val="32"/>
          <w:szCs w:val="32"/>
        </w:rPr>
        <w:t>报价函</w:t>
      </w:r>
      <w:r>
        <w:rPr>
          <w:rFonts w:hint="eastAsia" w:ascii="方正仿宋简体" w:hAnsi="方正仿宋简体" w:eastAsia="方正仿宋简体" w:cs="方正仿宋简体"/>
          <w:bCs/>
          <w:kern w:val="1"/>
          <w:sz w:val="32"/>
          <w:szCs w:val="32"/>
        </w:rPr>
        <w:t>第二</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返厂</w:t>
      </w:r>
      <w:r>
        <w:rPr>
          <w:rFonts w:ascii="方正仿宋简体" w:hAnsi="方正仿宋简体" w:eastAsia="方正仿宋简体" w:cs="方正仿宋简体"/>
          <w:bCs/>
          <w:kern w:val="1"/>
          <w:sz w:val="32"/>
          <w:szCs w:val="32"/>
        </w:rPr>
        <w:t>维修费”</w:t>
      </w:r>
      <w:r>
        <w:rPr>
          <w:rFonts w:hint="eastAsia" w:ascii="方正仿宋简体" w:hAnsi="方正仿宋简体" w:eastAsia="方正仿宋简体" w:cs="方正仿宋简体"/>
          <w:bCs/>
          <w:kern w:val="1"/>
          <w:sz w:val="32"/>
          <w:szCs w:val="32"/>
        </w:rPr>
        <w:t>的报价，按实统计</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审计价结算</w:t>
      </w:r>
      <w:r>
        <w:rPr>
          <w:rFonts w:hint="eastAsia" w:ascii="方正仿宋简体" w:hAnsi="方正仿宋简体" w:eastAsia="方正仿宋简体" w:cs="方正仿宋简体"/>
          <w:bCs/>
          <w:kern w:val="1"/>
          <w:sz w:val="32"/>
          <w:szCs w:val="32"/>
        </w:rPr>
        <w:t>。中标方根据招标方提供的审核认定单开具增值税专用发票，招标方收到发票后 30 日内以网银付款方式支付 “返厂维修费”</w:t>
      </w:r>
    </w:p>
    <w:p>
      <w:pPr>
        <w:pStyle w:val="7"/>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如电机返厂维修需更换</w:t>
      </w:r>
      <w:r>
        <w:rPr>
          <w:rFonts w:ascii="方正仿宋简体" w:hAnsi="方正仿宋简体" w:eastAsia="方正仿宋简体" w:cs="方正仿宋简体"/>
          <w:bCs/>
          <w:kern w:val="1"/>
          <w:sz w:val="32"/>
          <w:szCs w:val="32"/>
        </w:rPr>
        <w:t>配件</w:t>
      </w:r>
      <w:r>
        <w:rPr>
          <w:rFonts w:hint="eastAsia" w:ascii="方正仿宋简体" w:hAnsi="方正仿宋简体" w:eastAsia="方正仿宋简体" w:cs="方正仿宋简体"/>
          <w:bCs/>
          <w:kern w:val="1"/>
          <w:sz w:val="32"/>
          <w:szCs w:val="32"/>
        </w:rPr>
        <w:t>，依据报价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三</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“电机配件更换”附表1的报价</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按实统计</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审计价结算。</w:t>
      </w:r>
      <w:r>
        <w:rPr>
          <w:rFonts w:hint="eastAsia" w:ascii="方正仿宋简体" w:hAnsi="方正仿宋简体" w:eastAsia="方正仿宋简体" w:cs="方正仿宋简体"/>
          <w:bCs/>
          <w:kern w:val="1"/>
          <w:sz w:val="32"/>
          <w:szCs w:val="32"/>
        </w:rPr>
        <w:t>中标方根据招标方提供的审核认定单开具增值税专用发票，招标方收到发票后 30 日内以网银付款方式支付 “配件</w:t>
      </w:r>
      <w:r>
        <w:rPr>
          <w:rFonts w:ascii="方正仿宋简体" w:hAnsi="方正仿宋简体" w:eastAsia="方正仿宋简体" w:cs="方正仿宋简体"/>
          <w:bCs/>
          <w:kern w:val="1"/>
          <w:sz w:val="32"/>
          <w:szCs w:val="32"/>
        </w:rPr>
        <w:t>更换</w:t>
      </w:r>
      <w:r>
        <w:rPr>
          <w:rFonts w:hint="eastAsia" w:ascii="方正仿宋简体" w:hAnsi="方正仿宋简体" w:eastAsia="方正仿宋简体" w:cs="方正仿宋简体"/>
          <w:bCs/>
          <w:kern w:val="1"/>
          <w:sz w:val="32"/>
          <w:szCs w:val="32"/>
        </w:rPr>
        <w:t>费”。</w:t>
      </w:r>
    </w:p>
    <w:p>
      <w:pPr>
        <w:pStyle w:val="7"/>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（如投标人不接受招标人提出的付款方式，可在报价书中明确能够接受的付款方式及付款时间，评标时作为参考。报价为含税价，请注明税率。）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2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2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pPr>
        <w:pStyle w:val="7"/>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在能够满足招标人技术要求及响应时间要求的投标人中选择总投标价最低的一家投标人作为中标候选人。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7"/>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pPr>
        <w:pStyle w:val="5"/>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标人原因，检测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检测的，重新检测过程中产生的费用由中标人全部承担，且需在招标人第一次验收不合格之日起2日内完成，逾期未完成的，违约责任参照第（四）条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Pr>
        <w:pStyle w:val="6"/>
      </w:pPr>
    </w:p>
    <w:p>
      <w:pPr>
        <w:pStyle w:val="3"/>
        <w:jc w:val="both"/>
        <w:rPr>
          <w:rFonts w:ascii="Arial" w:hAnsi="Arial" w:eastAsia="黑体"/>
          <w:b/>
          <w:kern w:val="2"/>
          <w:sz w:val="32"/>
        </w:rPr>
      </w:pPr>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numPr>
          <w:ilvl w:val="0"/>
          <w:numId w:val="1"/>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W w:w="9821" w:type="dxa"/>
        <w:tblInd w:w="-140" w:type="dxa"/>
        <w:tblLayout w:type="fixed"/>
        <w:tblCellMar>
          <w:top w:w="0" w:type="dxa"/>
          <w:left w:w="0" w:type="dxa"/>
          <w:bottom w:w="0" w:type="dxa"/>
          <w:right w:w="0" w:type="dxa"/>
        </w:tblCellMar>
      </w:tblPr>
      <w:tblGrid>
        <w:gridCol w:w="760"/>
        <w:gridCol w:w="1238"/>
        <w:gridCol w:w="657"/>
        <w:gridCol w:w="28"/>
        <w:gridCol w:w="447"/>
        <w:gridCol w:w="194"/>
        <w:gridCol w:w="794"/>
        <w:gridCol w:w="335"/>
        <w:gridCol w:w="510"/>
        <w:gridCol w:w="505"/>
        <w:gridCol w:w="79"/>
        <w:gridCol w:w="545"/>
        <w:gridCol w:w="169"/>
        <w:gridCol w:w="960"/>
        <w:gridCol w:w="179"/>
        <w:gridCol w:w="1188"/>
        <w:gridCol w:w="1233"/>
      </w:tblGrid>
      <w:tr>
        <w:tblPrEx>
          <w:tblCellMar>
            <w:top w:w="0" w:type="dxa"/>
            <w:left w:w="0" w:type="dxa"/>
            <w:bottom w:w="0" w:type="dxa"/>
            <w:right w:w="0" w:type="dxa"/>
          </w:tblCellMar>
        </w:tblPrEx>
        <w:trPr>
          <w:trHeight w:val="577" w:hRule="atLeast"/>
        </w:trPr>
        <w:tc>
          <w:tcPr>
            <w:tcW w:w="760" w:type="dxa"/>
            <w:tcBorders>
              <w:top w:val="single" w:color="auto" w:sz="8" w:space="0"/>
              <w:left w:val="single" w:color="auto" w:sz="8" w:space="0"/>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一</w:t>
            </w:r>
          </w:p>
        </w:tc>
        <w:tc>
          <w:tcPr>
            <w:tcW w:w="9061" w:type="dxa"/>
            <w:gridSpan w:val="16"/>
            <w:tcBorders>
              <w:top w:val="single" w:color="auto" w:sz="8" w:space="0"/>
              <w:left w:val="single" w:color="auto" w:sz="4" w:space="0"/>
              <w:bottom w:val="single" w:color="auto" w:sz="4" w:space="0"/>
              <w:right w:val="single" w:color="auto" w:sz="8" w:space="0"/>
            </w:tcBorders>
            <w:shd w:val="clear" w:color="auto" w:fill="auto"/>
            <w:vAlign w:val="center"/>
          </w:tcPr>
          <w:p>
            <w:pPr>
              <w:spacing w:line="300" w:lineRule="exact"/>
              <w:ind w:left="3200"/>
              <w:jc w:val="left"/>
              <w:rPr>
                <w:rFonts w:ascii="黑体" w:hAnsi="黑体" w:eastAsia="黑体" w:cs="方正仿宋简体"/>
                <w:bCs/>
                <w:kern w:val="0"/>
                <w:sz w:val="24"/>
                <w:szCs w:val="24"/>
              </w:rPr>
            </w:pPr>
            <w:r>
              <w:rPr>
                <w:rFonts w:hint="eastAsia" w:ascii="黑体" w:hAnsi="黑体" w:eastAsia="黑体" w:cs="方正仿宋简体"/>
                <w:bCs/>
                <w:kern w:val="0"/>
                <w:sz w:val="24"/>
                <w:szCs w:val="24"/>
              </w:rPr>
              <w:t>电机</w:t>
            </w:r>
            <w:r>
              <w:rPr>
                <w:rFonts w:ascii="黑体" w:hAnsi="黑体" w:eastAsia="黑体" w:cs="方正仿宋简体"/>
                <w:bCs/>
                <w:kern w:val="0"/>
                <w:sz w:val="24"/>
                <w:szCs w:val="24"/>
              </w:rPr>
              <w:t>现场维保</w:t>
            </w:r>
            <w:r>
              <w:rPr>
                <w:rFonts w:hint="eastAsia" w:ascii="黑体" w:hAnsi="黑体" w:eastAsia="黑体" w:cs="方正仿宋简体"/>
                <w:bCs/>
                <w:kern w:val="0"/>
                <w:sz w:val="24"/>
                <w:szCs w:val="24"/>
              </w:rPr>
              <w:t>费</w:t>
            </w:r>
          </w:p>
        </w:tc>
      </w:tr>
      <w:tr>
        <w:tblPrEx>
          <w:tblCellMar>
            <w:top w:w="0" w:type="dxa"/>
            <w:left w:w="0" w:type="dxa"/>
            <w:bottom w:w="0" w:type="dxa"/>
            <w:right w:w="0" w:type="dxa"/>
          </w:tblCellMar>
        </w:tblPrEx>
        <w:trPr>
          <w:trHeight w:val="378" w:hRule="atLeast"/>
        </w:trPr>
        <w:tc>
          <w:tcPr>
            <w:tcW w:w="760"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ind w:firstLine="120" w:firstLineChars="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238"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1132" w:type="dxa"/>
            <w:gridSpan w:val="3"/>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w:t>
            </w:r>
            <w:r>
              <w:rPr>
                <w:rFonts w:ascii="方正仿宋简体" w:hAnsi="方正仿宋简体" w:eastAsia="方正仿宋简体" w:cs="方正仿宋简体"/>
                <w:bCs/>
                <w:kern w:val="0"/>
                <w:sz w:val="24"/>
                <w:szCs w:val="24"/>
              </w:rPr>
              <w:t>内容</w:t>
            </w:r>
          </w:p>
        </w:tc>
        <w:tc>
          <w:tcPr>
            <w:tcW w:w="988"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规格</w:t>
            </w:r>
            <w:r>
              <w:rPr>
                <w:rFonts w:ascii="方正仿宋简体" w:hAnsi="方正仿宋简体" w:eastAsia="方正仿宋简体" w:cs="方正仿宋简体"/>
                <w:bCs/>
                <w:kern w:val="0"/>
                <w:sz w:val="24"/>
                <w:szCs w:val="24"/>
              </w:rPr>
              <w:t>型号</w:t>
            </w:r>
          </w:p>
        </w:tc>
        <w:tc>
          <w:tcPr>
            <w:tcW w:w="845" w:type="dxa"/>
            <w:gridSpan w:val="2"/>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ind w:firstLine="120" w:firstLineChars="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1129" w:type="dxa"/>
            <w:gridSpan w:val="3"/>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单价</w:t>
            </w:r>
            <w:r>
              <w:rPr>
                <w:rFonts w:hint="eastAsia" w:ascii="方正仿宋简体" w:hAnsi="方正仿宋简体" w:eastAsia="方正仿宋简体" w:cs="方正仿宋简体"/>
                <w:bCs/>
                <w:kern w:val="0"/>
                <w:szCs w:val="21"/>
              </w:rPr>
              <w:t>（元）</w:t>
            </w:r>
          </w:p>
        </w:tc>
        <w:tc>
          <w:tcPr>
            <w:tcW w:w="1129" w:type="dxa"/>
            <w:gridSpan w:val="2"/>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总价</w:t>
            </w:r>
            <w:r>
              <w:rPr>
                <w:rFonts w:hint="eastAsia" w:ascii="方正仿宋简体" w:hAnsi="方正仿宋简体" w:eastAsia="方正仿宋简体" w:cs="方正仿宋简体"/>
                <w:bCs/>
                <w:kern w:val="0"/>
                <w:szCs w:val="21"/>
              </w:rPr>
              <w:t>（元）</w:t>
            </w:r>
          </w:p>
        </w:tc>
        <w:tc>
          <w:tcPr>
            <w:tcW w:w="2600" w:type="dxa"/>
            <w:gridSpan w:val="3"/>
            <w:tcBorders>
              <w:top w:val="single" w:color="auto" w:sz="4" w:space="0"/>
              <w:left w:val="nil"/>
              <w:right w:val="single" w:color="auto" w:sz="4" w:space="0"/>
            </w:tcBorders>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tblPrEx>
          <w:tblCellMar>
            <w:top w:w="0" w:type="dxa"/>
            <w:left w:w="0" w:type="dxa"/>
            <w:bottom w:w="0" w:type="dxa"/>
            <w:right w:w="0" w:type="dxa"/>
          </w:tblCellMar>
        </w:tblPrEx>
        <w:trPr>
          <w:trHeight w:val="840" w:hRule="atLeast"/>
        </w:trPr>
        <w:tc>
          <w:tcPr>
            <w:tcW w:w="760"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ind w:firstLine="240" w:firstLineChars="100"/>
              <w:jc w:val="left"/>
              <w:rPr>
                <w:rFonts w:ascii="方正仿宋简体" w:hAnsi="方正仿宋简体" w:eastAsia="方正仿宋简体" w:cs="方正仿宋简体"/>
                <w:bCs/>
                <w:kern w:val="0"/>
                <w:sz w:val="24"/>
                <w:szCs w:val="24"/>
              </w:rPr>
            </w:pPr>
          </w:p>
          <w:p>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w:t>
            </w:r>
          </w:p>
        </w:tc>
        <w:tc>
          <w:tcPr>
            <w:tcW w:w="1238"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ind w:left="240" w:hanging="240" w:hangingChars="100"/>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现场维保</w:t>
            </w:r>
            <w:r>
              <w:rPr>
                <w:rFonts w:hint="eastAsia" w:ascii="方正仿宋简体" w:hAnsi="方正仿宋简体" w:eastAsia="方正仿宋简体" w:cs="方正仿宋简体"/>
                <w:bCs/>
                <w:kern w:val="0"/>
                <w:sz w:val="24"/>
                <w:szCs w:val="24"/>
              </w:rPr>
              <w:t xml:space="preserve"> （港口）</w:t>
            </w:r>
          </w:p>
        </w:tc>
        <w:tc>
          <w:tcPr>
            <w:tcW w:w="1132" w:type="dxa"/>
            <w:gridSpan w:val="3"/>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详见附件2、</w:t>
            </w:r>
            <w:r>
              <w:rPr>
                <w:rFonts w:ascii="方正仿宋简体" w:hAnsi="方正仿宋简体" w:eastAsia="方正仿宋简体" w:cs="方正仿宋简体"/>
                <w:bCs/>
                <w:kern w:val="0"/>
                <w:sz w:val="24"/>
                <w:szCs w:val="24"/>
              </w:rPr>
              <w:t>附件</w:t>
            </w:r>
            <w:r>
              <w:rPr>
                <w:rFonts w:hint="eastAsia" w:ascii="方正仿宋简体" w:hAnsi="方正仿宋简体" w:eastAsia="方正仿宋简体" w:cs="方正仿宋简体"/>
                <w:bCs/>
                <w:kern w:val="0"/>
                <w:sz w:val="24"/>
                <w:szCs w:val="24"/>
              </w:rPr>
              <w:t>3</w:t>
            </w:r>
          </w:p>
        </w:tc>
        <w:tc>
          <w:tcPr>
            <w:tcW w:w="988"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详见附表2、</w:t>
            </w:r>
            <w:r>
              <w:rPr>
                <w:rFonts w:ascii="方正仿宋简体" w:hAnsi="方正仿宋简体" w:eastAsia="方正仿宋简体" w:cs="方正仿宋简体"/>
                <w:bCs/>
                <w:kern w:val="0"/>
                <w:sz w:val="24"/>
                <w:szCs w:val="24"/>
              </w:rPr>
              <w:t>附表</w:t>
            </w:r>
            <w:r>
              <w:rPr>
                <w:rFonts w:hint="eastAsia" w:ascii="方正仿宋简体" w:hAnsi="方正仿宋简体" w:eastAsia="方正仿宋简体" w:cs="方正仿宋简体"/>
                <w:bCs/>
                <w:kern w:val="0"/>
                <w:sz w:val="24"/>
                <w:szCs w:val="24"/>
              </w:rPr>
              <w:t>3</w:t>
            </w:r>
          </w:p>
        </w:tc>
        <w:tc>
          <w:tcPr>
            <w:tcW w:w="845" w:type="dxa"/>
            <w:gridSpan w:val="2"/>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96台</w:t>
            </w:r>
          </w:p>
        </w:tc>
        <w:tc>
          <w:tcPr>
            <w:tcW w:w="1129" w:type="dxa"/>
            <w:gridSpan w:val="3"/>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（填一年</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用）　</w:t>
            </w:r>
          </w:p>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1129" w:type="dxa"/>
            <w:gridSpan w:val="2"/>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（填二年</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用）</w:t>
            </w:r>
          </w:p>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2600" w:type="dxa"/>
            <w:gridSpan w:val="3"/>
            <w:vMerge w:val="restart"/>
            <w:tcBorders>
              <w:top w:val="single" w:color="auto" w:sz="4" w:space="0"/>
              <w:left w:val="nil"/>
              <w:right w:val="single" w:color="auto" w:sz="4" w:space="0"/>
            </w:tcBorders>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中标方每半年对海纳川电机进行一次现场保养，招标方提前一周通知中标方，中标方接到招标方保养电机通知后，用3周时间完成全部电机保养。              </w:t>
            </w:r>
            <w:r>
              <w:rPr>
                <w:rFonts w:ascii="方正仿宋简体" w:hAnsi="方正仿宋简体" w:eastAsia="方正仿宋简体" w:cs="方正仿宋简体"/>
                <w:bCs/>
                <w:kern w:val="0"/>
                <w:sz w:val="24"/>
                <w:szCs w:val="24"/>
              </w:rPr>
              <w:t xml:space="preserve">   </w:t>
            </w:r>
          </w:p>
        </w:tc>
      </w:tr>
      <w:tr>
        <w:tblPrEx>
          <w:tblCellMar>
            <w:top w:w="0" w:type="dxa"/>
            <w:left w:w="0" w:type="dxa"/>
            <w:bottom w:w="0" w:type="dxa"/>
            <w:right w:w="0" w:type="dxa"/>
          </w:tblCellMar>
        </w:tblPrEx>
        <w:trPr>
          <w:trHeight w:val="540" w:hRule="atLeast"/>
        </w:trPr>
        <w:tc>
          <w:tcPr>
            <w:tcW w:w="760"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2</w:t>
            </w:r>
          </w:p>
        </w:tc>
        <w:tc>
          <w:tcPr>
            <w:tcW w:w="1238"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ind w:left="225" w:leftChars="50" w:hanging="120" w:hangingChars="50"/>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现场维保</w:t>
            </w:r>
            <w:r>
              <w:rPr>
                <w:rFonts w:hint="eastAsia" w:ascii="方正仿宋简体" w:hAnsi="方正仿宋简体" w:eastAsia="方正仿宋简体" w:cs="方正仿宋简体"/>
                <w:bCs/>
                <w:kern w:val="0"/>
                <w:sz w:val="24"/>
                <w:szCs w:val="24"/>
              </w:rPr>
              <w:t>（公铁）</w:t>
            </w:r>
          </w:p>
        </w:tc>
        <w:tc>
          <w:tcPr>
            <w:tcW w:w="1132" w:type="dxa"/>
            <w:gridSpan w:val="3"/>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详见附件2、</w:t>
            </w:r>
            <w:r>
              <w:rPr>
                <w:rFonts w:ascii="方正仿宋简体" w:hAnsi="方正仿宋简体" w:eastAsia="方正仿宋简体" w:cs="方正仿宋简体"/>
                <w:bCs/>
                <w:kern w:val="0"/>
                <w:sz w:val="24"/>
                <w:szCs w:val="24"/>
              </w:rPr>
              <w:t>附件</w:t>
            </w:r>
            <w:r>
              <w:rPr>
                <w:rFonts w:hint="eastAsia" w:ascii="方正仿宋简体" w:hAnsi="方正仿宋简体" w:eastAsia="方正仿宋简体" w:cs="方正仿宋简体"/>
                <w:bCs/>
                <w:kern w:val="0"/>
                <w:sz w:val="24"/>
                <w:szCs w:val="24"/>
              </w:rPr>
              <w:t>3</w:t>
            </w:r>
          </w:p>
        </w:tc>
        <w:tc>
          <w:tcPr>
            <w:tcW w:w="988"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详见附表2、</w:t>
            </w:r>
            <w:r>
              <w:rPr>
                <w:rFonts w:ascii="方正仿宋简体" w:hAnsi="方正仿宋简体" w:eastAsia="方正仿宋简体" w:cs="方正仿宋简体"/>
                <w:bCs/>
                <w:kern w:val="0"/>
                <w:sz w:val="24"/>
                <w:szCs w:val="24"/>
              </w:rPr>
              <w:t>附表</w:t>
            </w:r>
            <w:r>
              <w:rPr>
                <w:rFonts w:hint="eastAsia" w:ascii="方正仿宋简体" w:hAnsi="方正仿宋简体" w:eastAsia="方正仿宋简体" w:cs="方正仿宋简体"/>
                <w:bCs/>
                <w:kern w:val="0"/>
                <w:sz w:val="24"/>
                <w:szCs w:val="24"/>
              </w:rPr>
              <w:t>3</w:t>
            </w:r>
          </w:p>
        </w:tc>
        <w:tc>
          <w:tcPr>
            <w:tcW w:w="845" w:type="dxa"/>
            <w:gridSpan w:val="2"/>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11台</w:t>
            </w:r>
          </w:p>
        </w:tc>
        <w:tc>
          <w:tcPr>
            <w:tcW w:w="1129" w:type="dxa"/>
            <w:gridSpan w:val="3"/>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（填一年</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用）</w:t>
            </w:r>
          </w:p>
        </w:tc>
        <w:tc>
          <w:tcPr>
            <w:tcW w:w="1129" w:type="dxa"/>
            <w:gridSpan w:val="2"/>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（填二年</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用）</w:t>
            </w:r>
          </w:p>
          <w:p>
            <w:pPr>
              <w:spacing w:line="300" w:lineRule="exact"/>
              <w:jc w:val="left"/>
              <w:rPr>
                <w:rFonts w:ascii="方正仿宋简体" w:hAnsi="方正仿宋简体" w:eastAsia="方正仿宋简体" w:cs="方正仿宋简体"/>
                <w:bCs/>
                <w:kern w:val="0"/>
                <w:sz w:val="24"/>
                <w:szCs w:val="24"/>
              </w:rPr>
            </w:pPr>
          </w:p>
        </w:tc>
        <w:tc>
          <w:tcPr>
            <w:tcW w:w="2600" w:type="dxa"/>
            <w:gridSpan w:val="3"/>
            <w:vMerge w:val="continue"/>
            <w:tcBorders>
              <w:left w:val="nil"/>
              <w:bottom w:val="single" w:color="auto" w:sz="4" w:space="0"/>
              <w:right w:val="single" w:color="auto" w:sz="4" w:space="0"/>
            </w:tcBorders>
            <w:vAlign w:val="center"/>
          </w:tcPr>
          <w:p>
            <w:pPr>
              <w:spacing w:line="300" w:lineRule="exact"/>
              <w:jc w:val="left"/>
              <w:rPr>
                <w:rFonts w:ascii="方正仿宋简体" w:hAnsi="方正仿宋简体" w:eastAsia="方正仿宋简体" w:cs="方正仿宋简体"/>
                <w:bCs/>
                <w:kern w:val="0"/>
                <w:sz w:val="24"/>
                <w:szCs w:val="24"/>
              </w:rPr>
            </w:pPr>
          </w:p>
        </w:tc>
      </w:tr>
      <w:tr>
        <w:tblPrEx>
          <w:tblCellMar>
            <w:top w:w="0" w:type="dxa"/>
            <w:left w:w="0" w:type="dxa"/>
            <w:bottom w:w="0" w:type="dxa"/>
            <w:right w:w="0" w:type="dxa"/>
          </w:tblCellMar>
        </w:tblPrEx>
        <w:trPr>
          <w:trHeight w:val="540" w:hRule="atLeast"/>
        </w:trPr>
        <w:tc>
          <w:tcPr>
            <w:tcW w:w="9821" w:type="dxa"/>
            <w:gridSpan w:val="17"/>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现场维保</w:t>
            </w:r>
            <w:r>
              <w:rPr>
                <w:rFonts w:ascii="方正仿宋简体" w:hAnsi="方正仿宋简体" w:eastAsia="方正仿宋简体" w:cs="方正仿宋简体"/>
                <w:bCs/>
                <w:kern w:val="0"/>
                <w:sz w:val="24"/>
                <w:szCs w:val="24"/>
              </w:rPr>
              <w:t>费合计</w:t>
            </w:r>
            <w:r>
              <w:rPr>
                <w:rFonts w:hint="eastAsia" w:ascii="方正仿宋简体" w:hAnsi="方正仿宋简体" w:eastAsia="方正仿宋简体" w:cs="方正仿宋简体"/>
                <w:bCs/>
                <w:kern w:val="0"/>
                <w:sz w:val="24"/>
                <w:szCs w:val="24"/>
              </w:rPr>
              <w:t>（港口总价+公铁总价）（小写）</w:t>
            </w:r>
            <w:r>
              <w:rPr>
                <w:rFonts w:ascii="方正仿宋简体" w:hAnsi="方正仿宋简体" w:eastAsia="方正仿宋简体" w:cs="方正仿宋简体"/>
                <w:bCs/>
                <w:kern w:val="0"/>
                <w:sz w:val="24"/>
                <w:szCs w:val="24"/>
              </w:rPr>
              <w:t>：</w:t>
            </w:r>
          </w:p>
        </w:tc>
      </w:tr>
      <w:tr>
        <w:tblPrEx>
          <w:tblCellMar>
            <w:top w:w="0" w:type="dxa"/>
            <w:left w:w="0" w:type="dxa"/>
            <w:bottom w:w="0" w:type="dxa"/>
            <w:right w:w="0" w:type="dxa"/>
          </w:tblCellMar>
        </w:tblPrEx>
        <w:trPr>
          <w:trHeight w:val="401" w:hRule="atLeast"/>
        </w:trPr>
        <w:tc>
          <w:tcPr>
            <w:tcW w:w="760" w:type="dxa"/>
            <w:tcBorders>
              <w:top w:val="single" w:color="auto" w:sz="4"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二</w:t>
            </w:r>
          </w:p>
        </w:tc>
        <w:tc>
          <w:tcPr>
            <w:tcW w:w="9061" w:type="dxa"/>
            <w:gridSpan w:val="16"/>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ind w:firstLine="3000" w:firstLineChars="1250"/>
              <w:jc w:val="left"/>
              <w:rPr>
                <w:rFonts w:ascii="黑体" w:hAnsi="黑体" w:eastAsia="黑体" w:cs="方正仿宋简体"/>
                <w:bCs/>
                <w:kern w:val="0"/>
                <w:sz w:val="24"/>
                <w:szCs w:val="24"/>
              </w:rPr>
            </w:pPr>
            <w:r>
              <w:rPr>
                <w:rFonts w:hint="eastAsia" w:ascii="黑体" w:hAnsi="黑体" w:eastAsia="黑体" w:cs="方正仿宋简体"/>
                <w:bCs/>
                <w:kern w:val="0"/>
                <w:sz w:val="24"/>
                <w:szCs w:val="24"/>
              </w:rPr>
              <w:t>返厂维修费  （电机</w:t>
            </w:r>
            <w:r>
              <w:rPr>
                <w:rFonts w:ascii="黑体" w:hAnsi="黑体" w:eastAsia="黑体" w:cs="方正仿宋简体"/>
                <w:bCs/>
                <w:kern w:val="0"/>
                <w:sz w:val="24"/>
                <w:szCs w:val="24"/>
              </w:rPr>
              <w:t>保养和</w:t>
            </w:r>
            <w:r>
              <w:rPr>
                <w:rFonts w:hint="eastAsia" w:ascii="黑体" w:hAnsi="黑体" w:eastAsia="黑体" w:cs="方正仿宋简体"/>
                <w:bCs/>
                <w:kern w:val="0"/>
                <w:sz w:val="24"/>
                <w:szCs w:val="24"/>
              </w:rPr>
              <w:t>更换线圈）</w:t>
            </w:r>
          </w:p>
        </w:tc>
      </w:tr>
      <w:tr>
        <w:tblPrEx>
          <w:tblCellMar>
            <w:top w:w="0" w:type="dxa"/>
            <w:left w:w="0" w:type="dxa"/>
            <w:bottom w:w="0" w:type="dxa"/>
            <w:right w:w="0" w:type="dxa"/>
          </w:tblCellMar>
        </w:tblPrEx>
        <w:trPr>
          <w:trHeight w:val="600" w:hRule="atLeast"/>
        </w:trPr>
        <w:tc>
          <w:tcPr>
            <w:tcW w:w="760" w:type="dxa"/>
            <w:vMerge w:val="restart"/>
            <w:tcBorders>
              <w:top w:val="nil"/>
              <w:left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238" w:type="dxa"/>
            <w:vMerge w:val="restart"/>
            <w:tcBorders>
              <w:top w:val="nil"/>
              <w:left w:val="nil"/>
              <w:right w:val="single" w:color="auto" w:sz="8" w:space="0"/>
            </w:tcBorders>
            <w:shd w:val="clear" w:color="auto" w:fill="auto"/>
            <w:tcMar>
              <w:top w:w="15" w:type="dxa"/>
              <w:left w:w="15" w:type="dxa"/>
              <w:bottom w:w="0" w:type="dxa"/>
              <w:right w:w="15" w:type="dxa"/>
            </w:tcMar>
          </w:tcPr>
          <w:p>
            <w:pPr>
              <w:ind w:left="840" w:leftChars="400"/>
            </w:pPr>
          </w:p>
          <w:p>
            <w:pPr>
              <w:ind w:firstLine="315" w:firstLineChars="150"/>
            </w:pPr>
            <w:r>
              <w:rPr>
                <w:rFonts w:hint="eastAsia"/>
              </w:rPr>
              <w:t>功率</w:t>
            </w:r>
          </w:p>
          <w:p>
            <w:pPr>
              <w:ind w:firstLine="420" w:firstLineChars="200"/>
            </w:pPr>
            <w:r>
              <w:rPr>
                <w:rFonts w:ascii="方正仿宋简体" w:hAnsi="方正仿宋简体" w:eastAsia="方正仿宋简体" w:cs="方正仿宋简体"/>
                <w:bCs/>
                <w:kern w:val="0"/>
                <w:szCs w:val="21"/>
              </w:rPr>
              <w:t>kW</w:t>
            </w:r>
          </w:p>
        </w:tc>
        <w:tc>
          <w:tcPr>
            <w:tcW w:w="685" w:type="dxa"/>
            <w:gridSpan w:val="2"/>
            <w:vMerge w:val="restart"/>
            <w:tcBorders>
              <w:top w:val="nil"/>
              <w:left w:val="nil"/>
              <w:right w:val="single" w:color="auto" w:sz="4" w:space="0"/>
            </w:tcBorders>
            <w:shd w:val="clear" w:color="auto" w:fill="auto"/>
            <w:noWrap/>
            <w:tcMar>
              <w:top w:w="15" w:type="dxa"/>
              <w:left w:w="15" w:type="dxa"/>
              <w:bottom w:w="0" w:type="dxa"/>
              <w:right w:w="15" w:type="dxa"/>
            </w:tcMar>
            <w:vAlign w:val="center"/>
          </w:tcPr>
          <w:p>
            <w:pPr>
              <w:spacing w:line="300" w:lineRule="exact"/>
              <w:ind w:firstLine="120" w:firstLineChars="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数量 </w:t>
            </w:r>
          </w:p>
        </w:tc>
        <w:tc>
          <w:tcPr>
            <w:tcW w:w="2864" w:type="dxa"/>
            <w:gridSpan w:val="7"/>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电机保养（包含</w:t>
            </w:r>
            <w:r>
              <w:rPr>
                <w:rFonts w:ascii="方正仿宋简体" w:hAnsi="方正仿宋简体" w:eastAsia="方正仿宋简体" w:cs="方正仿宋简体"/>
                <w:bCs/>
                <w:kern w:val="0"/>
                <w:sz w:val="24"/>
                <w:szCs w:val="24"/>
              </w:rPr>
              <w:t>拆解、清理、</w:t>
            </w:r>
            <w:r>
              <w:rPr>
                <w:rFonts w:hint="eastAsia" w:ascii="方正仿宋简体" w:hAnsi="方正仿宋简体" w:eastAsia="方正仿宋简体" w:cs="方正仿宋简体"/>
                <w:bCs/>
                <w:kern w:val="0"/>
                <w:sz w:val="24"/>
                <w:szCs w:val="24"/>
              </w:rPr>
              <w:t>浸</w:t>
            </w:r>
            <w:r>
              <w:rPr>
                <w:rFonts w:ascii="方正仿宋简体" w:hAnsi="方正仿宋简体" w:eastAsia="方正仿宋简体" w:cs="方正仿宋简体"/>
                <w:bCs/>
                <w:kern w:val="0"/>
                <w:sz w:val="24"/>
                <w:szCs w:val="24"/>
              </w:rPr>
              <w:t>漆、</w:t>
            </w:r>
            <w:r>
              <w:rPr>
                <w:rFonts w:hint="eastAsia" w:ascii="方正仿宋简体" w:hAnsi="方正仿宋简体" w:eastAsia="方正仿宋简体" w:cs="方正仿宋简体"/>
                <w:bCs/>
                <w:kern w:val="0"/>
                <w:sz w:val="24"/>
                <w:szCs w:val="24"/>
              </w:rPr>
              <w:t>烘干</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组装</w:t>
            </w:r>
            <w:r>
              <w:rPr>
                <w:rFonts w:ascii="方正仿宋简体" w:hAnsi="方正仿宋简体" w:eastAsia="方正仿宋简体" w:cs="方正仿宋简体"/>
                <w:bCs/>
                <w:kern w:val="0"/>
                <w:sz w:val="24"/>
                <w:szCs w:val="24"/>
              </w:rPr>
              <w:t>、外壳喷漆</w:t>
            </w:r>
            <w:r>
              <w:rPr>
                <w:rFonts w:hint="eastAsia" w:ascii="方正仿宋简体" w:hAnsi="方正仿宋简体" w:eastAsia="方正仿宋简体" w:cs="方正仿宋简体"/>
                <w:bCs/>
                <w:kern w:val="0"/>
                <w:sz w:val="24"/>
                <w:szCs w:val="24"/>
              </w:rPr>
              <w:t xml:space="preserve">） </w:t>
            </w:r>
          </w:p>
        </w:tc>
        <w:tc>
          <w:tcPr>
            <w:tcW w:w="3041" w:type="dxa"/>
            <w:gridSpan w:val="5"/>
            <w:tcBorders>
              <w:top w:val="nil"/>
              <w:left w:val="single" w:color="auto" w:sz="4" w:space="0"/>
              <w:bottom w:val="single" w:color="auto" w:sz="8" w:space="0"/>
              <w:right w:val="single" w:color="auto" w:sz="4" w:space="0"/>
            </w:tcBorders>
            <w:shd w:val="clear" w:color="auto" w:fill="auto"/>
            <w:vAlign w:val="center"/>
          </w:tcPr>
          <w:p>
            <w:pPr>
              <w:widowControl/>
              <w:jc w:val="left"/>
              <w:rPr>
                <w:rFonts w:ascii="方正仿宋简体" w:eastAsia="方正仿宋简体"/>
                <w:bCs/>
                <w:szCs w:val="21"/>
              </w:rPr>
            </w:pPr>
          </w:p>
          <w:p>
            <w:pPr>
              <w:spacing w:line="300" w:lineRule="exact"/>
              <w:ind w:firstLine="720" w:firstLineChars="300"/>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电机线圈</w:t>
            </w:r>
            <w:r>
              <w:rPr>
                <w:rFonts w:ascii="方正仿宋简体" w:hAnsi="方正仿宋简体" w:eastAsia="方正仿宋简体" w:cs="方正仿宋简体"/>
                <w:bCs/>
                <w:kern w:val="0"/>
                <w:sz w:val="24"/>
                <w:szCs w:val="24"/>
              </w:rPr>
              <w:t>更换</w:t>
            </w:r>
          </w:p>
        </w:tc>
        <w:tc>
          <w:tcPr>
            <w:tcW w:w="1233"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方正仿宋简体" w:eastAsia="方正仿宋简体"/>
                <w:bCs/>
                <w:szCs w:val="21"/>
              </w:rPr>
            </w:pPr>
          </w:p>
          <w:p>
            <w:pPr>
              <w:spacing w:line="300" w:lineRule="exact"/>
              <w:ind w:firstLine="360" w:firstLineChars="150"/>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备注</w:t>
            </w:r>
          </w:p>
        </w:tc>
      </w:tr>
      <w:tr>
        <w:tblPrEx>
          <w:tblCellMar>
            <w:top w:w="0" w:type="dxa"/>
            <w:left w:w="0" w:type="dxa"/>
            <w:bottom w:w="0" w:type="dxa"/>
            <w:right w:w="0" w:type="dxa"/>
          </w:tblCellMar>
        </w:tblPrEx>
        <w:trPr>
          <w:trHeight w:val="472" w:hRule="atLeast"/>
        </w:trPr>
        <w:tc>
          <w:tcPr>
            <w:tcW w:w="760" w:type="dxa"/>
            <w:vMerge w:val="continue"/>
            <w:tcBorders>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p>
        </w:tc>
        <w:tc>
          <w:tcPr>
            <w:tcW w:w="1238" w:type="dxa"/>
            <w:vMerge w:val="continue"/>
            <w:tcBorders>
              <w:left w:val="nil"/>
              <w:bottom w:val="single" w:color="auto" w:sz="8" w:space="0"/>
              <w:right w:val="single" w:color="auto" w:sz="8" w:space="0"/>
            </w:tcBorders>
            <w:shd w:val="clear" w:color="auto" w:fill="auto"/>
            <w:tcMar>
              <w:top w:w="15" w:type="dxa"/>
              <w:left w:w="15" w:type="dxa"/>
              <w:bottom w:w="0" w:type="dxa"/>
              <w:right w:w="15" w:type="dxa"/>
            </w:tcMar>
          </w:tcPr>
          <w:p/>
        </w:tc>
        <w:tc>
          <w:tcPr>
            <w:tcW w:w="685" w:type="dxa"/>
            <w:gridSpan w:val="2"/>
            <w:vMerge w:val="continue"/>
            <w:tcBorders>
              <w:left w:val="nil"/>
              <w:bottom w:val="single" w:color="auto" w:sz="8" w:space="0"/>
              <w:right w:val="single" w:color="auto" w:sz="4"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p>
        </w:tc>
        <w:tc>
          <w:tcPr>
            <w:tcW w:w="641"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ind w:left="120" w:hanging="120" w:hangingChars="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功率</w:t>
            </w:r>
            <w:r>
              <w:rPr>
                <w:rFonts w:ascii="方正仿宋简体" w:hAnsi="方正仿宋简体" w:eastAsia="方正仿宋简体" w:cs="方正仿宋简体"/>
                <w:bCs/>
                <w:kern w:val="0"/>
                <w:szCs w:val="21"/>
              </w:rPr>
              <w:t>kW</w:t>
            </w: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ind w:left="105" w:leftChars="50"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单价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Cs w:val="21"/>
              </w:rPr>
              <w:t>（元/</w:t>
            </w:r>
            <w:r>
              <w:rPr>
                <w:rFonts w:ascii="方正仿宋简体" w:hAnsi="方正仿宋简体" w:eastAsia="方正仿宋简体" w:cs="方正仿宋简体"/>
                <w:bCs/>
                <w:kern w:val="0"/>
                <w:szCs w:val="21"/>
              </w:rPr>
              <w:t>kW</w:t>
            </w:r>
            <w:r>
              <w:rPr>
                <w:rFonts w:hint="eastAsia" w:ascii="方正仿宋简体" w:hAnsi="方正仿宋简体" w:eastAsia="方正仿宋简体" w:cs="方正仿宋简体"/>
                <w:bCs/>
                <w:kern w:val="0"/>
                <w:szCs w:val="21"/>
              </w:rPr>
              <w:t>）</w:t>
            </w:r>
          </w:p>
        </w:tc>
        <w:tc>
          <w:tcPr>
            <w:tcW w:w="1094" w:type="dxa"/>
            <w:gridSpan w:val="3"/>
            <w:tcBorders>
              <w:top w:val="nil"/>
              <w:left w:val="single" w:color="auto" w:sz="4" w:space="0"/>
              <w:bottom w:val="single" w:color="auto" w:sz="8" w:space="0"/>
              <w:right w:val="single" w:color="auto" w:sz="4" w:space="0"/>
            </w:tcBorders>
            <w:shd w:val="clear" w:color="auto" w:fill="auto"/>
            <w:vAlign w:val="center"/>
          </w:tcPr>
          <w:p>
            <w:pPr>
              <w:spacing w:line="300" w:lineRule="exact"/>
              <w:ind w:left="210" w:left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总价 </w:t>
            </w:r>
            <w:r>
              <w:rPr>
                <w:rFonts w:hint="eastAsia" w:ascii="方正仿宋简体" w:hAnsi="方正仿宋简体" w:eastAsia="方正仿宋简体" w:cs="方正仿宋简体"/>
                <w:bCs/>
                <w:kern w:val="0"/>
                <w:szCs w:val="21"/>
              </w:rPr>
              <w:t>（元）</w:t>
            </w:r>
          </w:p>
        </w:tc>
        <w:tc>
          <w:tcPr>
            <w:tcW w:w="714"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ind w:left="120" w:hanging="120" w:hangingChars="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功率 </w:t>
            </w:r>
            <w:r>
              <w:rPr>
                <w:rFonts w:ascii="方正仿宋简体" w:hAnsi="方正仿宋简体" w:eastAsia="方正仿宋简体" w:cs="方正仿宋简体"/>
                <w:bCs/>
                <w:kern w:val="0"/>
                <w:szCs w:val="21"/>
              </w:rPr>
              <w:t>kW</w:t>
            </w:r>
          </w:p>
        </w:tc>
        <w:tc>
          <w:tcPr>
            <w:tcW w:w="1139"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ind w:left="105" w:leftChars="50"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单价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Cs w:val="21"/>
              </w:rPr>
              <w:t>（元/</w:t>
            </w:r>
            <w:r>
              <w:rPr>
                <w:rFonts w:ascii="方正仿宋简体" w:hAnsi="方正仿宋简体" w:eastAsia="方正仿宋简体" w:cs="方正仿宋简体"/>
                <w:bCs/>
                <w:kern w:val="0"/>
                <w:szCs w:val="21"/>
              </w:rPr>
              <w:t>kW</w:t>
            </w:r>
            <w:r>
              <w:rPr>
                <w:rFonts w:hint="eastAsia" w:ascii="方正仿宋简体" w:hAnsi="方正仿宋简体" w:eastAsia="方正仿宋简体" w:cs="方正仿宋简体"/>
                <w:bCs/>
                <w:kern w:val="0"/>
                <w:szCs w:val="21"/>
              </w:rPr>
              <w:t>）</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360" w:firstLineChars="1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总价</w:t>
            </w:r>
          </w:p>
          <w:p>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Cs w:val="21"/>
              </w:rPr>
              <w:t>（元）</w:t>
            </w:r>
          </w:p>
        </w:tc>
        <w:tc>
          <w:tcPr>
            <w:tcW w:w="1233" w:type="dxa"/>
            <w:vMerge w:val="restart"/>
            <w:tcBorders>
              <w:top w:val="single" w:color="auto" w:sz="4" w:space="0"/>
              <w:left w:val="single" w:color="auto" w:sz="4" w:space="0"/>
              <w:right w:val="single" w:color="auto" w:sz="8" w:space="0"/>
            </w:tcBorders>
            <w:vAlign w:val="center"/>
          </w:tcPr>
          <w:p>
            <w:pPr>
              <w:spacing w:line="300" w:lineRule="exact"/>
              <w:ind w:firstLine="240" w:firstLineChars="100"/>
              <w:jc w:val="left"/>
              <w:rPr>
                <w:rFonts w:hint="eastAsia"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维修</w:t>
            </w:r>
            <w:r>
              <w:rPr>
                <w:rFonts w:ascii="方正仿宋简体" w:hAnsi="方正仿宋简体" w:eastAsia="方正仿宋简体" w:cs="方正仿宋简体"/>
                <w:bCs/>
                <w:kern w:val="0"/>
                <w:sz w:val="24"/>
                <w:szCs w:val="24"/>
              </w:rPr>
              <w:t>费合计计入总价</w:t>
            </w:r>
            <w:r>
              <w:rPr>
                <w:rFonts w:hint="eastAsia" w:ascii="方正仿宋简体" w:hAnsi="方正仿宋简体" w:eastAsia="方正仿宋简体" w:cs="方正仿宋简体"/>
                <w:bCs/>
                <w:kern w:val="0"/>
                <w:sz w:val="24"/>
                <w:szCs w:val="24"/>
              </w:rPr>
              <w:t>合计</w:t>
            </w:r>
            <w:r>
              <w:rPr>
                <w:rFonts w:ascii="方正仿宋简体" w:hAnsi="方正仿宋简体" w:eastAsia="方正仿宋简体" w:cs="方正仿宋简体"/>
                <w:bCs/>
                <w:kern w:val="0"/>
                <w:sz w:val="24"/>
                <w:szCs w:val="24"/>
              </w:rPr>
              <w:t>，作为评标依据</w:t>
            </w:r>
          </w:p>
        </w:tc>
      </w:tr>
      <w:tr>
        <w:tblPrEx>
          <w:tblCellMar>
            <w:top w:w="0" w:type="dxa"/>
            <w:left w:w="0" w:type="dxa"/>
            <w:bottom w:w="0" w:type="dxa"/>
            <w:right w:w="0"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1</w:t>
            </w:r>
          </w:p>
        </w:tc>
        <w:tc>
          <w:tcPr>
            <w:tcW w:w="1238"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pPr>
              <w:rPr>
                <w:sz w:val="18"/>
                <w:szCs w:val="18"/>
              </w:rPr>
            </w:pPr>
            <w:r>
              <w:rPr>
                <w:rFonts w:hint="eastAsia"/>
                <w:sz w:val="18"/>
                <w:szCs w:val="18"/>
              </w:rPr>
              <w:t>1.5以下（1kW以1kW</w:t>
            </w:r>
            <w:r>
              <w:rPr>
                <w:sz w:val="18"/>
                <w:szCs w:val="18"/>
              </w:rPr>
              <w:t>计</w:t>
            </w:r>
            <w:r>
              <w:rPr>
                <w:rFonts w:hint="eastAsia"/>
                <w:sz w:val="18"/>
                <w:szCs w:val="18"/>
              </w:rPr>
              <w:t xml:space="preserve"> ）</w:t>
            </w:r>
          </w:p>
        </w:tc>
        <w:tc>
          <w:tcPr>
            <w:tcW w:w="685" w:type="dxa"/>
            <w:gridSpan w:val="2"/>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2台</w:t>
            </w:r>
          </w:p>
        </w:tc>
        <w:tc>
          <w:tcPr>
            <w:tcW w:w="641"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eastAsia="方正仿宋简体"/>
                <w:bCs/>
                <w:szCs w:val="21"/>
              </w:rPr>
            </w:pPr>
            <w:r>
              <w:rPr>
                <w:rFonts w:hint="eastAsia" w:ascii="方正仿宋简体" w:eastAsia="方正仿宋简体"/>
                <w:bCs/>
                <w:szCs w:val="21"/>
              </w:rPr>
              <w:t>1.5</w:t>
            </w: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eastAsia="方正仿宋简体"/>
                <w:bCs/>
                <w:szCs w:val="21"/>
              </w:rPr>
            </w:pPr>
          </w:p>
        </w:tc>
        <w:tc>
          <w:tcPr>
            <w:tcW w:w="1094" w:type="dxa"/>
            <w:gridSpan w:val="3"/>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p>
        </w:tc>
        <w:tc>
          <w:tcPr>
            <w:tcW w:w="714"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eastAsia="方正仿宋简体"/>
                <w:bCs/>
                <w:szCs w:val="21"/>
              </w:rPr>
            </w:pPr>
            <w:r>
              <w:rPr>
                <w:rFonts w:hint="eastAsia" w:ascii="方正仿宋简体" w:eastAsia="方正仿宋简体"/>
                <w:bCs/>
                <w:szCs w:val="21"/>
              </w:rPr>
              <w:t>1.5</w:t>
            </w:r>
          </w:p>
        </w:tc>
        <w:tc>
          <w:tcPr>
            <w:tcW w:w="1139"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hAnsi="方正仿宋简体" w:eastAsia="方正仿宋简体" w:cs="方正仿宋简体"/>
                <w:bCs/>
                <w:kern w:val="0"/>
                <w:sz w:val="24"/>
                <w:szCs w:val="24"/>
              </w:rPr>
            </w:pPr>
          </w:p>
        </w:tc>
        <w:tc>
          <w:tcPr>
            <w:tcW w:w="1233" w:type="dxa"/>
            <w:vMerge w:val="continue"/>
            <w:tcBorders>
              <w:left w:val="single" w:color="auto" w:sz="4" w:space="0"/>
              <w:right w:val="single" w:color="auto" w:sz="8" w:space="0"/>
            </w:tcBorders>
            <w:vAlign w:val="center"/>
          </w:tcPr>
          <w:p>
            <w:pPr>
              <w:spacing w:line="300" w:lineRule="exact"/>
              <w:jc w:val="left"/>
              <w:rPr>
                <w:rFonts w:ascii="方正仿宋简体" w:hAnsi="方正仿宋简体" w:eastAsia="方正仿宋简体" w:cs="方正仿宋简体"/>
                <w:bCs/>
                <w:kern w:val="0"/>
                <w:sz w:val="24"/>
                <w:szCs w:val="24"/>
              </w:rPr>
            </w:pPr>
          </w:p>
        </w:tc>
      </w:tr>
      <w:tr>
        <w:tblPrEx>
          <w:tblCellMar>
            <w:top w:w="0" w:type="dxa"/>
            <w:left w:w="0" w:type="dxa"/>
            <w:bottom w:w="0" w:type="dxa"/>
            <w:right w:w="0"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2</w:t>
            </w:r>
          </w:p>
        </w:tc>
        <w:tc>
          <w:tcPr>
            <w:tcW w:w="1238"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
              <w:t>2.2-11</w:t>
            </w:r>
          </w:p>
        </w:tc>
        <w:tc>
          <w:tcPr>
            <w:tcW w:w="685" w:type="dxa"/>
            <w:gridSpan w:val="2"/>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8台</w:t>
            </w:r>
          </w:p>
        </w:tc>
        <w:tc>
          <w:tcPr>
            <w:tcW w:w="641"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eastAsia="方正仿宋简体"/>
                <w:bCs/>
                <w:szCs w:val="21"/>
              </w:rPr>
            </w:pPr>
            <w:r>
              <w:rPr>
                <w:rFonts w:hint="eastAsia" w:ascii="方正仿宋简体" w:eastAsia="方正仿宋简体"/>
                <w:bCs/>
                <w:szCs w:val="21"/>
              </w:rPr>
              <w:t>11</w:t>
            </w: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eastAsia="方正仿宋简体"/>
                <w:bCs/>
                <w:szCs w:val="21"/>
              </w:rPr>
            </w:pPr>
          </w:p>
        </w:tc>
        <w:tc>
          <w:tcPr>
            <w:tcW w:w="1094" w:type="dxa"/>
            <w:gridSpan w:val="3"/>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p>
        </w:tc>
        <w:tc>
          <w:tcPr>
            <w:tcW w:w="714"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eastAsia="方正仿宋简体"/>
                <w:bCs/>
                <w:szCs w:val="21"/>
              </w:rPr>
            </w:pPr>
            <w:r>
              <w:rPr>
                <w:rFonts w:hint="eastAsia" w:ascii="方正仿宋简体" w:eastAsia="方正仿宋简体"/>
                <w:bCs/>
                <w:szCs w:val="21"/>
              </w:rPr>
              <w:t>11</w:t>
            </w:r>
          </w:p>
        </w:tc>
        <w:tc>
          <w:tcPr>
            <w:tcW w:w="1139"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hAnsi="方正仿宋简体" w:eastAsia="方正仿宋简体" w:cs="方正仿宋简体"/>
                <w:bCs/>
                <w:kern w:val="0"/>
                <w:sz w:val="24"/>
                <w:szCs w:val="24"/>
              </w:rPr>
            </w:pPr>
          </w:p>
        </w:tc>
        <w:tc>
          <w:tcPr>
            <w:tcW w:w="1233" w:type="dxa"/>
            <w:vMerge w:val="continue"/>
            <w:tcBorders>
              <w:left w:val="single" w:color="auto" w:sz="4" w:space="0"/>
              <w:right w:val="single" w:color="auto" w:sz="8" w:space="0"/>
            </w:tcBorders>
            <w:vAlign w:val="center"/>
          </w:tcPr>
          <w:p>
            <w:pPr>
              <w:spacing w:line="300" w:lineRule="exact"/>
              <w:jc w:val="left"/>
              <w:rPr>
                <w:rFonts w:ascii="方正仿宋简体" w:hAnsi="方正仿宋简体" w:eastAsia="方正仿宋简体" w:cs="方正仿宋简体"/>
                <w:bCs/>
                <w:kern w:val="0"/>
                <w:sz w:val="24"/>
                <w:szCs w:val="24"/>
              </w:rPr>
            </w:pPr>
          </w:p>
        </w:tc>
      </w:tr>
      <w:tr>
        <w:tblPrEx>
          <w:tblCellMar>
            <w:top w:w="0" w:type="dxa"/>
            <w:left w:w="0" w:type="dxa"/>
            <w:bottom w:w="0" w:type="dxa"/>
            <w:right w:w="0"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3</w:t>
            </w:r>
          </w:p>
        </w:tc>
        <w:tc>
          <w:tcPr>
            <w:tcW w:w="1238"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
              <w:t>15-30</w:t>
            </w:r>
          </w:p>
        </w:tc>
        <w:tc>
          <w:tcPr>
            <w:tcW w:w="685" w:type="dxa"/>
            <w:gridSpan w:val="2"/>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5台</w:t>
            </w:r>
          </w:p>
        </w:tc>
        <w:tc>
          <w:tcPr>
            <w:tcW w:w="641"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eastAsia="方正仿宋简体"/>
                <w:bCs/>
                <w:szCs w:val="21"/>
              </w:rPr>
            </w:pPr>
            <w:r>
              <w:rPr>
                <w:rFonts w:hint="eastAsia" w:ascii="方正仿宋简体" w:eastAsia="方正仿宋简体"/>
                <w:bCs/>
                <w:szCs w:val="21"/>
              </w:rPr>
              <w:t>30</w:t>
            </w: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eastAsia="方正仿宋简体"/>
                <w:bCs/>
                <w:szCs w:val="21"/>
              </w:rPr>
            </w:pPr>
          </w:p>
        </w:tc>
        <w:tc>
          <w:tcPr>
            <w:tcW w:w="1094" w:type="dxa"/>
            <w:gridSpan w:val="3"/>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p>
        </w:tc>
        <w:tc>
          <w:tcPr>
            <w:tcW w:w="714"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eastAsia="方正仿宋简体"/>
                <w:bCs/>
                <w:szCs w:val="21"/>
              </w:rPr>
            </w:pPr>
            <w:r>
              <w:rPr>
                <w:rFonts w:hint="eastAsia" w:ascii="方正仿宋简体" w:eastAsia="方正仿宋简体"/>
                <w:bCs/>
                <w:szCs w:val="21"/>
              </w:rPr>
              <w:t>30</w:t>
            </w:r>
          </w:p>
        </w:tc>
        <w:tc>
          <w:tcPr>
            <w:tcW w:w="1139" w:type="dxa"/>
            <w:gridSpan w:val="2"/>
            <w:tcBorders>
              <w:top w:val="nil"/>
              <w:left w:val="single" w:color="auto" w:sz="4" w:space="0"/>
              <w:bottom w:val="single" w:color="auto" w:sz="8" w:space="0"/>
              <w:right w:val="single" w:color="auto" w:sz="4"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hAnsi="方正仿宋简体" w:eastAsia="方正仿宋简体" w:cs="方正仿宋简体"/>
                <w:bCs/>
                <w:kern w:val="0"/>
                <w:sz w:val="24"/>
                <w:szCs w:val="24"/>
              </w:rPr>
            </w:pPr>
          </w:p>
        </w:tc>
        <w:tc>
          <w:tcPr>
            <w:tcW w:w="1233" w:type="dxa"/>
            <w:vMerge w:val="continue"/>
            <w:tcBorders>
              <w:left w:val="single" w:color="auto" w:sz="4" w:space="0"/>
              <w:right w:val="single" w:color="auto" w:sz="8" w:space="0"/>
            </w:tcBorders>
            <w:vAlign w:val="center"/>
          </w:tcPr>
          <w:p>
            <w:pPr>
              <w:spacing w:line="300" w:lineRule="exact"/>
              <w:jc w:val="left"/>
              <w:rPr>
                <w:rFonts w:ascii="方正仿宋简体" w:hAnsi="方正仿宋简体" w:eastAsia="方正仿宋简体" w:cs="方正仿宋简体"/>
                <w:bCs/>
                <w:kern w:val="0"/>
                <w:sz w:val="24"/>
                <w:szCs w:val="24"/>
              </w:rPr>
            </w:pPr>
          </w:p>
        </w:tc>
      </w:tr>
      <w:tr>
        <w:tblPrEx>
          <w:tblCellMar>
            <w:top w:w="0" w:type="dxa"/>
            <w:left w:w="0" w:type="dxa"/>
            <w:bottom w:w="0" w:type="dxa"/>
            <w:right w:w="0"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4</w:t>
            </w:r>
          </w:p>
        </w:tc>
        <w:tc>
          <w:tcPr>
            <w:tcW w:w="1238"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
              <w:rPr>
                <w:rFonts w:hint="eastAsia"/>
              </w:rPr>
              <w:t>37 kW及以上</w:t>
            </w:r>
          </w:p>
        </w:tc>
        <w:tc>
          <w:tcPr>
            <w:tcW w:w="685" w:type="dxa"/>
            <w:gridSpan w:val="2"/>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3台</w:t>
            </w:r>
          </w:p>
        </w:tc>
        <w:tc>
          <w:tcPr>
            <w:tcW w:w="641" w:type="dxa"/>
            <w:gridSpan w:val="2"/>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仿宋简体" w:eastAsia="方正仿宋简体"/>
                <w:bCs/>
                <w:szCs w:val="21"/>
              </w:rPr>
            </w:pPr>
            <w:r>
              <w:rPr>
                <w:rFonts w:hint="eastAsia" w:ascii="方正仿宋简体" w:eastAsia="方正仿宋简体"/>
                <w:bCs/>
                <w:szCs w:val="21"/>
              </w:rPr>
              <w:t>37</w:t>
            </w:r>
          </w:p>
        </w:tc>
        <w:tc>
          <w:tcPr>
            <w:tcW w:w="1129" w:type="dxa"/>
            <w:gridSpan w:val="2"/>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仿宋简体" w:eastAsia="方正仿宋简体"/>
                <w:bCs/>
                <w:szCs w:val="21"/>
              </w:rPr>
            </w:pPr>
          </w:p>
        </w:tc>
        <w:tc>
          <w:tcPr>
            <w:tcW w:w="1094" w:type="dxa"/>
            <w:gridSpan w:val="3"/>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p>
        </w:tc>
        <w:tc>
          <w:tcPr>
            <w:tcW w:w="714" w:type="dxa"/>
            <w:gridSpan w:val="2"/>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仿宋简体" w:eastAsia="方正仿宋简体"/>
                <w:bCs/>
                <w:szCs w:val="21"/>
              </w:rPr>
            </w:pPr>
            <w:r>
              <w:rPr>
                <w:rFonts w:hint="eastAsia" w:ascii="方正仿宋简体" w:eastAsia="方正仿宋简体"/>
                <w:bCs/>
                <w:szCs w:val="21"/>
              </w:rPr>
              <w:t>37</w:t>
            </w:r>
          </w:p>
        </w:tc>
        <w:tc>
          <w:tcPr>
            <w:tcW w:w="1139" w:type="dxa"/>
            <w:gridSpan w:val="2"/>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仿宋简体" w:hAnsi="方正仿宋简体" w:eastAsia="方正仿宋简体" w:cs="方正仿宋简体"/>
                <w:bCs/>
                <w:kern w:val="0"/>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hAnsi="方正仿宋简体" w:eastAsia="方正仿宋简体" w:cs="方正仿宋简体"/>
                <w:bCs/>
                <w:kern w:val="0"/>
                <w:sz w:val="24"/>
                <w:szCs w:val="24"/>
              </w:rPr>
            </w:pPr>
          </w:p>
        </w:tc>
        <w:tc>
          <w:tcPr>
            <w:tcW w:w="1233" w:type="dxa"/>
            <w:vMerge w:val="continue"/>
            <w:tcBorders>
              <w:left w:val="single" w:color="auto" w:sz="4" w:space="0"/>
              <w:right w:val="single" w:color="auto" w:sz="8" w:space="0"/>
            </w:tcBorders>
            <w:vAlign w:val="center"/>
          </w:tcPr>
          <w:p>
            <w:pPr>
              <w:spacing w:line="300" w:lineRule="exact"/>
              <w:jc w:val="left"/>
              <w:rPr>
                <w:rFonts w:ascii="方正仿宋简体" w:hAnsi="方正仿宋简体" w:eastAsia="方正仿宋简体" w:cs="方正仿宋简体"/>
                <w:bCs/>
                <w:kern w:val="0"/>
                <w:sz w:val="24"/>
                <w:szCs w:val="24"/>
              </w:rPr>
            </w:pPr>
          </w:p>
        </w:tc>
      </w:tr>
      <w:tr>
        <w:tblPrEx>
          <w:tblCellMar>
            <w:top w:w="0" w:type="dxa"/>
            <w:left w:w="0" w:type="dxa"/>
            <w:bottom w:w="0" w:type="dxa"/>
            <w:right w:w="0" w:type="dxa"/>
          </w:tblCellMar>
        </w:tblPrEx>
        <w:trPr>
          <w:trHeight w:val="331" w:hRule="atLeast"/>
        </w:trPr>
        <w:tc>
          <w:tcPr>
            <w:tcW w:w="8588" w:type="dxa"/>
            <w:gridSpan w:val="16"/>
            <w:tcBorders>
              <w:top w:val="single" w:color="auto" w:sz="4" w:space="0"/>
              <w:left w:val="single" w:color="auto" w:sz="8" w:space="0"/>
              <w:bottom w:val="single" w:color="auto" w:sz="4" w:space="0"/>
              <w:right w:val="single" w:color="auto" w:sz="4" w:space="0"/>
            </w:tcBorders>
            <w:vAlign w:val="center"/>
          </w:tcPr>
          <w:p>
            <w:pPr>
              <w:rPr>
                <w:rFonts w:ascii="方正仿宋简体" w:eastAsia="方正仿宋简体"/>
                <w:b/>
                <w:sz w:val="28"/>
                <w:szCs w:val="28"/>
              </w:rPr>
            </w:pPr>
            <w:r>
              <w:rPr>
                <w:rFonts w:hint="eastAsia" w:ascii="方正仿宋简体" w:hAnsi="方正仿宋简体" w:eastAsia="方正仿宋简体" w:cs="方正仿宋简体"/>
                <w:bCs/>
                <w:kern w:val="0"/>
                <w:sz w:val="24"/>
                <w:szCs w:val="24"/>
              </w:rPr>
              <w:t>以上维修费</w:t>
            </w:r>
            <w:r>
              <w:rPr>
                <w:rFonts w:ascii="方正仿宋简体" w:hAnsi="方正仿宋简体" w:eastAsia="方正仿宋简体" w:cs="方正仿宋简体"/>
                <w:bCs/>
                <w:kern w:val="0"/>
                <w:sz w:val="24"/>
                <w:szCs w:val="24"/>
              </w:rPr>
              <w:t>合计</w:t>
            </w:r>
            <w:r>
              <w:rPr>
                <w:rFonts w:hint="eastAsia" w:ascii="方正仿宋简体" w:hAnsi="方正仿宋简体" w:eastAsia="方正仿宋简体" w:cs="方正仿宋简体"/>
                <w:bCs/>
                <w:kern w:val="0"/>
                <w:sz w:val="24"/>
                <w:szCs w:val="24"/>
              </w:rPr>
              <w:t>（小写）：</w:t>
            </w:r>
          </w:p>
        </w:tc>
        <w:tc>
          <w:tcPr>
            <w:tcW w:w="1233" w:type="dxa"/>
            <w:vMerge w:val="continue"/>
            <w:tcBorders>
              <w:left w:val="single" w:color="auto" w:sz="4" w:space="0"/>
              <w:bottom w:val="single" w:color="auto" w:sz="4" w:space="0"/>
              <w:right w:val="single" w:color="auto" w:sz="8" w:space="0"/>
            </w:tcBorders>
            <w:vAlign w:val="center"/>
          </w:tcPr>
          <w:p>
            <w:pPr>
              <w:rPr>
                <w:rFonts w:ascii="方正仿宋简体" w:eastAsia="方正仿宋简体"/>
                <w:b/>
                <w:sz w:val="28"/>
                <w:szCs w:val="28"/>
              </w:rPr>
            </w:pPr>
          </w:p>
        </w:tc>
      </w:tr>
      <w:tr>
        <w:tblPrEx>
          <w:tblCellMar>
            <w:top w:w="0" w:type="dxa"/>
            <w:left w:w="0" w:type="dxa"/>
            <w:bottom w:w="0" w:type="dxa"/>
            <w:right w:w="0" w:type="dxa"/>
          </w:tblCellMar>
        </w:tblPrEx>
        <w:trPr>
          <w:trHeight w:val="331" w:hRule="atLeast"/>
        </w:trPr>
        <w:tc>
          <w:tcPr>
            <w:tcW w:w="760" w:type="dxa"/>
            <w:tcBorders>
              <w:top w:val="single" w:color="auto" w:sz="4" w:space="0"/>
              <w:left w:val="single" w:color="auto" w:sz="8" w:space="0"/>
              <w:bottom w:val="single" w:color="auto" w:sz="4" w:space="0"/>
              <w:right w:val="single" w:color="auto" w:sz="4" w:space="0"/>
            </w:tcBorders>
            <w:vAlign w:val="center"/>
          </w:tcPr>
          <w:p>
            <w:pPr>
              <w:ind w:firstLine="240" w:firstLineChars="100"/>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三</w:t>
            </w:r>
          </w:p>
        </w:tc>
        <w:tc>
          <w:tcPr>
            <w:tcW w:w="9061" w:type="dxa"/>
            <w:gridSpan w:val="16"/>
            <w:tcBorders>
              <w:top w:val="single" w:color="auto" w:sz="4" w:space="0"/>
              <w:left w:val="single" w:color="auto" w:sz="4" w:space="0"/>
              <w:bottom w:val="single" w:color="auto" w:sz="4" w:space="0"/>
              <w:right w:val="single" w:color="auto" w:sz="8" w:space="0"/>
            </w:tcBorders>
            <w:vAlign w:val="center"/>
          </w:tcPr>
          <w:p>
            <w:pPr>
              <w:ind w:firstLine="3240" w:firstLineChars="1350"/>
              <w:rPr>
                <w:rFonts w:ascii="黑体" w:hAnsi="黑体" w:eastAsia="黑体" w:cs="方正仿宋简体"/>
                <w:bCs/>
                <w:kern w:val="0"/>
                <w:sz w:val="24"/>
                <w:szCs w:val="24"/>
              </w:rPr>
            </w:pPr>
            <w:r>
              <w:rPr>
                <w:rFonts w:hint="eastAsia" w:ascii="黑体" w:hAnsi="黑体" w:eastAsia="黑体" w:cs="方正仿宋简体"/>
                <w:bCs/>
                <w:kern w:val="0"/>
                <w:sz w:val="24"/>
                <w:szCs w:val="24"/>
              </w:rPr>
              <w:t>配件更换费</w:t>
            </w:r>
          </w:p>
        </w:tc>
      </w:tr>
      <w:tr>
        <w:tblPrEx>
          <w:tblCellMar>
            <w:top w:w="0" w:type="dxa"/>
            <w:left w:w="0" w:type="dxa"/>
            <w:bottom w:w="0" w:type="dxa"/>
            <w:right w:w="0" w:type="dxa"/>
          </w:tblCellMar>
        </w:tblPrEx>
        <w:trPr>
          <w:trHeight w:val="475" w:hRule="atLeast"/>
        </w:trPr>
        <w:tc>
          <w:tcPr>
            <w:tcW w:w="2655" w:type="dxa"/>
            <w:gridSpan w:val="3"/>
            <w:tcBorders>
              <w:top w:val="single" w:color="auto" w:sz="4" w:space="0"/>
              <w:left w:val="single" w:color="auto" w:sz="8" w:space="0"/>
              <w:bottom w:val="single" w:color="auto" w:sz="4" w:space="0"/>
              <w:right w:val="single" w:color="auto" w:sz="4" w:space="0"/>
            </w:tcBorders>
            <w:vAlign w:val="center"/>
          </w:tcPr>
          <w:p>
            <w:pP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配件</w:t>
            </w:r>
            <w:r>
              <w:rPr>
                <w:rFonts w:ascii="方正仿宋简体" w:hAnsi="方正仿宋简体" w:eastAsia="方正仿宋简体" w:cs="方正仿宋简体"/>
                <w:bCs/>
                <w:kern w:val="0"/>
                <w:sz w:val="24"/>
                <w:szCs w:val="24"/>
              </w:rPr>
              <w:t>规格</w:t>
            </w:r>
            <w:r>
              <w:rPr>
                <w:rFonts w:hint="eastAsia" w:ascii="方正仿宋简体" w:hAnsi="方正仿宋简体" w:eastAsia="方正仿宋简体" w:cs="方正仿宋简体"/>
                <w:bCs/>
                <w:kern w:val="0"/>
                <w:sz w:val="24"/>
                <w:szCs w:val="24"/>
              </w:rPr>
              <w:t>、型号、</w:t>
            </w:r>
            <w:r>
              <w:rPr>
                <w:rFonts w:ascii="方正仿宋简体" w:hAnsi="方正仿宋简体" w:eastAsia="方正仿宋简体" w:cs="方正仿宋简体"/>
                <w:bCs/>
                <w:kern w:val="0"/>
                <w:sz w:val="24"/>
                <w:szCs w:val="24"/>
              </w:rPr>
              <w:t>数量</w:t>
            </w:r>
          </w:p>
        </w:tc>
        <w:tc>
          <w:tcPr>
            <w:tcW w:w="2813" w:type="dxa"/>
            <w:gridSpan w:val="7"/>
            <w:tcBorders>
              <w:top w:val="single" w:color="auto" w:sz="4" w:space="0"/>
              <w:left w:val="single" w:color="auto" w:sz="4" w:space="0"/>
              <w:bottom w:val="single" w:color="auto" w:sz="4" w:space="0"/>
              <w:right w:val="single" w:color="auto" w:sz="4" w:space="0"/>
            </w:tcBorders>
            <w:vAlign w:val="center"/>
          </w:tcPr>
          <w:p>
            <w:pPr>
              <w:ind w:firstLine="240" w:firstLineChars="100"/>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共14种</w:t>
            </w:r>
            <w:r>
              <w:rPr>
                <w:rFonts w:ascii="方正仿宋简体" w:hAnsi="方正仿宋简体" w:eastAsia="方正仿宋简体" w:cs="方正仿宋简体"/>
                <w:bCs/>
                <w:kern w:val="0"/>
                <w:sz w:val="24"/>
                <w:szCs w:val="24"/>
              </w:rPr>
              <w:t>，详见</w:t>
            </w:r>
            <w:r>
              <w:rPr>
                <w:rFonts w:hint="eastAsia" w:ascii="方正仿宋简体" w:hAnsi="方正仿宋简体" w:eastAsia="方正仿宋简体" w:cs="方正仿宋简体"/>
                <w:bCs/>
                <w:kern w:val="0"/>
                <w:sz w:val="24"/>
                <w:szCs w:val="24"/>
              </w:rPr>
              <w:t>附表1</w:t>
            </w:r>
          </w:p>
        </w:tc>
        <w:tc>
          <w:tcPr>
            <w:tcW w:w="4353" w:type="dxa"/>
            <w:gridSpan w:val="7"/>
            <w:tcBorders>
              <w:top w:val="single" w:color="auto" w:sz="4" w:space="0"/>
              <w:left w:val="single" w:color="auto" w:sz="4" w:space="0"/>
              <w:bottom w:val="single" w:color="auto" w:sz="4" w:space="0"/>
              <w:right w:val="single" w:color="auto" w:sz="8" w:space="0"/>
            </w:tcBorders>
            <w:vAlign w:val="center"/>
          </w:tcPr>
          <w:p>
            <w:pPr>
              <w:ind w:firstLine="1800" w:firstLineChars="750"/>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tblPrEx>
          <w:tblCellMar>
            <w:top w:w="0" w:type="dxa"/>
            <w:left w:w="0" w:type="dxa"/>
            <w:bottom w:w="0" w:type="dxa"/>
            <w:right w:w="0" w:type="dxa"/>
          </w:tblCellMar>
        </w:tblPrEx>
        <w:trPr>
          <w:trHeight w:val="475" w:hRule="atLeast"/>
        </w:trPr>
        <w:tc>
          <w:tcPr>
            <w:tcW w:w="5468" w:type="dxa"/>
            <w:gridSpan w:val="10"/>
            <w:tcBorders>
              <w:top w:val="single" w:color="auto" w:sz="4" w:space="0"/>
              <w:left w:val="single" w:color="auto" w:sz="8" w:space="0"/>
              <w:bottom w:val="single" w:color="auto" w:sz="4" w:space="0"/>
              <w:right w:val="single" w:color="auto" w:sz="4" w:space="0"/>
            </w:tcBorders>
            <w:vAlign w:val="center"/>
          </w:tcPr>
          <w:p>
            <w:pP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电机配件更换合计（小写）：填附</w:t>
            </w:r>
            <w:r>
              <w:rPr>
                <w:rFonts w:ascii="方正仿宋简体" w:hAnsi="方正仿宋简体" w:eastAsia="方正仿宋简体" w:cs="方正仿宋简体"/>
                <w:bCs/>
                <w:kern w:val="0"/>
                <w:sz w:val="24"/>
                <w:szCs w:val="24"/>
              </w:rPr>
              <w:t>表</w:t>
            </w: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总价</w:t>
            </w:r>
          </w:p>
        </w:tc>
        <w:tc>
          <w:tcPr>
            <w:tcW w:w="4353" w:type="dxa"/>
            <w:gridSpan w:val="7"/>
            <w:tcBorders>
              <w:top w:val="single" w:color="auto" w:sz="4" w:space="0"/>
              <w:left w:val="single" w:color="auto" w:sz="4" w:space="0"/>
              <w:bottom w:val="single" w:color="auto" w:sz="4" w:space="0"/>
              <w:right w:val="single" w:color="auto" w:sz="8" w:space="0"/>
            </w:tcBorders>
            <w:vAlign w:val="center"/>
          </w:tcPr>
          <w:p>
            <w:pPr>
              <w:rPr>
                <w:rFonts w:hint="eastAsia" w:ascii="方正仿宋简体" w:hAnsi="方正仿宋简体" w:eastAsia="方正仿宋简体" w:cs="方正仿宋简体"/>
                <w:bCs/>
                <w:kern w:val="0"/>
                <w:szCs w:val="21"/>
              </w:rPr>
            </w:pPr>
            <w:r>
              <w:rPr>
                <w:rFonts w:hint="eastAsia" w:ascii="方正仿宋简体" w:hAnsi="方正仿宋简体" w:eastAsia="方正仿宋简体" w:cs="方正仿宋简体"/>
                <w:bCs/>
                <w:kern w:val="0"/>
                <w:szCs w:val="21"/>
              </w:rPr>
              <w:t>配件</w:t>
            </w:r>
            <w:r>
              <w:rPr>
                <w:rFonts w:ascii="方正仿宋简体" w:hAnsi="方正仿宋简体" w:eastAsia="方正仿宋简体" w:cs="方正仿宋简体"/>
                <w:bCs/>
                <w:kern w:val="0"/>
                <w:szCs w:val="21"/>
              </w:rPr>
              <w:t>更换</w:t>
            </w:r>
            <w:r>
              <w:rPr>
                <w:rFonts w:hint="eastAsia" w:ascii="方正仿宋简体" w:hAnsi="方正仿宋简体" w:eastAsia="方正仿宋简体" w:cs="方正仿宋简体"/>
                <w:bCs/>
                <w:kern w:val="0"/>
                <w:szCs w:val="21"/>
              </w:rPr>
              <w:t>费</w:t>
            </w:r>
            <w:r>
              <w:rPr>
                <w:rFonts w:ascii="方正仿宋简体" w:hAnsi="方正仿宋简体" w:eastAsia="方正仿宋简体" w:cs="方正仿宋简体"/>
                <w:bCs/>
                <w:kern w:val="0"/>
                <w:szCs w:val="21"/>
              </w:rPr>
              <w:t>合计计入总价</w:t>
            </w:r>
            <w:r>
              <w:rPr>
                <w:rFonts w:hint="eastAsia" w:ascii="方正仿宋简体" w:hAnsi="方正仿宋简体" w:eastAsia="方正仿宋简体" w:cs="方正仿宋简体"/>
                <w:bCs/>
                <w:kern w:val="0"/>
                <w:szCs w:val="21"/>
              </w:rPr>
              <w:t>合计</w:t>
            </w:r>
            <w:r>
              <w:rPr>
                <w:rFonts w:ascii="方正仿宋简体" w:hAnsi="方正仿宋简体" w:eastAsia="方正仿宋简体" w:cs="方正仿宋简体"/>
                <w:bCs/>
                <w:kern w:val="0"/>
                <w:szCs w:val="21"/>
              </w:rPr>
              <w:t>，作为评标依据</w:t>
            </w:r>
          </w:p>
        </w:tc>
      </w:tr>
      <w:tr>
        <w:tblPrEx>
          <w:tblCellMar>
            <w:top w:w="0" w:type="dxa"/>
            <w:left w:w="0" w:type="dxa"/>
            <w:bottom w:w="0" w:type="dxa"/>
            <w:right w:w="0" w:type="dxa"/>
          </w:tblCellMar>
        </w:tblPrEx>
        <w:trPr>
          <w:trHeight w:val="475" w:hRule="atLeast"/>
        </w:trPr>
        <w:tc>
          <w:tcPr>
            <w:tcW w:w="9821" w:type="dxa"/>
            <w:gridSpan w:val="17"/>
            <w:tcBorders>
              <w:top w:val="single" w:color="auto" w:sz="4" w:space="0"/>
              <w:left w:val="single" w:color="auto" w:sz="8" w:space="0"/>
              <w:bottom w:val="single" w:color="auto" w:sz="4" w:space="0"/>
              <w:right w:val="single" w:color="auto" w:sz="8" w:space="0"/>
            </w:tcBorders>
            <w:vAlign w:val="center"/>
          </w:tcPr>
          <w:p>
            <w:pP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以上</w:t>
            </w:r>
            <w:r>
              <w:rPr>
                <w:rFonts w:ascii="方正仿宋简体" w:hAnsi="方正仿宋简体" w:eastAsia="方正仿宋简体" w:cs="方正仿宋简体"/>
                <w:bCs/>
                <w:kern w:val="0"/>
                <w:sz w:val="24"/>
                <w:szCs w:val="24"/>
              </w:rPr>
              <w:t>总价合计</w:t>
            </w:r>
            <w:r>
              <w:rPr>
                <w:rFonts w:hint="eastAsia" w:ascii="方正仿宋简体" w:hAnsi="方正仿宋简体" w:eastAsia="方正仿宋简体" w:cs="方正仿宋简体"/>
                <w:bCs/>
                <w:kern w:val="0"/>
                <w:sz w:val="24"/>
                <w:szCs w:val="24"/>
              </w:rPr>
              <w:t>（现场维保</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合计+返厂</w:t>
            </w:r>
            <w:r>
              <w:rPr>
                <w:rFonts w:ascii="方正仿宋简体" w:hAnsi="方正仿宋简体" w:eastAsia="方正仿宋简体" w:cs="方正仿宋简体"/>
                <w:bCs/>
                <w:kern w:val="0"/>
                <w:sz w:val="24"/>
                <w:szCs w:val="24"/>
              </w:rPr>
              <w:t>维修费</w:t>
            </w:r>
            <w:r>
              <w:rPr>
                <w:rFonts w:hint="eastAsia" w:ascii="方正仿宋简体" w:hAnsi="方正仿宋简体" w:eastAsia="方正仿宋简体" w:cs="方正仿宋简体"/>
                <w:bCs/>
                <w:kern w:val="0"/>
                <w:sz w:val="24"/>
                <w:szCs w:val="24"/>
              </w:rPr>
              <w:t>合计+配件</w:t>
            </w:r>
            <w:r>
              <w:rPr>
                <w:rFonts w:ascii="方正仿宋简体" w:hAnsi="方正仿宋简体" w:eastAsia="方正仿宋简体" w:cs="方正仿宋简体"/>
                <w:bCs/>
                <w:kern w:val="0"/>
                <w:sz w:val="24"/>
                <w:szCs w:val="24"/>
              </w:rPr>
              <w:t>更换</w:t>
            </w:r>
            <w:r>
              <w:rPr>
                <w:rFonts w:hint="eastAsia" w:ascii="方正仿宋简体" w:hAnsi="方正仿宋简体" w:eastAsia="方正仿宋简体" w:cs="方正仿宋简体"/>
                <w:bCs/>
                <w:kern w:val="0"/>
                <w:sz w:val="24"/>
                <w:szCs w:val="24"/>
              </w:rPr>
              <w:t>费</w:t>
            </w:r>
            <w:r>
              <w:rPr>
                <w:rFonts w:ascii="方正仿宋简体" w:hAnsi="方正仿宋简体" w:eastAsia="方正仿宋简体" w:cs="方正仿宋简体"/>
                <w:bCs/>
                <w:kern w:val="0"/>
                <w:sz w:val="24"/>
                <w:szCs w:val="24"/>
              </w:rPr>
              <w:t>合计</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小写</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w:t>
            </w:r>
          </w:p>
        </w:tc>
      </w:tr>
    </w:tbl>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pPr>
        <w:pStyle w:val="6"/>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中标方接到</w:t>
      </w:r>
      <w:r>
        <w:rPr>
          <w:rFonts w:ascii="方正仿宋简体" w:hAnsi="方正仿宋简体" w:eastAsia="方正仿宋简体" w:cs="方正仿宋简体"/>
          <w:sz w:val="32"/>
          <w:szCs w:val="32"/>
          <w:u w:val="single"/>
        </w:rPr>
        <w:t>招标方通知，4</w:t>
      </w:r>
      <w:r>
        <w:rPr>
          <w:rFonts w:hint="eastAsia" w:ascii="方正仿宋简体" w:hAnsi="方正仿宋简体" w:eastAsia="方正仿宋简体" w:cs="方正仿宋简体"/>
          <w:sz w:val="32"/>
          <w:szCs w:val="32"/>
          <w:u w:val="single"/>
        </w:rPr>
        <w:t>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招标方</w:t>
      </w:r>
      <w:r>
        <w:rPr>
          <w:rFonts w:ascii="方正仿宋简体" w:hAnsi="方正仿宋简体" w:eastAsia="方正仿宋简体" w:cs="方正仿宋简体"/>
          <w:sz w:val="32"/>
          <w:szCs w:val="32"/>
          <w:u w:val="single"/>
        </w:rPr>
        <w:t>现场。</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textAlignment w:val="baseline"/>
        <w:rPr>
          <w:rFonts w:ascii="仿宋_GB2312" w:hAnsi="仿宋_GB2312" w:eastAsia="仿宋_GB2312" w:cs="仿宋_GB2312"/>
          <w:b/>
          <w:kern w:val="1"/>
          <w:sz w:val="28"/>
          <w:szCs w:val="28"/>
        </w:rPr>
      </w:pPr>
      <w:r>
        <w:rPr>
          <w:rFonts w:hint="eastAsia" w:ascii="仿宋_GB2312" w:hAnsi="仿宋_GB2312" w:eastAsia="仿宋_GB2312" w:cs="仿宋_GB2312"/>
          <w:b/>
          <w:color w:val="000000"/>
          <w:kern w:val="1"/>
          <w:sz w:val="28"/>
          <w:szCs w:val="28"/>
        </w:rPr>
        <w:t>附表：</w:t>
      </w:r>
    </w:p>
    <w:tbl>
      <w:tblPr>
        <w:tblStyle w:val="15"/>
        <w:tblW w:w="9782" w:type="dxa"/>
        <w:tblInd w:w="-743" w:type="dxa"/>
        <w:tblLayout w:type="fixed"/>
        <w:tblCellMar>
          <w:top w:w="0" w:type="dxa"/>
          <w:left w:w="108" w:type="dxa"/>
          <w:bottom w:w="0" w:type="dxa"/>
          <w:right w:w="108" w:type="dxa"/>
        </w:tblCellMar>
      </w:tblPr>
      <w:tblGrid>
        <w:gridCol w:w="709"/>
        <w:gridCol w:w="709"/>
        <w:gridCol w:w="1701"/>
        <w:gridCol w:w="709"/>
        <w:gridCol w:w="709"/>
        <w:gridCol w:w="709"/>
        <w:gridCol w:w="708"/>
        <w:gridCol w:w="1701"/>
        <w:gridCol w:w="709"/>
        <w:gridCol w:w="709"/>
        <w:gridCol w:w="709"/>
      </w:tblGrid>
      <w:tr>
        <w:tblPrEx>
          <w:tblCellMar>
            <w:top w:w="0" w:type="dxa"/>
            <w:left w:w="108" w:type="dxa"/>
            <w:bottom w:w="0" w:type="dxa"/>
            <w:right w:w="108" w:type="dxa"/>
          </w:tblCellMar>
        </w:tblPrEx>
        <w:trPr>
          <w:trHeight w:val="1258" w:hRule="atLeast"/>
        </w:trPr>
        <w:tc>
          <w:tcPr>
            <w:tcW w:w="9782"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sz w:val="32"/>
                <w:szCs w:val="32"/>
              </w:rPr>
            </w:pPr>
            <w:r>
              <w:rPr>
                <w:rFonts w:hint="eastAsia" w:ascii="宋体" w:hAnsi="宋体" w:cs="宋体"/>
                <w:b/>
                <w:bCs/>
                <w:sz w:val="32"/>
                <w:szCs w:val="32"/>
              </w:rPr>
              <w:t>电机配件更换报价单</w:t>
            </w:r>
          </w:p>
        </w:tc>
      </w:tr>
      <w:tr>
        <w:tblPrEx>
          <w:tblCellMar>
            <w:top w:w="0" w:type="dxa"/>
            <w:left w:w="108" w:type="dxa"/>
            <w:bottom w:w="0" w:type="dxa"/>
            <w:right w:w="108" w:type="dxa"/>
          </w:tblCellMar>
        </w:tblPrEx>
        <w:trPr>
          <w:trHeight w:val="381"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序号</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型号</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配件名称</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数量</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单价</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总价</w:t>
            </w: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型号</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配件名称</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单位</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单价</w:t>
            </w:r>
          </w:p>
        </w:tc>
        <w:tc>
          <w:tcPr>
            <w:tcW w:w="709" w:type="dxa"/>
            <w:tcBorders>
              <w:top w:val="single" w:color="auto" w:sz="4" w:space="0"/>
              <w:left w:val="nil"/>
              <w:bottom w:val="single" w:color="auto" w:sz="4" w:space="0"/>
              <w:right w:val="single" w:color="auto" w:sz="4" w:space="0"/>
            </w:tcBorders>
            <w:shd w:val="clear" w:color="000000" w:fill="FFFFFF"/>
          </w:tcPr>
          <w:p>
            <w:pPr>
              <w:widowControl/>
              <w:rPr>
                <w:rFonts w:ascii="宋体" w:hAnsi="宋体" w:cs="宋体"/>
                <w:b/>
                <w:bCs/>
                <w:sz w:val="22"/>
                <w:szCs w:val="22"/>
              </w:rPr>
            </w:pPr>
            <w:r>
              <w:rPr>
                <w:rFonts w:hint="eastAsia" w:ascii="宋体" w:hAnsi="宋体" w:cs="宋体"/>
                <w:b/>
                <w:bCs/>
                <w:sz w:val="22"/>
                <w:szCs w:val="22"/>
              </w:rPr>
              <w:t>总价</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Y70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Y180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失电制动器</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套</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Y80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Y200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34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Y90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Y225</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Y100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Y250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Y112</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Y280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Y132</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Y315</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2付</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2次　</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2次　</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失电制动器</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2套</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14</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Y160</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sz w:val="22"/>
                <w:szCs w:val="22"/>
              </w:rPr>
            </w:pPr>
            <w:r>
              <w:rPr>
                <w:rFonts w:hint="eastAsia" w:ascii="宋体" w:hAnsi="宋体" w:cs="宋体"/>
                <w:b/>
                <w:bCs/>
                <w:sz w:val="22"/>
                <w:szCs w:val="22"/>
              </w:rPr>
              <w:t>Y355</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2</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3</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4</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5</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6</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7</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根</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8</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根</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9</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付</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次　</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失电制动器</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套</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14</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sz w:val="22"/>
                <w:szCs w:val="22"/>
              </w:rPr>
            </w:pPr>
          </w:p>
        </w:tc>
      </w:tr>
      <w:tr>
        <w:tblPrEx>
          <w:tblCellMar>
            <w:top w:w="0" w:type="dxa"/>
            <w:left w:w="108" w:type="dxa"/>
            <w:bottom w:w="0" w:type="dxa"/>
            <w:right w:w="108" w:type="dxa"/>
          </w:tblCellMar>
        </w:tblPrEx>
        <w:trPr>
          <w:trHeight w:val="402" w:hRule="atLeast"/>
        </w:trPr>
        <w:tc>
          <w:tcPr>
            <w:tcW w:w="9073"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cs="宋体"/>
                <w:sz w:val="22"/>
                <w:szCs w:val="22"/>
              </w:rPr>
            </w:pPr>
            <w:r>
              <w:rPr>
                <w:rFonts w:hint="eastAsia" w:ascii="宋体" w:hAnsi="宋体" w:cs="宋体"/>
                <w:sz w:val="22"/>
                <w:szCs w:val="22"/>
              </w:rPr>
              <w:t>总价（小写）：</w:t>
            </w:r>
          </w:p>
        </w:tc>
        <w:tc>
          <w:tcPr>
            <w:tcW w:w="709" w:type="dxa"/>
            <w:tcBorders>
              <w:top w:val="single" w:color="auto" w:sz="4" w:space="0"/>
              <w:left w:val="single" w:color="auto" w:sz="4" w:space="0"/>
              <w:bottom w:val="single" w:color="auto" w:sz="4" w:space="0"/>
              <w:right w:val="single" w:color="auto" w:sz="4" w:space="0"/>
            </w:tcBorders>
            <w:shd w:val="clear" w:color="000000" w:fill="FFFFFF"/>
          </w:tcPr>
          <w:p>
            <w:pPr>
              <w:widowControl/>
              <w:rPr>
                <w:rFonts w:ascii="宋体" w:hAnsi="宋体" w:cs="宋体"/>
                <w:sz w:val="22"/>
                <w:szCs w:val="22"/>
              </w:rPr>
            </w:pPr>
          </w:p>
        </w:tc>
      </w:tr>
    </w:tbl>
    <w:p>
      <w:pPr>
        <w:rPr>
          <w:rFonts w:ascii="方正小标宋简体" w:hAnsi="宋体" w:eastAsia="方正小标宋简体" w:cs="宋体"/>
          <w:b/>
          <w:bCs/>
          <w:sz w:val="32"/>
          <w:szCs w:val="32"/>
        </w:rPr>
      </w:pPr>
    </w:p>
    <w:p>
      <w:pPr>
        <w:pStyle w:val="13"/>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6"/>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ÎSå">
    <w:altName w:val="Arial"/>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jc w:val="center"/>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t>10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6AC"/>
    <w:rsid w:val="000141C3"/>
    <w:rsid w:val="0003014A"/>
    <w:rsid w:val="00030F87"/>
    <w:rsid w:val="0003738E"/>
    <w:rsid w:val="0004463C"/>
    <w:rsid w:val="00057564"/>
    <w:rsid w:val="00070A9E"/>
    <w:rsid w:val="00074367"/>
    <w:rsid w:val="000A068D"/>
    <w:rsid w:val="000A22DB"/>
    <w:rsid w:val="000A4392"/>
    <w:rsid w:val="000B05C2"/>
    <w:rsid w:val="000B224F"/>
    <w:rsid w:val="000B240D"/>
    <w:rsid w:val="000C1845"/>
    <w:rsid w:val="000C1DAF"/>
    <w:rsid w:val="000D6A23"/>
    <w:rsid w:val="000D7239"/>
    <w:rsid w:val="000E290E"/>
    <w:rsid w:val="001051CB"/>
    <w:rsid w:val="0010553B"/>
    <w:rsid w:val="00112DAE"/>
    <w:rsid w:val="00116306"/>
    <w:rsid w:val="00124336"/>
    <w:rsid w:val="00124702"/>
    <w:rsid w:val="001260B7"/>
    <w:rsid w:val="001336C3"/>
    <w:rsid w:val="00135692"/>
    <w:rsid w:val="001532BF"/>
    <w:rsid w:val="00160290"/>
    <w:rsid w:val="00162DF0"/>
    <w:rsid w:val="00166793"/>
    <w:rsid w:val="00193418"/>
    <w:rsid w:val="001A7FE6"/>
    <w:rsid w:val="001B0F9A"/>
    <w:rsid w:val="001D749A"/>
    <w:rsid w:val="001E269B"/>
    <w:rsid w:val="001F0841"/>
    <w:rsid w:val="001F12E9"/>
    <w:rsid w:val="001F16BE"/>
    <w:rsid w:val="001F5B1E"/>
    <w:rsid w:val="00204BA6"/>
    <w:rsid w:val="002055DD"/>
    <w:rsid w:val="00210C67"/>
    <w:rsid w:val="002133E5"/>
    <w:rsid w:val="00243DB6"/>
    <w:rsid w:val="0024403B"/>
    <w:rsid w:val="0025137B"/>
    <w:rsid w:val="002571DA"/>
    <w:rsid w:val="002663C8"/>
    <w:rsid w:val="0027458E"/>
    <w:rsid w:val="002A3EB8"/>
    <w:rsid w:val="002A4FEF"/>
    <w:rsid w:val="002B41DA"/>
    <w:rsid w:val="002C2198"/>
    <w:rsid w:val="002C7D82"/>
    <w:rsid w:val="002D08DB"/>
    <w:rsid w:val="002E6868"/>
    <w:rsid w:val="002F66BD"/>
    <w:rsid w:val="002F7B74"/>
    <w:rsid w:val="00300959"/>
    <w:rsid w:val="0030113F"/>
    <w:rsid w:val="00304955"/>
    <w:rsid w:val="003130E5"/>
    <w:rsid w:val="003134B3"/>
    <w:rsid w:val="00317FD9"/>
    <w:rsid w:val="00331F42"/>
    <w:rsid w:val="003471BE"/>
    <w:rsid w:val="00354DF6"/>
    <w:rsid w:val="00355E41"/>
    <w:rsid w:val="0035637E"/>
    <w:rsid w:val="003620C8"/>
    <w:rsid w:val="00372C3A"/>
    <w:rsid w:val="003732C8"/>
    <w:rsid w:val="00383DDD"/>
    <w:rsid w:val="00386271"/>
    <w:rsid w:val="00395771"/>
    <w:rsid w:val="003C384A"/>
    <w:rsid w:val="003C4753"/>
    <w:rsid w:val="003C5E49"/>
    <w:rsid w:val="003C7784"/>
    <w:rsid w:val="003D27BE"/>
    <w:rsid w:val="003D449F"/>
    <w:rsid w:val="003E4B47"/>
    <w:rsid w:val="003E6C64"/>
    <w:rsid w:val="003F3264"/>
    <w:rsid w:val="00404973"/>
    <w:rsid w:val="00404F98"/>
    <w:rsid w:val="00407A92"/>
    <w:rsid w:val="00407E4D"/>
    <w:rsid w:val="00413897"/>
    <w:rsid w:val="00414C46"/>
    <w:rsid w:val="0042701D"/>
    <w:rsid w:val="00427C71"/>
    <w:rsid w:val="00435763"/>
    <w:rsid w:val="00455075"/>
    <w:rsid w:val="004553E5"/>
    <w:rsid w:val="00466243"/>
    <w:rsid w:val="004715DF"/>
    <w:rsid w:val="004875EB"/>
    <w:rsid w:val="004975D5"/>
    <w:rsid w:val="004A4D51"/>
    <w:rsid w:val="004B34DE"/>
    <w:rsid w:val="004C1280"/>
    <w:rsid w:val="004C289D"/>
    <w:rsid w:val="004D4FFE"/>
    <w:rsid w:val="004F039F"/>
    <w:rsid w:val="004F353E"/>
    <w:rsid w:val="004F4F62"/>
    <w:rsid w:val="004F5E27"/>
    <w:rsid w:val="00520D81"/>
    <w:rsid w:val="00535932"/>
    <w:rsid w:val="00541A3D"/>
    <w:rsid w:val="0054684F"/>
    <w:rsid w:val="00552D29"/>
    <w:rsid w:val="00554526"/>
    <w:rsid w:val="005644E0"/>
    <w:rsid w:val="00567EB9"/>
    <w:rsid w:val="00571705"/>
    <w:rsid w:val="00581D3E"/>
    <w:rsid w:val="005834A2"/>
    <w:rsid w:val="005C3E95"/>
    <w:rsid w:val="005C6D13"/>
    <w:rsid w:val="0061313A"/>
    <w:rsid w:val="006168FD"/>
    <w:rsid w:val="006218AD"/>
    <w:rsid w:val="00622A8D"/>
    <w:rsid w:val="006253B4"/>
    <w:rsid w:val="00643FF8"/>
    <w:rsid w:val="00650CA2"/>
    <w:rsid w:val="00652B4B"/>
    <w:rsid w:val="00666C6D"/>
    <w:rsid w:val="00675CA6"/>
    <w:rsid w:val="006835A9"/>
    <w:rsid w:val="00687600"/>
    <w:rsid w:val="00697F33"/>
    <w:rsid w:val="006B11D3"/>
    <w:rsid w:val="006B13C8"/>
    <w:rsid w:val="006B2243"/>
    <w:rsid w:val="006C05C8"/>
    <w:rsid w:val="006D00BD"/>
    <w:rsid w:val="006D12A4"/>
    <w:rsid w:val="006D3CEC"/>
    <w:rsid w:val="006E07FF"/>
    <w:rsid w:val="006E0809"/>
    <w:rsid w:val="006E1358"/>
    <w:rsid w:val="006F08A6"/>
    <w:rsid w:val="006F1C93"/>
    <w:rsid w:val="00704DCF"/>
    <w:rsid w:val="00712E2A"/>
    <w:rsid w:val="0072040B"/>
    <w:rsid w:val="00723E8B"/>
    <w:rsid w:val="007254B5"/>
    <w:rsid w:val="00740615"/>
    <w:rsid w:val="00753CD1"/>
    <w:rsid w:val="00756CEF"/>
    <w:rsid w:val="007573D6"/>
    <w:rsid w:val="00775788"/>
    <w:rsid w:val="007820F5"/>
    <w:rsid w:val="0078321F"/>
    <w:rsid w:val="007856FB"/>
    <w:rsid w:val="007875CD"/>
    <w:rsid w:val="0078761D"/>
    <w:rsid w:val="0079121E"/>
    <w:rsid w:val="00793220"/>
    <w:rsid w:val="007B14D2"/>
    <w:rsid w:val="007C0ACF"/>
    <w:rsid w:val="007C3FCB"/>
    <w:rsid w:val="007D630F"/>
    <w:rsid w:val="007E6E47"/>
    <w:rsid w:val="007F50F6"/>
    <w:rsid w:val="0080449A"/>
    <w:rsid w:val="00813574"/>
    <w:rsid w:val="00814842"/>
    <w:rsid w:val="008249E2"/>
    <w:rsid w:val="008330B5"/>
    <w:rsid w:val="00837E94"/>
    <w:rsid w:val="008414F2"/>
    <w:rsid w:val="00842B41"/>
    <w:rsid w:val="00856599"/>
    <w:rsid w:val="00862319"/>
    <w:rsid w:val="00866AD7"/>
    <w:rsid w:val="00875972"/>
    <w:rsid w:val="00882A3F"/>
    <w:rsid w:val="00894C09"/>
    <w:rsid w:val="008B6E7D"/>
    <w:rsid w:val="008C15BB"/>
    <w:rsid w:val="008C785B"/>
    <w:rsid w:val="008D2F65"/>
    <w:rsid w:val="008D5377"/>
    <w:rsid w:val="008F1FA3"/>
    <w:rsid w:val="008F2C96"/>
    <w:rsid w:val="0091028A"/>
    <w:rsid w:val="0091252B"/>
    <w:rsid w:val="00922EAD"/>
    <w:rsid w:val="00933457"/>
    <w:rsid w:val="0093613E"/>
    <w:rsid w:val="00973350"/>
    <w:rsid w:val="00975ECA"/>
    <w:rsid w:val="00981161"/>
    <w:rsid w:val="009828EE"/>
    <w:rsid w:val="0099001A"/>
    <w:rsid w:val="009A7843"/>
    <w:rsid w:val="009B5752"/>
    <w:rsid w:val="009D135B"/>
    <w:rsid w:val="009D1883"/>
    <w:rsid w:val="009E1BB0"/>
    <w:rsid w:val="009E2975"/>
    <w:rsid w:val="00A026A7"/>
    <w:rsid w:val="00A065B8"/>
    <w:rsid w:val="00A1099D"/>
    <w:rsid w:val="00A303BA"/>
    <w:rsid w:val="00A34408"/>
    <w:rsid w:val="00A40D24"/>
    <w:rsid w:val="00A54DF7"/>
    <w:rsid w:val="00A63D7F"/>
    <w:rsid w:val="00A64586"/>
    <w:rsid w:val="00A71BD4"/>
    <w:rsid w:val="00A7381A"/>
    <w:rsid w:val="00A879D1"/>
    <w:rsid w:val="00A934E7"/>
    <w:rsid w:val="00A97749"/>
    <w:rsid w:val="00AA0514"/>
    <w:rsid w:val="00AA1CE1"/>
    <w:rsid w:val="00AB1284"/>
    <w:rsid w:val="00AB6095"/>
    <w:rsid w:val="00AC38A8"/>
    <w:rsid w:val="00AC569D"/>
    <w:rsid w:val="00AD0748"/>
    <w:rsid w:val="00AD1B32"/>
    <w:rsid w:val="00AD4931"/>
    <w:rsid w:val="00AF3655"/>
    <w:rsid w:val="00B12C30"/>
    <w:rsid w:val="00B13AB6"/>
    <w:rsid w:val="00B17FFA"/>
    <w:rsid w:val="00B24488"/>
    <w:rsid w:val="00B2523B"/>
    <w:rsid w:val="00B259E2"/>
    <w:rsid w:val="00B353E5"/>
    <w:rsid w:val="00B51C96"/>
    <w:rsid w:val="00B631C3"/>
    <w:rsid w:val="00B74619"/>
    <w:rsid w:val="00B7550F"/>
    <w:rsid w:val="00B82CED"/>
    <w:rsid w:val="00BB2F81"/>
    <w:rsid w:val="00BB7953"/>
    <w:rsid w:val="00BC787E"/>
    <w:rsid w:val="00BD5DA8"/>
    <w:rsid w:val="00BD78FB"/>
    <w:rsid w:val="00BE71DE"/>
    <w:rsid w:val="00BF2809"/>
    <w:rsid w:val="00C1662A"/>
    <w:rsid w:val="00C21131"/>
    <w:rsid w:val="00C258E8"/>
    <w:rsid w:val="00C266AB"/>
    <w:rsid w:val="00C56465"/>
    <w:rsid w:val="00C56960"/>
    <w:rsid w:val="00C833B8"/>
    <w:rsid w:val="00C86065"/>
    <w:rsid w:val="00C95CDE"/>
    <w:rsid w:val="00C97E7F"/>
    <w:rsid w:val="00CC0ED7"/>
    <w:rsid w:val="00CC1DC6"/>
    <w:rsid w:val="00CC3EB8"/>
    <w:rsid w:val="00CC773B"/>
    <w:rsid w:val="00CD5462"/>
    <w:rsid w:val="00D12494"/>
    <w:rsid w:val="00D24639"/>
    <w:rsid w:val="00D32CC0"/>
    <w:rsid w:val="00D35BFF"/>
    <w:rsid w:val="00D44CD6"/>
    <w:rsid w:val="00D51C9C"/>
    <w:rsid w:val="00D74619"/>
    <w:rsid w:val="00D82D6F"/>
    <w:rsid w:val="00D94759"/>
    <w:rsid w:val="00D96DDE"/>
    <w:rsid w:val="00DB2D9C"/>
    <w:rsid w:val="00DB3725"/>
    <w:rsid w:val="00DB5D1C"/>
    <w:rsid w:val="00DC00E8"/>
    <w:rsid w:val="00DC041C"/>
    <w:rsid w:val="00DC063D"/>
    <w:rsid w:val="00DD16C2"/>
    <w:rsid w:val="00DD194E"/>
    <w:rsid w:val="00DE4D03"/>
    <w:rsid w:val="00DE7ECE"/>
    <w:rsid w:val="00E1048D"/>
    <w:rsid w:val="00E14327"/>
    <w:rsid w:val="00E26A30"/>
    <w:rsid w:val="00E33B6F"/>
    <w:rsid w:val="00E45A9C"/>
    <w:rsid w:val="00E4738E"/>
    <w:rsid w:val="00E47ACC"/>
    <w:rsid w:val="00E50CF1"/>
    <w:rsid w:val="00E53878"/>
    <w:rsid w:val="00E60EFF"/>
    <w:rsid w:val="00E63349"/>
    <w:rsid w:val="00E65D0B"/>
    <w:rsid w:val="00E74639"/>
    <w:rsid w:val="00E80B58"/>
    <w:rsid w:val="00E9659A"/>
    <w:rsid w:val="00ED7B8D"/>
    <w:rsid w:val="00EE395C"/>
    <w:rsid w:val="00EE408D"/>
    <w:rsid w:val="00EE5E6B"/>
    <w:rsid w:val="00EF6881"/>
    <w:rsid w:val="00F131D4"/>
    <w:rsid w:val="00F16E4B"/>
    <w:rsid w:val="00F24049"/>
    <w:rsid w:val="00F2435F"/>
    <w:rsid w:val="00F32DB5"/>
    <w:rsid w:val="00F40B91"/>
    <w:rsid w:val="00F40F58"/>
    <w:rsid w:val="00F45B42"/>
    <w:rsid w:val="00F71577"/>
    <w:rsid w:val="00F73EB9"/>
    <w:rsid w:val="00F7763D"/>
    <w:rsid w:val="00F85547"/>
    <w:rsid w:val="00FA1409"/>
    <w:rsid w:val="00FB0477"/>
    <w:rsid w:val="00FC486E"/>
    <w:rsid w:val="00FC64E2"/>
    <w:rsid w:val="00FF61CA"/>
    <w:rsid w:val="0355512A"/>
    <w:rsid w:val="04E42F38"/>
    <w:rsid w:val="0CCD460E"/>
    <w:rsid w:val="0EDC703A"/>
    <w:rsid w:val="0F866E5F"/>
    <w:rsid w:val="11357F1D"/>
    <w:rsid w:val="126F548F"/>
    <w:rsid w:val="140432BB"/>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2FEF0754"/>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D185277"/>
    <w:rsid w:val="4DC0511E"/>
    <w:rsid w:val="4ED14A41"/>
    <w:rsid w:val="4FAC5BC3"/>
    <w:rsid w:val="4FC61FF0"/>
    <w:rsid w:val="50846203"/>
    <w:rsid w:val="50DD469C"/>
    <w:rsid w:val="51ED4DB3"/>
    <w:rsid w:val="538763B9"/>
    <w:rsid w:val="55DC546E"/>
    <w:rsid w:val="579C3951"/>
    <w:rsid w:val="596D6B7C"/>
    <w:rsid w:val="5CEC747F"/>
    <w:rsid w:val="5CF70B09"/>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iPriority="0" w:semiHidden="0" w:name="HTML Cite"/>
    <w:lsdException w:qFormat="1" w:uiPriority="0" w:semiHidden="0" w:name="HTML Code"/>
    <w:lsdException w:qFormat="1"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7"/>
    <w:qFormat/>
    <w:uiPriority w:val="0"/>
    <w:pPr>
      <w:keepNext/>
      <w:keepLines/>
      <w:spacing w:before="260" w:after="260" w:line="413" w:lineRule="auto"/>
      <w:outlineLvl w:val="2"/>
    </w:pPr>
    <w:rPr>
      <w:rFonts w:eastAsia="‹ÎSå"/>
      <w:b/>
      <w:color w:val="000000"/>
      <w:kern w:val="0"/>
      <w:sz w:val="32"/>
      <w:szCs w:val="32"/>
      <w:lang w:val="zh-CN"/>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next w:val="7"/>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Balloon Text"/>
    <w:basedOn w:val="1"/>
    <w:link w:val="28"/>
    <w:unhideWhenUsed/>
    <w:qFormat/>
    <w:uiPriority w:val="99"/>
    <w:rPr>
      <w:color w:val="000000"/>
      <w:kern w:val="0"/>
      <w:sz w:val="18"/>
      <w:szCs w:val="18"/>
    </w:rPr>
  </w:style>
  <w:style w:type="paragraph" w:styleId="10">
    <w:name w:val="footer"/>
    <w:basedOn w:val="1"/>
    <w:link w:val="55"/>
    <w:qFormat/>
    <w:uiPriority w:val="99"/>
    <w:pPr>
      <w:tabs>
        <w:tab w:val="center" w:pos="4153"/>
        <w:tab w:val="right" w:pos="8306"/>
      </w:tabs>
      <w:snapToGrid w:val="0"/>
      <w:jc w:val="left"/>
    </w:pPr>
    <w:rPr>
      <w:sz w:val="18"/>
      <w:szCs w:val="18"/>
    </w:rPr>
  </w:style>
  <w:style w:type="paragraph" w:styleId="11">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Title"/>
    <w:basedOn w:val="1"/>
    <w:next w:val="1"/>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character" w:styleId="17">
    <w:name w:val="FollowedHyperlink"/>
    <w:basedOn w:val="16"/>
    <w:qFormat/>
    <w:uiPriority w:val="0"/>
    <w:rPr>
      <w:color w:val="800080" w:themeColor="followedHyperlink"/>
      <w:u w:val="single"/>
      <w14:textFill>
        <w14:solidFill>
          <w14:schemeClr w14:val="folHlink"/>
        </w14:solidFill>
      </w14:textFill>
    </w:rPr>
  </w:style>
  <w:style w:type="character" w:styleId="18">
    <w:name w:val="HTML Definition"/>
    <w:basedOn w:val="16"/>
    <w:unhideWhenUsed/>
    <w:qFormat/>
    <w:uiPriority w:val="0"/>
  </w:style>
  <w:style w:type="character" w:styleId="19">
    <w:name w:val="HTML Variable"/>
    <w:basedOn w:val="16"/>
    <w:unhideWhenUsed/>
    <w:uiPriority w:val="0"/>
  </w:style>
  <w:style w:type="character" w:styleId="20">
    <w:name w:val="Hyperlink"/>
    <w:basedOn w:val="16"/>
    <w:unhideWhenUsed/>
    <w:qFormat/>
    <w:uiPriority w:val="99"/>
    <w:rPr>
      <w:color w:val="318ED9"/>
      <w:u w:val="none"/>
    </w:rPr>
  </w:style>
  <w:style w:type="character" w:styleId="21">
    <w:name w:val="HTML Code"/>
    <w:basedOn w:val="16"/>
    <w:unhideWhenUsed/>
    <w:qFormat/>
    <w:uiPriority w:val="0"/>
    <w:rPr>
      <w:rFonts w:ascii="Courier New" w:hAnsi="Courier New"/>
      <w:sz w:val="20"/>
    </w:rPr>
  </w:style>
  <w:style w:type="character" w:styleId="22">
    <w:name w:val="HTML Cite"/>
    <w:basedOn w:val="16"/>
    <w:unhideWhenUsed/>
    <w:uiPriority w:val="0"/>
  </w:style>
  <w:style w:type="paragraph" w:customStyle="1" w:styleId="23">
    <w:name w:val="列出段落11"/>
    <w:basedOn w:val="1"/>
    <w:qFormat/>
    <w:uiPriority w:val="99"/>
    <w:pPr>
      <w:ind w:firstLine="420" w:firstLineChars="200"/>
    </w:pPr>
  </w:style>
  <w:style w:type="paragraph" w:customStyle="1" w:styleId="2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列出段落1"/>
    <w:basedOn w:val="1"/>
    <w:qFormat/>
    <w:uiPriority w:val="34"/>
    <w:pPr>
      <w:ind w:firstLine="420" w:firstLineChars="200"/>
    </w:pPr>
  </w:style>
  <w:style w:type="paragraph" w:styleId="26">
    <w:name w:val="List Paragraph"/>
    <w:basedOn w:val="1"/>
    <w:qFormat/>
    <w:uiPriority w:val="99"/>
    <w:pPr>
      <w:ind w:firstLine="420" w:firstLineChars="200"/>
    </w:pPr>
  </w:style>
  <w:style w:type="character" w:customStyle="1" w:styleId="27">
    <w:name w:val="标题 3 Char"/>
    <w:basedOn w:val="16"/>
    <w:link w:val="4"/>
    <w:qFormat/>
    <w:uiPriority w:val="0"/>
    <w:rPr>
      <w:rFonts w:eastAsia="‹ÎSå"/>
      <w:b/>
      <w:color w:val="000000"/>
      <w:sz w:val="32"/>
      <w:szCs w:val="32"/>
      <w:lang w:val="zh-CN"/>
    </w:rPr>
  </w:style>
  <w:style w:type="character" w:customStyle="1" w:styleId="28">
    <w:name w:val="批注框文本 Char"/>
    <w:basedOn w:val="16"/>
    <w:link w:val="9"/>
    <w:qFormat/>
    <w:uiPriority w:val="99"/>
    <w:rPr>
      <w:color w:val="000000"/>
      <w:sz w:val="18"/>
      <w:szCs w:val="18"/>
    </w:rPr>
  </w:style>
  <w:style w:type="paragraph" w:customStyle="1" w:styleId="29">
    <w:name w:val="_Style 22"/>
    <w:unhideWhenUsed/>
    <w:qFormat/>
    <w:uiPriority w:val="99"/>
    <w:rPr>
      <w:rFonts w:ascii="Times New Roman" w:hAnsi="Times New Roman" w:eastAsia="宋体" w:cs="Times New Roman"/>
      <w:lang w:val="en-US" w:eastAsia="zh-CN" w:bidi="ar-SA"/>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20"/>
    </w:rPr>
  </w:style>
  <w:style w:type="paragraph" w:customStyle="1" w:styleId="31">
    <w:name w:val="font6"/>
    <w:basedOn w:val="1"/>
    <w:uiPriority w:val="0"/>
    <w:pPr>
      <w:widowControl/>
      <w:spacing w:before="100" w:beforeAutospacing="1" w:after="100" w:afterAutospacing="1"/>
      <w:jc w:val="left"/>
    </w:pPr>
    <w:rPr>
      <w:kern w:val="0"/>
      <w:sz w:val="20"/>
    </w:rPr>
  </w:style>
  <w:style w:type="paragraph" w:customStyle="1" w:styleId="32">
    <w:name w:val="font7"/>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8"/>
    <w:basedOn w:val="1"/>
    <w:qFormat/>
    <w:uiPriority w:val="0"/>
    <w:pPr>
      <w:widowControl/>
      <w:spacing w:before="100" w:beforeAutospacing="1" w:after="100" w:afterAutospacing="1"/>
      <w:jc w:val="left"/>
    </w:pPr>
    <w:rPr>
      <w:rFonts w:ascii="宋体" w:hAnsi="宋体" w:cs="宋体"/>
      <w:kern w:val="0"/>
      <w:sz w:val="20"/>
    </w:rPr>
  </w:style>
  <w:style w:type="paragraph" w:customStyle="1" w:styleId="34">
    <w:name w:val="font9"/>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35">
    <w:name w:val="font10"/>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36">
    <w:name w:val="xl67"/>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7">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rPr>
  </w:style>
  <w:style w:type="paragraph" w:customStyle="1" w:styleId="38">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rPr>
  </w:style>
  <w:style w:type="paragraph" w:customStyle="1" w:styleId="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0">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1">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3">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5">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6">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7">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8">
    <w:name w:val="xl79"/>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9">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0">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1">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2">
    <w:name w:val="xl83"/>
    <w:basedOn w:val="1"/>
    <w:uiPriority w:val="0"/>
    <w:pPr>
      <w:widowControl/>
      <w:spacing w:before="100" w:beforeAutospacing="1" w:after="100" w:afterAutospacing="1"/>
      <w:jc w:val="center"/>
      <w:textAlignment w:val="center"/>
    </w:pPr>
    <w:rPr>
      <w:rFonts w:ascii="黑体" w:hAnsi="黑体" w:eastAsia="黑体" w:cs="宋体"/>
      <w:kern w:val="0"/>
      <w:sz w:val="40"/>
      <w:szCs w:val="40"/>
      <w:u w:val="single"/>
    </w:rPr>
  </w:style>
  <w:style w:type="paragraph" w:customStyle="1" w:styleId="53">
    <w:name w:val="列出段落2"/>
    <w:basedOn w:val="1"/>
    <w:qFormat/>
    <w:uiPriority w:val="34"/>
    <w:pPr>
      <w:ind w:firstLine="420" w:firstLineChars="200"/>
    </w:pPr>
    <w:rPr>
      <w:rFonts w:ascii="Calibri" w:hAnsi="Calibri" w:cs="黑体"/>
      <w:szCs w:val="22"/>
    </w:rPr>
  </w:style>
  <w:style w:type="character" w:customStyle="1" w:styleId="54">
    <w:name w:val="页眉 Char"/>
    <w:basedOn w:val="16"/>
    <w:link w:val="11"/>
    <w:qFormat/>
    <w:uiPriority w:val="99"/>
    <w:rPr>
      <w:kern w:val="2"/>
      <w:sz w:val="18"/>
      <w:szCs w:val="18"/>
    </w:rPr>
  </w:style>
  <w:style w:type="character" w:customStyle="1" w:styleId="55">
    <w:name w:val="页脚 Char"/>
    <w:basedOn w:val="16"/>
    <w:link w:val="10"/>
    <w:qFormat/>
    <w:uiPriority w:val="99"/>
    <w:rPr>
      <w:kern w:val="2"/>
      <w:sz w:val="18"/>
      <w:szCs w:val="18"/>
    </w:rPr>
  </w:style>
  <w:style w:type="character" w:customStyle="1" w:styleId="56">
    <w:name w:val="biggerthanmax"/>
    <w:basedOn w:val="16"/>
    <w:qFormat/>
    <w:uiPriority w:val="0"/>
    <w:rPr>
      <w:shd w:val="clear" w:color="auto" w:fill="FFFF00"/>
    </w:rPr>
  </w:style>
  <w:style w:type="character" w:customStyle="1" w:styleId="57">
    <w:name w:val="cy"/>
    <w:basedOn w:val="16"/>
    <w:qFormat/>
    <w:uiPriority w:val="0"/>
  </w:style>
  <w:style w:type="character" w:customStyle="1" w:styleId="58">
    <w:name w:val="button3"/>
    <w:basedOn w:val="16"/>
    <w:qFormat/>
    <w:uiPriority w:val="0"/>
  </w:style>
  <w:style w:type="character" w:customStyle="1" w:styleId="59">
    <w:name w:val="iconline2"/>
    <w:basedOn w:val="16"/>
    <w:qFormat/>
    <w:uiPriority w:val="0"/>
  </w:style>
  <w:style w:type="character" w:customStyle="1" w:styleId="60">
    <w:name w:val="iconline21"/>
    <w:basedOn w:val="16"/>
    <w:qFormat/>
    <w:uiPriority w:val="0"/>
  </w:style>
  <w:style w:type="character" w:customStyle="1" w:styleId="61">
    <w:name w:val="pagechatarealistclose_box"/>
    <w:basedOn w:val="16"/>
    <w:qFormat/>
    <w:uiPriority w:val="0"/>
  </w:style>
  <w:style w:type="character" w:customStyle="1" w:styleId="62">
    <w:name w:val="pagechatarealistclose_box1"/>
    <w:basedOn w:val="16"/>
    <w:qFormat/>
    <w:uiPriority w:val="0"/>
  </w:style>
  <w:style w:type="character" w:customStyle="1" w:styleId="63">
    <w:name w:val="hover40"/>
    <w:basedOn w:val="16"/>
    <w:qFormat/>
    <w:uiPriority w:val="0"/>
    <w:rPr>
      <w:color w:val="FFFFFF"/>
    </w:rPr>
  </w:style>
  <w:style w:type="character" w:customStyle="1" w:styleId="64">
    <w:name w:val="hilite"/>
    <w:basedOn w:val="16"/>
    <w:qFormat/>
    <w:uiPriority w:val="0"/>
    <w:rPr>
      <w:color w:val="FFFFFF"/>
      <w:shd w:val="clear" w:color="auto" w:fill="666666"/>
    </w:rPr>
  </w:style>
  <w:style w:type="character" w:customStyle="1" w:styleId="65">
    <w:name w:val="icontext2"/>
    <w:basedOn w:val="16"/>
    <w:qFormat/>
    <w:uiPriority w:val="0"/>
  </w:style>
  <w:style w:type="character" w:customStyle="1" w:styleId="66">
    <w:name w:val="icontext1"/>
    <w:basedOn w:val="16"/>
    <w:qFormat/>
    <w:uiPriority w:val="0"/>
  </w:style>
  <w:style w:type="character" w:customStyle="1" w:styleId="67">
    <w:name w:val="icontext11"/>
    <w:basedOn w:val="16"/>
    <w:qFormat/>
    <w:uiPriority w:val="0"/>
  </w:style>
  <w:style w:type="character" w:customStyle="1" w:styleId="68">
    <w:name w:val="icontext12"/>
    <w:basedOn w:val="16"/>
    <w:qFormat/>
    <w:uiPriority w:val="0"/>
  </w:style>
  <w:style w:type="character" w:customStyle="1" w:styleId="69">
    <w:name w:val="icontext3"/>
    <w:basedOn w:val="16"/>
    <w:qFormat/>
    <w:uiPriority w:val="0"/>
  </w:style>
  <w:style w:type="character" w:customStyle="1" w:styleId="70">
    <w:name w:val="drapbtn"/>
    <w:basedOn w:val="16"/>
    <w:qFormat/>
    <w:uiPriority w:val="0"/>
  </w:style>
  <w:style w:type="character" w:customStyle="1" w:styleId="71">
    <w:name w:val="tmpztreemove_arrow"/>
    <w:basedOn w:val="16"/>
    <w:qFormat/>
    <w:uiPriority w:val="0"/>
  </w:style>
  <w:style w:type="character" w:customStyle="1" w:styleId="72">
    <w:name w:val="cdropleft"/>
    <w:basedOn w:val="16"/>
    <w:qFormat/>
    <w:uiPriority w:val="0"/>
  </w:style>
  <w:style w:type="character" w:customStyle="1" w:styleId="73">
    <w:name w:val="ico1654"/>
    <w:basedOn w:val="16"/>
    <w:qFormat/>
    <w:uiPriority w:val="0"/>
  </w:style>
  <w:style w:type="character" w:customStyle="1" w:styleId="74">
    <w:name w:val="ico1655"/>
    <w:basedOn w:val="16"/>
    <w:qFormat/>
    <w:uiPriority w:val="0"/>
  </w:style>
  <w:style w:type="character" w:customStyle="1" w:styleId="75">
    <w:name w:val="first-child"/>
    <w:basedOn w:val="16"/>
    <w:qFormat/>
    <w:uiPriority w:val="0"/>
  </w:style>
  <w:style w:type="character" w:customStyle="1" w:styleId="76">
    <w:name w:val="associateddata"/>
    <w:basedOn w:val="16"/>
    <w:qFormat/>
    <w:uiPriority w:val="0"/>
    <w:rPr>
      <w:shd w:val="clear" w:color="auto" w:fill="50A6F9"/>
    </w:rPr>
  </w:style>
  <w:style w:type="character" w:customStyle="1" w:styleId="77">
    <w:name w:val="choosename"/>
    <w:basedOn w:val="16"/>
    <w:qFormat/>
    <w:uiPriority w:val="0"/>
  </w:style>
  <w:style w:type="character" w:customStyle="1" w:styleId="78">
    <w:name w:val="after"/>
    <w:basedOn w:val="16"/>
    <w:qFormat/>
    <w:uiPriority w:val="0"/>
    <w:rPr>
      <w:sz w:val="16"/>
      <w:szCs w:val="16"/>
    </w:rPr>
  </w:style>
  <w:style w:type="character" w:customStyle="1" w:styleId="79">
    <w:name w:val="xdrichtextbox"/>
    <w:basedOn w:val="16"/>
    <w:qFormat/>
    <w:uiPriority w:val="0"/>
    <w:rPr>
      <w:color w:val="auto"/>
      <w:sz w:val="18"/>
      <w:szCs w:val="18"/>
      <w:u w:val="none"/>
      <w:bdr w:val="single" w:color="DCDCDC" w:sz="8" w:space="0"/>
      <w:shd w:val="clear" w:color="auto" w:fill="auto"/>
    </w:rPr>
  </w:style>
  <w:style w:type="character" w:customStyle="1" w:styleId="80">
    <w:name w:val="cdropright"/>
    <w:basedOn w:val="16"/>
    <w:qFormat/>
    <w:uiPriority w:val="0"/>
  </w:style>
  <w:style w:type="character" w:customStyle="1" w:styleId="81">
    <w:name w:val="active7"/>
    <w:basedOn w:val="16"/>
    <w:qFormat/>
    <w:uiPriority w:val="0"/>
    <w:rPr>
      <w:color w:val="00FF00"/>
      <w:shd w:val="clear" w:color="auto" w:fill="111111"/>
    </w:rPr>
  </w:style>
  <w:style w:type="character" w:customStyle="1" w:styleId="82">
    <w:name w:val="active8"/>
    <w:basedOn w:val="16"/>
    <w:qFormat/>
    <w:uiPriority w:val="0"/>
    <w:rPr>
      <w:shd w:val="clear" w:color="auto" w:fill="EC3535"/>
    </w:rPr>
  </w:style>
  <w:style w:type="character" w:customStyle="1" w:styleId="83">
    <w:name w:val="w32"/>
    <w:basedOn w:val="16"/>
    <w:qFormat/>
    <w:uiPriority w:val="0"/>
  </w:style>
  <w:style w:type="character" w:customStyle="1" w:styleId="84">
    <w:name w:val="layui-layer-tabnow"/>
    <w:basedOn w:val="16"/>
    <w:qFormat/>
    <w:uiPriority w:val="0"/>
    <w:rPr>
      <w:bdr w:val="single" w:color="CCCCCC" w:sz="6" w:space="0"/>
      <w:shd w:val="clear" w:color="auto" w:fill="FFFFFF"/>
    </w:rPr>
  </w:style>
  <w:style w:type="character" w:customStyle="1" w:styleId="85">
    <w:name w:val="edit_class"/>
    <w:basedOn w:val="16"/>
    <w:qFormat/>
    <w:uiPriority w:val="0"/>
  </w:style>
  <w:style w:type="character" w:customStyle="1" w:styleId="86">
    <w:name w:val="design_class"/>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CBD6C6-AB5F-43D5-9F5C-0561E7C38F3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7728</Words>
  <Characters>8097</Characters>
  <Lines>70</Lines>
  <Paragraphs>19</Paragraphs>
  <TotalTime>220</TotalTime>
  <ScaleCrop>false</ScaleCrop>
  <LinksUpToDate>false</LinksUpToDate>
  <CharactersWithSpaces>8434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2023-03-16T00:26:00Z</cp:lastPrinted>
  <dcterms:modified xsi:type="dcterms:W3CDTF">2024-06-26T05:05:10Z</dcterms:modified>
  <dc:title>镇江海纳川物流产业发展有限责任公司</dc:title>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E695694EA80D48E1A54CF3A3083423BA_13</vt:lpwstr>
  </property>
</Properties>
</file>