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520" w:lineRule="exact"/>
        <w:rPr>
          <w:rFonts w:ascii="Times New Roman" w:hAnsi="Times New Roman" w:eastAsia="黑体"/>
          <w:color w:val="000000"/>
          <w:sz w:val="32"/>
          <w:szCs w:val="32"/>
        </w:rPr>
      </w:pPr>
      <w:r>
        <w:rPr>
          <w:rFonts w:ascii="Times New Roman" w:hAnsi="Times New Roman" w:eastAsia="黑体"/>
          <w:color w:val="000000"/>
          <w:sz w:val="32"/>
          <w:szCs w:val="32"/>
        </w:rPr>
        <w:t>项目名称：</w:t>
      </w:r>
      <w:r>
        <w:rPr>
          <w:rFonts w:hint="eastAsia" w:ascii="Times New Roman" w:hAnsi="Times New Roman" w:eastAsia="黑体"/>
          <w:color w:val="000000"/>
          <w:sz w:val="32"/>
          <w:szCs w:val="32"/>
        </w:rPr>
        <w:t>原镇江福盛化工有限公司地块拆除活动污染防治方案及突发环境事件应急预案编制</w:t>
      </w:r>
    </w:p>
    <w:p>
      <w:pPr>
        <w:pStyle w:val="10"/>
        <w:spacing w:before="0" w:beforeAutospacing="0" w:after="0" w:afterAutospacing="0" w:line="520" w:lineRule="exact"/>
        <w:jc w:val="center"/>
        <w:rPr>
          <w:rFonts w:ascii="Times New Roman" w:hAnsi="Times New Roman" w:eastAsia="黑体"/>
          <w:color w:val="000000"/>
          <w:sz w:val="28"/>
          <w:szCs w:val="28"/>
        </w:rPr>
      </w:pPr>
    </w:p>
    <w:p>
      <w:pPr>
        <w:pStyle w:val="10"/>
        <w:spacing w:before="0" w:beforeAutospacing="0" w:after="0" w:afterAutospacing="0" w:line="520" w:lineRule="exact"/>
        <w:jc w:val="center"/>
        <w:outlineLvl w:val="0"/>
        <w:rPr>
          <w:rFonts w:ascii="Times New Roman" w:hAnsi="Times New Roman" w:eastAsia="黑体"/>
          <w:color w:val="000000"/>
          <w:sz w:val="32"/>
          <w:szCs w:val="32"/>
        </w:rPr>
      </w:pPr>
      <w:r>
        <w:rPr>
          <w:rFonts w:hint="eastAsia" w:ascii="Times New Roman" w:hAnsi="Times New Roman" w:eastAsia="黑体"/>
          <w:color w:val="000000"/>
          <w:sz w:val="32"/>
          <w:szCs w:val="32"/>
          <w:lang w:val="en-US" w:eastAsia="zh-CN"/>
        </w:rPr>
        <w:t>一</w:t>
      </w:r>
      <w:r>
        <w:rPr>
          <w:rFonts w:ascii="Times New Roman" w:hAnsi="Times New Roman" w:eastAsia="黑体"/>
          <w:color w:val="000000"/>
          <w:sz w:val="32"/>
          <w:szCs w:val="32"/>
        </w:rPr>
        <w:t>、采购需求</w:t>
      </w:r>
    </w:p>
    <w:p>
      <w:pPr>
        <w:outlineLvl w:val="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一、项目概况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参照《土壤污染防治法》、《工况用地土壤井管理办法（试行）》《突发环境事件应急管理办法》（环境保护部令，2014年第34号）《企业拆除活动污染防治技术规定(试行)》（环境保护部公告，2017年第78号）</w:t>
      </w:r>
      <w:r>
        <w:rPr>
          <w:rFonts w:hint="eastAsia" w:ascii="仿宋_GB2312" w:hAnsi="仿宋_GB2312" w:eastAsia="仿宋_GB2312" w:cs="仿宋_GB2312"/>
          <w:sz w:val="32"/>
          <w:szCs w:val="32"/>
          <w:lang w:val="en-US" w:eastAsia="zh-CN"/>
        </w:rPr>
        <w:t>以及《关于加强企业拆除活动环境监管工作的通知》镇新环委办【2020】10号文</w:t>
      </w:r>
      <w:r>
        <w:rPr>
          <w:rFonts w:hint="eastAsia" w:ascii="仿宋_GB2312" w:hAnsi="仿宋_GB2312" w:eastAsia="仿宋_GB2312" w:cs="仿宋_GB2312"/>
          <w:sz w:val="32"/>
          <w:szCs w:val="32"/>
        </w:rPr>
        <w:t>等相关技术导则和规范，对原镇江福盛化工有限公司地块进行资料收集和现场踏勘，编制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企业拆除活动污染防治方案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和《</w:t>
      </w:r>
      <w:r>
        <w:rPr>
          <w:rFonts w:hint="eastAsia" w:ascii="仿宋_GB2312" w:hAnsi="仿宋_GB2312" w:eastAsia="仿宋_GB2312" w:cs="仿宋_GB2312"/>
          <w:sz w:val="32"/>
          <w:szCs w:val="32"/>
        </w:rPr>
        <w:t>拆除活动突发环境事件应急预案</w:t>
      </w:r>
      <w:r>
        <w:rPr>
          <w:rFonts w:hint="eastAsia" w:ascii="仿宋_GB2312" w:hAnsi="仿宋_GB2312" w:eastAsia="仿宋_GB2312" w:cs="仿宋_GB2312"/>
          <w:sz w:val="32"/>
          <w:szCs w:val="32"/>
          <w:lang w:eastAsia="zh-CN"/>
        </w:rPr>
        <w:t>》</w:t>
      </w:r>
      <w:bookmarkStart w:id="1" w:name="_GoBack"/>
      <w:bookmarkEnd w:id="1"/>
      <w:r>
        <w:rPr>
          <w:rFonts w:hint="eastAsia" w:ascii="仿宋_GB2312" w:hAnsi="仿宋_GB2312" w:eastAsia="仿宋_GB2312" w:cs="仿宋_GB2312"/>
          <w:sz w:val="32"/>
          <w:szCs w:val="32"/>
        </w:rPr>
        <w:t>。</w:t>
      </w:r>
    </w:p>
    <w:p>
      <w:pPr>
        <w:outlineLvl w:val="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二、工作内容</w:t>
      </w:r>
    </w:p>
    <w:p>
      <w:pPr>
        <w:ind w:firstLine="640" w:firstLineChars="200"/>
        <w:rPr>
          <w:rFonts w:hint="eastAsia" w:ascii="仿宋_GB2312" w:hAnsi="仿宋_GB2312" w:eastAsia="仿宋_GB2312" w:cs="仿宋_GB2312"/>
          <w:color w:val="FF0000"/>
          <w:sz w:val="32"/>
          <w:szCs w:val="32"/>
        </w:rPr>
      </w:pPr>
      <w:r>
        <w:rPr>
          <w:rFonts w:hint="eastAsia" w:ascii="仿宋_GB2312" w:hAnsi="仿宋_GB2312" w:eastAsia="仿宋_GB2312" w:cs="仿宋_GB2312"/>
          <w:color w:val="FF0000"/>
          <w:sz w:val="32"/>
          <w:szCs w:val="32"/>
        </w:rPr>
        <w:t>本次项目</w:t>
      </w:r>
      <w:r>
        <w:rPr>
          <w:rFonts w:hint="eastAsia" w:ascii="仿宋_GB2312" w:hAnsi="仿宋_GB2312" w:eastAsia="仿宋_GB2312" w:cs="仿宋_GB2312"/>
          <w:color w:val="FF0000"/>
          <w:sz w:val="32"/>
          <w:szCs w:val="32"/>
          <w:lang w:val="en-US" w:eastAsia="zh-CN"/>
        </w:rPr>
        <w:t>产生的费用包含</w:t>
      </w:r>
      <w:r>
        <w:rPr>
          <w:rFonts w:hint="eastAsia" w:ascii="仿宋_GB2312" w:hAnsi="仿宋_GB2312" w:eastAsia="仿宋_GB2312" w:cs="仿宋_GB2312"/>
          <w:color w:val="FF0000"/>
          <w:sz w:val="32"/>
          <w:szCs w:val="32"/>
        </w:rPr>
        <w:t>企业拆除活动污染防治方案和拆除活动突发环境事件应急预案</w:t>
      </w:r>
      <w:r>
        <w:rPr>
          <w:rFonts w:hint="eastAsia" w:ascii="仿宋_GB2312" w:hAnsi="仿宋_GB2312" w:eastAsia="仿宋_GB2312" w:cs="仿宋_GB2312"/>
          <w:color w:val="FF0000"/>
          <w:sz w:val="32"/>
          <w:szCs w:val="32"/>
          <w:lang w:val="en-US" w:eastAsia="zh-CN"/>
        </w:rPr>
        <w:t>编制及专家评审费用</w:t>
      </w:r>
      <w:r>
        <w:rPr>
          <w:rFonts w:hint="eastAsia" w:ascii="仿宋_GB2312" w:hAnsi="仿宋_GB2312" w:eastAsia="仿宋_GB2312" w:cs="仿宋_GB2312"/>
          <w:color w:val="FF0000"/>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1、根据企业生产情况、地块前期土壤地下水监测情况、企业地块内构筑物、设施设备现状，编制企业拆除活动污染防治方案；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2、根据原企业实际情况，地块内现状，编制企业拆除活动突发环境事件应急预案。</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3、通过镇江经开区生态环境与应急管理局组织的评审。</w:t>
      </w:r>
    </w:p>
    <w:p>
      <w:pPr>
        <w:outlineLvl w:val="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三、工作开展要求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按照《突发环境事件应急管理办法》（环境保护部令，2014年第34号）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《企业拆除活动污染防治技术规定(试行)》（环境保护部公告，2017年第78号）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《关于加强企业拆除活动环境监管工作的通知》镇新环委办【2020】10号文</w:t>
      </w:r>
      <w:r>
        <w:rPr>
          <w:rFonts w:hint="eastAsia" w:ascii="仿宋_GB2312" w:hAnsi="仿宋_GB2312" w:eastAsia="仿宋_GB2312" w:cs="仿宋_GB2312"/>
          <w:sz w:val="32"/>
          <w:szCs w:val="32"/>
        </w:rPr>
        <w:t>等文件的要求开展。</w:t>
      </w:r>
    </w:p>
    <w:p>
      <w:pPr>
        <w:ind w:firstLine="640" w:firstLineChars="200"/>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FF0000"/>
          <w:sz w:val="32"/>
          <w:szCs w:val="32"/>
          <w:lang w:val="en-US" w:eastAsia="zh-CN"/>
        </w:rPr>
        <w:t>2、投标单位应具有有效的质量管理体系证书、环境管理体系证书、职业健康安全管理体系认证证书（需提供证书扫描件加盖公章）。</w:t>
      </w:r>
    </w:p>
    <w:p>
      <w:pPr>
        <w:ind w:firstLine="640" w:firstLineChars="200"/>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FF0000"/>
          <w:sz w:val="32"/>
          <w:szCs w:val="32"/>
          <w:lang w:val="en-US" w:eastAsia="zh-CN"/>
        </w:rPr>
        <w:t>3、投标单位应具有水文、水资源调查评价资质乙级及以上资质证书，且资质证书业务范围包含水资源调查评价、水质评价类别（需提供证书扫描件加盖公章）。</w:t>
      </w:r>
    </w:p>
    <w:p>
      <w:pPr>
        <w:ind w:firstLine="640" w:firstLineChars="200"/>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FF0000"/>
          <w:sz w:val="32"/>
          <w:szCs w:val="32"/>
          <w:lang w:val="en-US" w:eastAsia="zh-CN"/>
        </w:rPr>
        <w:t>4、投标单位应具有工程咨询资信乙级及以上证书（含生态建设和环境工程的，需提供证书扫描件加盖公章）。</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FF0000"/>
          <w:sz w:val="32"/>
          <w:szCs w:val="32"/>
          <w:lang w:val="en-US" w:eastAsia="zh-CN"/>
        </w:rPr>
        <w:t>5、投标单位应具有质监部门颁发的检验检测机构资质认定证书（CMA）；地下水检测能力涵盖《地下水质量标准》（GB/T14848-2017）表1和表2中检测因子超过80项的；土壤检测能力包含《土壤环境质量建设用地土壤污染风险管控标准（试行）》（GB36600-2018）表1规定的45个必测项目及表2规定的石油烃类；（需提供检验检测能力项证书扫描件加盖公章）。</w:t>
      </w:r>
    </w:p>
    <w:p>
      <w:pPr>
        <w:outlineLvl w:val="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四、项目保密要求</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成交单位及其工作人员需遵守保密规定，不以任何形式将收集的所有资料、数据等进行泄漏、传播。项目成果最终所有权属招标单位，在项目完成时成交单位必须全部移交。以上保密规定如有违反，招标单位有权追究成交单位相关法律责任。</w:t>
      </w:r>
    </w:p>
    <w:p>
      <w:pPr>
        <w:widowControl/>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pStyle w:val="10"/>
        <w:spacing w:before="0" w:beforeAutospacing="0" w:after="0" w:afterAutospacing="0" w:line="520" w:lineRule="exact"/>
        <w:jc w:val="center"/>
        <w:outlineLvl w:val="0"/>
        <w:rPr>
          <w:rFonts w:hint="eastAsia" w:ascii="黑体" w:hAnsi="黑体" w:eastAsia="黑体" w:cs="黑体"/>
          <w:color w:val="000000"/>
          <w:sz w:val="32"/>
          <w:szCs w:val="32"/>
        </w:rPr>
      </w:pPr>
      <w:r>
        <w:rPr>
          <w:rFonts w:hint="eastAsia" w:ascii="黑体" w:hAnsi="黑体" w:eastAsia="黑体" w:cs="黑体"/>
          <w:color w:val="000000"/>
          <w:sz w:val="32"/>
          <w:szCs w:val="32"/>
          <w:lang w:val="en-US" w:eastAsia="zh-CN"/>
        </w:rPr>
        <w:t>二</w:t>
      </w:r>
      <w:r>
        <w:rPr>
          <w:rFonts w:hint="eastAsia" w:ascii="黑体" w:hAnsi="黑体" w:eastAsia="黑体" w:cs="黑体"/>
          <w:color w:val="000000"/>
          <w:sz w:val="32"/>
          <w:szCs w:val="32"/>
        </w:rPr>
        <w:t>、评分办法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1、采用综合评分法，即在满足招标文件实质性要求前提下，按照招标文件中规定的评分标准和各项因素进行综合评审后，根据综合评分最高的供应商确定为中标人。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2、如出现相同最高分，按投标报价低的推荐为中标候选人；如得分且投标报价均相同的，继续进行报价，价格低得推荐为中标人。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（1）商务技术分：90分</w:t>
      </w:r>
    </w:p>
    <w:tbl>
      <w:tblPr>
        <w:tblStyle w:val="6"/>
        <w:tblW w:w="88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28"/>
        <w:gridCol w:w="906"/>
        <w:gridCol w:w="5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129" w:type="dxa"/>
            <w:vAlign w:val="center"/>
          </w:tcPr>
          <w:p>
            <w:pPr>
              <w:jc w:val="center"/>
              <w:rPr>
                <w:rFonts w:ascii="Times New Roman" w:hAnsi="Times New Roman" w:eastAsia="仿宋" w:cs="Times New Roman"/>
                <w:szCs w:val="21"/>
              </w:rPr>
            </w:pPr>
            <w:r>
              <w:rPr>
                <w:rFonts w:ascii="Times New Roman" w:hAnsi="Times New Roman" w:eastAsia="仿宋" w:cs="Times New Roman"/>
                <w:szCs w:val="21"/>
              </w:rPr>
              <w:t>评审</w:t>
            </w:r>
          </w:p>
          <w:p>
            <w:pPr>
              <w:jc w:val="center"/>
              <w:rPr>
                <w:rFonts w:ascii="Times New Roman" w:hAnsi="Times New Roman" w:eastAsia="仿宋" w:cs="Times New Roman"/>
                <w:bCs/>
                <w:szCs w:val="21"/>
              </w:rPr>
            </w:pPr>
            <w:r>
              <w:rPr>
                <w:rFonts w:ascii="Times New Roman" w:hAnsi="Times New Roman" w:eastAsia="仿宋" w:cs="Times New Roman"/>
                <w:szCs w:val="21"/>
              </w:rPr>
              <w:t>类别</w:t>
            </w:r>
          </w:p>
        </w:tc>
        <w:tc>
          <w:tcPr>
            <w:tcW w:w="1428" w:type="dxa"/>
            <w:vAlign w:val="center"/>
          </w:tcPr>
          <w:p>
            <w:pPr>
              <w:jc w:val="center"/>
              <w:rPr>
                <w:rFonts w:ascii="Times New Roman" w:hAnsi="Times New Roman" w:eastAsia="仿宋" w:cs="Times New Roman"/>
                <w:bCs/>
                <w:szCs w:val="21"/>
              </w:rPr>
            </w:pPr>
            <w:r>
              <w:rPr>
                <w:rFonts w:ascii="Times New Roman" w:hAnsi="Times New Roman" w:eastAsia="仿宋" w:cs="Times New Roman"/>
                <w:szCs w:val="21"/>
              </w:rPr>
              <w:t>评审项</w:t>
            </w:r>
          </w:p>
        </w:tc>
        <w:tc>
          <w:tcPr>
            <w:tcW w:w="906" w:type="dxa"/>
            <w:vAlign w:val="center"/>
          </w:tcPr>
          <w:p>
            <w:pPr>
              <w:jc w:val="center"/>
              <w:rPr>
                <w:rFonts w:ascii="Times New Roman" w:hAnsi="Times New Roman" w:eastAsia="仿宋" w:cs="Times New Roman"/>
                <w:bCs/>
                <w:szCs w:val="21"/>
              </w:rPr>
            </w:pPr>
            <w:r>
              <w:rPr>
                <w:rFonts w:ascii="Times New Roman" w:hAnsi="Times New Roman" w:eastAsia="仿宋" w:cs="Times New Roman"/>
                <w:szCs w:val="21"/>
              </w:rPr>
              <w:t>分值</w:t>
            </w:r>
          </w:p>
        </w:tc>
        <w:tc>
          <w:tcPr>
            <w:tcW w:w="5367" w:type="dxa"/>
            <w:vAlign w:val="center"/>
          </w:tcPr>
          <w:p>
            <w:pPr>
              <w:jc w:val="center"/>
              <w:rPr>
                <w:rFonts w:ascii="Times New Roman" w:hAnsi="Times New Roman" w:eastAsia="仿宋" w:cs="Times New Roman"/>
                <w:bCs/>
                <w:szCs w:val="21"/>
              </w:rPr>
            </w:pPr>
            <w:r>
              <w:rPr>
                <w:rFonts w:ascii="Times New Roman" w:hAnsi="Times New Roman" w:eastAsia="仿宋" w:cs="Times New Roman"/>
                <w:szCs w:val="21"/>
              </w:rPr>
              <w:t>评审规则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4" w:hRule="atLeast"/>
          <w:jc w:val="center"/>
        </w:trPr>
        <w:tc>
          <w:tcPr>
            <w:tcW w:w="1129" w:type="dxa"/>
            <w:vMerge w:val="restart"/>
            <w:vAlign w:val="center"/>
          </w:tcPr>
          <w:p>
            <w:pPr>
              <w:rPr>
                <w:rFonts w:ascii="Times New Roman" w:hAnsi="Times New Roman" w:eastAsia="仿宋" w:cs="Times New Roman"/>
                <w:szCs w:val="21"/>
              </w:rPr>
            </w:pPr>
            <w:r>
              <w:rPr>
                <w:rFonts w:ascii="Times New Roman" w:hAnsi="Times New Roman" w:eastAsia="仿宋" w:cs="Times New Roman"/>
                <w:szCs w:val="21"/>
              </w:rPr>
              <w:t>技术服务方案（25分）</w:t>
            </w:r>
          </w:p>
        </w:tc>
        <w:tc>
          <w:tcPr>
            <w:tcW w:w="1428" w:type="dxa"/>
            <w:vAlign w:val="center"/>
          </w:tcPr>
          <w:p>
            <w:pPr>
              <w:jc w:val="center"/>
              <w:rPr>
                <w:rFonts w:ascii="Times New Roman" w:hAnsi="Times New Roman" w:eastAsia="仿宋" w:cs="Times New Roman"/>
                <w:szCs w:val="21"/>
              </w:rPr>
            </w:pPr>
            <w:r>
              <w:rPr>
                <w:rFonts w:ascii="Times New Roman" w:hAnsi="Times New Roman" w:eastAsia="仿宋" w:cs="Times New Roman"/>
              </w:rPr>
              <w:t>对本项目的了解程度</w:t>
            </w:r>
          </w:p>
        </w:tc>
        <w:tc>
          <w:tcPr>
            <w:tcW w:w="906" w:type="dxa"/>
            <w:vAlign w:val="center"/>
          </w:tcPr>
          <w:p>
            <w:pPr>
              <w:spacing w:line="440" w:lineRule="exact"/>
              <w:jc w:val="center"/>
              <w:rPr>
                <w:rFonts w:ascii="Times New Roman" w:hAnsi="Times New Roman" w:eastAsia="仿宋" w:cs="Times New Roman"/>
                <w:szCs w:val="21"/>
              </w:rPr>
            </w:pPr>
            <w:r>
              <w:rPr>
                <w:rFonts w:ascii="Times New Roman" w:hAnsi="Times New Roman" w:eastAsia="仿宋" w:cs="Times New Roman"/>
                <w:szCs w:val="21"/>
              </w:rPr>
              <w:t>8分</w:t>
            </w:r>
          </w:p>
        </w:tc>
        <w:tc>
          <w:tcPr>
            <w:tcW w:w="5367" w:type="dxa"/>
            <w:vAlign w:val="center"/>
          </w:tcPr>
          <w:p>
            <w:pPr>
              <w:rPr>
                <w:rFonts w:ascii="Times New Roman" w:hAnsi="Times New Roman" w:eastAsia="仿宋" w:cs="Times New Roman"/>
                <w:szCs w:val="21"/>
                <w:lang w:val="zh-CN"/>
              </w:rPr>
            </w:pPr>
            <w:r>
              <w:rPr>
                <w:rFonts w:ascii="Times New Roman" w:hAnsi="Times New Roman" w:eastAsia="仿宋" w:cs="Times New Roman"/>
              </w:rPr>
              <w:t>响应供应商提供对项目情况的理解程度，包括对现场情况了解的全面性（包括历史情况，目前场地现状、周边历史和现状）、场地水文地质条件和污染特征的理解(包括平面布局、工艺流程、原辅材料、产污环节及其潜在特征污染物)等内容。由评委在各投标人之间进行横向比较后分档给分，优秀的得6-8分；一般的得3-5分，较差的得1-2分，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4" w:hRule="atLeast"/>
          <w:jc w:val="center"/>
        </w:trPr>
        <w:tc>
          <w:tcPr>
            <w:tcW w:w="1129" w:type="dxa"/>
            <w:vMerge w:val="continue"/>
            <w:vAlign w:val="center"/>
          </w:tcPr>
          <w:p>
            <w:pPr>
              <w:rPr>
                <w:rFonts w:ascii="Times New Roman" w:hAnsi="Times New Roman" w:eastAsia="仿宋" w:cs="Times New Roman"/>
                <w:szCs w:val="21"/>
              </w:rPr>
            </w:pPr>
          </w:p>
        </w:tc>
        <w:tc>
          <w:tcPr>
            <w:tcW w:w="1428" w:type="dxa"/>
            <w:vAlign w:val="center"/>
          </w:tcPr>
          <w:p>
            <w:pPr>
              <w:jc w:val="center"/>
              <w:rPr>
                <w:rFonts w:ascii="Times New Roman" w:hAnsi="Times New Roman" w:eastAsia="仿宋" w:cs="Times New Roman"/>
                <w:szCs w:val="21"/>
              </w:rPr>
            </w:pPr>
            <w:r>
              <w:rPr>
                <w:rFonts w:ascii="Times New Roman" w:hAnsi="Times New Roman" w:eastAsia="仿宋" w:cs="Times New Roman"/>
              </w:rPr>
              <w:t>土壤、地下水</w:t>
            </w:r>
            <w:r>
              <w:rPr>
                <w:rFonts w:hint="eastAsia" w:ascii="Times New Roman" w:hAnsi="Times New Roman" w:eastAsia="仿宋" w:cs="Times New Roman"/>
              </w:rPr>
              <w:t>监测、拆除污染防治</w:t>
            </w:r>
            <w:r>
              <w:rPr>
                <w:rFonts w:ascii="Times New Roman" w:hAnsi="Times New Roman" w:eastAsia="仿宋" w:cs="Times New Roman"/>
              </w:rPr>
              <w:t>工作方案</w:t>
            </w:r>
          </w:p>
        </w:tc>
        <w:tc>
          <w:tcPr>
            <w:tcW w:w="906" w:type="dxa"/>
            <w:vAlign w:val="center"/>
          </w:tcPr>
          <w:p>
            <w:pPr>
              <w:spacing w:line="440" w:lineRule="exact"/>
              <w:jc w:val="center"/>
              <w:rPr>
                <w:rFonts w:ascii="Times New Roman" w:hAnsi="Times New Roman" w:eastAsia="仿宋" w:cs="Times New Roman"/>
                <w:szCs w:val="21"/>
              </w:rPr>
            </w:pPr>
            <w:r>
              <w:rPr>
                <w:rFonts w:ascii="Times New Roman" w:hAnsi="Times New Roman" w:eastAsia="仿宋" w:cs="Times New Roman"/>
                <w:szCs w:val="21"/>
              </w:rPr>
              <w:t>8分</w:t>
            </w:r>
          </w:p>
        </w:tc>
        <w:tc>
          <w:tcPr>
            <w:tcW w:w="5367" w:type="dxa"/>
            <w:vAlign w:val="center"/>
          </w:tcPr>
          <w:p>
            <w:pPr>
              <w:rPr>
                <w:rFonts w:ascii="Times New Roman" w:hAnsi="Times New Roman" w:eastAsia="仿宋" w:cs="Times New Roman"/>
                <w:szCs w:val="21"/>
                <w:lang w:val="zh-CN"/>
              </w:rPr>
            </w:pPr>
            <w:r>
              <w:rPr>
                <w:rFonts w:ascii="Times New Roman" w:hAnsi="Times New Roman" w:eastAsia="仿宋" w:cs="Times New Roman"/>
              </w:rPr>
              <w:t>响应供应商提供针对本地块的</w:t>
            </w:r>
            <w:r>
              <w:rPr>
                <w:rFonts w:hint="eastAsia" w:ascii="Times New Roman" w:hAnsi="Times New Roman" w:eastAsia="仿宋" w:cs="Times New Roman"/>
              </w:rPr>
              <w:t>拆除污染防治、环境应急工作</w:t>
            </w:r>
            <w:r>
              <w:rPr>
                <w:rFonts w:ascii="Times New Roman" w:hAnsi="Times New Roman" w:eastAsia="仿宋" w:cs="Times New Roman"/>
              </w:rPr>
              <w:t>方案，</w:t>
            </w:r>
            <w:r>
              <w:rPr>
                <w:rFonts w:hint="eastAsia" w:ascii="Times New Roman" w:hAnsi="Times New Roman" w:eastAsia="仿宋" w:cs="Times New Roman"/>
              </w:rPr>
              <w:t>需</w:t>
            </w:r>
            <w:r>
              <w:rPr>
                <w:rFonts w:ascii="Times New Roman" w:hAnsi="Times New Roman" w:eastAsia="仿宋" w:cs="Times New Roman"/>
              </w:rPr>
              <w:t>满足国家相关技术标准、导则要求等内容。由评委在各投标人之间进行横向比较后分档给分。优秀的得6-8分；一般的得3-5分；较差的得1-2分；未提供的不得分。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4" w:hRule="atLeast"/>
          <w:jc w:val="center"/>
        </w:trPr>
        <w:tc>
          <w:tcPr>
            <w:tcW w:w="1129" w:type="dxa"/>
            <w:vMerge w:val="continue"/>
            <w:vAlign w:val="center"/>
          </w:tcPr>
          <w:p>
            <w:pPr>
              <w:rPr>
                <w:rFonts w:ascii="Times New Roman" w:hAnsi="Times New Roman" w:eastAsia="仿宋" w:cs="Times New Roman"/>
                <w:szCs w:val="21"/>
              </w:rPr>
            </w:pPr>
          </w:p>
        </w:tc>
        <w:tc>
          <w:tcPr>
            <w:tcW w:w="1428" w:type="dxa"/>
            <w:vAlign w:val="center"/>
          </w:tcPr>
          <w:p>
            <w:pPr>
              <w:jc w:val="center"/>
              <w:rPr>
                <w:rFonts w:ascii="Times New Roman" w:hAnsi="Times New Roman" w:eastAsia="仿宋" w:cs="Times New Roman"/>
                <w:szCs w:val="21"/>
              </w:rPr>
            </w:pPr>
            <w:r>
              <w:rPr>
                <w:rFonts w:ascii="Times New Roman" w:hAnsi="Times New Roman" w:eastAsia="仿宋" w:cs="Times New Roman"/>
              </w:rPr>
              <w:t>实施计划及工作安排</w:t>
            </w:r>
          </w:p>
        </w:tc>
        <w:tc>
          <w:tcPr>
            <w:tcW w:w="906" w:type="dxa"/>
            <w:vAlign w:val="center"/>
          </w:tcPr>
          <w:p>
            <w:pPr>
              <w:spacing w:line="440" w:lineRule="exact"/>
              <w:jc w:val="center"/>
              <w:rPr>
                <w:rFonts w:ascii="Times New Roman" w:hAnsi="Times New Roman" w:eastAsia="仿宋" w:cs="Times New Roman"/>
                <w:szCs w:val="21"/>
              </w:rPr>
            </w:pPr>
            <w:r>
              <w:rPr>
                <w:rFonts w:ascii="Times New Roman" w:hAnsi="Times New Roman" w:eastAsia="仿宋" w:cs="Times New Roman"/>
                <w:szCs w:val="21"/>
              </w:rPr>
              <w:t>5分</w:t>
            </w:r>
          </w:p>
        </w:tc>
        <w:tc>
          <w:tcPr>
            <w:tcW w:w="5367" w:type="dxa"/>
            <w:vAlign w:val="center"/>
          </w:tcPr>
          <w:p>
            <w:pPr>
              <w:rPr>
                <w:rFonts w:ascii="Times New Roman" w:hAnsi="Times New Roman" w:eastAsia="仿宋" w:cs="Times New Roman"/>
                <w:szCs w:val="21"/>
                <w:lang w:val="zh-CN"/>
              </w:rPr>
            </w:pPr>
            <w:r>
              <w:rPr>
                <w:rFonts w:ascii="Times New Roman" w:hAnsi="Times New Roman" w:eastAsia="仿宋" w:cs="Times New Roman"/>
              </w:rPr>
              <w:t>响应供应商提供对本项目实施计划及工作时间安排，根据进度安排的合理性、全面性，由评委在各投标人之间进行横向比较后分档给分。优秀的得3-5分；一般的得2-3分；较差的得1分；未提供的不得分。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1129" w:type="dxa"/>
            <w:vMerge w:val="continue"/>
            <w:vAlign w:val="center"/>
          </w:tcPr>
          <w:p>
            <w:pPr>
              <w:ind w:firstLine="420" w:firstLineChars="200"/>
              <w:jc w:val="center"/>
              <w:rPr>
                <w:rFonts w:ascii="Times New Roman" w:hAnsi="Times New Roman" w:eastAsia="仿宋" w:cs="Times New Roman"/>
                <w:szCs w:val="21"/>
              </w:rPr>
            </w:pPr>
          </w:p>
        </w:tc>
        <w:tc>
          <w:tcPr>
            <w:tcW w:w="1428" w:type="dxa"/>
            <w:vAlign w:val="center"/>
          </w:tcPr>
          <w:p>
            <w:pPr>
              <w:jc w:val="center"/>
              <w:rPr>
                <w:rFonts w:ascii="Times New Roman" w:hAnsi="Times New Roman" w:eastAsia="仿宋" w:cs="Times New Roman"/>
                <w:szCs w:val="21"/>
              </w:rPr>
            </w:pPr>
            <w:r>
              <w:rPr>
                <w:rFonts w:ascii="Times New Roman" w:hAnsi="Times New Roman" w:eastAsia="仿宋" w:cs="Times New Roman"/>
              </w:rPr>
              <w:t>各项保障措施</w:t>
            </w:r>
          </w:p>
        </w:tc>
        <w:tc>
          <w:tcPr>
            <w:tcW w:w="906" w:type="dxa"/>
            <w:vAlign w:val="center"/>
          </w:tcPr>
          <w:p>
            <w:pPr>
              <w:spacing w:line="440" w:lineRule="exact"/>
              <w:jc w:val="center"/>
              <w:rPr>
                <w:rFonts w:ascii="Times New Roman" w:hAnsi="Times New Roman" w:eastAsia="仿宋" w:cs="Times New Roman"/>
                <w:b/>
                <w:bCs/>
                <w:szCs w:val="21"/>
              </w:rPr>
            </w:pPr>
            <w:r>
              <w:rPr>
                <w:rFonts w:ascii="Times New Roman" w:hAnsi="Times New Roman" w:eastAsia="仿宋" w:cs="Times New Roman"/>
                <w:szCs w:val="21"/>
              </w:rPr>
              <w:t>4分</w:t>
            </w:r>
          </w:p>
        </w:tc>
        <w:tc>
          <w:tcPr>
            <w:tcW w:w="5367" w:type="dxa"/>
            <w:vAlign w:val="center"/>
          </w:tcPr>
          <w:p>
            <w:pPr>
              <w:rPr>
                <w:rFonts w:ascii="Times New Roman" w:hAnsi="Times New Roman" w:eastAsia="仿宋" w:cs="Times New Roman"/>
                <w:szCs w:val="21"/>
              </w:rPr>
            </w:pPr>
            <w:r>
              <w:rPr>
                <w:rFonts w:ascii="Times New Roman" w:hAnsi="Times New Roman" w:eastAsia="仿宋" w:cs="Times New Roman"/>
              </w:rPr>
              <w:t>响应供应商提供项目推进过程中各项保障措施，包括质量保证措施、进度保证措施、安全保证措施等，由评委在各投标人之间进行横向比较后分档给分。优秀的得3-4分；一般的得2-3分；较差的得1分；未提供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1129" w:type="dxa"/>
            <w:vMerge w:val="restart"/>
            <w:vAlign w:val="center"/>
          </w:tcPr>
          <w:p>
            <w:pPr>
              <w:spacing w:line="440" w:lineRule="exact"/>
              <w:jc w:val="center"/>
              <w:rPr>
                <w:rFonts w:ascii="Times New Roman" w:hAnsi="Times New Roman" w:eastAsia="仿宋" w:cs="Times New Roman"/>
                <w:szCs w:val="21"/>
              </w:rPr>
            </w:pPr>
            <w:r>
              <w:rPr>
                <w:rFonts w:ascii="Times New Roman" w:hAnsi="Times New Roman" w:eastAsia="仿宋" w:cs="Times New Roman"/>
                <w:szCs w:val="21"/>
              </w:rPr>
              <w:t>供应商综合实力</w:t>
            </w:r>
          </w:p>
          <w:p>
            <w:pPr>
              <w:spacing w:line="440" w:lineRule="exact"/>
              <w:rPr>
                <w:rFonts w:ascii="Times New Roman" w:hAnsi="Times New Roman" w:eastAsia="仿宋" w:cs="Times New Roman"/>
                <w:szCs w:val="21"/>
              </w:rPr>
            </w:pPr>
            <w:r>
              <w:rPr>
                <w:rFonts w:ascii="Times New Roman" w:hAnsi="Times New Roman" w:eastAsia="仿宋" w:cs="Times New Roman"/>
                <w:szCs w:val="21"/>
              </w:rPr>
              <w:t>（</w:t>
            </w:r>
            <w:r>
              <w:rPr>
                <w:rFonts w:hint="eastAsia" w:ascii="Times New Roman" w:hAnsi="Times New Roman" w:eastAsia="仿宋" w:cs="Times New Roman"/>
                <w:szCs w:val="21"/>
              </w:rPr>
              <w:t>60</w:t>
            </w:r>
            <w:r>
              <w:rPr>
                <w:rFonts w:ascii="Times New Roman" w:hAnsi="Times New Roman" w:eastAsia="仿宋" w:cs="Times New Roman"/>
                <w:szCs w:val="21"/>
              </w:rPr>
              <w:t>分）</w:t>
            </w:r>
          </w:p>
        </w:tc>
        <w:tc>
          <w:tcPr>
            <w:tcW w:w="1428" w:type="dxa"/>
            <w:vAlign w:val="center"/>
          </w:tcPr>
          <w:p>
            <w:pPr>
              <w:spacing w:line="440" w:lineRule="exact"/>
              <w:jc w:val="center"/>
              <w:rPr>
                <w:rFonts w:ascii="Times New Roman" w:hAnsi="Times New Roman" w:eastAsia="仿宋" w:cs="Times New Roman"/>
                <w:szCs w:val="21"/>
              </w:rPr>
            </w:pPr>
            <w:r>
              <w:rPr>
                <w:rFonts w:ascii="Times New Roman" w:hAnsi="Times New Roman" w:eastAsia="仿宋" w:cs="Times New Roman"/>
                <w:szCs w:val="21"/>
              </w:rPr>
              <w:t>供应商资信及能力</w:t>
            </w:r>
          </w:p>
        </w:tc>
        <w:tc>
          <w:tcPr>
            <w:tcW w:w="906" w:type="dxa"/>
            <w:vAlign w:val="center"/>
          </w:tcPr>
          <w:p>
            <w:pPr>
              <w:spacing w:line="440" w:lineRule="exact"/>
              <w:jc w:val="center"/>
              <w:rPr>
                <w:rFonts w:ascii="Times New Roman" w:hAnsi="Times New Roman" w:eastAsia="仿宋" w:cs="Times New Roman"/>
                <w:szCs w:val="21"/>
              </w:rPr>
            </w:pPr>
            <w:r>
              <w:rPr>
                <w:rFonts w:ascii="Times New Roman" w:hAnsi="Times New Roman" w:eastAsia="仿宋" w:cs="Times New Roman"/>
                <w:szCs w:val="21"/>
              </w:rPr>
              <w:t>25分</w:t>
            </w:r>
          </w:p>
        </w:tc>
        <w:tc>
          <w:tcPr>
            <w:tcW w:w="5367" w:type="dxa"/>
            <w:vAlign w:val="center"/>
          </w:tcPr>
          <w:p>
            <w:pPr>
              <w:pStyle w:val="12"/>
              <w:widowControl/>
              <w:ind w:firstLine="0"/>
              <w:rPr>
                <w:rFonts w:ascii="Times New Roman" w:hAnsi="Times New Roman" w:eastAsia="仿宋"/>
              </w:rPr>
            </w:pPr>
            <w:r>
              <w:rPr>
                <w:rFonts w:ascii="Times New Roman" w:hAnsi="Times New Roman" w:eastAsia="仿宋"/>
              </w:rPr>
              <w:t>1、响应供应商具有有效的质量管理体系证书、环境管理体系证书、职业健康安全管理体系认证证书，每有一项得1分，共</w:t>
            </w:r>
            <w:r>
              <w:rPr>
                <w:rFonts w:hint="eastAsia" w:ascii="Times New Roman" w:hAnsi="Times New Roman" w:eastAsia="仿宋"/>
              </w:rPr>
              <w:t>3</w:t>
            </w:r>
            <w:r>
              <w:rPr>
                <w:rFonts w:ascii="Times New Roman" w:hAnsi="Times New Roman" w:eastAsia="仿宋"/>
              </w:rPr>
              <w:t>分。（提供证书扫描件加盖公章）</w:t>
            </w:r>
          </w:p>
          <w:p>
            <w:pPr>
              <w:pStyle w:val="12"/>
              <w:widowControl/>
              <w:ind w:firstLine="0"/>
              <w:rPr>
                <w:rFonts w:ascii="Times New Roman" w:hAnsi="Times New Roman" w:eastAsia="仿宋"/>
              </w:rPr>
            </w:pPr>
            <w:r>
              <w:rPr>
                <w:rFonts w:hint="eastAsia" w:ascii="Times New Roman" w:hAnsi="Times New Roman" w:eastAsia="仿宋"/>
              </w:rPr>
              <w:t>2</w:t>
            </w:r>
            <w:r>
              <w:rPr>
                <w:rFonts w:ascii="Times New Roman" w:hAnsi="Times New Roman" w:eastAsia="仿宋"/>
              </w:rPr>
              <w:t>、响应供应商具有水文、水资源调查评价资质乙级及以上资质证书，且资质证书业务范围包含水资源调查评价、水质评价类别的，得2分。（提供证书扫描件加盖公章）</w:t>
            </w:r>
          </w:p>
          <w:p>
            <w:pPr>
              <w:pStyle w:val="12"/>
              <w:widowControl/>
              <w:ind w:firstLine="0"/>
              <w:rPr>
                <w:rFonts w:ascii="Times New Roman" w:hAnsi="Times New Roman" w:eastAsia="仿宋"/>
              </w:rPr>
            </w:pPr>
            <w:r>
              <w:rPr>
                <w:rFonts w:hint="eastAsia" w:ascii="Times New Roman" w:hAnsi="Times New Roman" w:eastAsia="仿宋"/>
              </w:rPr>
              <w:t>3</w:t>
            </w:r>
            <w:r>
              <w:rPr>
                <w:rFonts w:ascii="Times New Roman" w:hAnsi="Times New Roman" w:eastAsia="仿宋"/>
              </w:rPr>
              <w:t>、响应供应商具有工程咨询资信乙级及以上证书（含生态建设和环境工程的），得3分。（提供证书扫描件加盖公章）</w:t>
            </w:r>
          </w:p>
          <w:p>
            <w:pPr>
              <w:pStyle w:val="12"/>
              <w:widowControl/>
              <w:ind w:firstLine="0"/>
              <w:rPr>
                <w:rFonts w:ascii="Times New Roman" w:hAnsi="Times New Roman" w:eastAsia="仿宋"/>
              </w:rPr>
            </w:pPr>
            <w:r>
              <w:rPr>
                <w:rFonts w:hint="eastAsia" w:ascii="Times New Roman" w:hAnsi="Times New Roman" w:eastAsia="仿宋"/>
              </w:rPr>
              <w:t>4</w:t>
            </w:r>
            <w:r>
              <w:rPr>
                <w:rFonts w:ascii="Times New Roman" w:hAnsi="Times New Roman" w:eastAsia="仿宋"/>
              </w:rPr>
              <w:t>、响应供应商具有质监部门颁发的检验检测机构资质认定证书（CMA）</w:t>
            </w:r>
            <w:r>
              <w:rPr>
                <w:rFonts w:hint="eastAsia" w:ascii="Times New Roman" w:hAnsi="Times New Roman" w:eastAsia="仿宋"/>
              </w:rPr>
              <w:t>的，得2分；</w:t>
            </w:r>
            <w:r>
              <w:rPr>
                <w:rFonts w:ascii="Times New Roman" w:hAnsi="Times New Roman" w:eastAsia="仿宋"/>
              </w:rPr>
              <w:t>地下水检测能力涵盖《地下水质量标准》（GB/T14848-2017）表1和表2中检测因子超过80项的，得</w:t>
            </w:r>
            <w:r>
              <w:rPr>
                <w:rFonts w:hint="eastAsia" w:ascii="Times New Roman" w:hAnsi="Times New Roman" w:eastAsia="仿宋"/>
              </w:rPr>
              <w:t>3</w:t>
            </w:r>
            <w:r>
              <w:rPr>
                <w:rFonts w:ascii="Times New Roman" w:hAnsi="Times New Roman" w:eastAsia="仿宋"/>
              </w:rPr>
              <w:t>分；土壤检测能力包含《土壤环境质量建设用地土壤污染风险管控标准（试行）》（GB36600-2018）表1规定的45个必测项目及表2规定的石油烃类，得3分；本项最高得</w:t>
            </w:r>
            <w:r>
              <w:rPr>
                <w:rFonts w:hint="eastAsia" w:ascii="Times New Roman" w:hAnsi="Times New Roman" w:eastAsia="仿宋"/>
              </w:rPr>
              <w:t>8</w:t>
            </w:r>
            <w:r>
              <w:rPr>
                <w:rFonts w:ascii="Times New Roman" w:hAnsi="Times New Roman" w:eastAsia="仿宋"/>
              </w:rPr>
              <w:t>分。（需提供检验检测能力项证书扫描件加盖公章）</w:t>
            </w:r>
          </w:p>
          <w:p>
            <w:pPr>
              <w:pStyle w:val="12"/>
              <w:ind w:firstLine="0"/>
              <w:rPr>
                <w:rFonts w:ascii="Times New Roman" w:hAnsi="Times New Roman" w:eastAsia="仿宋"/>
              </w:rPr>
            </w:pPr>
            <w:r>
              <w:rPr>
                <w:rFonts w:hint="eastAsia" w:ascii="Times New Roman" w:hAnsi="Times New Roman" w:eastAsia="仿宋"/>
              </w:rPr>
              <w:t>5</w:t>
            </w:r>
            <w:r>
              <w:rPr>
                <w:rFonts w:ascii="Times New Roman" w:hAnsi="Times New Roman" w:eastAsia="仿宋"/>
              </w:rPr>
              <w:t>、响应供应商</w:t>
            </w:r>
            <w:bookmarkStart w:id="0" w:name="_Hlk137988755"/>
            <w:r>
              <w:rPr>
                <w:rFonts w:ascii="Times New Roman" w:hAnsi="Times New Roman" w:eastAsia="仿宋"/>
              </w:rPr>
              <w:t>具备土壤手持VOC检测光离子化检测仪（PID）现场快速检测设备、土壤便携式X射线荧光分析仪（XRF）现场快速检测设备、无人机的，每有1项得1分</w:t>
            </w:r>
            <w:bookmarkEnd w:id="0"/>
            <w:r>
              <w:rPr>
                <w:rFonts w:ascii="Times New Roman" w:hAnsi="Times New Roman" w:eastAsia="仿宋"/>
              </w:rPr>
              <w:t>；本项最高得3分。（上述设备需提供清晰的设备购买发票扫描件并加盖公章，发票应体现设备具体名称，设备发票单位名称与响应供应商名称完全一致。）</w:t>
            </w:r>
          </w:p>
          <w:p>
            <w:pPr>
              <w:pStyle w:val="12"/>
              <w:ind w:firstLine="0"/>
              <w:rPr>
                <w:rFonts w:ascii="Times New Roman" w:hAnsi="Times New Roman" w:eastAsia="仿宋"/>
              </w:rPr>
            </w:pPr>
            <w:r>
              <w:rPr>
                <w:rFonts w:hint="eastAsia" w:ascii="Times New Roman" w:hAnsi="Times New Roman" w:eastAsia="仿宋"/>
              </w:rPr>
              <w:t>6</w:t>
            </w:r>
            <w:r>
              <w:rPr>
                <w:rFonts w:ascii="Times New Roman" w:hAnsi="Times New Roman" w:eastAsia="仿宋"/>
              </w:rPr>
              <w:t>、投标人201</w:t>
            </w:r>
            <w:r>
              <w:rPr>
                <w:rFonts w:hint="eastAsia" w:ascii="Times New Roman" w:hAnsi="Times New Roman" w:eastAsia="仿宋"/>
              </w:rPr>
              <w:t>9</w:t>
            </w:r>
            <w:r>
              <w:rPr>
                <w:rFonts w:ascii="Times New Roman" w:hAnsi="Times New Roman" w:eastAsia="仿宋"/>
              </w:rPr>
              <w:t>年1月1日（含）以来，承担过场地污染防治及修复相关国家重点研发计划课题研究的，得</w:t>
            </w:r>
            <w:r>
              <w:rPr>
                <w:rFonts w:hint="eastAsia" w:ascii="Times New Roman" w:hAnsi="Times New Roman" w:eastAsia="仿宋"/>
              </w:rPr>
              <w:t>3</w:t>
            </w:r>
            <w:r>
              <w:rPr>
                <w:rFonts w:ascii="Times New Roman" w:hAnsi="Times New Roman" w:eastAsia="仿宋"/>
              </w:rPr>
              <w:t>分。（提供合同或委托协议</w:t>
            </w:r>
            <w:r>
              <w:rPr>
                <w:rFonts w:hint="eastAsia" w:ascii="Times New Roman" w:hAnsi="Times New Roman" w:eastAsia="仿宋"/>
              </w:rPr>
              <w:t>扫描件</w:t>
            </w:r>
            <w:r>
              <w:rPr>
                <w:rFonts w:ascii="Times New Roman" w:hAnsi="Times New Roman" w:eastAsia="仿宋"/>
              </w:rPr>
              <w:t>）</w:t>
            </w:r>
          </w:p>
          <w:p>
            <w:pPr>
              <w:pStyle w:val="12"/>
              <w:ind w:firstLine="0"/>
            </w:pPr>
            <w:r>
              <w:rPr>
                <w:rFonts w:hint="eastAsia" w:ascii="Times New Roman" w:hAnsi="Times New Roman" w:eastAsia="仿宋"/>
              </w:rPr>
              <w:t>7、响应供应商具有省级或以上环境保护类工程技术研究中心的，得3</w:t>
            </w:r>
            <w:r>
              <w:rPr>
                <w:rFonts w:ascii="Times New Roman" w:hAnsi="Times New Roman" w:eastAsia="仿宋"/>
              </w:rPr>
              <w:t>分。（提供批复文件扫描件或官方网站信息等加盖公章）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1129" w:type="dxa"/>
            <w:vMerge w:val="continue"/>
            <w:vAlign w:val="center"/>
          </w:tcPr>
          <w:p>
            <w:pPr>
              <w:spacing w:line="440" w:lineRule="exact"/>
              <w:ind w:firstLine="420" w:firstLineChars="200"/>
              <w:jc w:val="center"/>
              <w:rPr>
                <w:rFonts w:ascii="Times New Roman" w:hAnsi="Times New Roman" w:eastAsia="仿宋" w:cs="Times New Roman"/>
                <w:szCs w:val="21"/>
              </w:rPr>
            </w:pPr>
          </w:p>
        </w:tc>
        <w:tc>
          <w:tcPr>
            <w:tcW w:w="1428" w:type="dxa"/>
            <w:vAlign w:val="center"/>
          </w:tcPr>
          <w:p>
            <w:pPr>
              <w:spacing w:line="440" w:lineRule="exact"/>
              <w:jc w:val="center"/>
              <w:rPr>
                <w:rFonts w:ascii="Times New Roman" w:hAnsi="Times New Roman" w:eastAsia="仿宋" w:cs="Times New Roman"/>
                <w:szCs w:val="21"/>
              </w:rPr>
            </w:pPr>
            <w:r>
              <w:rPr>
                <w:rFonts w:ascii="Times New Roman" w:hAnsi="Times New Roman" w:eastAsia="仿宋" w:cs="Times New Roman"/>
                <w:szCs w:val="21"/>
              </w:rPr>
              <w:t>单位业绩</w:t>
            </w:r>
          </w:p>
        </w:tc>
        <w:tc>
          <w:tcPr>
            <w:tcW w:w="906" w:type="dxa"/>
            <w:vAlign w:val="center"/>
          </w:tcPr>
          <w:p>
            <w:pPr>
              <w:spacing w:line="440" w:lineRule="exact"/>
              <w:jc w:val="center"/>
              <w:rPr>
                <w:rFonts w:ascii="Times New Roman" w:hAnsi="Times New Roman" w:eastAsia="仿宋" w:cs="Times New Roman"/>
                <w:szCs w:val="21"/>
              </w:rPr>
            </w:pPr>
            <w:r>
              <w:rPr>
                <w:rFonts w:hint="eastAsia" w:ascii="Times New Roman" w:hAnsi="Times New Roman" w:eastAsia="仿宋" w:cs="Times New Roman"/>
                <w:szCs w:val="21"/>
              </w:rPr>
              <w:t>20</w:t>
            </w:r>
            <w:r>
              <w:rPr>
                <w:rFonts w:ascii="Times New Roman" w:hAnsi="Times New Roman" w:eastAsia="仿宋" w:cs="Times New Roman"/>
                <w:szCs w:val="21"/>
              </w:rPr>
              <w:t>分</w:t>
            </w:r>
          </w:p>
        </w:tc>
        <w:tc>
          <w:tcPr>
            <w:tcW w:w="5367" w:type="dxa"/>
            <w:vAlign w:val="center"/>
          </w:tcPr>
          <w:p>
            <w:pPr>
              <w:widowControl/>
              <w:adjustRightInd w:val="0"/>
              <w:snapToGrid w:val="0"/>
              <w:rPr>
                <w:rFonts w:ascii="Times New Roman" w:hAnsi="Times New Roman" w:eastAsia="仿宋" w:cs="Times New Roman"/>
                <w:szCs w:val="21"/>
              </w:rPr>
            </w:pPr>
            <w:r>
              <w:rPr>
                <w:rFonts w:ascii="Times New Roman" w:hAnsi="Times New Roman" w:eastAsia="仿宋" w:cs="Times New Roman"/>
              </w:rPr>
              <w:t>供应商</w:t>
            </w:r>
            <w:r>
              <w:rPr>
                <w:rFonts w:ascii="Times New Roman" w:hAnsi="Times New Roman" w:eastAsia="仿宋" w:cs="Times New Roman"/>
                <w:szCs w:val="21"/>
              </w:rPr>
              <w:t>自2019年1月1日（含）以来承担过土壤污染状况调查</w:t>
            </w:r>
            <w:r>
              <w:rPr>
                <w:rFonts w:hint="eastAsia" w:ascii="Times New Roman" w:hAnsi="Times New Roman" w:eastAsia="仿宋" w:cs="Times New Roman"/>
                <w:szCs w:val="21"/>
              </w:rPr>
              <w:t>或拆除活动土壤污染防治方案编制项目</w:t>
            </w:r>
            <w:r>
              <w:rPr>
                <w:rFonts w:ascii="Times New Roman" w:hAnsi="Times New Roman" w:eastAsia="仿宋" w:cs="Times New Roman"/>
                <w:szCs w:val="21"/>
              </w:rPr>
              <w:t>，每有1个得</w:t>
            </w:r>
            <w:r>
              <w:rPr>
                <w:rFonts w:hint="eastAsia" w:ascii="Times New Roman" w:hAnsi="Times New Roman" w:eastAsia="仿宋" w:cs="Times New Roman"/>
                <w:szCs w:val="21"/>
              </w:rPr>
              <w:t>4</w:t>
            </w:r>
            <w:r>
              <w:rPr>
                <w:rFonts w:ascii="Times New Roman" w:hAnsi="Times New Roman" w:eastAsia="仿宋" w:cs="Times New Roman"/>
                <w:szCs w:val="21"/>
              </w:rPr>
              <w:t>分，最高得</w:t>
            </w:r>
            <w:r>
              <w:rPr>
                <w:rFonts w:hint="eastAsia" w:ascii="Times New Roman" w:hAnsi="Times New Roman" w:eastAsia="仿宋" w:cs="Times New Roman"/>
                <w:szCs w:val="21"/>
              </w:rPr>
              <w:t>20</w:t>
            </w:r>
            <w:r>
              <w:rPr>
                <w:rFonts w:ascii="Times New Roman" w:hAnsi="Times New Roman" w:eastAsia="仿宋" w:cs="Times New Roman"/>
                <w:szCs w:val="21"/>
              </w:rPr>
              <w:t>分。</w:t>
            </w:r>
          </w:p>
          <w:p>
            <w:pPr>
              <w:rPr>
                <w:rFonts w:ascii="Times New Roman" w:hAnsi="Times New Roman" w:eastAsia="仿宋" w:cs="Times New Roman"/>
                <w:szCs w:val="21"/>
              </w:rPr>
            </w:pPr>
            <w:r>
              <w:rPr>
                <w:rFonts w:ascii="Times New Roman" w:hAnsi="Times New Roman" w:eastAsia="仿宋" w:cs="Times New Roman"/>
                <w:szCs w:val="21"/>
              </w:rPr>
              <w:t>（以上业绩证明材料需提供合同复印件及专家评审意见加盖公章）。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1129" w:type="dxa"/>
            <w:vMerge w:val="continue"/>
            <w:vAlign w:val="center"/>
          </w:tcPr>
          <w:p>
            <w:pPr>
              <w:spacing w:line="440" w:lineRule="exact"/>
              <w:ind w:firstLine="420" w:firstLineChars="200"/>
              <w:jc w:val="center"/>
              <w:rPr>
                <w:rFonts w:ascii="Times New Roman" w:hAnsi="Times New Roman" w:eastAsia="仿宋" w:cs="Times New Roman"/>
                <w:szCs w:val="21"/>
              </w:rPr>
            </w:pPr>
          </w:p>
        </w:tc>
        <w:tc>
          <w:tcPr>
            <w:tcW w:w="1428" w:type="dxa"/>
            <w:vAlign w:val="center"/>
          </w:tcPr>
          <w:p>
            <w:pPr>
              <w:spacing w:line="440" w:lineRule="exact"/>
              <w:jc w:val="center"/>
              <w:rPr>
                <w:rFonts w:ascii="Times New Roman" w:hAnsi="Times New Roman" w:eastAsia="仿宋" w:cs="Times New Roman"/>
                <w:szCs w:val="21"/>
              </w:rPr>
            </w:pPr>
            <w:r>
              <w:rPr>
                <w:rFonts w:ascii="Times New Roman" w:hAnsi="Times New Roman" w:eastAsia="仿宋" w:cs="Times New Roman"/>
                <w:szCs w:val="21"/>
              </w:rPr>
              <w:t>项目组负责人及组成人员资质</w:t>
            </w:r>
          </w:p>
        </w:tc>
        <w:tc>
          <w:tcPr>
            <w:tcW w:w="906" w:type="dxa"/>
            <w:vAlign w:val="center"/>
          </w:tcPr>
          <w:p>
            <w:pPr>
              <w:spacing w:line="440" w:lineRule="exact"/>
              <w:jc w:val="center"/>
              <w:rPr>
                <w:rFonts w:ascii="Times New Roman" w:hAnsi="Times New Roman" w:eastAsia="仿宋" w:cs="Times New Roman"/>
                <w:szCs w:val="21"/>
              </w:rPr>
            </w:pPr>
            <w:r>
              <w:rPr>
                <w:rFonts w:hint="eastAsia" w:ascii="Times New Roman" w:hAnsi="Times New Roman" w:eastAsia="仿宋" w:cs="Times New Roman"/>
                <w:szCs w:val="21"/>
              </w:rPr>
              <w:t>20</w:t>
            </w:r>
            <w:r>
              <w:rPr>
                <w:rFonts w:ascii="Times New Roman" w:hAnsi="Times New Roman" w:eastAsia="仿宋" w:cs="Times New Roman"/>
                <w:szCs w:val="21"/>
              </w:rPr>
              <w:t>分</w:t>
            </w:r>
          </w:p>
        </w:tc>
        <w:tc>
          <w:tcPr>
            <w:tcW w:w="5367" w:type="dxa"/>
            <w:vAlign w:val="center"/>
          </w:tcPr>
          <w:p>
            <w:pPr>
              <w:widowControl/>
              <w:rPr>
                <w:rFonts w:ascii="Times New Roman" w:hAnsi="Times New Roman" w:eastAsia="仿宋" w:cs="Times New Roman"/>
                <w:b/>
                <w:bCs/>
                <w:szCs w:val="21"/>
              </w:rPr>
            </w:pPr>
            <w:r>
              <w:rPr>
                <w:rFonts w:ascii="Times New Roman" w:hAnsi="Times New Roman" w:eastAsia="仿宋" w:cs="Times New Roman"/>
                <w:b/>
                <w:bCs/>
                <w:szCs w:val="21"/>
              </w:rPr>
              <w:t>1、项目负责人（</w:t>
            </w:r>
            <w:r>
              <w:rPr>
                <w:rFonts w:hint="eastAsia" w:ascii="Times New Roman" w:hAnsi="Times New Roman" w:eastAsia="仿宋" w:cs="Times New Roman"/>
                <w:b/>
                <w:bCs/>
                <w:szCs w:val="21"/>
              </w:rPr>
              <w:t>8</w:t>
            </w:r>
            <w:r>
              <w:rPr>
                <w:rFonts w:ascii="Times New Roman" w:hAnsi="Times New Roman" w:eastAsia="仿宋" w:cs="Times New Roman"/>
                <w:b/>
                <w:bCs/>
                <w:szCs w:val="21"/>
              </w:rPr>
              <w:t>分）</w:t>
            </w:r>
          </w:p>
          <w:p>
            <w:pPr>
              <w:widowControl/>
              <w:rPr>
                <w:rFonts w:ascii="Times New Roman" w:hAnsi="Times New Roman" w:eastAsia="仿宋" w:cs="Times New Roman"/>
                <w:szCs w:val="21"/>
              </w:rPr>
            </w:pPr>
            <w:r>
              <w:rPr>
                <w:rFonts w:ascii="Times New Roman" w:hAnsi="Times New Roman" w:eastAsia="仿宋" w:cs="Times New Roman"/>
                <w:szCs w:val="21"/>
              </w:rPr>
              <w:t>项目负责人具有环境保护类</w:t>
            </w:r>
            <w:r>
              <w:rPr>
                <w:rFonts w:hint="eastAsia" w:ascii="Times New Roman" w:hAnsi="Times New Roman" w:eastAsia="仿宋" w:cs="Times New Roman"/>
                <w:szCs w:val="21"/>
              </w:rPr>
              <w:t>研究员级（正）</w:t>
            </w:r>
            <w:r>
              <w:rPr>
                <w:rFonts w:ascii="Times New Roman" w:hAnsi="Times New Roman" w:eastAsia="仿宋" w:cs="Times New Roman"/>
                <w:szCs w:val="21"/>
              </w:rPr>
              <w:t>高级职称的，得</w:t>
            </w:r>
            <w:r>
              <w:rPr>
                <w:rFonts w:hint="eastAsia" w:ascii="Times New Roman" w:hAnsi="Times New Roman" w:eastAsia="仿宋" w:cs="Times New Roman"/>
                <w:szCs w:val="21"/>
              </w:rPr>
              <w:t>3</w:t>
            </w:r>
            <w:r>
              <w:rPr>
                <w:rFonts w:ascii="Times New Roman" w:hAnsi="Times New Roman" w:eastAsia="仿宋" w:cs="Times New Roman"/>
                <w:szCs w:val="21"/>
              </w:rPr>
              <w:t>分；同时具有注册环评工程师</w:t>
            </w:r>
            <w:r>
              <w:rPr>
                <w:rFonts w:hint="eastAsia" w:ascii="Times New Roman" w:hAnsi="Times New Roman" w:eastAsia="仿宋" w:cs="Times New Roman"/>
                <w:szCs w:val="21"/>
              </w:rPr>
              <w:t>或</w:t>
            </w:r>
            <w:r>
              <w:rPr>
                <w:rFonts w:ascii="Times New Roman" w:hAnsi="Times New Roman" w:eastAsia="仿宋" w:cs="Times New Roman"/>
                <w:szCs w:val="21"/>
              </w:rPr>
              <w:t>注册环保工程师</w:t>
            </w:r>
            <w:r>
              <w:rPr>
                <w:rFonts w:hint="eastAsia" w:ascii="Times New Roman" w:hAnsi="Times New Roman" w:eastAsia="仿宋" w:cs="Times New Roman"/>
                <w:szCs w:val="21"/>
              </w:rPr>
              <w:t>证书</w:t>
            </w:r>
            <w:r>
              <w:rPr>
                <w:rFonts w:ascii="Times New Roman" w:hAnsi="Times New Roman" w:eastAsia="仿宋" w:cs="Times New Roman"/>
                <w:szCs w:val="21"/>
              </w:rPr>
              <w:t>的，得</w:t>
            </w:r>
            <w:r>
              <w:rPr>
                <w:rFonts w:hint="eastAsia" w:ascii="Times New Roman" w:hAnsi="Times New Roman" w:eastAsia="仿宋" w:cs="Times New Roman"/>
                <w:szCs w:val="21"/>
              </w:rPr>
              <w:t>3</w:t>
            </w:r>
            <w:r>
              <w:rPr>
                <w:rFonts w:ascii="Times New Roman" w:hAnsi="Times New Roman" w:eastAsia="仿宋" w:cs="Times New Roman"/>
                <w:szCs w:val="21"/>
              </w:rPr>
              <w:t>分；项目负责人</w:t>
            </w:r>
            <w:r>
              <w:rPr>
                <w:rFonts w:hint="eastAsia" w:ascii="Times New Roman" w:hAnsi="Times New Roman" w:eastAsia="仿宋" w:cs="Times New Roman"/>
                <w:szCs w:val="21"/>
              </w:rPr>
              <w:t>以第一完成人获得生态环境部（环境保护部）国家环境保护科学技术奖的</w:t>
            </w:r>
            <w:r>
              <w:rPr>
                <w:rFonts w:ascii="Times New Roman" w:hAnsi="Times New Roman" w:eastAsia="仿宋" w:cs="Times New Roman"/>
                <w:szCs w:val="21"/>
              </w:rPr>
              <w:t>，</w:t>
            </w:r>
            <w:r>
              <w:rPr>
                <w:rFonts w:hint="eastAsia" w:ascii="Times New Roman" w:hAnsi="Times New Roman" w:eastAsia="仿宋" w:cs="Times New Roman"/>
                <w:szCs w:val="21"/>
              </w:rPr>
              <w:t>得2分；本项</w:t>
            </w:r>
            <w:r>
              <w:rPr>
                <w:rFonts w:ascii="Times New Roman" w:hAnsi="Times New Roman" w:eastAsia="仿宋" w:cs="Times New Roman"/>
                <w:szCs w:val="21"/>
              </w:rPr>
              <w:t>最高得</w:t>
            </w:r>
            <w:r>
              <w:rPr>
                <w:rFonts w:hint="eastAsia" w:ascii="Times New Roman" w:hAnsi="Times New Roman" w:eastAsia="仿宋" w:cs="Times New Roman"/>
                <w:szCs w:val="21"/>
              </w:rPr>
              <w:t>8</w:t>
            </w:r>
            <w:r>
              <w:rPr>
                <w:rFonts w:ascii="Times New Roman" w:hAnsi="Times New Roman" w:eastAsia="仿宋" w:cs="Times New Roman"/>
                <w:szCs w:val="21"/>
              </w:rPr>
              <w:t>分。</w:t>
            </w:r>
          </w:p>
          <w:p>
            <w:pPr>
              <w:widowControl/>
              <w:numPr>
                <w:ilvl w:val="0"/>
                <w:numId w:val="1"/>
              </w:numPr>
              <w:rPr>
                <w:rFonts w:ascii="Times New Roman" w:hAnsi="Times New Roman" w:eastAsia="仿宋" w:cs="Times New Roman"/>
                <w:b/>
                <w:bCs/>
                <w:szCs w:val="21"/>
              </w:rPr>
            </w:pPr>
            <w:r>
              <w:rPr>
                <w:rFonts w:ascii="Times New Roman" w:hAnsi="Times New Roman" w:eastAsia="仿宋" w:cs="Times New Roman"/>
                <w:b/>
                <w:bCs/>
                <w:szCs w:val="21"/>
              </w:rPr>
              <w:t>拟派项目组成员（</w:t>
            </w:r>
            <w:r>
              <w:rPr>
                <w:rFonts w:hint="eastAsia" w:ascii="Times New Roman" w:hAnsi="Times New Roman" w:eastAsia="仿宋" w:cs="Times New Roman"/>
                <w:b/>
                <w:bCs/>
                <w:szCs w:val="21"/>
              </w:rPr>
              <w:t>12</w:t>
            </w:r>
            <w:r>
              <w:rPr>
                <w:rFonts w:ascii="Times New Roman" w:hAnsi="Times New Roman" w:eastAsia="仿宋" w:cs="Times New Roman"/>
                <w:b/>
                <w:bCs/>
                <w:szCs w:val="21"/>
              </w:rPr>
              <w:t>分）</w:t>
            </w:r>
          </w:p>
          <w:p>
            <w:pPr>
              <w:widowControl/>
              <w:rPr>
                <w:rFonts w:ascii="Times New Roman" w:hAnsi="Times New Roman" w:eastAsia="仿宋" w:cs="Times New Roman"/>
                <w:szCs w:val="21"/>
              </w:rPr>
            </w:pPr>
            <w:r>
              <w:rPr>
                <w:rFonts w:ascii="Times New Roman" w:hAnsi="Times New Roman" w:eastAsia="仿宋" w:cs="Times New Roman"/>
                <w:szCs w:val="21"/>
              </w:rPr>
              <w:t>项目组拟委派成员中具有环境保护类专业高级及以上职称</w:t>
            </w:r>
            <w:r>
              <w:rPr>
                <w:rFonts w:hint="eastAsia" w:ascii="Times New Roman" w:hAnsi="Times New Roman" w:eastAsia="仿宋" w:cs="Times New Roman"/>
                <w:szCs w:val="21"/>
              </w:rPr>
              <w:t>且具有注册环评工程师证书</w:t>
            </w:r>
            <w:r>
              <w:rPr>
                <w:rFonts w:ascii="Times New Roman" w:hAnsi="Times New Roman" w:eastAsia="仿宋" w:cs="Times New Roman"/>
                <w:szCs w:val="21"/>
              </w:rPr>
              <w:t>的，每有1人得</w:t>
            </w:r>
            <w:r>
              <w:rPr>
                <w:rFonts w:hint="eastAsia" w:ascii="Times New Roman" w:hAnsi="Times New Roman" w:eastAsia="仿宋" w:cs="Times New Roman"/>
                <w:szCs w:val="21"/>
              </w:rPr>
              <w:t>2</w:t>
            </w:r>
            <w:r>
              <w:rPr>
                <w:rFonts w:ascii="Times New Roman" w:hAnsi="Times New Roman" w:eastAsia="仿宋" w:cs="Times New Roman"/>
                <w:szCs w:val="21"/>
              </w:rPr>
              <w:t>分，最高得</w:t>
            </w:r>
            <w:r>
              <w:rPr>
                <w:rFonts w:hint="eastAsia" w:ascii="Times New Roman" w:hAnsi="Times New Roman" w:eastAsia="仿宋" w:cs="Times New Roman"/>
                <w:szCs w:val="21"/>
              </w:rPr>
              <w:t>12</w:t>
            </w:r>
            <w:r>
              <w:rPr>
                <w:rFonts w:ascii="Times New Roman" w:hAnsi="Times New Roman" w:eastAsia="仿宋" w:cs="Times New Roman"/>
                <w:szCs w:val="21"/>
              </w:rPr>
              <w:t>分。</w:t>
            </w:r>
          </w:p>
          <w:p>
            <w:pPr>
              <w:rPr>
                <w:rFonts w:ascii="Times New Roman" w:hAnsi="Times New Roman" w:eastAsia="仿宋" w:cs="Times New Roman"/>
                <w:szCs w:val="21"/>
              </w:rPr>
            </w:pPr>
            <w:r>
              <w:rPr>
                <w:rFonts w:ascii="Times New Roman" w:hAnsi="Times New Roman" w:eastAsia="仿宋" w:cs="Times New Roman"/>
                <w:b/>
                <w:bCs/>
                <w:szCs w:val="21"/>
              </w:rPr>
              <w:t>注明：项目负责人及项目组成员须提供专业人员资格证、职称证书并加盖投标企业公章，同时提供社会保障部门出具的近三个月</w:t>
            </w:r>
            <w:r>
              <w:rPr>
                <w:rFonts w:hint="eastAsia" w:ascii="Times New Roman" w:hAnsi="Times New Roman" w:eastAsia="仿宋" w:cs="Times New Roman"/>
                <w:b/>
                <w:bCs/>
                <w:szCs w:val="21"/>
              </w:rPr>
              <w:t>（不含开标当月）</w:t>
            </w:r>
            <w:r>
              <w:rPr>
                <w:rFonts w:ascii="Times New Roman" w:hAnsi="Times New Roman" w:eastAsia="仿宋" w:cs="Times New Roman"/>
                <w:b/>
                <w:bCs/>
                <w:szCs w:val="21"/>
              </w:rPr>
              <w:t>在本单位连续缴纳社会养老保险的缴费清单，可提供官网打印的具有二维码或验证码的缴费清单，以上未提供不予得分。</w:t>
            </w:r>
          </w:p>
        </w:tc>
      </w:tr>
    </w:tbl>
    <w:p>
      <w:pPr>
        <w:pStyle w:val="10"/>
        <w:spacing w:before="0" w:beforeAutospacing="0" w:after="0" w:afterAutospacing="0" w:line="520" w:lineRule="exact"/>
        <w:jc w:val="both"/>
        <w:rPr>
          <w:rFonts w:hint="eastAsia" w:ascii="仿宋_GB2312" w:hAnsi="仿宋_GB2312" w:eastAsia="仿宋_GB2312" w:cs="仿宋_GB2312"/>
          <w:b/>
          <w:color w:val="000000"/>
          <w:sz w:val="32"/>
          <w:szCs w:val="32"/>
        </w:rPr>
      </w:pPr>
      <w:r>
        <w:rPr>
          <w:rFonts w:hint="eastAsia" w:ascii="仿宋_GB2312" w:hAnsi="仿宋_GB2312" w:eastAsia="仿宋_GB2312" w:cs="仿宋_GB2312"/>
          <w:b/>
          <w:color w:val="000000"/>
          <w:sz w:val="32"/>
          <w:szCs w:val="32"/>
        </w:rPr>
        <w:t>（2）价格分：10分</w:t>
      </w:r>
    </w:p>
    <w:p>
      <w:pPr>
        <w:pStyle w:val="10"/>
        <w:spacing w:before="0" w:beforeAutospacing="0" w:after="0" w:afterAutospacing="0" w:line="520" w:lineRule="exact"/>
        <w:ind w:firstLine="784" w:firstLineChars="245"/>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综合评分法中的价格分统一采用低价优先法计算，即满足磋商文件要求且最后报价最低的供应商的价格为磋商基准价，其价格分为满分。其他供应商的价格分统一按照下列公式计算：</w:t>
      </w:r>
    </w:p>
    <w:p>
      <w:pPr>
        <w:pStyle w:val="10"/>
        <w:spacing w:before="0" w:beforeAutospacing="0" w:after="0" w:afterAutospacing="0" w:line="520" w:lineRule="exact"/>
        <w:ind w:firstLine="784" w:firstLineChars="245"/>
        <w:jc w:val="both"/>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磋商报价得分=（磋商基准价/最后磋商报价）×价格权值10%×100。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Century Schoolbook">
    <w:panose1 w:val="02040604050505020304"/>
    <w:charset w:val="00"/>
    <w:family w:val="modern"/>
    <w:pitch w:val="default"/>
    <w:sig w:usb0="00000287" w:usb1="00000000" w:usb2="00000000" w:usb3="00000000" w:csb0="2000009F" w:csb1="DFD70000"/>
  </w:font>
  <w:font w:name="微软简标宋">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swiss"/>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14974058">
    <w:nsid w:val="66386D6A"/>
    <w:multiLevelType w:val="multilevel"/>
    <w:tmpl w:val="66386D6A"/>
    <w:lvl w:ilvl="0" w:tentative="1">
      <w:start w:val="2"/>
      <w:numFmt w:val="decimal"/>
      <w:suff w:val="nothing"/>
      <w:lvlText w:val="%1、"/>
      <w:lvlJc w:val="left"/>
      <w:pPr>
        <w:ind w:left="0" w:firstLine="0"/>
      </w:pPr>
      <w:rPr>
        <w:rFonts w:hint="default" w:ascii="Times New Roman" w:hAnsi="Times New Roman" w:cs="Times New Roman"/>
      </w:rPr>
    </w:lvl>
    <w:lvl w:ilvl="1" w:tentative="1">
      <w:start w:val="1"/>
      <w:numFmt w:val="bullet"/>
      <w:lvlText w:val="o"/>
      <w:lvlJc w:val="left"/>
      <w:pPr>
        <w:ind w:left="1440" w:hanging="360"/>
      </w:pPr>
      <w:rPr>
        <w:rFonts w:hint="default" w:ascii="Courier New" w:hAnsi="Courier New" w:cs="Courier New"/>
      </w:rPr>
    </w:lvl>
    <w:lvl w:ilvl="2" w:tentative="1">
      <w:start w:val="1"/>
      <w:numFmt w:val="bullet"/>
      <w:lvlText w:val="§"/>
      <w:lvlJc w:val="left"/>
      <w:pPr>
        <w:ind w:left="2160" w:hanging="360"/>
      </w:pPr>
      <w:rPr>
        <w:rFonts w:hint="default" w:ascii="Wingdings" w:hAnsi="Wingdings"/>
      </w:rPr>
    </w:lvl>
    <w:lvl w:ilvl="3" w:tentative="1">
      <w:start w:val="1"/>
      <w:numFmt w:val="bullet"/>
      <w:lvlText w:val="·"/>
      <w:lvlJc w:val="left"/>
      <w:pPr>
        <w:ind w:left="2880" w:hanging="360"/>
      </w:pPr>
      <w:rPr>
        <w:rFonts w:hint="default" w:ascii="Symbol" w:hAnsi="Symbol"/>
      </w:rPr>
    </w:lvl>
    <w:lvl w:ilvl="4" w:tentative="1">
      <w:start w:val="1"/>
      <w:numFmt w:val="bullet"/>
      <w:lvlText w:val="o"/>
      <w:lvlJc w:val="left"/>
      <w:pPr>
        <w:ind w:left="3600" w:hanging="360"/>
      </w:pPr>
      <w:rPr>
        <w:rFonts w:hint="default" w:ascii="Courier New" w:hAnsi="Courier New" w:cs="Courier New"/>
      </w:rPr>
    </w:lvl>
    <w:lvl w:ilvl="5" w:tentative="1">
      <w:start w:val="1"/>
      <w:numFmt w:val="bullet"/>
      <w:lvlText w:val="§"/>
      <w:lvlJc w:val="left"/>
      <w:pPr>
        <w:ind w:left="4320" w:hanging="360"/>
      </w:pPr>
      <w:rPr>
        <w:rFonts w:hint="default" w:ascii="Wingdings" w:hAnsi="Wingdings"/>
      </w:rPr>
    </w:lvl>
    <w:lvl w:ilvl="6" w:tentative="1">
      <w:start w:val="1"/>
      <w:numFmt w:val="bullet"/>
      <w:lvlText w:val="·"/>
      <w:lvlJc w:val="left"/>
      <w:pPr>
        <w:ind w:left="5040" w:hanging="360"/>
      </w:pPr>
      <w:rPr>
        <w:rFonts w:hint="default" w:ascii="Symbol" w:hAnsi="Symbol"/>
      </w:rPr>
    </w:lvl>
    <w:lvl w:ilvl="7" w:tentative="1">
      <w:start w:val="1"/>
      <w:numFmt w:val="bullet"/>
      <w:lvlText w:val="o"/>
      <w:lvlJc w:val="left"/>
      <w:pPr>
        <w:ind w:left="5760" w:hanging="360"/>
      </w:pPr>
      <w:rPr>
        <w:rFonts w:hint="default" w:ascii="Courier New" w:hAnsi="Courier New" w:cs="Courier New"/>
      </w:rPr>
    </w:lvl>
    <w:lvl w:ilvl="8" w:tentative="1">
      <w:start w:val="1"/>
      <w:numFmt w:val="bullet"/>
      <w:lvlText w:val="§"/>
      <w:lvlJc w:val="left"/>
      <w:pPr>
        <w:ind w:left="6480" w:hanging="360"/>
      </w:pPr>
      <w:rPr>
        <w:rFonts w:hint="default" w:ascii="Wingdings" w:hAnsi="Wingdings"/>
      </w:rPr>
    </w:lvl>
  </w:abstractNum>
  <w:num w:numId="1">
    <w:abstractNumId w:val="1714974058"/>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g1MmNmNDIzNTgxYzdmZTk5NmM5NzYwMWE3YWI2OGEifQ=="/>
  </w:docVars>
  <w:rsids>
    <w:rsidRoot w:val="00CD4AF4"/>
    <w:rsid w:val="0001072F"/>
    <w:rsid w:val="00020888"/>
    <w:rsid w:val="00020D1C"/>
    <w:rsid w:val="000371CA"/>
    <w:rsid w:val="000A2299"/>
    <w:rsid w:val="000E64C2"/>
    <w:rsid w:val="0013607C"/>
    <w:rsid w:val="00142A12"/>
    <w:rsid w:val="00166E00"/>
    <w:rsid w:val="00170F00"/>
    <w:rsid w:val="001833A2"/>
    <w:rsid w:val="00211B97"/>
    <w:rsid w:val="002416EE"/>
    <w:rsid w:val="0026437B"/>
    <w:rsid w:val="003347C9"/>
    <w:rsid w:val="00344CCE"/>
    <w:rsid w:val="00352B1A"/>
    <w:rsid w:val="003B272E"/>
    <w:rsid w:val="004B3B42"/>
    <w:rsid w:val="004D5E41"/>
    <w:rsid w:val="004E38E0"/>
    <w:rsid w:val="00556701"/>
    <w:rsid w:val="00580A52"/>
    <w:rsid w:val="00596FF9"/>
    <w:rsid w:val="005A57D3"/>
    <w:rsid w:val="005D5EE7"/>
    <w:rsid w:val="00632EDA"/>
    <w:rsid w:val="00665AB6"/>
    <w:rsid w:val="00667331"/>
    <w:rsid w:val="00731B42"/>
    <w:rsid w:val="007D2403"/>
    <w:rsid w:val="007F231F"/>
    <w:rsid w:val="008238F3"/>
    <w:rsid w:val="008510BF"/>
    <w:rsid w:val="0089740B"/>
    <w:rsid w:val="008C6F5C"/>
    <w:rsid w:val="008D63C0"/>
    <w:rsid w:val="00907281"/>
    <w:rsid w:val="009C09AA"/>
    <w:rsid w:val="00A2757D"/>
    <w:rsid w:val="00AB436D"/>
    <w:rsid w:val="00AB578C"/>
    <w:rsid w:val="00B03E17"/>
    <w:rsid w:val="00B412EE"/>
    <w:rsid w:val="00BD0A86"/>
    <w:rsid w:val="00BD2E1D"/>
    <w:rsid w:val="00BE773C"/>
    <w:rsid w:val="00C91D39"/>
    <w:rsid w:val="00CD4AF4"/>
    <w:rsid w:val="00D226EC"/>
    <w:rsid w:val="00D32DAE"/>
    <w:rsid w:val="00D82588"/>
    <w:rsid w:val="00D92434"/>
    <w:rsid w:val="00DA0EC4"/>
    <w:rsid w:val="00DB010D"/>
    <w:rsid w:val="00E423D6"/>
    <w:rsid w:val="00E442BA"/>
    <w:rsid w:val="00E472CE"/>
    <w:rsid w:val="00E56F44"/>
    <w:rsid w:val="00F058FC"/>
    <w:rsid w:val="00F14156"/>
    <w:rsid w:val="00F45503"/>
    <w:rsid w:val="00F96024"/>
    <w:rsid w:val="00FE3172"/>
    <w:rsid w:val="093C4EA4"/>
    <w:rsid w:val="0BB061A4"/>
    <w:rsid w:val="0C9C39CE"/>
    <w:rsid w:val="1AB772D9"/>
    <w:rsid w:val="1D44297A"/>
    <w:rsid w:val="1D4E2424"/>
    <w:rsid w:val="2A096094"/>
    <w:rsid w:val="35A71F76"/>
    <w:rsid w:val="3C4542ED"/>
    <w:rsid w:val="3C5538E8"/>
    <w:rsid w:val="4160252C"/>
    <w:rsid w:val="4CFE0E9B"/>
    <w:rsid w:val="4D812CAB"/>
    <w:rsid w:val="54FC355F"/>
    <w:rsid w:val="60BF3DBF"/>
    <w:rsid w:val="7E8C515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0"/>
    <w:pPr>
      <w:keepNext/>
      <w:keepLines/>
      <w:spacing w:before="600" w:after="880" w:line="319" w:lineRule="auto"/>
      <w:jc w:val="center"/>
      <w:outlineLvl w:val="0"/>
    </w:pPr>
    <w:rPr>
      <w:rFonts w:ascii="Century Schoolbook" w:hAnsi="Century Schoolbook" w:eastAsia="微软简标宋" w:cs="Times New Roman"/>
      <w:kern w:val="0"/>
      <w:sz w:val="40"/>
      <w:szCs w:val="20"/>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tabs>
        <w:tab w:val="center" w:pos="4153"/>
        <w:tab w:val="right" w:pos="8306"/>
      </w:tabs>
      <w:snapToGrid w:val="0"/>
      <w:jc w:val="center"/>
    </w:pPr>
    <w:rPr>
      <w:sz w:val="18"/>
      <w:szCs w:val="18"/>
    </w:rPr>
  </w:style>
  <w:style w:type="paragraph" w:customStyle="1" w:styleId="7">
    <w:name w:val="(文字) (文字) Char (文字) (文字) Char (文字) (文字) (文字) (文字)"/>
    <w:basedOn w:val="1"/>
    <w:qFormat/>
    <w:uiPriority w:val="0"/>
    <w:pPr>
      <w:spacing w:line="360" w:lineRule="auto"/>
      <w:ind w:firstLine="200" w:firstLineChars="200"/>
    </w:pPr>
    <w:rPr>
      <w:rFonts w:ascii="宋体" w:hAnsi="宋体" w:eastAsia="宋体" w:cs="宋体"/>
      <w:sz w:val="24"/>
      <w:szCs w:val="24"/>
    </w:rPr>
  </w:style>
  <w:style w:type="character" w:customStyle="1" w:styleId="8">
    <w:name w:val="页眉 字符"/>
    <w:basedOn w:val="5"/>
    <w:link w:val="4"/>
    <w:uiPriority w:val="99"/>
    <w:rPr>
      <w:sz w:val="18"/>
      <w:szCs w:val="18"/>
    </w:rPr>
  </w:style>
  <w:style w:type="character" w:customStyle="1" w:styleId="9">
    <w:name w:val="页脚 字符"/>
    <w:basedOn w:val="5"/>
    <w:link w:val="3"/>
    <w:qFormat/>
    <w:uiPriority w:val="99"/>
    <w:rPr>
      <w:sz w:val="18"/>
      <w:szCs w:val="18"/>
    </w:rPr>
  </w:style>
  <w:style w:type="paragraph" w:customStyle="1" w:styleId="10">
    <w:name w:val="black1"/>
    <w:basedOn w:val="1"/>
    <w:qFormat/>
    <w:uiPriority w:val="99"/>
    <w:pPr>
      <w:widowControl/>
      <w:spacing w:before="100" w:beforeAutospacing="1" w:after="100" w:afterAutospacing="1"/>
      <w:jc w:val="left"/>
    </w:pPr>
    <w:rPr>
      <w:rFonts w:ascii="宋体" w:hAnsi="宋体" w:eastAsia="宋体" w:cs="Times New Roman"/>
      <w:kern w:val="0"/>
      <w:sz w:val="24"/>
      <w:szCs w:val="24"/>
    </w:rPr>
  </w:style>
  <w:style w:type="character" w:customStyle="1" w:styleId="11">
    <w:name w:val="标题 1 字符"/>
    <w:basedOn w:val="5"/>
    <w:link w:val="2"/>
    <w:qFormat/>
    <w:uiPriority w:val="0"/>
    <w:rPr>
      <w:rFonts w:ascii="Century Schoolbook" w:hAnsi="Century Schoolbook" w:eastAsia="微软简标宋" w:cs="Times New Roman"/>
      <w:kern w:val="0"/>
      <w:sz w:val="40"/>
      <w:szCs w:val="20"/>
    </w:rPr>
  </w:style>
  <w:style w:type="paragraph" w:customStyle="1" w:styleId="12">
    <w:name w:val="UserStyle_57"/>
    <w:basedOn w:val="1"/>
    <w:next w:val="1"/>
    <w:qFormat/>
    <w:uiPriority w:val="99"/>
    <w:pPr>
      <w:ind w:firstLine="420"/>
    </w:pPr>
    <w:rPr>
      <w:rFonts w:ascii="Calibri" w:hAnsi="Calibri" w:eastAsia="宋体" w:cs="Times New Roman"/>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376</Words>
  <Characters>2147</Characters>
  <Lines>17</Lines>
  <Paragraphs>5</Paragraphs>
  <ScaleCrop>false</ScaleCrop>
  <LinksUpToDate>false</LinksUpToDate>
  <CharactersWithSpaces>2518</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2024-04-24T01:01:00Z</dcterms:created>
  <dc:creator>Pengchong</dc:creator>
  <cp:lastModifiedBy>Administrator</cp:lastModifiedBy>
  <dcterms:modified xsi:type="dcterms:W3CDTF">2024-05-06T05:39:30Z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1EA771FEAA0441518EB687383ADB1CD2_13</vt:lpwstr>
  </property>
</Properties>
</file>