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color w:val="auto"/>
          <w:sz w:val="52"/>
          <w:szCs w:val="52"/>
        </w:rPr>
      </w:pPr>
    </w:p>
    <w:p>
      <w:pPr>
        <w:jc w:val="center"/>
        <w:rPr>
          <w:rFonts w:ascii="黑体" w:hAnsi="黑体" w:eastAsia="黑体" w:cs="黑体"/>
          <w:color w:val="auto"/>
          <w:sz w:val="52"/>
          <w:szCs w:val="52"/>
        </w:rPr>
      </w:pPr>
      <w:r>
        <w:rPr>
          <w:rFonts w:hint="eastAsia" w:ascii="黑体" w:hAnsi="黑体" w:eastAsia="黑体"/>
          <w:color w:val="auto"/>
          <w:sz w:val="56"/>
          <w:szCs w:val="52"/>
        </w:rPr>
        <w:t>江苏索普（集团）有限公司</w:t>
      </w:r>
    </w:p>
    <w:p>
      <w:pPr>
        <w:jc w:val="center"/>
        <w:rPr>
          <w:rFonts w:ascii="黑体" w:hAnsi="黑体" w:eastAsia="黑体" w:cs="黑体"/>
          <w:color w:val="auto"/>
          <w:sz w:val="52"/>
          <w:szCs w:val="52"/>
        </w:rPr>
      </w:pPr>
      <w:r>
        <w:rPr>
          <w:rFonts w:hint="eastAsia" w:ascii="黑体" w:hAnsi="黑体" w:eastAsia="黑体" w:cs="黑体"/>
          <w:color w:val="auto"/>
          <w:sz w:val="52"/>
          <w:szCs w:val="52"/>
        </w:rPr>
        <w:t>企业财产保险</w:t>
      </w:r>
      <w:bookmarkStart w:id="1" w:name="_GoBack"/>
      <w:bookmarkEnd w:id="1"/>
    </w:p>
    <w:p>
      <w:pPr>
        <w:jc w:val="center"/>
        <w:rPr>
          <w:rFonts w:ascii="黑体" w:hAnsi="黑体" w:eastAsia="黑体" w:cs="黑体"/>
          <w:color w:val="auto"/>
          <w:sz w:val="52"/>
          <w:szCs w:val="52"/>
        </w:rPr>
      </w:pPr>
    </w:p>
    <w:p>
      <w:pPr>
        <w:jc w:val="center"/>
        <w:rPr>
          <w:rFonts w:ascii="黑体" w:hAnsi="黑体" w:eastAsia="黑体" w:cs="黑体"/>
          <w:color w:val="auto"/>
          <w:sz w:val="52"/>
          <w:szCs w:val="52"/>
        </w:rPr>
      </w:pPr>
    </w:p>
    <w:p>
      <w:pPr>
        <w:jc w:val="center"/>
        <w:rPr>
          <w:rFonts w:ascii="黑体" w:hAnsi="黑体" w:eastAsia="黑体" w:cs="黑体"/>
          <w:color w:val="auto"/>
          <w:sz w:val="56"/>
          <w:szCs w:val="56"/>
        </w:rPr>
      </w:pPr>
      <w:r>
        <w:rPr>
          <w:rFonts w:hint="eastAsia" w:ascii="黑体" w:hAnsi="黑体" w:eastAsia="黑体" w:cs="黑体"/>
          <w:color w:val="auto"/>
          <w:sz w:val="56"/>
          <w:szCs w:val="56"/>
        </w:rPr>
        <w:t>招</w:t>
      </w:r>
    </w:p>
    <w:p>
      <w:pPr>
        <w:jc w:val="center"/>
        <w:rPr>
          <w:rFonts w:ascii="黑体" w:hAnsi="黑体" w:eastAsia="黑体" w:cs="黑体"/>
          <w:color w:val="auto"/>
          <w:sz w:val="56"/>
          <w:szCs w:val="56"/>
        </w:rPr>
      </w:pPr>
      <w:r>
        <w:rPr>
          <w:rFonts w:hint="eastAsia" w:ascii="黑体" w:hAnsi="黑体" w:eastAsia="黑体" w:cs="黑体"/>
          <w:color w:val="auto"/>
          <w:sz w:val="56"/>
          <w:szCs w:val="56"/>
        </w:rPr>
        <w:t>标</w:t>
      </w:r>
    </w:p>
    <w:p>
      <w:pPr>
        <w:jc w:val="center"/>
        <w:rPr>
          <w:rFonts w:ascii="黑体" w:hAnsi="黑体" w:eastAsia="黑体" w:cs="黑体"/>
          <w:color w:val="auto"/>
          <w:sz w:val="56"/>
          <w:szCs w:val="56"/>
        </w:rPr>
      </w:pPr>
      <w:r>
        <w:rPr>
          <w:rFonts w:hint="eastAsia" w:ascii="黑体" w:hAnsi="黑体" w:eastAsia="黑体" w:cs="黑体"/>
          <w:color w:val="auto"/>
          <w:sz w:val="56"/>
          <w:szCs w:val="56"/>
        </w:rPr>
        <w:t>文</w:t>
      </w:r>
    </w:p>
    <w:p>
      <w:pPr>
        <w:spacing w:afterLines="150"/>
        <w:jc w:val="center"/>
        <w:rPr>
          <w:rFonts w:ascii="黑体" w:hAnsi="黑体" w:eastAsia="黑体" w:cs="黑体"/>
          <w:color w:val="auto"/>
          <w:sz w:val="56"/>
          <w:szCs w:val="56"/>
        </w:rPr>
      </w:pPr>
      <w:r>
        <w:rPr>
          <w:rFonts w:hint="eastAsia" w:ascii="黑体" w:hAnsi="黑体" w:eastAsia="黑体" w:cs="黑体"/>
          <w:color w:val="auto"/>
          <w:sz w:val="56"/>
          <w:szCs w:val="56"/>
        </w:rPr>
        <w:t>件</w:t>
      </w:r>
    </w:p>
    <w:p>
      <w:pPr>
        <w:jc w:val="center"/>
        <w:rPr>
          <w:rFonts w:ascii="黑体" w:hAnsi="黑体" w:eastAsia="黑体" w:cs="黑体"/>
          <w:color w:val="auto"/>
          <w:sz w:val="52"/>
          <w:szCs w:val="52"/>
        </w:rPr>
      </w:pPr>
    </w:p>
    <w:p>
      <w:pPr>
        <w:jc w:val="center"/>
        <w:rPr>
          <w:rFonts w:ascii="黑体" w:hAnsi="黑体" w:eastAsia="黑体" w:cs="黑体"/>
          <w:color w:val="auto"/>
          <w:sz w:val="52"/>
          <w:szCs w:val="52"/>
        </w:rPr>
      </w:pPr>
    </w:p>
    <w:p>
      <w:pPr>
        <w:jc w:val="center"/>
        <w:rPr>
          <w:rFonts w:ascii="黑体" w:hAnsi="黑体" w:eastAsia="黑体" w:cs="黑体"/>
          <w:color w:val="auto"/>
          <w:sz w:val="52"/>
          <w:szCs w:val="52"/>
        </w:rPr>
      </w:pPr>
    </w:p>
    <w:p>
      <w:pPr>
        <w:pStyle w:val="6"/>
        <w:jc w:val="center"/>
        <w:rPr>
          <w:rFonts w:ascii="黑体" w:hAnsi="黑体" w:eastAsia="黑体" w:cs="黑体"/>
          <w:color w:val="auto"/>
          <w:sz w:val="36"/>
          <w:szCs w:val="36"/>
        </w:rPr>
      </w:pPr>
      <w:r>
        <w:rPr>
          <w:rFonts w:hint="eastAsia" w:ascii="黑体" w:hAnsi="黑体" w:eastAsia="黑体" w:cs="黑体"/>
          <w:color w:val="auto"/>
          <w:sz w:val="36"/>
          <w:szCs w:val="36"/>
        </w:rPr>
        <w:t>202</w:t>
      </w:r>
      <w:r>
        <w:rPr>
          <w:rFonts w:hint="eastAsia" w:ascii="黑体" w:hAnsi="黑体" w:eastAsia="黑体" w:cs="黑体"/>
          <w:color w:val="auto"/>
          <w:sz w:val="36"/>
          <w:szCs w:val="36"/>
          <w:lang w:val="en-US" w:eastAsia="zh-CN"/>
        </w:rPr>
        <w:t>4</w:t>
      </w:r>
      <w:r>
        <w:rPr>
          <w:rFonts w:hint="eastAsia" w:ascii="黑体" w:hAnsi="黑体" w:eastAsia="黑体" w:cs="黑体"/>
          <w:color w:val="auto"/>
          <w:sz w:val="36"/>
          <w:szCs w:val="36"/>
        </w:rPr>
        <w:t>年 4月</w:t>
      </w:r>
      <w:r>
        <w:rPr>
          <w:rFonts w:hint="eastAsia" w:ascii="黑体" w:hAnsi="黑体" w:eastAsia="黑体" w:cs="黑体"/>
          <w:color w:val="auto"/>
          <w:sz w:val="36"/>
          <w:szCs w:val="36"/>
          <w:lang w:val="en-US" w:eastAsia="zh-CN"/>
        </w:rPr>
        <w:t>16</w:t>
      </w:r>
      <w:r>
        <w:rPr>
          <w:rFonts w:hint="eastAsia" w:ascii="黑体" w:hAnsi="黑体" w:eastAsia="黑体" w:cs="黑体"/>
          <w:color w:val="auto"/>
          <w:sz w:val="36"/>
          <w:szCs w:val="36"/>
        </w:rPr>
        <w:t>日</w:t>
      </w:r>
    </w:p>
    <w:p>
      <w:pPr>
        <w:rPr>
          <w:rFonts w:ascii="黑体" w:hAnsi="黑体" w:eastAsia="黑体" w:cs="黑体"/>
          <w:color w:val="auto"/>
          <w:sz w:val="52"/>
          <w:szCs w:val="52"/>
        </w:rPr>
      </w:pPr>
    </w:p>
    <w:p>
      <w:pPr>
        <w:rPr>
          <w:color w:val="auto"/>
        </w:rPr>
      </w:pPr>
    </w:p>
    <w:p>
      <w:pPr>
        <w:pageBreakBefore/>
        <w:jc w:val="center"/>
        <w:rPr>
          <w:rFonts w:ascii="黑体" w:eastAsia="黑体"/>
          <w:color w:val="auto"/>
          <w:sz w:val="44"/>
        </w:rPr>
      </w:pPr>
      <w:r>
        <w:rPr>
          <w:rFonts w:hint="eastAsia" w:ascii="黑体" w:eastAsia="黑体"/>
          <w:color w:val="auto"/>
          <w:sz w:val="44"/>
        </w:rPr>
        <w:t>文件目录</w:t>
      </w:r>
    </w:p>
    <w:p>
      <w:pPr>
        <w:ind w:firstLine="883" w:firstLineChars="200"/>
        <w:rPr>
          <w:rFonts w:ascii="仿宋_GB2312" w:eastAsia="仿宋_GB2312"/>
          <w:b/>
          <w:color w:val="auto"/>
          <w:sz w:val="44"/>
        </w:rPr>
      </w:pPr>
    </w:p>
    <w:p>
      <w:pPr>
        <w:ind w:firstLine="883" w:firstLineChars="200"/>
        <w:rPr>
          <w:rFonts w:ascii="仿宋_GB2312" w:eastAsia="仿宋_GB2312"/>
          <w:b/>
          <w:color w:val="auto"/>
          <w:sz w:val="44"/>
        </w:rPr>
      </w:pPr>
    </w:p>
    <w:p>
      <w:pPr>
        <w:ind w:firstLine="560" w:firstLineChars="200"/>
        <w:rPr>
          <w:rFonts w:hint="eastAsia" w:ascii="仿宋_GB2312" w:hAnsi="宋体" w:eastAsia="仿宋_GB2312"/>
          <w:color w:val="auto"/>
          <w:sz w:val="28"/>
          <w:szCs w:val="28"/>
          <w:lang w:eastAsia="zh-CN"/>
        </w:rPr>
      </w:pPr>
      <w:r>
        <w:rPr>
          <w:rFonts w:hint="eastAsia" w:ascii="仿宋_GB2312" w:hAnsi="宋体" w:eastAsia="仿宋_GB2312"/>
          <w:color w:val="auto"/>
          <w:sz w:val="28"/>
          <w:szCs w:val="28"/>
        </w:rPr>
        <w:t>第一章 招标函 ………………………………3-</w:t>
      </w:r>
      <w:r>
        <w:rPr>
          <w:rFonts w:hint="eastAsia" w:ascii="仿宋_GB2312" w:hAnsi="宋体" w:eastAsia="仿宋_GB2312"/>
          <w:color w:val="auto"/>
          <w:sz w:val="28"/>
          <w:szCs w:val="28"/>
          <w:lang w:val="en-US" w:eastAsia="zh-CN"/>
        </w:rPr>
        <w:t>6</w:t>
      </w:r>
    </w:p>
    <w:p>
      <w:pPr>
        <w:ind w:firstLine="560" w:firstLineChars="200"/>
        <w:rPr>
          <w:rFonts w:ascii="仿宋_GB2312" w:hAnsi="宋体" w:eastAsia="仿宋_GB2312"/>
          <w:color w:val="auto"/>
          <w:sz w:val="28"/>
          <w:szCs w:val="28"/>
        </w:rPr>
      </w:pPr>
    </w:p>
    <w:p>
      <w:pPr>
        <w:ind w:firstLine="560" w:firstLineChars="200"/>
        <w:rPr>
          <w:rFonts w:hint="eastAsia" w:ascii="仿宋_GB2312" w:hAnsi="宋体" w:eastAsia="仿宋_GB2312"/>
          <w:color w:val="auto"/>
          <w:sz w:val="28"/>
          <w:szCs w:val="28"/>
          <w:lang w:val="en-US" w:eastAsia="zh-CN"/>
        </w:rPr>
      </w:pPr>
      <w:r>
        <w:rPr>
          <w:rFonts w:hint="eastAsia" w:ascii="仿宋_GB2312" w:hAnsi="宋体" w:eastAsia="仿宋_GB2312"/>
          <w:color w:val="auto"/>
          <w:sz w:val="28"/>
          <w:szCs w:val="28"/>
        </w:rPr>
        <w:t>第二章 招标须知………………………………</w:t>
      </w:r>
      <w:r>
        <w:rPr>
          <w:rFonts w:hint="eastAsia" w:ascii="仿宋_GB2312" w:hAnsi="宋体" w:eastAsia="仿宋_GB2312"/>
          <w:color w:val="auto"/>
          <w:sz w:val="28"/>
          <w:szCs w:val="28"/>
          <w:lang w:val="en-US" w:eastAsia="zh-CN"/>
        </w:rPr>
        <w:t>7</w:t>
      </w:r>
      <w:r>
        <w:rPr>
          <w:rFonts w:hint="eastAsia" w:ascii="仿宋_GB2312" w:hAnsi="宋体" w:eastAsia="仿宋_GB2312"/>
          <w:color w:val="auto"/>
          <w:sz w:val="28"/>
          <w:szCs w:val="28"/>
        </w:rPr>
        <w:t>-1</w:t>
      </w:r>
      <w:r>
        <w:rPr>
          <w:rFonts w:hint="eastAsia" w:ascii="仿宋_GB2312" w:hAnsi="宋体" w:eastAsia="仿宋_GB2312"/>
          <w:color w:val="auto"/>
          <w:sz w:val="28"/>
          <w:szCs w:val="28"/>
          <w:lang w:val="en-US" w:eastAsia="zh-CN"/>
        </w:rPr>
        <w:t>2</w:t>
      </w:r>
    </w:p>
    <w:p>
      <w:pPr>
        <w:rPr>
          <w:rFonts w:ascii="仿宋_GB2312" w:hAnsi="宋体" w:eastAsia="仿宋_GB2312"/>
          <w:color w:val="auto"/>
          <w:sz w:val="28"/>
          <w:szCs w:val="28"/>
        </w:rPr>
      </w:pPr>
    </w:p>
    <w:p>
      <w:pPr>
        <w:ind w:firstLine="560" w:firstLineChars="200"/>
        <w:rPr>
          <w:rFonts w:hint="default" w:ascii="仿宋_GB2312" w:hAnsi="宋体" w:eastAsia="仿宋_GB2312"/>
          <w:color w:val="auto"/>
          <w:sz w:val="32"/>
          <w:lang w:val="en-US" w:eastAsia="zh-CN"/>
        </w:rPr>
      </w:pPr>
      <w:r>
        <w:rPr>
          <w:rFonts w:hint="eastAsia" w:ascii="仿宋_GB2312" w:hAnsi="宋体" w:eastAsia="仿宋_GB2312"/>
          <w:color w:val="auto"/>
          <w:sz w:val="28"/>
          <w:szCs w:val="28"/>
        </w:rPr>
        <w:t>第三章 投标文件格式要求……………………1</w:t>
      </w:r>
      <w:r>
        <w:rPr>
          <w:rFonts w:hint="eastAsia" w:ascii="仿宋_GB2312" w:hAnsi="宋体" w:eastAsia="仿宋_GB2312"/>
          <w:color w:val="auto"/>
          <w:sz w:val="28"/>
          <w:szCs w:val="28"/>
          <w:lang w:val="en-US" w:eastAsia="zh-CN"/>
        </w:rPr>
        <w:t>3</w:t>
      </w:r>
      <w:r>
        <w:rPr>
          <w:rFonts w:hint="eastAsia" w:ascii="仿宋_GB2312" w:hAnsi="宋体" w:eastAsia="仿宋_GB2312"/>
          <w:color w:val="auto"/>
          <w:sz w:val="28"/>
          <w:szCs w:val="28"/>
        </w:rPr>
        <w:t>-</w:t>
      </w:r>
      <w:r>
        <w:rPr>
          <w:rFonts w:hint="eastAsia" w:ascii="仿宋_GB2312" w:hAnsi="宋体" w:eastAsia="仿宋_GB2312"/>
          <w:color w:val="auto"/>
          <w:sz w:val="28"/>
          <w:szCs w:val="28"/>
          <w:lang w:val="en-US" w:eastAsia="zh-CN"/>
        </w:rPr>
        <w:t>20</w:t>
      </w:r>
    </w:p>
    <w:p>
      <w:pPr>
        <w:ind w:firstLine="640" w:firstLineChars="200"/>
        <w:rPr>
          <w:rFonts w:ascii="仿宋_GB2312" w:hAnsi="宋体" w:eastAsia="仿宋_GB2312"/>
          <w:color w:val="auto"/>
          <w:sz w:val="32"/>
        </w:rPr>
      </w:pPr>
    </w:p>
    <w:p>
      <w:pPr>
        <w:ind w:firstLine="640" w:firstLineChars="200"/>
        <w:rPr>
          <w:rFonts w:ascii="仿宋_GB2312" w:hAnsi="宋体" w:eastAsia="仿宋_GB2312"/>
          <w:color w:val="auto"/>
          <w:sz w:val="32"/>
        </w:rPr>
      </w:pPr>
    </w:p>
    <w:p>
      <w:pPr>
        <w:ind w:firstLine="640" w:firstLineChars="200"/>
        <w:rPr>
          <w:rFonts w:ascii="仿宋_GB2312" w:hAnsi="宋体" w:eastAsia="仿宋_GB2312"/>
          <w:color w:val="auto"/>
          <w:sz w:val="32"/>
        </w:rPr>
      </w:pPr>
    </w:p>
    <w:p>
      <w:pPr>
        <w:ind w:firstLine="640" w:firstLineChars="200"/>
        <w:rPr>
          <w:rFonts w:ascii="仿宋_GB2312" w:hAnsi="宋体" w:eastAsia="仿宋_GB2312"/>
          <w:color w:val="auto"/>
          <w:sz w:val="32"/>
        </w:rPr>
      </w:pPr>
    </w:p>
    <w:p>
      <w:pPr>
        <w:ind w:firstLine="640" w:firstLineChars="200"/>
        <w:rPr>
          <w:rFonts w:ascii="仿宋_GB2312" w:hAnsi="宋体" w:eastAsia="仿宋_GB2312"/>
          <w:color w:val="auto"/>
          <w:sz w:val="32"/>
        </w:rPr>
      </w:pPr>
    </w:p>
    <w:p>
      <w:pPr>
        <w:ind w:firstLine="640" w:firstLineChars="200"/>
        <w:rPr>
          <w:rFonts w:ascii="仿宋_GB2312" w:hAnsi="宋体" w:eastAsia="仿宋_GB2312"/>
          <w:color w:val="auto"/>
          <w:sz w:val="32"/>
        </w:rPr>
      </w:pPr>
    </w:p>
    <w:p>
      <w:pPr>
        <w:ind w:firstLine="640" w:firstLineChars="200"/>
        <w:rPr>
          <w:rFonts w:ascii="仿宋_GB2312" w:hAnsi="宋体" w:eastAsia="仿宋_GB2312"/>
          <w:color w:val="auto"/>
          <w:sz w:val="32"/>
        </w:rPr>
      </w:pPr>
    </w:p>
    <w:p>
      <w:pPr>
        <w:ind w:firstLine="640" w:firstLineChars="200"/>
        <w:rPr>
          <w:rFonts w:ascii="仿宋_GB2312" w:hAnsi="宋体" w:eastAsia="仿宋_GB2312"/>
          <w:color w:val="auto"/>
          <w:sz w:val="32"/>
        </w:rPr>
      </w:pPr>
    </w:p>
    <w:p>
      <w:pPr>
        <w:ind w:firstLine="640" w:firstLineChars="200"/>
        <w:rPr>
          <w:rFonts w:ascii="仿宋_GB2312" w:hAnsi="宋体" w:eastAsia="仿宋_GB2312"/>
          <w:color w:val="auto"/>
          <w:sz w:val="32"/>
        </w:rPr>
      </w:pPr>
    </w:p>
    <w:p>
      <w:pPr>
        <w:ind w:firstLine="640" w:firstLineChars="200"/>
        <w:rPr>
          <w:rFonts w:ascii="仿宋_GB2312" w:hAnsi="宋体" w:eastAsia="仿宋_GB2312"/>
          <w:color w:val="auto"/>
          <w:sz w:val="32"/>
        </w:rPr>
      </w:pPr>
    </w:p>
    <w:p>
      <w:pPr>
        <w:ind w:firstLine="640" w:firstLineChars="200"/>
        <w:rPr>
          <w:rFonts w:ascii="仿宋_GB2312" w:hAnsi="宋体" w:eastAsia="仿宋_GB2312"/>
          <w:color w:val="auto"/>
          <w:sz w:val="32"/>
        </w:rPr>
      </w:pPr>
    </w:p>
    <w:p>
      <w:pPr>
        <w:pageBreakBefore/>
        <w:spacing w:line="500" w:lineRule="exact"/>
        <w:jc w:val="center"/>
        <w:rPr>
          <w:rFonts w:ascii="仿宋_GB2312" w:eastAsia="仿宋_GB2312"/>
          <w:color w:val="auto"/>
          <w:sz w:val="28"/>
          <w:szCs w:val="28"/>
        </w:rPr>
      </w:pPr>
      <w:r>
        <w:rPr>
          <w:rFonts w:hint="eastAsia" w:eastAsia="黑体"/>
          <w:color w:val="auto"/>
          <w:sz w:val="28"/>
          <w:szCs w:val="28"/>
        </w:rPr>
        <w:t>第一章  招标函</w:t>
      </w:r>
    </w:p>
    <w:p>
      <w:pPr>
        <w:pStyle w:val="4"/>
        <w:spacing w:line="500" w:lineRule="exact"/>
        <w:ind w:firstLine="560" w:firstLineChars="200"/>
        <w:rPr>
          <w:rFonts w:ascii="仿宋_GB2312" w:hAnsi="仿宋" w:cs="仿宋"/>
          <w:color w:val="auto"/>
          <w:sz w:val="28"/>
          <w:szCs w:val="28"/>
        </w:rPr>
      </w:pPr>
    </w:p>
    <w:p>
      <w:pPr>
        <w:pStyle w:val="4"/>
        <w:spacing w:line="500" w:lineRule="exact"/>
        <w:ind w:firstLine="560" w:firstLineChars="200"/>
        <w:rPr>
          <w:rFonts w:ascii="仿宋_GB2312" w:hAnsi="仿宋" w:cs="仿宋"/>
          <w:color w:val="auto"/>
          <w:sz w:val="28"/>
          <w:szCs w:val="28"/>
        </w:rPr>
      </w:pPr>
      <w:r>
        <w:rPr>
          <w:rFonts w:hint="eastAsia" w:ascii="仿宋_GB2312" w:hAnsi="宋体"/>
          <w:color w:val="auto"/>
          <w:sz w:val="28"/>
          <w:szCs w:val="28"/>
        </w:rPr>
        <w:t>江苏索普（集团）有限公司</w:t>
      </w:r>
      <w:r>
        <w:rPr>
          <w:rFonts w:hint="eastAsia" w:ascii="仿宋_GB2312" w:hAnsi="仿宋" w:cs="仿宋"/>
          <w:color w:val="auto"/>
          <w:sz w:val="28"/>
          <w:szCs w:val="28"/>
        </w:rPr>
        <w:t>（以下简称：索普集团）拟对集团及子公司</w:t>
      </w:r>
      <w:r>
        <w:rPr>
          <w:rFonts w:hint="eastAsia" w:ascii="仿宋_GB2312" w:hAnsi="仿宋" w:cs="仿宋"/>
          <w:bCs/>
          <w:color w:val="auto"/>
          <w:sz w:val="28"/>
          <w:szCs w:val="28"/>
        </w:rPr>
        <w:t>企业财产</w:t>
      </w:r>
      <w:r>
        <w:rPr>
          <w:rFonts w:hint="eastAsia" w:ascii="仿宋_GB2312" w:hAnsi="仿宋" w:cs="仿宋"/>
          <w:color w:val="auto"/>
          <w:sz w:val="28"/>
          <w:szCs w:val="28"/>
        </w:rPr>
        <w:t>保险服务商进行招标确定，具体内容如下：</w:t>
      </w:r>
    </w:p>
    <w:p>
      <w:pPr>
        <w:pStyle w:val="4"/>
        <w:numPr>
          <w:ilvl w:val="0"/>
          <w:numId w:val="1"/>
        </w:numPr>
        <w:spacing w:line="500" w:lineRule="exact"/>
        <w:ind w:firstLine="562" w:firstLineChars="200"/>
        <w:rPr>
          <w:rFonts w:ascii="仿宋_GB2312" w:hAnsi="仿宋" w:cs="仿宋"/>
          <w:bCs/>
          <w:color w:val="auto"/>
          <w:sz w:val="28"/>
          <w:szCs w:val="28"/>
        </w:rPr>
      </w:pPr>
      <w:r>
        <w:rPr>
          <w:rFonts w:hint="eastAsia" w:ascii="仿宋_GB2312" w:hAnsi="仿宋" w:cs="仿宋"/>
          <w:b/>
          <w:color w:val="auto"/>
          <w:sz w:val="28"/>
          <w:szCs w:val="28"/>
        </w:rPr>
        <w:t>招标项目名称：</w:t>
      </w:r>
      <w:r>
        <w:rPr>
          <w:rFonts w:hint="eastAsia" w:ascii="仿宋_GB2312" w:hAnsi="宋体"/>
          <w:color w:val="auto"/>
          <w:sz w:val="28"/>
          <w:szCs w:val="28"/>
        </w:rPr>
        <w:t>江苏索普（集团）有限公司</w:t>
      </w:r>
      <w:r>
        <w:rPr>
          <w:rFonts w:hint="eastAsia" w:ascii="仿宋_GB2312" w:hAnsi="仿宋" w:cs="仿宋"/>
          <w:color w:val="auto"/>
          <w:sz w:val="28"/>
          <w:szCs w:val="28"/>
        </w:rPr>
        <w:t>及子公司</w:t>
      </w:r>
      <w:r>
        <w:rPr>
          <w:rFonts w:hint="eastAsia" w:ascii="仿宋_GB2312" w:hAnsi="仿宋" w:cs="仿宋"/>
          <w:bCs/>
          <w:color w:val="auto"/>
          <w:sz w:val="28"/>
          <w:szCs w:val="28"/>
        </w:rPr>
        <w:t>202</w:t>
      </w:r>
      <w:r>
        <w:rPr>
          <w:rFonts w:hint="eastAsia" w:ascii="仿宋_GB2312" w:hAnsi="仿宋" w:cs="仿宋"/>
          <w:bCs/>
          <w:color w:val="auto"/>
          <w:sz w:val="28"/>
          <w:szCs w:val="28"/>
          <w:lang w:val="en-US" w:eastAsia="zh-CN"/>
        </w:rPr>
        <w:t>4</w:t>
      </w:r>
      <w:r>
        <w:rPr>
          <w:rFonts w:hint="eastAsia" w:ascii="仿宋_GB2312" w:hAnsi="仿宋" w:cs="仿宋"/>
          <w:bCs/>
          <w:color w:val="auto"/>
          <w:sz w:val="28"/>
          <w:szCs w:val="28"/>
        </w:rPr>
        <w:t>至202</w:t>
      </w:r>
      <w:r>
        <w:rPr>
          <w:rFonts w:hint="eastAsia" w:ascii="仿宋_GB2312" w:hAnsi="仿宋" w:cs="仿宋"/>
          <w:bCs/>
          <w:color w:val="auto"/>
          <w:sz w:val="28"/>
          <w:szCs w:val="28"/>
          <w:lang w:val="en-US" w:eastAsia="zh-CN"/>
        </w:rPr>
        <w:t>6</w:t>
      </w:r>
      <w:r>
        <w:rPr>
          <w:rFonts w:hint="eastAsia" w:ascii="仿宋_GB2312" w:hAnsi="仿宋" w:cs="仿宋"/>
          <w:bCs/>
          <w:color w:val="auto"/>
          <w:sz w:val="28"/>
          <w:szCs w:val="28"/>
        </w:rPr>
        <w:t>年度企业财产保险</w:t>
      </w:r>
    </w:p>
    <w:p>
      <w:pPr>
        <w:pStyle w:val="4"/>
        <w:numPr>
          <w:ilvl w:val="0"/>
          <w:numId w:val="1"/>
        </w:numPr>
        <w:spacing w:line="500" w:lineRule="exact"/>
        <w:ind w:firstLine="562" w:firstLineChars="200"/>
        <w:rPr>
          <w:rFonts w:ascii="仿宋_GB2312" w:hAnsi="仿宋" w:cs="仿宋"/>
          <w:b/>
          <w:color w:val="auto"/>
          <w:sz w:val="28"/>
          <w:szCs w:val="28"/>
        </w:rPr>
      </w:pPr>
      <w:r>
        <w:rPr>
          <w:rFonts w:hint="eastAsia" w:ascii="仿宋_GB2312" w:hAnsi="仿宋" w:cs="仿宋"/>
          <w:b/>
          <w:color w:val="auto"/>
          <w:sz w:val="28"/>
          <w:szCs w:val="28"/>
        </w:rPr>
        <w:t>招标项目内容：</w:t>
      </w:r>
    </w:p>
    <w:p>
      <w:pPr>
        <w:pStyle w:val="4"/>
        <w:spacing w:line="500" w:lineRule="exact"/>
        <w:ind w:left="562"/>
        <w:rPr>
          <w:rFonts w:ascii="仿宋_GB2312" w:hAnsi="仿宋" w:cs="仿宋"/>
          <w:color w:val="auto"/>
          <w:sz w:val="28"/>
          <w:szCs w:val="28"/>
        </w:rPr>
      </w:pPr>
      <w:r>
        <w:rPr>
          <w:rFonts w:hint="eastAsia" w:ascii="仿宋_GB2312" w:hAnsi="仿宋" w:cs="仿宋"/>
          <w:color w:val="auto"/>
          <w:sz w:val="28"/>
          <w:szCs w:val="28"/>
        </w:rPr>
        <w:t>1.</w:t>
      </w:r>
      <w:r>
        <w:rPr>
          <w:rFonts w:hint="eastAsia" w:ascii="仿宋_GB2312" w:hAnsi="仿宋" w:cs="仿宋"/>
          <w:color w:val="auto"/>
          <w:sz w:val="28"/>
          <w:szCs w:val="28"/>
          <w:lang w:val="en-US" w:eastAsia="zh-CN"/>
        </w:rPr>
        <w:t xml:space="preserve"> </w:t>
      </w:r>
      <w:r>
        <w:rPr>
          <w:rFonts w:hint="eastAsia" w:ascii="仿宋_GB2312" w:hAnsi="仿宋" w:cs="仿宋"/>
          <w:color w:val="auto"/>
          <w:sz w:val="28"/>
          <w:szCs w:val="28"/>
        </w:rPr>
        <w:t>项目一：</w:t>
      </w:r>
      <w:r>
        <w:rPr>
          <w:rFonts w:hint="eastAsia" w:ascii="仿宋_GB2312" w:hAnsi="宋体"/>
          <w:color w:val="auto"/>
          <w:sz w:val="28"/>
          <w:szCs w:val="28"/>
        </w:rPr>
        <w:t>江苏索普（集团）有限公司</w:t>
      </w:r>
    </w:p>
    <w:tbl>
      <w:tblPr>
        <w:tblStyle w:val="11"/>
        <w:tblW w:w="7369" w:type="dxa"/>
        <w:jc w:val="center"/>
        <w:tblLayout w:type="fixed"/>
        <w:tblCellMar>
          <w:top w:w="0" w:type="dxa"/>
          <w:left w:w="0" w:type="dxa"/>
          <w:bottom w:w="0" w:type="dxa"/>
          <w:right w:w="0" w:type="dxa"/>
        </w:tblCellMar>
      </w:tblPr>
      <w:tblGrid>
        <w:gridCol w:w="2537"/>
        <w:gridCol w:w="2626"/>
        <w:gridCol w:w="2206"/>
      </w:tblGrid>
      <w:tr>
        <w:tblPrEx>
          <w:tblCellMar>
            <w:top w:w="0" w:type="dxa"/>
            <w:left w:w="0" w:type="dxa"/>
            <w:bottom w:w="0" w:type="dxa"/>
            <w:right w:w="0" w:type="dxa"/>
          </w:tblCellMar>
        </w:tblPrEx>
        <w:trPr>
          <w:trHeight w:val="480" w:hRule="atLeast"/>
          <w:jc w:val="center"/>
        </w:trPr>
        <w:tc>
          <w:tcPr>
            <w:tcW w:w="25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 w:hAnsi="仿宋" w:eastAsia="仿宋" w:cs="宋体"/>
                <w:b/>
                <w:color w:val="auto"/>
                <w:kern w:val="0"/>
                <w:sz w:val="24"/>
                <w:szCs w:val="28"/>
              </w:rPr>
            </w:pPr>
            <w:r>
              <w:rPr>
                <w:rFonts w:hint="eastAsia" w:ascii="仿宋" w:hAnsi="仿宋" w:eastAsia="仿宋" w:cs="宋体"/>
                <w:b/>
                <w:color w:val="auto"/>
                <w:kern w:val="0"/>
                <w:sz w:val="24"/>
                <w:szCs w:val="28"/>
              </w:rPr>
              <w:t>资产范围</w:t>
            </w:r>
          </w:p>
        </w:tc>
        <w:tc>
          <w:tcPr>
            <w:tcW w:w="26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 w:hAnsi="仿宋" w:eastAsia="仿宋" w:cs="宋体"/>
                <w:b/>
                <w:color w:val="auto"/>
                <w:kern w:val="0"/>
                <w:sz w:val="24"/>
                <w:szCs w:val="28"/>
              </w:rPr>
            </w:pPr>
            <w:r>
              <w:rPr>
                <w:rFonts w:hint="eastAsia" w:ascii="仿宋" w:hAnsi="仿宋" w:eastAsia="仿宋" w:cs="宋体"/>
                <w:b/>
                <w:color w:val="auto"/>
                <w:kern w:val="0"/>
                <w:sz w:val="24"/>
                <w:szCs w:val="28"/>
              </w:rPr>
              <w:t>固定资产</w:t>
            </w:r>
          </w:p>
          <w:p>
            <w:pPr>
              <w:widowControl/>
              <w:spacing w:line="500" w:lineRule="exact"/>
              <w:jc w:val="center"/>
              <w:textAlignment w:val="center"/>
              <w:rPr>
                <w:rFonts w:ascii="仿宋" w:hAnsi="仿宋" w:eastAsia="仿宋" w:cs="宋体"/>
                <w:b/>
                <w:color w:val="auto"/>
                <w:sz w:val="24"/>
                <w:szCs w:val="28"/>
              </w:rPr>
            </w:pPr>
            <w:r>
              <w:rPr>
                <w:rFonts w:hint="eastAsia" w:ascii="仿宋" w:hAnsi="仿宋" w:eastAsia="仿宋" w:cs="宋体"/>
                <w:b/>
                <w:color w:val="auto"/>
                <w:kern w:val="0"/>
                <w:sz w:val="24"/>
                <w:szCs w:val="28"/>
              </w:rPr>
              <w:t>（万元）</w:t>
            </w:r>
          </w:p>
        </w:tc>
        <w:tc>
          <w:tcPr>
            <w:tcW w:w="22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 w:hAnsi="仿宋" w:eastAsia="仿宋" w:cs="宋体"/>
                <w:b/>
                <w:color w:val="auto"/>
                <w:sz w:val="24"/>
                <w:szCs w:val="28"/>
              </w:rPr>
            </w:pPr>
            <w:r>
              <w:rPr>
                <w:rFonts w:hint="eastAsia" w:ascii="仿宋" w:hAnsi="仿宋" w:eastAsia="仿宋" w:cs="宋体"/>
                <w:b/>
                <w:color w:val="auto"/>
                <w:kern w:val="0"/>
                <w:sz w:val="24"/>
                <w:szCs w:val="28"/>
              </w:rPr>
              <w:t>保险期限</w:t>
            </w:r>
          </w:p>
        </w:tc>
      </w:tr>
      <w:tr>
        <w:tblPrEx>
          <w:tblCellMar>
            <w:top w:w="0" w:type="dxa"/>
            <w:left w:w="0" w:type="dxa"/>
            <w:bottom w:w="0" w:type="dxa"/>
            <w:right w:w="0" w:type="dxa"/>
          </w:tblCellMar>
        </w:tblPrEx>
        <w:trPr>
          <w:trHeight w:val="270" w:hRule="atLeast"/>
          <w:jc w:val="center"/>
        </w:trPr>
        <w:tc>
          <w:tcPr>
            <w:tcW w:w="25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00" w:lineRule="exact"/>
              <w:jc w:val="center"/>
              <w:rPr>
                <w:rFonts w:ascii="仿宋_GB2312" w:eastAsia="仿宋_GB2312" w:cs="Arial" w:hAnsiTheme="minorEastAsia"/>
                <w:color w:val="auto"/>
                <w:sz w:val="24"/>
                <w:szCs w:val="24"/>
              </w:rPr>
            </w:pPr>
            <w:r>
              <w:rPr>
                <w:rFonts w:hint="eastAsia" w:ascii="仿宋_GB2312" w:eastAsia="仿宋_GB2312" w:cs="宋体" w:hAnsiTheme="minorEastAsia"/>
                <w:color w:val="auto"/>
                <w:sz w:val="24"/>
                <w:szCs w:val="24"/>
              </w:rPr>
              <w:t>集团公司</w:t>
            </w:r>
          </w:p>
        </w:tc>
        <w:tc>
          <w:tcPr>
            <w:tcW w:w="26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heme="minorEastAsia" w:hAnsiTheme="minorEastAsia" w:eastAsiaTheme="minorEastAsia" w:cstheme="minorHAnsi"/>
                <w:color w:val="auto"/>
                <w:lang w:val="en-US" w:eastAsia="zh-CN"/>
              </w:rPr>
            </w:pPr>
            <w:r>
              <w:rPr>
                <w:rFonts w:hint="eastAsia" w:asciiTheme="minorEastAsia" w:hAnsiTheme="minorEastAsia" w:eastAsiaTheme="minorEastAsia" w:cstheme="minorHAnsi"/>
                <w:color w:val="auto"/>
                <w:lang w:val="en-US" w:eastAsia="zh-CN"/>
              </w:rPr>
              <w:t>48,970</w:t>
            </w:r>
          </w:p>
        </w:tc>
        <w:tc>
          <w:tcPr>
            <w:tcW w:w="220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both"/>
              <w:textAlignment w:val="center"/>
              <w:rPr>
                <w:rFonts w:ascii="仿宋_GB2312" w:eastAsia="仿宋_GB2312" w:cs="宋体" w:hAnsiTheme="minorEastAsia"/>
                <w:color w:val="auto"/>
                <w:sz w:val="24"/>
                <w:szCs w:val="24"/>
              </w:rPr>
            </w:pPr>
            <w:r>
              <w:rPr>
                <w:rFonts w:hint="eastAsia" w:ascii="仿宋_GB2312" w:eastAsia="仿宋_GB2312" w:cs="宋体" w:hAnsiTheme="minorEastAsia"/>
                <w:color w:val="auto"/>
                <w:sz w:val="24"/>
                <w:szCs w:val="24"/>
              </w:rPr>
              <w:t>2024年5月</w:t>
            </w:r>
            <w:r>
              <w:rPr>
                <w:rFonts w:hint="eastAsia" w:ascii="仿宋_GB2312" w:eastAsia="仿宋_GB2312" w:cs="宋体" w:hAnsiTheme="minorEastAsia"/>
                <w:color w:val="auto"/>
                <w:sz w:val="24"/>
                <w:szCs w:val="24"/>
                <w:lang w:val="en-US" w:eastAsia="zh-CN"/>
              </w:rPr>
              <w:t>8</w:t>
            </w:r>
            <w:r>
              <w:rPr>
                <w:rFonts w:hint="eastAsia" w:ascii="仿宋_GB2312" w:eastAsia="仿宋_GB2312" w:cs="宋体" w:hAnsiTheme="minorEastAsia"/>
                <w:color w:val="auto"/>
                <w:sz w:val="24"/>
                <w:szCs w:val="24"/>
              </w:rPr>
              <w:t>日至2026年5月</w:t>
            </w:r>
            <w:r>
              <w:rPr>
                <w:rFonts w:hint="eastAsia" w:ascii="仿宋_GB2312" w:eastAsia="仿宋_GB2312" w:cs="宋体" w:hAnsiTheme="minorEastAsia"/>
                <w:color w:val="auto"/>
                <w:sz w:val="24"/>
                <w:szCs w:val="24"/>
                <w:lang w:val="en-US" w:eastAsia="zh-CN"/>
              </w:rPr>
              <w:t>7</w:t>
            </w:r>
            <w:r>
              <w:rPr>
                <w:rFonts w:hint="eastAsia" w:ascii="仿宋_GB2312" w:eastAsia="仿宋_GB2312" w:cs="宋体" w:hAnsiTheme="minorEastAsia"/>
                <w:color w:val="auto"/>
                <w:sz w:val="24"/>
                <w:szCs w:val="24"/>
              </w:rPr>
              <w:t xml:space="preserve"> 日</w:t>
            </w:r>
          </w:p>
        </w:tc>
      </w:tr>
      <w:tr>
        <w:tblPrEx>
          <w:tblCellMar>
            <w:top w:w="0" w:type="dxa"/>
            <w:left w:w="0" w:type="dxa"/>
            <w:bottom w:w="0" w:type="dxa"/>
            <w:right w:w="0" w:type="dxa"/>
          </w:tblCellMar>
        </w:tblPrEx>
        <w:trPr>
          <w:trHeight w:val="270" w:hRule="atLeast"/>
          <w:jc w:val="center"/>
        </w:trPr>
        <w:tc>
          <w:tcPr>
            <w:tcW w:w="25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00" w:lineRule="exact"/>
              <w:jc w:val="center"/>
              <w:rPr>
                <w:rFonts w:ascii="仿宋_GB2312" w:eastAsia="仿宋_GB2312" w:cs="宋体" w:hAnsiTheme="minorEastAsia"/>
                <w:color w:val="auto"/>
                <w:sz w:val="24"/>
                <w:szCs w:val="24"/>
              </w:rPr>
            </w:pPr>
            <w:r>
              <w:rPr>
                <w:rFonts w:hint="eastAsia" w:ascii="仿宋_GB2312" w:eastAsia="仿宋_GB2312" w:cs="宋体" w:hAnsiTheme="minorEastAsia"/>
                <w:color w:val="auto"/>
                <w:sz w:val="24"/>
                <w:szCs w:val="24"/>
              </w:rPr>
              <w:t>投保险种</w:t>
            </w:r>
          </w:p>
        </w:tc>
        <w:tc>
          <w:tcPr>
            <w:tcW w:w="26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hAnsiTheme="minorEastAsia"/>
                <w:color w:val="auto"/>
                <w:sz w:val="24"/>
                <w:szCs w:val="24"/>
              </w:rPr>
            </w:pPr>
            <w:r>
              <w:rPr>
                <w:rFonts w:hint="eastAsia" w:ascii="仿宋_GB2312" w:eastAsia="仿宋_GB2312" w:cs="宋体" w:hAnsiTheme="minorEastAsia"/>
                <w:color w:val="auto"/>
                <w:sz w:val="24"/>
                <w:szCs w:val="24"/>
              </w:rPr>
              <w:t>财产一切险</w:t>
            </w:r>
          </w:p>
        </w:tc>
        <w:tc>
          <w:tcPr>
            <w:tcW w:w="2206"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hAnsiTheme="minorEastAsia"/>
                <w:color w:val="auto"/>
                <w:sz w:val="24"/>
                <w:szCs w:val="24"/>
              </w:rPr>
            </w:pPr>
          </w:p>
        </w:tc>
      </w:tr>
    </w:tbl>
    <w:p>
      <w:pPr>
        <w:pStyle w:val="4"/>
        <w:numPr>
          <w:ilvl w:val="0"/>
          <w:numId w:val="2"/>
        </w:numPr>
        <w:spacing w:line="500" w:lineRule="exact"/>
        <w:ind w:firstLine="560" w:firstLineChars="200"/>
        <w:rPr>
          <w:rFonts w:hint="eastAsia" w:ascii="仿宋_GB2312" w:hAnsi="宋体"/>
          <w:bCs/>
          <w:color w:val="auto"/>
          <w:sz w:val="28"/>
          <w:szCs w:val="28"/>
        </w:rPr>
      </w:pPr>
      <w:r>
        <w:rPr>
          <w:rFonts w:hint="eastAsia" w:ascii="仿宋_GB2312" w:hAnsi="宋体"/>
          <w:bCs/>
          <w:color w:val="auto"/>
          <w:sz w:val="28"/>
          <w:szCs w:val="28"/>
        </w:rPr>
        <w:t>项目二：江苏索普化工股份有限公司（以下简称：索普股份）</w:t>
      </w:r>
    </w:p>
    <w:tbl>
      <w:tblPr>
        <w:tblStyle w:val="11"/>
        <w:tblW w:w="8106" w:type="dxa"/>
        <w:jc w:val="center"/>
        <w:tblLayout w:type="fixed"/>
        <w:tblCellMar>
          <w:top w:w="0" w:type="dxa"/>
          <w:left w:w="0" w:type="dxa"/>
          <w:bottom w:w="0" w:type="dxa"/>
          <w:right w:w="0" w:type="dxa"/>
        </w:tblCellMar>
      </w:tblPr>
      <w:tblGrid>
        <w:gridCol w:w="1808"/>
        <w:gridCol w:w="1815"/>
        <w:gridCol w:w="1635"/>
        <w:gridCol w:w="1335"/>
        <w:gridCol w:w="1513"/>
      </w:tblGrid>
      <w:tr>
        <w:tblPrEx>
          <w:tblCellMar>
            <w:top w:w="0" w:type="dxa"/>
            <w:left w:w="0" w:type="dxa"/>
            <w:bottom w:w="0" w:type="dxa"/>
            <w:right w:w="0" w:type="dxa"/>
          </w:tblCellMar>
        </w:tblPrEx>
        <w:trPr>
          <w:trHeight w:val="480" w:hRule="atLeast"/>
          <w:jc w:val="center"/>
        </w:trPr>
        <w:tc>
          <w:tcPr>
            <w:tcW w:w="1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 w:hAnsi="仿宋" w:eastAsia="仿宋" w:cs="宋体"/>
                <w:b/>
                <w:color w:val="auto"/>
                <w:kern w:val="0"/>
                <w:sz w:val="24"/>
                <w:szCs w:val="28"/>
              </w:rPr>
            </w:pPr>
            <w:r>
              <w:rPr>
                <w:rFonts w:hint="eastAsia" w:ascii="仿宋" w:hAnsi="仿宋" w:eastAsia="仿宋" w:cs="宋体"/>
                <w:b/>
                <w:color w:val="auto"/>
                <w:kern w:val="0"/>
                <w:sz w:val="24"/>
                <w:szCs w:val="28"/>
              </w:rPr>
              <w:t>资产范围</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 w:hAnsi="仿宋" w:eastAsia="仿宋" w:cs="宋体"/>
                <w:b/>
                <w:color w:val="auto"/>
                <w:kern w:val="0"/>
                <w:sz w:val="24"/>
                <w:szCs w:val="28"/>
              </w:rPr>
            </w:pPr>
            <w:r>
              <w:rPr>
                <w:rFonts w:hint="eastAsia" w:ascii="仿宋" w:hAnsi="仿宋" w:eastAsia="仿宋" w:cs="宋体"/>
                <w:b/>
                <w:color w:val="auto"/>
                <w:kern w:val="0"/>
                <w:sz w:val="24"/>
                <w:szCs w:val="28"/>
              </w:rPr>
              <w:t>固定资产</w:t>
            </w:r>
          </w:p>
          <w:p>
            <w:pPr>
              <w:widowControl/>
              <w:spacing w:line="500" w:lineRule="exact"/>
              <w:jc w:val="center"/>
              <w:textAlignment w:val="center"/>
              <w:rPr>
                <w:rFonts w:ascii="仿宋" w:hAnsi="仿宋" w:eastAsia="仿宋" w:cs="宋体"/>
                <w:b/>
                <w:color w:val="auto"/>
                <w:sz w:val="24"/>
                <w:szCs w:val="28"/>
              </w:rPr>
            </w:pPr>
            <w:r>
              <w:rPr>
                <w:rFonts w:hint="eastAsia" w:ascii="仿宋" w:hAnsi="仿宋" w:eastAsia="仿宋" w:cs="宋体"/>
                <w:b/>
                <w:color w:val="auto"/>
                <w:kern w:val="0"/>
                <w:sz w:val="24"/>
                <w:szCs w:val="28"/>
              </w:rPr>
              <w:t>（万元）</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 w:hAnsi="仿宋" w:eastAsia="仿宋" w:cs="宋体"/>
                <w:b/>
                <w:color w:val="auto"/>
                <w:sz w:val="24"/>
                <w:szCs w:val="28"/>
              </w:rPr>
            </w:pPr>
            <w:r>
              <w:rPr>
                <w:rFonts w:hint="eastAsia" w:ascii="仿宋" w:hAnsi="仿宋" w:eastAsia="仿宋" w:cs="宋体"/>
                <w:b/>
                <w:color w:val="auto"/>
                <w:kern w:val="0"/>
                <w:sz w:val="24"/>
                <w:szCs w:val="28"/>
              </w:rPr>
              <w:t>其中：机器设备（万元）</w:t>
            </w:r>
          </w:p>
        </w:tc>
        <w:tc>
          <w:tcPr>
            <w:tcW w:w="1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 w:hAnsi="仿宋" w:eastAsia="仿宋" w:cs="宋体"/>
                <w:b/>
                <w:color w:val="auto"/>
                <w:kern w:val="0"/>
                <w:sz w:val="24"/>
                <w:szCs w:val="28"/>
              </w:rPr>
            </w:pPr>
            <w:r>
              <w:rPr>
                <w:rFonts w:hint="eastAsia" w:ascii="仿宋" w:hAnsi="仿宋" w:eastAsia="仿宋" w:cs="宋体"/>
                <w:b/>
                <w:color w:val="auto"/>
                <w:kern w:val="0"/>
                <w:sz w:val="24"/>
                <w:szCs w:val="28"/>
              </w:rPr>
              <w:t>流动资产</w:t>
            </w:r>
          </w:p>
          <w:p>
            <w:pPr>
              <w:widowControl/>
              <w:spacing w:line="500" w:lineRule="exact"/>
              <w:jc w:val="center"/>
              <w:textAlignment w:val="center"/>
              <w:rPr>
                <w:rFonts w:ascii="仿宋" w:hAnsi="仿宋" w:eastAsia="仿宋" w:cs="宋体"/>
                <w:b/>
                <w:color w:val="auto"/>
                <w:sz w:val="24"/>
                <w:szCs w:val="28"/>
              </w:rPr>
            </w:pPr>
            <w:r>
              <w:rPr>
                <w:rFonts w:hint="eastAsia" w:ascii="仿宋" w:hAnsi="仿宋" w:eastAsia="仿宋" w:cs="宋体"/>
                <w:b/>
                <w:color w:val="auto"/>
                <w:kern w:val="0"/>
                <w:sz w:val="24"/>
                <w:szCs w:val="28"/>
              </w:rPr>
              <w:t>（万元）</w:t>
            </w:r>
          </w:p>
        </w:tc>
        <w:tc>
          <w:tcPr>
            <w:tcW w:w="1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 w:hAnsi="仿宋" w:eastAsia="仿宋" w:cs="宋体"/>
                <w:b/>
                <w:color w:val="auto"/>
                <w:sz w:val="24"/>
                <w:szCs w:val="28"/>
              </w:rPr>
            </w:pPr>
            <w:r>
              <w:rPr>
                <w:rFonts w:hint="eastAsia" w:ascii="仿宋" w:hAnsi="仿宋" w:eastAsia="仿宋" w:cs="宋体"/>
                <w:b/>
                <w:color w:val="auto"/>
                <w:kern w:val="0"/>
                <w:sz w:val="24"/>
                <w:szCs w:val="28"/>
              </w:rPr>
              <w:t>保险期限</w:t>
            </w:r>
          </w:p>
        </w:tc>
      </w:tr>
      <w:tr>
        <w:tblPrEx>
          <w:tblCellMar>
            <w:top w:w="0" w:type="dxa"/>
            <w:left w:w="0" w:type="dxa"/>
            <w:bottom w:w="0" w:type="dxa"/>
            <w:right w:w="0" w:type="dxa"/>
          </w:tblCellMar>
        </w:tblPrEx>
        <w:trPr>
          <w:trHeight w:val="270" w:hRule="atLeast"/>
          <w:jc w:val="center"/>
        </w:trPr>
        <w:tc>
          <w:tcPr>
            <w:tcW w:w="1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00" w:lineRule="exact"/>
              <w:jc w:val="center"/>
              <w:rPr>
                <w:rFonts w:hint="default" w:ascii="仿宋_GB2312" w:eastAsia="仿宋_GB2312" w:cs="Arial" w:hAnsiTheme="minorEastAsia"/>
                <w:color w:val="auto"/>
                <w:sz w:val="24"/>
                <w:szCs w:val="28"/>
                <w:lang w:val="en-US" w:eastAsia="zh-CN"/>
              </w:rPr>
            </w:pPr>
            <w:r>
              <w:rPr>
                <w:rFonts w:hint="eastAsia" w:ascii="仿宋_GB2312" w:eastAsia="仿宋_GB2312" w:cs="宋体" w:hAnsiTheme="minorEastAsia"/>
                <w:color w:val="auto"/>
                <w:sz w:val="24"/>
                <w:szCs w:val="28"/>
              </w:rPr>
              <w:t>索普</w:t>
            </w:r>
            <w:r>
              <w:rPr>
                <w:rFonts w:hint="eastAsia" w:ascii="仿宋_GB2312" w:eastAsia="仿宋_GB2312" w:cs="宋体" w:hAnsiTheme="minorEastAsia"/>
                <w:color w:val="auto"/>
                <w:sz w:val="24"/>
                <w:szCs w:val="28"/>
                <w:lang w:val="en-US" w:eastAsia="zh-CN"/>
              </w:rPr>
              <w:t>股份</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00" w:lineRule="exact"/>
              <w:jc w:val="center"/>
              <w:rPr>
                <w:rFonts w:hint="default" w:asciiTheme="minorEastAsia" w:hAnsiTheme="minorEastAsia" w:eastAsiaTheme="minorEastAsia" w:cstheme="minorHAnsi"/>
                <w:color w:val="auto"/>
                <w:szCs w:val="21"/>
                <w:lang w:val="en-US" w:eastAsia="zh-CN"/>
              </w:rPr>
            </w:pPr>
            <w:r>
              <w:rPr>
                <w:rFonts w:hint="eastAsia" w:asciiTheme="minorEastAsia" w:hAnsiTheme="minorEastAsia" w:eastAsiaTheme="minorEastAsia" w:cstheme="minorHAnsi"/>
                <w:color w:val="auto"/>
                <w:szCs w:val="21"/>
                <w:lang w:val="en-US" w:eastAsia="zh-CN"/>
              </w:rPr>
              <w:t>758,448</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00" w:lineRule="exact"/>
              <w:jc w:val="center"/>
              <w:rPr>
                <w:rFonts w:hint="default" w:asciiTheme="minorEastAsia" w:hAnsiTheme="minorEastAsia" w:eastAsiaTheme="minorEastAsia" w:cstheme="minorHAnsi"/>
                <w:color w:val="auto"/>
                <w:szCs w:val="21"/>
                <w:lang w:val="en-US" w:eastAsia="zh-CN"/>
              </w:rPr>
            </w:pPr>
            <w:r>
              <w:rPr>
                <w:rFonts w:hint="eastAsia" w:asciiTheme="minorEastAsia" w:hAnsiTheme="minorEastAsia" w:eastAsiaTheme="minorEastAsia" w:cstheme="minorHAnsi"/>
                <w:color w:val="auto"/>
                <w:szCs w:val="21"/>
                <w:lang w:val="en-US" w:eastAsia="zh-CN"/>
              </w:rPr>
              <w:t>598,813</w:t>
            </w:r>
          </w:p>
        </w:tc>
        <w:tc>
          <w:tcPr>
            <w:tcW w:w="1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00" w:lineRule="exact"/>
              <w:jc w:val="center"/>
              <w:rPr>
                <w:rFonts w:hint="default" w:asciiTheme="minorEastAsia" w:hAnsiTheme="minorEastAsia" w:eastAsiaTheme="minorEastAsia" w:cstheme="minorHAnsi"/>
                <w:color w:val="auto"/>
                <w:szCs w:val="21"/>
                <w:lang w:val="en-US" w:eastAsia="zh-CN"/>
              </w:rPr>
            </w:pPr>
            <w:r>
              <w:rPr>
                <w:rFonts w:hint="eastAsia" w:asciiTheme="minorEastAsia" w:hAnsiTheme="minorEastAsia" w:eastAsiaTheme="minorEastAsia" w:cstheme="minorHAnsi"/>
                <w:color w:val="auto"/>
                <w:szCs w:val="21"/>
                <w:lang w:val="en-US" w:eastAsia="zh-CN"/>
              </w:rPr>
              <w:t>40,130</w:t>
            </w:r>
          </w:p>
        </w:tc>
        <w:tc>
          <w:tcPr>
            <w:tcW w:w="1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00" w:lineRule="exact"/>
              <w:jc w:val="both"/>
              <w:textAlignment w:val="center"/>
              <w:rPr>
                <w:rFonts w:ascii="仿宋_GB2312" w:eastAsia="仿宋_GB2312" w:cs="宋体" w:hAnsiTheme="minorEastAsia"/>
                <w:color w:val="auto"/>
                <w:sz w:val="24"/>
                <w:szCs w:val="28"/>
              </w:rPr>
            </w:pPr>
            <w:r>
              <w:rPr>
                <w:rFonts w:hint="eastAsia" w:ascii="仿宋_GB2312" w:eastAsia="仿宋_GB2312" w:cs="宋体" w:hAnsiTheme="minorEastAsia"/>
                <w:color w:val="auto"/>
                <w:sz w:val="24"/>
                <w:szCs w:val="28"/>
              </w:rPr>
              <w:t>2024年</w:t>
            </w:r>
            <w:r>
              <w:rPr>
                <w:rFonts w:hint="eastAsia" w:ascii="仿宋_GB2312" w:eastAsia="仿宋_GB2312" w:cs="宋体" w:hAnsiTheme="minorEastAsia"/>
                <w:color w:val="auto"/>
                <w:sz w:val="24"/>
                <w:szCs w:val="28"/>
                <w:lang w:val="en-US" w:eastAsia="zh-CN"/>
              </w:rPr>
              <w:t>5</w:t>
            </w:r>
            <w:r>
              <w:rPr>
                <w:rFonts w:hint="eastAsia" w:ascii="仿宋_GB2312" w:eastAsia="仿宋_GB2312" w:cs="宋体" w:hAnsiTheme="minorEastAsia"/>
                <w:color w:val="auto"/>
                <w:sz w:val="24"/>
                <w:szCs w:val="28"/>
              </w:rPr>
              <w:t>月</w:t>
            </w:r>
            <w:r>
              <w:rPr>
                <w:rFonts w:hint="eastAsia" w:ascii="仿宋_GB2312" w:eastAsia="仿宋_GB2312" w:cs="宋体" w:hAnsiTheme="minorEastAsia"/>
                <w:color w:val="auto"/>
                <w:sz w:val="24"/>
                <w:szCs w:val="28"/>
                <w:lang w:val="en-US" w:eastAsia="zh-CN"/>
              </w:rPr>
              <w:t>25</w:t>
            </w:r>
            <w:r>
              <w:rPr>
                <w:rFonts w:hint="eastAsia" w:ascii="仿宋_GB2312" w:eastAsia="仿宋_GB2312" w:cs="宋体" w:hAnsiTheme="minorEastAsia"/>
                <w:color w:val="auto"/>
                <w:sz w:val="24"/>
                <w:szCs w:val="28"/>
              </w:rPr>
              <w:t>日至2026年</w:t>
            </w:r>
            <w:r>
              <w:rPr>
                <w:rFonts w:hint="eastAsia" w:ascii="仿宋_GB2312" w:eastAsia="仿宋_GB2312" w:cs="宋体" w:hAnsiTheme="minorEastAsia"/>
                <w:color w:val="auto"/>
                <w:sz w:val="24"/>
                <w:szCs w:val="28"/>
                <w:lang w:val="en-US" w:eastAsia="zh-CN"/>
              </w:rPr>
              <w:t>5</w:t>
            </w:r>
            <w:r>
              <w:rPr>
                <w:rFonts w:hint="eastAsia" w:ascii="仿宋_GB2312" w:eastAsia="仿宋_GB2312" w:cs="宋体" w:hAnsiTheme="minorEastAsia"/>
                <w:color w:val="auto"/>
                <w:sz w:val="24"/>
                <w:szCs w:val="28"/>
              </w:rPr>
              <w:t>月</w:t>
            </w:r>
            <w:r>
              <w:rPr>
                <w:rFonts w:hint="eastAsia" w:ascii="仿宋_GB2312" w:eastAsia="仿宋_GB2312" w:cs="宋体" w:hAnsiTheme="minorEastAsia"/>
                <w:color w:val="auto"/>
                <w:sz w:val="24"/>
                <w:szCs w:val="28"/>
                <w:lang w:val="en-US" w:eastAsia="zh-CN"/>
              </w:rPr>
              <w:t>24</w:t>
            </w:r>
            <w:r>
              <w:rPr>
                <w:rFonts w:hint="eastAsia" w:ascii="仿宋_GB2312" w:eastAsia="仿宋_GB2312" w:cs="宋体" w:hAnsiTheme="minorEastAsia"/>
                <w:color w:val="auto"/>
                <w:sz w:val="24"/>
                <w:szCs w:val="28"/>
              </w:rPr>
              <w:t>日</w:t>
            </w:r>
          </w:p>
        </w:tc>
      </w:tr>
      <w:tr>
        <w:tblPrEx>
          <w:tblCellMar>
            <w:top w:w="0" w:type="dxa"/>
            <w:left w:w="0" w:type="dxa"/>
            <w:bottom w:w="0" w:type="dxa"/>
            <w:right w:w="0" w:type="dxa"/>
          </w:tblCellMar>
        </w:tblPrEx>
        <w:trPr>
          <w:trHeight w:val="270" w:hRule="atLeast"/>
          <w:jc w:val="center"/>
        </w:trPr>
        <w:tc>
          <w:tcPr>
            <w:tcW w:w="1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00" w:lineRule="exact"/>
              <w:jc w:val="center"/>
              <w:rPr>
                <w:rFonts w:ascii="仿宋_GB2312" w:eastAsia="仿宋_GB2312" w:cs="宋体" w:hAnsiTheme="minorEastAsia"/>
                <w:color w:val="auto"/>
                <w:sz w:val="24"/>
                <w:szCs w:val="24"/>
              </w:rPr>
            </w:pPr>
            <w:r>
              <w:rPr>
                <w:rFonts w:hint="eastAsia" w:ascii="仿宋_GB2312" w:eastAsia="仿宋_GB2312" w:cs="宋体" w:hAnsiTheme="minorEastAsia"/>
                <w:color w:val="auto"/>
                <w:sz w:val="24"/>
                <w:szCs w:val="24"/>
              </w:rPr>
              <w:t>投保险种</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Arial" w:hAnsiTheme="minorEastAsia"/>
                <w:color w:val="auto"/>
                <w:sz w:val="24"/>
                <w:szCs w:val="24"/>
              </w:rPr>
            </w:pPr>
            <w:r>
              <w:rPr>
                <w:rFonts w:hint="eastAsia" w:ascii="仿宋_GB2312" w:eastAsia="仿宋_GB2312" w:cs="宋体" w:hAnsiTheme="minorEastAsia"/>
                <w:color w:val="auto"/>
                <w:sz w:val="24"/>
                <w:szCs w:val="24"/>
              </w:rPr>
              <w:t>财产一切险</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Arial" w:hAnsiTheme="minorEastAsia"/>
                <w:color w:val="auto"/>
                <w:sz w:val="24"/>
                <w:szCs w:val="24"/>
              </w:rPr>
            </w:pPr>
            <w:r>
              <w:rPr>
                <w:rFonts w:hint="eastAsia" w:ascii="仿宋_GB2312" w:eastAsia="仿宋_GB2312" w:cs="Arial" w:hAnsiTheme="minorEastAsia"/>
                <w:color w:val="auto"/>
                <w:sz w:val="24"/>
                <w:szCs w:val="24"/>
              </w:rPr>
              <w:t>机器损坏险</w:t>
            </w:r>
          </w:p>
        </w:tc>
        <w:tc>
          <w:tcPr>
            <w:tcW w:w="1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Arial" w:hAnsiTheme="minorEastAsia"/>
                <w:color w:val="auto"/>
                <w:sz w:val="24"/>
                <w:szCs w:val="24"/>
              </w:rPr>
            </w:pPr>
            <w:r>
              <w:rPr>
                <w:rFonts w:hint="eastAsia" w:ascii="仿宋_GB2312" w:eastAsia="仿宋_GB2312" w:cs="宋体" w:hAnsiTheme="minorEastAsia"/>
                <w:color w:val="auto"/>
                <w:sz w:val="24"/>
                <w:szCs w:val="24"/>
              </w:rPr>
              <w:t>财产一切险</w:t>
            </w:r>
          </w:p>
        </w:tc>
        <w:tc>
          <w:tcPr>
            <w:tcW w:w="1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_GB2312" w:eastAsia="仿宋_GB2312" w:cs="宋体" w:hAnsiTheme="minorEastAsia"/>
                <w:color w:val="auto"/>
                <w:sz w:val="24"/>
                <w:szCs w:val="28"/>
              </w:rPr>
            </w:pPr>
          </w:p>
        </w:tc>
      </w:tr>
    </w:tbl>
    <w:p>
      <w:pPr>
        <w:pStyle w:val="4"/>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default" w:ascii="仿宋_GB2312" w:hAnsi="宋体"/>
          <w:bCs/>
          <w:color w:val="auto"/>
          <w:sz w:val="28"/>
          <w:szCs w:val="28"/>
          <w:lang w:val="en-US" w:eastAsia="zh-CN"/>
        </w:rPr>
      </w:pPr>
      <w:r>
        <w:rPr>
          <w:rFonts w:hint="eastAsia" w:ascii="仿宋_GB2312" w:hAnsi="宋体"/>
          <w:bCs/>
          <w:color w:val="auto"/>
          <w:sz w:val="28"/>
          <w:szCs w:val="28"/>
          <w:lang w:val="en-US" w:eastAsia="zh-CN"/>
        </w:rPr>
        <w:t xml:space="preserve"> 注：项目二的企业财产保险需附赠以下保险内容，事故赔偿限额由索普股份与中标单位协商确定。</w:t>
      </w:r>
    </w:p>
    <w:p>
      <w:pPr>
        <w:pStyle w:val="4"/>
        <w:keepNext w:val="0"/>
        <w:keepLines w:val="0"/>
        <w:pageBreakBefore w:val="0"/>
        <w:widowControl w:val="0"/>
        <w:numPr>
          <w:ilvl w:val="0"/>
          <w:numId w:val="3"/>
        </w:numPr>
        <w:kinsoku/>
        <w:wordWrap/>
        <w:overflowPunct/>
        <w:topLinePunct w:val="0"/>
        <w:autoSpaceDE/>
        <w:autoSpaceDN/>
        <w:bidi w:val="0"/>
        <w:adjustRightInd/>
        <w:snapToGrid/>
        <w:spacing w:line="500" w:lineRule="exact"/>
        <w:ind w:left="140" w:leftChars="0" w:firstLine="560" w:firstLineChars="200"/>
        <w:textAlignment w:val="auto"/>
        <w:rPr>
          <w:rFonts w:hint="default" w:ascii="仿宋_GB2312" w:hAnsi="宋体"/>
          <w:bCs/>
          <w:color w:val="auto"/>
          <w:sz w:val="28"/>
          <w:szCs w:val="28"/>
          <w:lang w:val="en-US" w:eastAsia="zh-CN"/>
        </w:rPr>
      </w:pPr>
      <w:r>
        <w:rPr>
          <w:rFonts w:hint="eastAsia" w:ascii="仿宋_GB2312" w:hAnsi="宋体"/>
          <w:bCs/>
          <w:color w:val="auto"/>
          <w:sz w:val="28"/>
          <w:szCs w:val="28"/>
          <w:lang w:val="en-US" w:eastAsia="zh-CN"/>
        </w:rPr>
        <w:t>“三停”损失保险条款。</w:t>
      </w:r>
    </w:p>
    <w:p>
      <w:pPr>
        <w:pStyle w:val="4"/>
        <w:keepNext w:val="0"/>
        <w:keepLines w:val="0"/>
        <w:pageBreakBefore w:val="0"/>
        <w:widowControl w:val="0"/>
        <w:numPr>
          <w:ilvl w:val="0"/>
          <w:numId w:val="3"/>
        </w:numPr>
        <w:kinsoku/>
        <w:wordWrap/>
        <w:overflowPunct/>
        <w:topLinePunct w:val="0"/>
        <w:autoSpaceDE/>
        <w:autoSpaceDN/>
        <w:bidi w:val="0"/>
        <w:adjustRightInd/>
        <w:snapToGrid/>
        <w:spacing w:line="500" w:lineRule="exact"/>
        <w:ind w:left="140" w:leftChars="0" w:firstLine="560" w:firstLineChars="200"/>
        <w:textAlignment w:val="auto"/>
        <w:rPr>
          <w:rFonts w:hint="default" w:ascii="仿宋_GB2312" w:hAnsi="宋体"/>
          <w:bCs/>
          <w:color w:val="auto"/>
          <w:sz w:val="28"/>
          <w:szCs w:val="28"/>
          <w:lang w:val="en-US" w:eastAsia="zh-CN"/>
        </w:rPr>
      </w:pPr>
      <w:r>
        <w:rPr>
          <w:rFonts w:hint="eastAsia" w:ascii="仿宋_GB2312" w:hAnsi="宋体"/>
          <w:bCs/>
          <w:color w:val="auto"/>
          <w:sz w:val="28"/>
          <w:szCs w:val="28"/>
          <w:lang w:val="en-US" w:eastAsia="zh-CN"/>
        </w:rPr>
        <w:t>露天存放及简易建筑内财产保险（B款）条款。</w:t>
      </w:r>
    </w:p>
    <w:p>
      <w:pPr>
        <w:pStyle w:val="4"/>
        <w:keepNext w:val="0"/>
        <w:keepLines w:val="0"/>
        <w:pageBreakBefore w:val="0"/>
        <w:widowControl w:val="0"/>
        <w:numPr>
          <w:ilvl w:val="0"/>
          <w:numId w:val="3"/>
        </w:numPr>
        <w:kinsoku/>
        <w:wordWrap/>
        <w:overflowPunct/>
        <w:topLinePunct w:val="0"/>
        <w:autoSpaceDE/>
        <w:autoSpaceDN/>
        <w:bidi w:val="0"/>
        <w:adjustRightInd/>
        <w:snapToGrid/>
        <w:spacing w:line="500" w:lineRule="exact"/>
        <w:ind w:left="140" w:leftChars="0" w:firstLine="560" w:firstLineChars="200"/>
        <w:textAlignment w:val="auto"/>
        <w:rPr>
          <w:rFonts w:hint="default" w:ascii="仿宋_GB2312" w:hAnsi="宋体"/>
          <w:bCs/>
          <w:color w:val="auto"/>
          <w:sz w:val="28"/>
          <w:szCs w:val="28"/>
          <w:lang w:val="en-US" w:eastAsia="zh-CN"/>
        </w:rPr>
      </w:pPr>
      <w:r>
        <w:rPr>
          <w:rFonts w:hint="eastAsia" w:ascii="仿宋_GB2312" w:hAnsi="宋体"/>
          <w:bCs/>
          <w:color w:val="auto"/>
          <w:sz w:val="28"/>
          <w:szCs w:val="28"/>
          <w:lang w:val="en-US" w:eastAsia="zh-CN"/>
        </w:rPr>
        <w:t>预付赔款条款A。</w:t>
      </w:r>
    </w:p>
    <w:p>
      <w:pPr>
        <w:pStyle w:val="4"/>
        <w:keepNext w:val="0"/>
        <w:keepLines w:val="0"/>
        <w:pageBreakBefore w:val="0"/>
        <w:widowControl w:val="0"/>
        <w:numPr>
          <w:ilvl w:val="0"/>
          <w:numId w:val="3"/>
        </w:numPr>
        <w:kinsoku/>
        <w:wordWrap/>
        <w:overflowPunct/>
        <w:topLinePunct w:val="0"/>
        <w:autoSpaceDE/>
        <w:autoSpaceDN/>
        <w:bidi w:val="0"/>
        <w:adjustRightInd/>
        <w:snapToGrid/>
        <w:spacing w:line="500" w:lineRule="exact"/>
        <w:ind w:left="140" w:leftChars="0" w:firstLine="560" w:firstLineChars="200"/>
        <w:textAlignment w:val="auto"/>
        <w:rPr>
          <w:rFonts w:hint="default" w:ascii="仿宋_GB2312" w:hAnsi="宋体"/>
          <w:bCs/>
          <w:color w:val="auto"/>
          <w:sz w:val="28"/>
          <w:szCs w:val="28"/>
          <w:lang w:val="en-US" w:eastAsia="zh-CN"/>
        </w:rPr>
      </w:pPr>
      <w:r>
        <w:rPr>
          <w:rFonts w:hint="eastAsia" w:ascii="仿宋_GB2312" w:hAnsi="宋体"/>
          <w:bCs/>
          <w:color w:val="auto"/>
          <w:sz w:val="28"/>
          <w:szCs w:val="28"/>
          <w:lang w:val="en-US" w:eastAsia="zh-CN"/>
        </w:rPr>
        <w:t>盗窃、抢劫扩展条款。</w:t>
      </w:r>
    </w:p>
    <w:p>
      <w:pPr>
        <w:pStyle w:val="4"/>
        <w:keepNext w:val="0"/>
        <w:keepLines w:val="0"/>
        <w:pageBreakBefore w:val="0"/>
        <w:widowControl w:val="0"/>
        <w:numPr>
          <w:ilvl w:val="0"/>
          <w:numId w:val="3"/>
        </w:numPr>
        <w:kinsoku/>
        <w:wordWrap/>
        <w:overflowPunct/>
        <w:topLinePunct w:val="0"/>
        <w:autoSpaceDE/>
        <w:autoSpaceDN/>
        <w:bidi w:val="0"/>
        <w:adjustRightInd/>
        <w:snapToGrid/>
        <w:spacing w:line="500" w:lineRule="exact"/>
        <w:ind w:left="140" w:leftChars="0" w:firstLine="560" w:firstLineChars="200"/>
        <w:textAlignment w:val="auto"/>
        <w:rPr>
          <w:rFonts w:hint="default" w:ascii="仿宋_GB2312" w:hAnsi="宋体"/>
          <w:bCs/>
          <w:color w:val="auto"/>
          <w:sz w:val="28"/>
          <w:szCs w:val="28"/>
          <w:lang w:val="en-US" w:eastAsia="zh-CN"/>
        </w:rPr>
      </w:pPr>
      <w:r>
        <w:rPr>
          <w:rFonts w:hint="eastAsia" w:ascii="仿宋_GB2312" w:hAnsi="宋体"/>
          <w:bCs/>
          <w:color w:val="auto"/>
          <w:sz w:val="28"/>
          <w:szCs w:val="28"/>
          <w:lang w:val="en-US" w:eastAsia="zh-CN"/>
        </w:rPr>
        <w:t>灭火费用扩展条款B。</w:t>
      </w:r>
    </w:p>
    <w:p>
      <w:pPr>
        <w:pStyle w:val="4"/>
        <w:keepNext w:val="0"/>
        <w:keepLines w:val="0"/>
        <w:pageBreakBefore w:val="0"/>
        <w:widowControl w:val="0"/>
        <w:numPr>
          <w:ilvl w:val="0"/>
          <w:numId w:val="3"/>
        </w:numPr>
        <w:kinsoku/>
        <w:wordWrap/>
        <w:overflowPunct/>
        <w:topLinePunct w:val="0"/>
        <w:autoSpaceDE/>
        <w:autoSpaceDN/>
        <w:bidi w:val="0"/>
        <w:adjustRightInd/>
        <w:snapToGrid/>
        <w:spacing w:line="500" w:lineRule="exact"/>
        <w:ind w:left="140" w:leftChars="0" w:firstLine="560" w:firstLineChars="200"/>
        <w:textAlignment w:val="auto"/>
        <w:rPr>
          <w:rFonts w:hint="default" w:ascii="仿宋_GB2312" w:hAnsi="宋体"/>
          <w:bCs/>
          <w:color w:val="auto"/>
          <w:sz w:val="28"/>
          <w:szCs w:val="28"/>
          <w:lang w:val="en-US" w:eastAsia="zh-CN"/>
        </w:rPr>
      </w:pPr>
      <w:r>
        <w:rPr>
          <w:rFonts w:hint="eastAsia" w:ascii="仿宋_GB2312" w:hAnsi="宋体"/>
          <w:bCs/>
          <w:color w:val="auto"/>
          <w:sz w:val="28"/>
          <w:szCs w:val="28"/>
          <w:lang w:val="en-US" w:eastAsia="zh-CN"/>
        </w:rPr>
        <w:t>清理残骸费用扩展条款。</w:t>
      </w:r>
    </w:p>
    <w:p>
      <w:pPr>
        <w:pStyle w:val="4"/>
        <w:spacing w:line="500" w:lineRule="exact"/>
        <w:ind w:firstLine="560" w:firstLineChars="200"/>
        <w:rPr>
          <w:rFonts w:ascii="仿宋_GB2312" w:hAnsi="宋体"/>
          <w:bCs/>
          <w:color w:val="auto"/>
          <w:sz w:val="28"/>
          <w:szCs w:val="28"/>
        </w:rPr>
      </w:pPr>
      <w:r>
        <w:rPr>
          <w:rFonts w:hint="eastAsia" w:ascii="仿宋_GB2312" w:hAnsi="宋体"/>
          <w:bCs/>
          <w:color w:val="auto"/>
          <w:sz w:val="28"/>
          <w:szCs w:val="28"/>
        </w:rPr>
        <w:t>3. 项目三：江苏索普新材料科技有限公司（以下简称：索普新材料）</w:t>
      </w:r>
    </w:p>
    <w:tbl>
      <w:tblPr>
        <w:tblStyle w:val="11"/>
        <w:tblW w:w="8106" w:type="dxa"/>
        <w:jc w:val="center"/>
        <w:tblLayout w:type="fixed"/>
        <w:tblCellMar>
          <w:top w:w="0" w:type="dxa"/>
          <w:left w:w="0" w:type="dxa"/>
          <w:bottom w:w="0" w:type="dxa"/>
          <w:right w:w="0" w:type="dxa"/>
        </w:tblCellMar>
      </w:tblPr>
      <w:tblGrid>
        <w:gridCol w:w="1808"/>
        <w:gridCol w:w="1815"/>
        <w:gridCol w:w="1635"/>
        <w:gridCol w:w="1335"/>
        <w:gridCol w:w="1513"/>
      </w:tblGrid>
      <w:tr>
        <w:tblPrEx>
          <w:tblCellMar>
            <w:top w:w="0" w:type="dxa"/>
            <w:left w:w="0" w:type="dxa"/>
            <w:bottom w:w="0" w:type="dxa"/>
            <w:right w:w="0" w:type="dxa"/>
          </w:tblCellMar>
        </w:tblPrEx>
        <w:trPr>
          <w:trHeight w:val="480" w:hRule="atLeast"/>
          <w:jc w:val="center"/>
        </w:trPr>
        <w:tc>
          <w:tcPr>
            <w:tcW w:w="1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 w:hAnsi="仿宋" w:eastAsia="仿宋" w:cs="宋体"/>
                <w:b/>
                <w:color w:val="auto"/>
                <w:kern w:val="0"/>
                <w:sz w:val="24"/>
                <w:szCs w:val="28"/>
              </w:rPr>
            </w:pPr>
            <w:r>
              <w:rPr>
                <w:rFonts w:hint="eastAsia" w:ascii="仿宋" w:hAnsi="仿宋" w:eastAsia="仿宋" w:cs="宋体"/>
                <w:b/>
                <w:color w:val="auto"/>
                <w:kern w:val="0"/>
                <w:sz w:val="24"/>
                <w:szCs w:val="28"/>
              </w:rPr>
              <w:t>资产范围</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 w:hAnsi="仿宋" w:eastAsia="仿宋" w:cs="宋体"/>
                <w:b/>
                <w:color w:val="auto"/>
                <w:kern w:val="0"/>
                <w:sz w:val="24"/>
                <w:szCs w:val="28"/>
              </w:rPr>
            </w:pPr>
            <w:r>
              <w:rPr>
                <w:rFonts w:hint="eastAsia" w:ascii="仿宋" w:hAnsi="仿宋" w:eastAsia="仿宋" w:cs="宋体"/>
                <w:b/>
                <w:color w:val="auto"/>
                <w:kern w:val="0"/>
                <w:sz w:val="24"/>
                <w:szCs w:val="28"/>
              </w:rPr>
              <w:t>固定资产</w:t>
            </w:r>
          </w:p>
          <w:p>
            <w:pPr>
              <w:widowControl/>
              <w:spacing w:line="500" w:lineRule="exact"/>
              <w:jc w:val="center"/>
              <w:textAlignment w:val="center"/>
              <w:rPr>
                <w:rFonts w:ascii="仿宋" w:hAnsi="仿宋" w:eastAsia="仿宋" w:cs="宋体"/>
                <w:b/>
                <w:color w:val="auto"/>
                <w:sz w:val="24"/>
                <w:szCs w:val="28"/>
              </w:rPr>
            </w:pPr>
            <w:r>
              <w:rPr>
                <w:rFonts w:hint="eastAsia" w:ascii="仿宋" w:hAnsi="仿宋" w:eastAsia="仿宋" w:cs="宋体"/>
                <w:b/>
                <w:color w:val="auto"/>
                <w:kern w:val="0"/>
                <w:sz w:val="24"/>
                <w:szCs w:val="28"/>
              </w:rPr>
              <w:t>（万元）</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 w:hAnsi="仿宋" w:eastAsia="仿宋" w:cs="宋体"/>
                <w:b/>
                <w:color w:val="auto"/>
                <w:sz w:val="24"/>
                <w:szCs w:val="28"/>
              </w:rPr>
            </w:pPr>
            <w:r>
              <w:rPr>
                <w:rFonts w:hint="eastAsia" w:ascii="仿宋" w:hAnsi="仿宋" w:eastAsia="仿宋" w:cs="宋体"/>
                <w:b/>
                <w:color w:val="auto"/>
                <w:kern w:val="0"/>
                <w:sz w:val="24"/>
                <w:szCs w:val="28"/>
              </w:rPr>
              <w:t>其中：机器设备（万元）</w:t>
            </w:r>
          </w:p>
        </w:tc>
        <w:tc>
          <w:tcPr>
            <w:tcW w:w="1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 w:hAnsi="仿宋" w:eastAsia="仿宋" w:cs="宋体"/>
                <w:b/>
                <w:color w:val="auto"/>
                <w:kern w:val="0"/>
                <w:sz w:val="24"/>
                <w:szCs w:val="28"/>
              </w:rPr>
            </w:pPr>
            <w:r>
              <w:rPr>
                <w:rFonts w:hint="eastAsia" w:ascii="仿宋" w:hAnsi="仿宋" w:eastAsia="仿宋" w:cs="宋体"/>
                <w:b/>
                <w:color w:val="auto"/>
                <w:kern w:val="0"/>
                <w:sz w:val="24"/>
                <w:szCs w:val="28"/>
              </w:rPr>
              <w:t>流动资产</w:t>
            </w:r>
          </w:p>
          <w:p>
            <w:pPr>
              <w:widowControl/>
              <w:spacing w:line="500" w:lineRule="exact"/>
              <w:jc w:val="center"/>
              <w:textAlignment w:val="center"/>
              <w:rPr>
                <w:rFonts w:ascii="仿宋" w:hAnsi="仿宋" w:eastAsia="仿宋" w:cs="宋体"/>
                <w:b/>
                <w:color w:val="auto"/>
                <w:sz w:val="24"/>
                <w:szCs w:val="28"/>
              </w:rPr>
            </w:pPr>
            <w:r>
              <w:rPr>
                <w:rFonts w:hint="eastAsia" w:ascii="仿宋" w:hAnsi="仿宋" w:eastAsia="仿宋" w:cs="宋体"/>
                <w:b/>
                <w:color w:val="auto"/>
                <w:kern w:val="0"/>
                <w:sz w:val="24"/>
                <w:szCs w:val="28"/>
              </w:rPr>
              <w:t>（万元）</w:t>
            </w:r>
          </w:p>
        </w:tc>
        <w:tc>
          <w:tcPr>
            <w:tcW w:w="1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 w:hAnsi="仿宋" w:eastAsia="仿宋" w:cs="宋体"/>
                <w:b/>
                <w:color w:val="auto"/>
                <w:sz w:val="24"/>
                <w:szCs w:val="28"/>
              </w:rPr>
            </w:pPr>
            <w:r>
              <w:rPr>
                <w:rFonts w:hint="eastAsia" w:ascii="仿宋" w:hAnsi="仿宋" w:eastAsia="仿宋" w:cs="宋体"/>
                <w:b/>
                <w:color w:val="auto"/>
                <w:kern w:val="0"/>
                <w:sz w:val="24"/>
                <w:szCs w:val="28"/>
              </w:rPr>
              <w:t>保险期限</w:t>
            </w:r>
          </w:p>
        </w:tc>
      </w:tr>
      <w:tr>
        <w:tblPrEx>
          <w:tblCellMar>
            <w:top w:w="0" w:type="dxa"/>
            <w:left w:w="0" w:type="dxa"/>
            <w:bottom w:w="0" w:type="dxa"/>
            <w:right w:w="0" w:type="dxa"/>
          </w:tblCellMar>
        </w:tblPrEx>
        <w:trPr>
          <w:trHeight w:val="270" w:hRule="atLeast"/>
          <w:jc w:val="center"/>
        </w:trPr>
        <w:tc>
          <w:tcPr>
            <w:tcW w:w="1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00" w:lineRule="exact"/>
              <w:jc w:val="center"/>
              <w:rPr>
                <w:rFonts w:ascii="仿宋_GB2312" w:eastAsia="仿宋_GB2312" w:cs="Arial" w:hAnsiTheme="minorEastAsia"/>
                <w:color w:val="auto"/>
                <w:sz w:val="24"/>
                <w:szCs w:val="28"/>
              </w:rPr>
            </w:pPr>
            <w:r>
              <w:rPr>
                <w:rFonts w:hint="eastAsia" w:ascii="仿宋_GB2312" w:eastAsia="仿宋_GB2312" w:cs="宋体" w:hAnsiTheme="minorEastAsia"/>
                <w:color w:val="auto"/>
                <w:sz w:val="24"/>
                <w:szCs w:val="28"/>
              </w:rPr>
              <w:t>索普新材料</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00" w:lineRule="exact"/>
              <w:jc w:val="center"/>
              <w:rPr>
                <w:rFonts w:hint="default" w:asciiTheme="minorEastAsia" w:hAnsiTheme="minorEastAsia" w:eastAsiaTheme="minorEastAsia" w:cstheme="minorHAnsi"/>
                <w:color w:val="auto"/>
                <w:szCs w:val="21"/>
                <w:lang w:val="en-US" w:eastAsia="zh-CN"/>
              </w:rPr>
            </w:pPr>
            <w:r>
              <w:rPr>
                <w:rFonts w:hint="eastAsia" w:asciiTheme="minorEastAsia" w:hAnsiTheme="minorEastAsia" w:eastAsiaTheme="minorEastAsia" w:cstheme="minorHAnsi"/>
                <w:color w:val="auto"/>
                <w:szCs w:val="21"/>
                <w:lang w:val="en-US" w:eastAsia="zh-CN"/>
              </w:rPr>
              <w:t>82,962</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00" w:lineRule="exact"/>
              <w:jc w:val="center"/>
              <w:rPr>
                <w:rFonts w:hint="default" w:asciiTheme="minorEastAsia" w:hAnsiTheme="minorEastAsia" w:eastAsiaTheme="minorEastAsia" w:cstheme="minorHAnsi"/>
                <w:color w:val="auto"/>
                <w:szCs w:val="21"/>
                <w:lang w:val="en-US" w:eastAsia="zh-CN"/>
              </w:rPr>
            </w:pPr>
            <w:r>
              <w:rPr>
                <w:rFonts w:hint="eastAsia" w:asciiTheme="minorEastAsia" w:hAnsiTheme="minorEastAsia" w:eastAsiaTheme="minorEastAsia" w:cstheme="minorHAnsi"/>
                <w:color w:val="auto"/>
                <w:szCs w:val="21"/>
                <w:lang w:val="en-US" w:eastAsia="zh-CN"/>
              </w:rPr>
              <w:t>74,586</w:t>
            </w:r>
          </w:p>
        </w:tc>
        <w:tc>
          <w:tcPr>
            <w:tcW w:w="1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00" w:lineRule="exact"/>
              <w:jc w:val="center"/>
              <w:rPr>
                <w:rFonts w:hint="default" w:asciiTheme="minorEastAsia" w:hAnsiTheme="minorEastAsia" w:eastAsiaTheme="minorEastAsia" w:cstheme="minorHAnsi"/>
                <w:color w:val="auto"/>
                <w:szCs w:val="21"/>
                <w:lang w:val="en-US" w:eastAsia="zh-CN"/>
              </w:rPr>
            </w:pPr>
            <w:r>
              <w:rPr>
                <w:rFonts w:hint="eastAsia" w:asciiTheme="minorEastAsia" w:hAnsiTheme="minorEastAsia" w:eastAsiaTheme="minorEastAsia" w:cstheme="minorHAnsi"/>
                <w:color w:val="auto"/>
                <w:szCs w:val="21"/>
                <w:lang w:val="en-US" w:eastAsia="zh-CN"/>
              </w:rPr>
              <w:t>1,435</w:t>
            </w:r>
          </w:p>
        </w:tc>
        <w:tc>
          <w:tcPr>
            <w:tcW w:w="1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00" w:lineRule="exact"/>
              <w:jc w:val="both"/>
              <w:textAlignment w:val="center"/>
              <w:rPr>
                <w:rFonts w:ascii="仿宋_GB2312" w:eastAsia="仿宋_GB2312" w:cs="宋体" w:hAnsiTheme="minorEastAsia"/>
                <w:color w:val="auto"/>
                <w:sz w:val="24"/>
                <w:szCs w:val="28"/>
              </w:rPr>
            </w:pPr>
            <w:r>
              <w:rPr>
                <w:rFonts w:hint="eastAsia" w:ascii="仿宋_GB2312" w:eastAsia="仿宋_GB2312" w:cs="宋体" w:hAnsiTheme="minorEastAsia"/>
                <w:color w:val="auto"/>
                <w:sz w:val="24"/>
                <w:szCs w:val="28"/>
              </w:rPr>
              <w:t>2024年</w:t>
            </w:r>
            <w:r>
              <w:rPr>
                <w:rFonts w:hint="eastAsia" w:ascii="仿宋_GB2312" w:eastAsia="仿宋_GB2312" w:cs="宋体" w:hAnsiTheme="minorEastAsia"/>
                <w:color w:val="auto"/>
                <w:sz w:val="24"/>
                <w:szCs w:val="28"/>
                <w:lang w:val="en-US" w:eastAsia="zh-CN"/>
              </w:rPr>
              <w:t>6</w:t>
            </w:r>
            <w:r>
              <w:rPr>
                <w:rFonts w:hint="eastAsia" w:ascii="仿宋_GB2312" w:eastAsia="仿宋_GB2312" w:cs="宋体" w:hAnsiTheme="minorEastAsia"/>
                <w:color w:val="auto"/>
                <w:sz w:val="24"/>
                <w:szCs w:val="28"/>
              </w:rPr>
              <w:t>月</w:t>
            </w:r>
            <w:r>
              <w:rPr>
                <w:rFonts w:hint="eastAsia" w:ascii="仿宋_GB2312" w:eastAsia="仿宋_GB2312" w:cs="宋体" w:hAnsiTheme="minorEastAsia"/>
                <w:color w:val="auto"/>
                <w:sz w:val="24"/>
                <w:szCs w:val="28"/>
                <w:lang w:val="en-US" w:eastAsia="zh-CN"/>
              </w:rPr>
              <w:t>30</w:t>
            </w:r>
            <w:r>
              <w:rPr>
                <w:rFonts w:hint="eastAsia" w:ascii="仿宋_GB2312" w:eastAsia="仿宋_GB2312" w:cs="宋体" w:hAnsiTheme="minorEastAsia"/>
                <w:color w:val="auto"/>
                <w:sz w:val="24"/>
                <w:szCs w:val="28"/>
              </w:rPr>
              <w:t>日至2026年</w:t>
            </w:r>
            <w:r>
              <w:rPr>
                <w:rFonts w:hint="eastAsia" w:ascii="仿宋_GB2312" w:eastAsia="仿宋_GB2312" w:cs="宋体" w:hAnsiTheme="minorEastAsia"/>
                <w:color w:val="auto"/>
                <w:sz w:val="24"/>
                <w:szCs w:val="28"/>
                <w:lang w:val="en-US" w:eastAsia="zh-CN"/>
              </w:rPr>
              <w:t>6</w:t>
            </w:r>
            <w:r>
              <w:rPr>
                <w:rFonts w:hint="eastAsia" w:ascii="仿宋_GB2312" w:eastAsia="仿宋_GB2312" w:cs="宋体" w:hAnsiTheme="minorEastAsia"/>
                <w:color w:val="auto"/>
                <w:sz w:val="24"/>
                <w:szCs w:val="28"/>
              </w:rPr>
              <w:t>月</w:t>
            </w:r>
            <w:r>
              <w:rPr>
                <w:rFonts w:hint="eastAsia" w:ascii="仿宋_GB2312" w:eastAsia="仿宋_GB2312" w:cs="宋体" w:hAnsiTheme="minorEastAsia"/>
                <w:color w:val="auto"/>
                <w:sz w:val="24"/>
                <w:szCs w:val="28"/>
                <w:lang w:val="en-US" w:eastAsia="zh-CN"/>
              </w:rPr>
              <w:t>29</w:t>
            </w:r>
            <w:r>
              <w:rPr>
                <w:rFonts w:hint="eastAsia" w:ascii="仿宋_GB2312" w:eastAsia="仿宋_GB2312" w:cs="宋体" w:hAnsiTheme="minorEastAsia"/>
                <w:color w:val="auto"/>
                <w:sz w:val="24"/>
                <w:szCs w:val="28"/>
              </w:rPr>
              <w:t>日</w:t>
            </w:r>
          </w:p>
        </w:tc>
      </w:tr>
      <w:tr>
        <w:tblPrEx>
          <w:tblCellMar>
            <w:top w:w="0" w:type="dxa"/>
            <w:left w:w="0" w:type="dxa"/>
            <w:bottom w:w="0" w:type="dxa"/>
            <w:right w:w="0" w:type="dxa"/>
          </w:tblCellMar>
        </w:tblPrEx>
        <w:trPr>
          <w:trHeight w:val="270" w:hRule="atLeast"/>
          <w:jc w:val="center"/>
        </w:trPr>
        <w:tc>
          <w:tcPr>
            <w:tcW w:w="1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00" w:lineRule="exact"/>
              <w:jc w:val="center"/>
              <w:rPr>
                <w:rFonts w:ascii="仿宋_GB2312" w:eastAsia="仿宋_GB2312" w:cs="宋体" w:hAnsiTheme="minorEastAsia"/>
                <w:color w:val="auto"/>
                <w:sz w:val="24"/>
                <w:szCs w:val="24"/>
              </w:rPr>
            </w:pPr>
            <w:r>
              <w:rPr>
                <w:rFonts w:hint="eastAsia" w:ascii="仿宋_GB2312" w:eastAsia="仿宋_GB2312" w:cs="宋体" w:hAnsiTheme="minorEastAsia"/>
                <w:color w:val="auto"/>
                <w:sz w:val="24"/>
                <w:szCs w:val="24"/>
              </w:rPr>
              <w:t>投保险种</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Arial" w:hAnsiTheme="minorEastAsia"/>
                <w:color w:val="auto"/>
                <w:sz w:val="24"/>
                <w:szCs w:val="24"/>
              </w:rPr>
            </w:pPr>
            <w:r>
              <w:rPr>
                <w:rFonts w:hint="eastAsia" w:ascii="仿宋_GB2312" w:eastAsia="仿宋_GB2312" w:cs="宋体" w:hAnsiTheme="minorEastAsia"/>
                <w:color w:val="auto"/>
                <w:sz w:val="24"/>
                <w:szCs w:val="24"/>
              </w:rPr>
              <w:t>财产一切险</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Arial" w:hAnsiTheme="minorEastAsia"/>
                <w:color w:val="auto"/>
                <w:sz w:val="24"/>
                <w:szCs w:val="24"/>
              </w:rPr>
            </w:pPr>
            <w:r>
              <w:rPr>
                <w:rFonts w:hint="eastAsia" w:ascii="仿宋_GB2312" w:eastAsia="仿宋_GB2312" w:cs="Arial" w:hAnsiTheme="minorEastAsia"/>
                <w:color w:val="auto"/>
                <w:sz w:val="24"/>
                <w:szCs w:val="24"/>
              </w:rPr>
              <w:t>机器损坏险</w:t>
            </w:r>
          </w:p>
        </w:tc>
        <w:tc>
          <w:tcPr>
            <w:tcW w:w="1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Arial" w:hAnsiTheme="minorEastAsia"/>
                <w:color w:val="auto"/>
                <w:sz w:val="24"/>
                <w:szCs w:val="24"/>
              </w:rPr>
            </w:pPr>
            <w:r>
              <w:rPr>
                <w:rFonts w:hint="eastAsia" w:ascii="仿宋_GB2312" w:eastAsia="仿宋_GB2312" w:cs="宋体" w:hAnsiTheme="minorEastAsia"/>
                <w:color w:val="auto"/>
                <w:sz w:val="24"/>
                <w:szCs w:val="24"/>
              </w:rPr>
              <w:t>财产一切险</w:t>
            </w:r>
          </w:p>
        </w:tc>
        <w:tc>
          <w:tcPr>
            <w:tcW w:w="1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_GB2312" w:eastAsia="仿宋_GB2312" w:cs="宋体" w:hAnsiTheme="minorEastAsia"/>
                <w:color w:val="auto"/>
                <w:sz w:val="24"/>
                <w:szCs w:val="28"/>
              </w:rPr>
            </w:pPr>
          </w:p>
        </w:tc>
      </w:tr>
    </w:tbl>
    <w:p>
      <w:pPr>
        <w:pStyle w:val="4"/>
        <w:spacing w:line="500" w:lineRule="exact"/>
        <w:ind w:firstLine="560" w:firstLineChars="200"/>
        <w:rPr>
          <w:rFonts w:ascii="仿宋_GB2312" w:hAnsi="宋体"/>
          <w:bCs/>
          <w:color w:val="auto"/>
          <w:sz w:val="28"/>
          <w:szCs w:val="28"/>
        </w:rPr>
      </w:pPr>
      <w:r>
        <w:rPr>
          <w:rFonts w:hint="eastAsia" w:ascii="仿宋_GB2312" w:hAnsi="宋体"/>
          <w:bCs/>
          <w:color w:val="auto"/>
          <w:sz w:val="28"/>
          <w:szCs w:val="28"/>
        </w:rPr>
        <w:t>4. 项目四：江苏索普天辰气体有限公司（以下简称：索普天辰）</w:t>
      </w:r>
    </w:p>
    <w:tbl>
      <w:tblPr>
        <w:tblStyle w:val="11"/>
        <w:tblW w:w="7711" w:type="dxa"/>
        <w:jc w:val="center"/>
        <w:tblLayout w:type="fixed"/>
        <w:tblCellMar>
          <w:top w:w="0" w:type="dxa"/>
          <w:left w:w="0" w:type="dxa"/>
          <w:bottom w:w="0" w:type="dxa"/>
          <w:right w:w="0" w:type="dxa"/>
        </w:tblCellMar>
      </w:tblPr>
      <w:tblGrid>
        <w:gridCol w:w="2071"/>
        <w:gridCol w:w="1460"/>
        <w:gridCol w:w="1516"/>
        <w:gridCol w:w="1276"/>
        <w:gridCol w:w="1388"/>
      </w:tblGrid>
      <w:tr>
        <w:tblPrEx>
          <w:tblCellMar>
            <w:top w:w="0" w:type="dxa"/>
            <w:left w:w="0" w:type="dxa"/>
            <w:bottom w:w="0" w:type="dxa"/>
            <w:right w:w="0" w:type="dxa"/>
          </w:tblCellMar>
        </w:tblPrEx>
        <w:trPr>
          <w:trHeight w:val="480" w:hRule="atLeast"/>
          <w:jc w:val="center"/>
        </w:trPr>
        <w:tc>
          <w:tcPr>
            <w:tcW w:w="2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 w:hAnsi="仿宋" w:eastAsia="仿宋" w:cs="宋体"/>
                <w:b/>
                <w:color w:val="auto"/>
                <w:kern w:val="0"/>
                <w:sz w:val="24"/>
                <w:szCs w:val="28"/>
              </w:rPr>
            </w:pPr>
            <w:r>
              <w:rPr>
                <w:rFonts w:hint="eastAsia" w:ascii="仿宋" w:hAnsi="仿宋" w:eastAsia="仿宋" w:cs="宋体"/>
                <w:b/>
                <w:color w:val="auto"/>
                <w:kern w:val="0"/>
                <w:sz w:val="24"/>
                <w:szCs w:val="28"/>
              </w:rPr>
              <w:t>资产范围</w:t>
            </w:r>
          </w:p>
        </w:tc>
        <w:tc>
          <w:tcPr>
            <w:tcW w:w="1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 w:hAnsi="仿宋" w:eastAsia="仿宋" w:cs="宋体"/>
                <w:b/>
                <w:color w:val="auto"/>
                <w:kern w:val="0"/>
                <w:sz w:val="24"/>
                <w:szCs w:val="28"/>
              </w:rPr>
            </w:pPr>
            <w:r>
              <w:rPr>
                <w:rFonts w:hint="eastAsia" w:ascii="仿宋" w:hAnsi="仿宋" w:eastAsia="仿宋" w:cs="宋体"/>
                <w:b/>
                <w:color w:val="auto"/>
                <w:kern w:val="0"/>
                <w:sz w:val="24"/>
                <w:szCs w:val="28"/>
              </w:rPr>
              <w:t>固定资产</w:t>
            </w:r>
          </w:p>
          <w:p>
            <w:pPr>
              <w:widowControl/>
              <w:spacing w:line="500" w:lineRule="exact"/>
              <w:jc w:val="center"/>
              <w:textAlignment w:val="center"/>
              <w:rPr>
                <w:rFonts w:ascii="仿宋" w:hAnsi="仿宋" w:eastAsia="仿宋" w:cs="宋体"/>
                <w:b/>
                <w:color w:val="auto"/>
                <w:sz w:val="24"/>
                <w:szCs w:val="28"/>
              </w:rPr>
            </w:pPr>
            <w:r>
              <w:rPr>
                <w:rFonts w:hint="eastAsia" w:ascii="仿宋" w:hAnsi="仿宋" w:eastAsia="仿宋" w:cs="宋体"/>
                <w:b/>
                <w:color w:val="auto"/>
                <w:kern w:val="0"/>
                <w:sz w:val="24"/>
                <w:szCs w:val="28"/>
              </w:rPr>
              <w:t>（万元）</w:t>
            </w:r>
          </w:p>
        </w:tc>
        <w:tc>
          <w:tcPr>
            <w:tcW w:w="15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 w:hAnsi="仿宋" w:eastAsia="仿宋" w:cs="宋体"/>
                <w:b/>
                <w:color w:val="auto"/>
                <w:sz w:val="24"/>
                <w:szCs w:val="28"/>
              </w:rPr>
            </w:pPr>
            <w:r>
              <w:rPr>
                <w:rFonts w:hint="eastAsia" w:ascii="仿宋" w:hAnsi="仿宋" w:eastAsia="仿宋" w:cs="宋体"/>
                <w:b/>
                <w:color w:val="auto"/>
                <w:kern w:val="0"/>
                <w:sz w:val="24"/>
                <w:szCs w:val="28"/>
              </w:rPr>
              <w:t>其中：机器设备（万元）</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 w:hAnsi="仿宋" w:eastAsia="仿宋" w:cs="宋体"/>
                <w:b/>
                <w:color w:val="auto"/>
                <w:kern w:val="0"/>
                <w:sz w:val="24"/>
                <w:szCs w:val="28"/>
              </w:rPr>
            </w:pPr>
            <w:r>
              <w:rPr>
                <w:rFonts w:hint="eastAsia" w:ascii="仿宋" w:hAnsi="仿宋" w:eastAsia="仿宋" w:cs="宋体"/>
                <w:b/>
                <w:color w:val="auto"/>
                <w:kern w:val="0"/>
                <w:sz w:val="24"/>
                <w:szCs w:val="28"/>
              </w:rPr>
              <w:t>流动资产</w:t>
            </w:r>
          </w:p>
          <w:p>
            <w:pPr>
              <w:widowControl/>
              <w:spacing w:line="500" w:lineRule="exact"/>
              <w:jc w:val="center"/>
              <w:textAlignment w:val="center"/>
              <w:rPr>
                <w:rFonts w:ascii="仿宋" w:hAnsi="仿宋" w:eastAsia="仿宋" w:cs="宋体"/>
                <w:b/>
                <w:color w:val="auto"/>
                <w:sz w:val="24"/>
                <w:szCs w:val="28"/>
              </w:rPr>
            </w:pPr>
            <w:r>
              <w:rPr>
                <w:rFonts w:hint="eastAsia" w:ascii="仿宋" w:hAnsi="仿宋" w:eastAsia="仿宋" w:cs="宋体"/>
                <w:b/>
                <w:color w:val="auto"/>
                <w:kern w:val="0"/>
                <w:sz w:val="24"/>
                <w:szCs w:val="28"/>
              </w:rPr>
              <w:t>（万元）</w:t>
            </w:r>
          </w:p>
        </w:tc>
        <w:tc>
          <w:tcPr>
            <w:tcW w:w="13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 w:hAnsi="仿宋" w:eastAsia="仿宋" w:cs="宋体"/>
                <w:b/>
                <w:color w:val="auto"/>
                <w:sz w:val="24"/>
                <w:szCs w:val="28"/>
              </w:rPr>
            </w:pPr>
            <w:r>
              <w:rPr>
                <w:rFonts w:hint="eastAsia" w:ascii="仿宋" w:hAnsi="仿宋" w:eastAsia="仿宋" w:cs="宋体"/>
                <w:b/>
                <w:color w:val="auto"/>
                <w:kern w:val="0"/>
                <w:sz w:val="24"/>
                <w:szCs w:val="28"/>
              </w:rPr>
              <w:t>保险期限</w:t>
            </w:r>
          </w:p>
        </w:tc>
      </w:tr>
      <w:tr>
        <w:tblPrEx>
          <w:tblCellMar>
            <w:top w:w="0" w:type="dxa"/>
            <w:left w:w="0" w:type="dxa"/>
            <w:bottom w:w="0" w:type="dxa"/>
            <w:right w:w="0" w:type="dxa"/>
          </w:tblCellMar>
        </w:tblPrEx>
        <w:trPr>
          <w:trHeight w:val="270" w:hRule="atLeast"/>
          <w:jc w:val="center"/>
        </w:trPr>
        <w:tc>
          <w:tcPr>
            <w:tcW w:w="2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00" w:lineRule="exact"/>
              <w:jc w:val="center"/>
              <w:rPr>
                <w:rFonts w:ascii="仿宋_GB2312" w:eastAsia="仿宋_GB2312" w:cs="Arial" w:hAnsiTheme="minorEastAsia"/>
                <w:color w:val="auto"/>
                <w:sz w:val="24"/>
                <w:szCs w:val="24"/>
              </w:rPr>
            </w:pPr>
            <w:r>
              <w:rPr>
                <w:rFonts w:hint="eastAsia" w:ascii="仿宋_GB2312" w:eastAsia="仿宋_GB2312" w:cs="宋体" w:hAnsiTheme="minorEastAsia"/>
                <w:color w:val="auto"/>
                <w:sz w:val="24"/>
                <w:szCs w:val="24"/>
              </w:rPr>
              <w:t>索普天辰</w:t>
            </w:r>
          </w:p>
        </w:tc>
        <w:tc>
          <w:tcPr>
            <w:tcW w:w="1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eastAsia="仿宋_GB2312" w:asciiTheme="minorHAnsi" w:hAnsiTheme="minorHAnsi" w:cstheme="minorHAnsi"/>
                <w:color w:val="auto"/>
                <w:szCs w:val="21"/>
                <w:lang w:val="en-US" w:eastAsia="zh-CN"/>
              </w:rPr>
            </w:pPr>
            <w:r>
              <w:rPr>
                <w:rFonts w:hint="eastAsia" w:eastAsia="仿宋_GB2312" w:asciiTheme="minorHAnsi" w:hAnsiTheme="minorHAnsi" w:cstheme="minorHAnsi"/>
                <w:color w:val="auto"/>
                <w:szCs w:val="21"/>
                <w:lang w:val="en-US" w:eastAsia="zh-CN"/>
              </w:rPr>
              <w:t>5,158</w:t>
            </w:r>
          </w:p>
        </w:tc>
        <w:tc>
          <w:tcPr>
            <w:tcW w:w="15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eastAsia="仿宋_GB2312" w:asciiTheme="minorHAnsi" w:hAnsiTheme="minorHAnsi" w:cstheme="minorHAnsi"/>
                <w:color w:val="auto"/>
                <w:szCs w:val="21"/>
                <w:lang w:val="en-US" w:eastAsia="zh-CN"/>
              </w:rPr>
            </w:pPr>
            <w:r>
              <w:rPr>
                <w:rFonts w:hint="eastAsia" w:eastAsia="仿宋_GB2312" w:asciiTheme="minorHAnsi" w:hAnsiTheme="minorHAnsi" w:cstheme="minorHAnsi"/>
                <w:color w:val="auto"/>
                <w:szCs w:val="21"/>
                <w:lang w:val="en-US" w:eastAsia="zh-CN"/>
              </w:rPr>
              <w:t>4,778</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00" w:lineRule="exact"/>
              <w:jc w:val="center"/>
              <w:rPr>
                <w:rFonts w:hint="eastAsia" w:eastAsia="仿宋_GB2312" w:asciiTheme="minorHAnsi" w:hAnsiTheme="minorHAnsi" w:cstheme="minorHAnsi"/>
                <w:color w:val="auto"/>
                <w:szCs w:val="21"/>
                <w:lang w:val="en-US" w:eastAsia="zh-CN"/>
              </w:rPr>
            </w:pPr>
          </w:p>
        </w:tc>
        <w:tc>
          <w:tcPr>
            <w:tcW w:w="138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500" w:lineRule="exact"/>
              <w:jc w:val="both"/>
              <w:textAlignment w:val="center"/>
              <w:rPr>
                <w:rFonts w:ascii="仿宋_GB2312" w:eastAsia="仿宋_GB2312" w:cs="宋体" w:hAnsiTheme="minorEastAsia"/>
                <w:color w:val="auto"/>
                <w:sz w:val="28"/>
                <w:szCs w:val="28"/>
              </w:rPr>
            </w:pPr>
            <w:r>
              <w:rPr>
                <w:rFonts w:hint="eastAsia" w:ascii="仿宋_GB2312" w:eastAsia="仿宋_GB2312" w:cs="宋体" w:hAnsiTheme="minorEastAsia"/>
                <w:color w:val="auto"/>
                <w:sz w:val="24"/>
                <w:szCs w:val="24"/>
              </w:rPr>
              <w:t>2024年</w:t>
            </w:r>
            <w:r>
              <w:rPr>
                <w:rFonts w:hint="eastAsia" w:ascii="仿宋_GB2312" w:eastAsia="仿宋_GB2312" w:cs="宋体" w:hAnsiTheme="minorEastAsia"/>
                <w:color w:val="auto"/>
                <w:sz w:val="24"/>
                <w:szCs w:val="24"/>
                <w:lang w:val="en-US" w:eastAsia="zh-CN"/>
              </w:rPr>
              <w:t>8</w:t>
            </w:r>
            <w:r>
              <w:rPr>
                <w:rFonts w:hint="eastAsia" w:ascii="仿宋_GB2312" w:eastAsia="仿宋_GB2312" w:cs="宋体" w:hAnsiTheme="minorEastAsia"/>
                <w:color w:val="auto"/>
                <w:sz w:val="24"/>
                <w:szCs w:val="24"/>
              </w:rPr>
              <w:t>月</w:t>
            </w:r>
            <w:r>
              <w:rPr>
                <w:rFonts w:hint="eastAsia" w:ascii="仿宋_GB2312" w:eastAsia="仿宋_GB2312" w:cs="宋体" w:hAnsiTheme="minorEastAsia"/>
                <w:color w:val="auto"/>
                <w:sz w:val="24"/>
                <w:szCs w:val="24"/>
                <w:lang w:val="en-US" w:eastAsia="zh-CN"/>
              </w:rPr>
              <w:t>3</w:t>
            </w:r>
            <w:r>
              <w:rPr>
                <w:rFonts w:hint="eastAsia" w:ascii="仿宋_GB2312" w:eastAsia="仿宋_GB2312" w:cs="宋体" w:hAnsiTheme="minorEastAsia"/>
                <w:color w:val="auto"/>
                <w:sz w:val="24"/>
                <w:szCs w:val="24"/>
              </w:rPr>
              <w:t>日至2026年</w:t>
            </w:r>
            <w:r>
              <w:rPr>
                <w:rFonts w:hint="eastAsia" w:ascii="仿宋_GB2312" w:eastAsia="仿宋_GB2312" w:cs="宋体" w:hAnsiTheme="minorEastAsia"/>
                <w:color w:val="auto"/>
                <w:sz w:val="24"/>
                <w:szCs w:val="24"/>
                <w:lang w:val="en-US" w:eastAsia="zh-CN"/>
              </w:rPr>
              <w:t>8</w:t>
            </w:r>
            <w:r>
              <w:rPr>
                <w:rFonts w:hint="eastAsia" w:ascii="仿宋_GB2312" w:eastAsia="仿宋_GB2312" w:cs="宋体" w:hAnsiTheme="minorEastAsia"/>
                <w:color w:val="auto"/>
                <w:sz w:val="24"/>
                <w:szCs w:val="24"/>
              </w:rPr>
              <w:t>月</w:t>
            </w:r>
            <w:r>
              <w:rPr>
                <w:rFonts w:hint="eastAsia" w:ascii="仿宋_GB2312" w:eastAsia="仿宋_GB2312" w:cs="宋体" w:hAnsiTheme="minorEastAsia"/>
                <w:color w:val="auto"/>
                <w:sz w:val="24"/>
                <w:szCs w:val="24"/>
                <w:lang w:val="en-US" w:eastAsia="zh-CN"/>
              </w:rPr>
              <w:t>2</w:t>
            </w:r>
            <w:r>
              <w:rPr>
                <w:rFonts w:hint="eastAsia" w:ascii="仿宋_GB2312" w:eastAsia="仿宋_GB2312" w:cs="宋体" w:hAnsiTheme="minorEastAsia"/>
                <w:color w:val="auto"/>
                <w:sz w:val="24"/>
                <w:szCs w:val="24"/>
              </w:rPr>
              <w:t>日</w:t>
            </w:r>
          </w:p>
        </w:tc>
      </w:tr>
      <w:tr>
        <w:tblPrEx>
          <w:tblCellMar>
            <w:top w:w="0" w:type="dxa"/>
            <w:left w:w="0" w:type="dxa"/>
            <w:bottom w:w="0" w:type="dxa"/>
            <w:right w:w="0" w:type="dxa"/>
          </w:tblCellMar>
        </w:tblPrEx>
        <w:trPr>
          <w:trHeight w:val="270" w:hRule="atLeast"/>
          <w:jc w:val="center"/>
        </w:trPr>
        <w:tc>
          <w:tcPr>
            <w:tcW w:w="2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00" w:lineRule="exact"/>
              <w:jc w:val="center"/>
              <w:rPr>
                <w:rFonts w:ascii="仿宋_GB2312" w:eastAsia="仿宋_GB2312" w:cs="宋体" w:hAnsiTheme="minorEastAsia"/>
                <w:color w:val="auto"/>
                <w:sz w:val="24"/>
                <w:szCs w:val="24"/>
              </w:rPr>
            </w:pPr>
            <w:r>
              <w:rPr>
                <w:rFonts w:hint="eastAsia" w:ascii="仿宋_GB2312" w:eastAsia="仿宋_GB2312" w:cs="宋体" w:hAnsiTheme="minorEastAsia"/>
                <w:color w:val="auto"/>
                <w:sz w:val="24"/>
                <w:szCs w:val="24"/>
              </w:rPr>
              <w:t>投保险种</w:t>
            </w:r>
          </w:p>
        </w:tc>
        <w:tc>
          <w:tcPr>
            <w:tcW w:w="1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Arial" w:hAnsiTheme="minorEastAsia"/>
                <w:color w:val="auto"/>
                <w:sz w:val="24"/>
                <w:szCs w:val="24"/>
              </w:rPr>
            </w:pPr>
            <w:r>
              <w:rPr>
                <w:rFonts w:hint="eastAsia" w:ascii="仿宋_GB2312" w:eastAsia="仿宋_GB2312" w:cs="宋体" w:hAnsiTheme="minorEastAsia"/>
                <w:color w:val="auto"/>
                <w:sz w:val="24"/>
                <w:szCs w:val="24"/>
              </w:rPr>
              <w:t>财产一切险</w:t>
            </w:r>
          </w:p>
        </w:tc>
        <w:tc>
          <w:tcPr>
            <w:tcW w:w="15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Arial" w:hAnsiTheme="minorEastAsia"/>
                <w:color w:val="auto"/>
                <w:sz w:val="24"/>
                <w:szCs w:val="24"/>
              </w:rPr>
            </w:pPr>
            <w:r>
              <w:rPr>
                <w:rFonts w:hint="eastAsia" w:ascii="仿宋_GB2312" w:eastAsia="仿宋_GB2312" w:cs="Arial" w:hAnsiTheme="minorEastAsia"/>
                <w:color w:val="auto"/>
                <w:sz w:val="24"/>
                <w:szCs w:val="24"/>
              </w:rPr>
              <w:t>机器损坏险</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Arial" w:hAnsiTheme="minorEastAsia"/>
                <w:color w:val="auto"/>
                <w:sz w:val="24"/>
                <w:szCs w:val="24"/>
              </w:rPr>
            </w:pPr>
            <w:r>
              <w:rPr>
                <w:rFonts w:hint="eastAsia" w:ascii="仿宋_GB2312" w:eastAsia="仿宋_GB2312" w:cs="宋体" w:hAnsiTheme="minorEastAsia"/>
                <w:color w:val="auto"/>
                <w:sz w:val="24"/>
                <w:szCs w:val="24"/>
              </w:rPr>
              <w:t>财产一切险</w:t>
            </w:r>
          </w:p>
        </w:tc>
        <w:tc>
          <w:tcPr>
            <w:tcW w:w="1388"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_GB2312" w:eastAsia="仿宋_GB2312" w:cs="宋体" w:hAnsiTheme="minorEastAsia"/>
                <w:color w:val="auto"/>
                <w:sz w:val="24"/>
                <w:szCs w:val="28"/>
              </w:rPr>
            </w:pPr>
          </w:p>
        </w:tc>
      </w:tr>
    </w:tbl>
    <w:p>
      <w:pPr>
        <w:pStyle w:val="4"/>
        <w:spacing w:line="500" w:lineRule="exact"/>
        <w:ind w:firstLine="560" w:firstLineChars="200"/>
        <w:rPr>
          <w:rFonts w:ascii="仿宋_GB2312" w:hAnsi="宋体"/>
          <w:bCs/>
          <w:color w:val="auto"/>
          <w:sz w:val="28"/>
          <w:szCs w:val="28"/>
        </w:rPr>
      </w:pPr>
      <w:r>
        <w:rPr>
          <w:rFonts w:hint="eastAsia" w:ascii="仿宋_GB2312" w:hAnsi="宋体"/>
          <w:bCs/>
          <w:color w:val="auto"/>
          <w:sz w:val="28"/>
          <w:szCs w:val="28"/>
        </w:rPr>
        <w:t>5.</w:t>
      </w:r>
      <w:r>
        <w:rPr>
          <w:rFonts w:hint="eastAsia" w:ascii="仿宋_GB2312" w:hAnsi="宋体"/>
          <w:bCs/>
          <w:color w:val="auto"/>
          <w:sz w:val="28"/>
          <w:szCs w:val="28"/>
          <w:lang w:val="en-US" w:eastAsia="zh-CN"/>
        </w:rPr>
        <w:t xml:space="preserve"> </w:t>
      </w:r>
      <w:r>
        <w:rPr>
          <w:rFonts w:hint="eastAsia" w:ascii="仿宋_GB2312" w:hAnsi="宋体"/>
          <w:bCs/>
          <w:color w:val="auto"/>
          <w:sz w:val="28"/>
          <w:szCs w:val="28"/>
        </w:rPr>
        <w:t>项目五：江苏索普化工股份有限公司</w:t>
      </w:r>
    </w:p>
    <w:tbl>
      <w:tblPr>
        <w:tblStyle w:val="11"/>
        <w:tblW w:w="8629" w:type="dxa"/>
        <w:jc w:val="center"/>
        <w:tblLayout w:type="fixed"/>
        <w:tblCellMar>
          <w:top w:w="0" w:type="dxa"/>
          <w:left w:w="0" w:type="dxa"/>
          <w:bottom w:w="0" w:type="dxa"/>
          <w:right w:w="0" w:type="dxa"/>
        </w:tblCellMar>
      </w:tblPr>
      <w:tblGrid>
        <w:gridCol w:w="709"/>
        <w:gridCol w:w="1276"/>
        <w:gridCol w:w="1134"/>
        <w:gridCol w:w="1276"/>
        <w:gridCol w:w="1134"/>
        <w:gridCol w:w="1158"/>
        <w:gridCol w:w="826"/>
        <w:gridCol w:w="1116"/>
      </w:tblGrid>
      <w:tr>
        <w:tblPrEx>
          <w:tblCellMar>
            <w:top w:w="0" w:type="dxa"/>
            <w:left w:w="0" w:type="dxa"/>
            <w:bottom w:w="0" w:type="dxa"/>
            <w:right w:w="0" w:type="dxa"/>
          </w:tblCellMar>
        </w:tblPrEx>
        <w:trPr>
          <w:trHeight w:val="480" w:hRule="atLeast"/>
          <w:jc w:val="center"/>
        </w:trPr>
        <w:tc>
          <w:tcPr>
            <w:tcW w:w="19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b/>
                <w:color w:val="auto"/>
                <w:kern w:val="0"/>
                <w:sz w:val="24"/>
                <w:szCs w:val="28"/>
              </w:rPr>
            </w:pPr>
            <w:r>
              <w:rPr>
                <w:rFonts w:hint="eastAsia" w:ascii="仿宋" w:hAnsi="仿宋" w:eastAsia="仿宋" w:cs="宋体"/>
                <w:b/>
                <w:color w:val="auto"/>
                <w:kern w:val="0"/>
                <w:sz w:val="24"/>
                <w:szCs w:val="28"/>
              </w:rPr>
              <w:t>资产范围</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b/>
                <w:color w:val="auto"/>
                <w:sz w:val="24"/>
                <w:szCs w:val="28"/>
              </w:rPr>
            </w:pPr>
            <w:r>
              <w:rPr>
                <w:rFonts w:hint="eastAsia" w:ascii="仿宋" w:hAnsi="仿宋" w:eastAsia="仿宋" w:cs="宋体"/>
                <w:b/>
                <w:color w:val="auto"/>
                <w:sz w:val="24"/>
                <w:szCs w:val="28"/>
              </w:rPr>
              <w:t>运输方式及路线</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预估年总量</w:t>
            </w:r>
          </w:p>
          <w:p>
            <w:pPr>
              <w:widowControl/>
              <w:jc w:val="center"/>
              <w:textAlignment w:val="center"/>
              <w:rPr>
                <w:rFonts w:ascii="仿宋" w:hAnsi="仿宋" w:eastAsia="仿宋" w:cs="宋体"/>
                <w:b/>
                <w:color w:val="auto"/>
                <w:sz w:val="24"/>
                <w:szCs w:val="28"/>
              </w:rPr>
            </w:pPr>
            <w:r>
              <w:rPr>
                <w:rFonts w:hint="eastAsia" w:ascii="仿宋_GB2312" w:hAnsi="仿宋_GB2312" w:eastAsia="仿宋_GB2312" w:cs="仿宋_GB2312"/>
                <w:b/>
                <w:bCs/>
                <w:color w:val="auto"/>
                <w:sz w:val="24"/>
                <w:szCs w:val="24"/>
              </w:rPr>
              <w:t>（万吨）</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预估单价</w:t>
            </w:r>
          </w:p>
          <w:p>
            <w:pPr>
              <w:widowControl/>
              <w:jc w:val="center"/>
              <w:textAlignment w:val="center"/>
              <w:rPr>
                <w:rFonts w:ascii="仿宋" w:hAnsi="仿宋" w:eastAsia="仿宋" w:cs="宋体"/>
                <w:b/>
                <w:color w:val="auto"/>
                <w:sz w:val="24"/>
                <w:szCs w:val="28"/>
              </w:rPr>
            </w:pPr>
            <w:r>
              <w:rPr>
                <w:rFonts w:hint="eastAsia" w:ascii="仿宋_GB2312" w:hAnsi="仿宋_GB2312" w:eastAsia="仿宋_GB2312" w:cs="仿宋_GB2312"/>
                <w:b/>
                <w:bCs/>
                <w:color w:val="auto"/>
                <w:sz w:val="24"/>
                <w:szCs w:val="24"/>
              </w:rPr>
              <w:t>（元</w:t>
            </w:r>
            <w:r>
              <w:rPr>
                <w:rFonts w:ascii="仿宋_GB2312" w:hAnsi="仿宋_GB2312" w:eastAsia="仿宋_GB2312" w:cs="仿宋_GB2312"/>
                <w:b/>
                <w:bCs/>
                <w:color w:val="auto"/>
                <w:sz w:val="24"/>
                <w:szCs w:val="24"/>
              </w:rPr>
              <w:t>/</w:t>
            </w:r>
            <w:r>
              <w:rPr>
                <w:rFonts w:hint="eastAsia" w:ascii="仿宋_GB2312" w:hAnsi="仿宋_GB2312" w:eastAsia="仿宋_GB2312" w:cs="仿宋_GB2312"/>
                <w:b/>
                <w:bCs/>
                <w:color w:val="auto"/>
                <w:sz w:val="24"/>
                <w:szCs w:val="24"/>
              </w:rPr>
              <w:t>吨）</w:t>
            </w:r>
          </w:p>
        </w:tc>
        <w:tc>
          <w:tcPr>
            <w:tcW w:w="11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预估货值</w:t>
            </w:r>
          </w:p>
          <w:p>
            <w:pPr>
              <w:jc w:val="center"/>
              <w:rPr>
                <w:rFonts w:ascii="仿宋" w:hAnsi="仿宋" w:eastAsia="仿宋" w:cs="宋体"/>
                <w:b/>
                <w:color w:val="auto"/>
                <w:sz w:val="24"/>
                <w:szCs w:val="28"/>
              </w:rPr>
            </w:pPr>
            <w:r>
              <w:rPr>
                <w:rFonts w:hint="eastAsia" w:ascii="仿宋_GB2312" w:hAnsi="仿宋_GB2312" w:eastAsia="仿宋_GB2312" w:cs="仿宋_GB2312"/>
                <w:b/>
                <w:bCs/>
                <w:color w:val="auto"/>
                <w:sz w:val="24"/>
                <w:szCs w:val="24"/>
              </w:rPr>
              <w:t>（万元）</w:t>
            </w:r>
          </w:p>
        </w:tc>
        <w:tc>
          <w:tcPr>
            <w:tcW w:w="8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auto"/>
                <w:kern w:val="0"/>
                <w:sz w:val="24"/>
                <w:szCs w:val="28"/>
              </w:rPr>
            </w:pPr>
            <w:r>
              <w:rPr>
                <w:rFonts w:hint="eastAsia" w:ascii="仿宋_GB2312" w:hAnsi="仿宋_GB2312" w:eastAsia="仿宋_GB2312" w:cs="仿宋_GB2312"/>
                <w:b/>
                <w:bCs/>
                <w:color w:val="auto"/>
                <w:sz w:val="24"/>
                <w:szCs w:val="24"/>
              </w:rPr>
              <w:t>免赔率</w:t>
            </w:r>
          </w:p>
        </w:tc>
        <w:tc>
          <w:tcPr>
            <w:tcW w:w="1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b/>
                <w:color w:val="auto"/>
                <w:sz w:val="24"/>
                <w:szCs w:val="28"/>
              </w:rPr>
            </w:pPr>
            <w:r>
              <w:rPr>
                <w:rFonts w:hint="eastAsia" w:ascii="仿宋" w:hAnsi="仿宋" w:eastAsia="仿宋" w:cs="宋体"/>
                <w:b/>
                <w:color w:val="auto"/>
                <w:kern w:val="0"/>
                <w:sz w:val="24"/>
                <w:szCs w:val="28"/>
              </w:rPr>
              <w:t>保险期限</w:t>
            </w:r>
          </w:p>
        </w:tc>
      </w:tr>
      <w:tr>
        <w:tblPrEx>
          <w:tblCellMar>
            <w:top w:w="0" w:type="dxa"/>
            <w:left w:w="0" w:type="dxa"/>
            <w:bottom w:w="0" w:type="dxa"/>
            <w:right w:w="0" w:type="dxa"/>
          </w:tblCellMar>
        </w:tblPrEx>
        <w:trPr>
          <w:trHeight w:val="270" w:hRule="atLeast"/>
          <w:jc w:val="center"/>
        </w:trPr>
        <w:tc>
          <w:tcPr>
            <w:tcW w:w="70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spacing w:line="500" w:lineRule="exact"/>
              <w:jc w:val="center"/>
              <w:textAlignment w:val="center"/>
              <w:rPr>
                <w:rFonts w:ascii="仿宋_GB2312" w:eastAsia="仿宋_GB2312" w:cs="宋体" w:hAnsiTheme="minorEastAsia"/>
                <w:color w:val="auto"/>
                <w:sz w:val="24"/>
                <w:szCs w:val="24"/>
              </w:rPr>
            </w:pPr>
            <w:bookmarkStart w:id="0" w:name="_Hlk100241275"/>
            <w:r>
              <w:rPr>
                <w:rFonts w:hint="eastAsia" w:ascii="仿宋_GB2312" w:eastAsia="仿宋_GB2312" w:cs="宋体" w:hAnsiTheme="minorEastAsia"/>
                <w:color w:val="auto"/>
                <w:sz w:val="24"/>
                <w:szCs w:val="24"/>
              </w:rPr>
              <w:t>索普股份</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00" w:lineRule="exact"/>
              <w:jc w:val="center"/>
              <w:rPr>
                <w:rFonts w:ascii="仿宋_GB2312" w:eastAsia="仿宋_GB2312" w:cs="Arial" w:hAnsiTheme="minorEastAsia"/>
                <w:color w:val="auto"/>
                <w:sz w:val="24"/>
                <w:szCs w:val="24"/>
              </w:rPr>
            </w:pPr>
            <w:r>
              <w:rPr>
                <w:rFonts w:hint="eastAsia" w:ascii="仿宋_GB2312" w:eastAsia="仿宋_GB2312" w:cs="Arial" w:hAnsiTheme="minorEastAsia"/>
                <w:color w:val="auto"/>
                <w:sz w:val="24"/>
                <w:szCs w:val="24"/>
              </w:rPr>
              <w:t>煤炭</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rPr>
              <w:t>海轮+江轮，黄骅（北方港）/天津到大港到索普甲醇码头</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200</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1,000</w:t>
            </w:r>
          </w:p>
        </w:tc>
        <w:tc>
          <w:tcPr>
            <w:tcW w:w="11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200,000</w:t>
            </w:r>
          </w:p>
        </w:tc>
        <w:tc>
          <w:tcPr>
            <w:tcW w:w="82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cs="宋体" w:asciiTheme="minorEastAsia" w:hAnsiTheme="minorEastAsia" w:eastAsiaTheme="minorEastAsia"/>
                <w:b/>
                <w:color w:val="auto"/>
                <w:sz w:val="24"/>
                <w:szCs w:val="24"/>
              </w:rPr>
            </w:pPr>
            <w:r>
              <w:rPr>
                <w:rFonts w:hint="eastAsia" w:cs="宋体" w:asciiTheme="minorEastAsia" w:hAnsiTheme="minorEastAsia" w:eastAsiaTheme="minorEastAsia"/>
                <w:color w:val="auto"/>
                <w:kern w:val="0"/>
                <w:sz w:val="24"/>
                <w:szCs w:val="24"/>
              </w:rPr>
              <w:t>3‰</w:t>
            </w:r>
          </w:p>
        </w:tc>
        <w:tc>
          <w:tcPr>
            <w:tcW w:w="1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olor w:val="auto"/>
              </w:rPr>
              <w:t>2024年6月1日至202</w:t>
            </w:r>
            <w:r>
              <w:rPr>
                <w:rFonts w:hint="eastAsia" w:asciiTheme="minorEastAsia" w:hAnsiTheme="minorEastAsia" w:eastAsiaTheme="minorEastAsia"/>
                <w:color w:val="auto"/>
                <w:lang w:val="en-US" w:eastAsia="zh-CN"/>
              </w:rPr>
              <w:t>6</w:t>
            </w:r>
            <w:r>
              <w:rPr>
                <w:rFonts w:hint="eastAsia" w:asciiTheme="minorEastAsia" w:hAnsiTheme="minorEastAsia" w:eastAsiaTheme="minorEastAsia"/>
                <w:color w:val="auto"/>
              </w:rPr>
              <w:t>年5月31日</w:t>
            </w:r>
          </w:p>
        </w:tc>
      </w:tr>
      <w:bookmarkEnd w:id="0"/>
      <w:tr>
        <w:tblPrEx>
          <w:tblCellMar>
            <w:top w:w="0" w:type="dxa"/>
            <w:left w:w="0" w:type="dxa"/>
            <w:bottom w:w="0" w:type="dxa"/>
            <w:right w:w="0" w:type="dxa"/>
          </w:tblCellMar>
        </w:tblPrEx>
        <w:trPr>
          <w:trHeight w:val="270" w:hRule="atLeast"/>
          <w:jc w:val="center"/>
        </w:trPr>
        <w:tc>
          <w:tcPr>
            <w:tcW w:w="709" w:type="dxa"/>
            <w:vMerge w:val="continue"/>
            <w:tcBorders>
              <w:left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_GB2312" w:eastAsia="仿宋_GB2312" w:cs="宋体" w:hAnsiTheme="minorEastAsia"/>
                <w:color w:val="auto"/>
                <w:sz w:val="24"/>
                <w:szCs w:val="24"/>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00" w:lineRule="exact"/>
              <w:jc w:val="center"/>
              <w:rPr>
                <w:rFonts w:ascii="仿宋_GB2312" w:eastAsia="仿宋_GB2312" w:cs="Arial" w:hAnsiTheme="minorEastAsia"/>
                <w:color w:val="auto"/>
                <w:sz w:val="24"/>
                <w:szCs w:val="24"/>
              </w:rPr>
            </w:pPr>
            <w:r>
              <w:rPr>
                <w:rFonts w:hint="eastAsia" w:ascii="仿宋_GB2312" w:eastAsia="仿宋_GB2312" w:cs="Arial" w:hAnsiTheme="minorEastAsia"/>
                <w:color w:val="auto"/>
                <w:sz w:val="24"/>
                <w:szCs w:val="24"/>
              </w:rPr>
              <w:t>乙醇</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rPr>
              <w:t>海轮，锦州港、仙人岛、到海纳川码头</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7.2</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6,200</w:t>
            </w:r>
          </w:p>
        </w:tc>
        <w:tc>
          <w:tcPr>
            <w:tcW w:w="11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44,640</w:t>
            </w:r>
          </w:p>
        </w:tc>
        <w:tc>
          <w:tcPr>
            <w:tcW w:w="82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kern w:val="0"/>
                <w:sz w:val="24"/>
                <w:szCs w:val="24"/>
              </w:rPr>
              <w:t>3‰</w:t>
            </w:r>
          </w:p>
        </w:tc>
        <w:tc>
          <w:tcPr>
            <w:tcW w:w="1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00" w:lineRule="exact"/>
              <w:jc w:val="center"/>
              <w:textAlignment w:val="center"/>
              <w:rPr>
                <w:rFonts w:hint="eastAsia" w:ascii="仿宋_GB2312" w:cs="宋体" w:hAnsiTheme="minorEastAsia" w:eastAsiaTheme="minorEastAsia"/>
                <w:color w:val="auto"/>
                <w:sz w:val="24"/>
                <w:szCs w:val="24"/>
                <w:lang w:eastAsia="zh-CN"/>
              </w:rPr>
            </w:pPr>
            <w:r>
              <w:rPr>
                <w:rFonts w:hint="eastAsia" w:asciiTheme="minorEastAsia" w:hAnsiTheme="minorEastAsia" w:eastAsiaTheme="minorEastAsia"/>
                <w:color w:val="auto"/>
                <w:lang w:val="en-US" w:eastAsia="zh-CN"/>
              </w:rPr>
              <w:t>2</w:t>
            </w:r>
            <w:r>
              <w:rPr>
                <w:rFonts w:hint="eastAsia" w:asciiTheme="minorEastAsia" w:hAnsiTheme="minorEastAsia" w:eastAsiaTheme="minorEastAsia"/>
                <w:color w:val="auto"/>
              </w:rPr>
              <w:t>024年</w:t>
            </w:r>
            <w:r>
              <w:rPr>
                <w:rFonts w:hint="eastAsia" w:asciiTheme="minorEastAsia" w:hAnsiTheme="minorEastAsia" w:eastAsiaTheme="minorEastAsia"/>
                <w:color w:val="auto"/>
                <w:lang w:val="en-US" w:eastAsia="zh-CN"/>
              </w:rPr>
              <w:t>7</w:t>
            </w:r>
            <w:r>
              <w:rPr>
                <w:rFonts w:hint="eastAsia" w:asciiTheme="minorEastAsia" w:hAnsiTheme="minorEastAsia" w:eastAsiaTheme="minorEastAsia"/>
                <w:color w:val="auto"/>
              </w:rPr>
              <w:t>月1日至202</w:t>
            </w:r>
            <w:r>
              <w:rPr>
                <w:rFonts w:hint="eastAsia" w:asciiTheme="minorEastAsia" w:hAnsiTheme="minorEastAsia" w:eastAsiaTheme="minorEastAsia"/>
                <w:color w:val="auto"/>
                <w:lang w:val="en-US" w:eastAsia="zh-CN"/>
              </w:rPr>
              <w:t>6</w:t>
            </w:r>
            <w:r>
              <w:rPr>
                <w:rFonts w:hint="eastAsia" w:asciiTheme="minorEastAsia" w:hAnsiTheme="minorEastAsia" w:eastAsiaTheme="minorEastAsia"/>
                <w:color w:val="auto"/>
              </w:rPr>
              <w:t>年</w:t>
            </w:r>
            <w:r>
              <w:rPr>
                <w:rFonts w:hint="eastAsia" w:asciiTheme="minorEastAsia" w:hAnsiTheme="minorEastAsia" w:eastAsiaTheme="minorEastAsia"/>
                <w:color w:val="auto"/>
                <w:lang w:val="en-US" w:eastAsia="zh-CN"/>
              </w:rPr>
              <w:t>6</w:t>
            </w:r>
            <w:r>
              <w:rPr>
                <w:rFonts w:hint="eastAsia" w:asciiTheme="minorEastAsia" w:hAnsiTheme="minorEastAsia" w:eastAsiaTheme="minorEastAsia"/>
                <w:color w:val="auto"/>
              </w:rPr>
              <w:t>月3</w:t>
            </w:r>
            <w:r>
              <w:rPr>
                <w:rFonts w:hint="eastAsia" w:asciiTheme="minorEastAsia" w:hAnsiTheme="minorEastAsia" w:eastAsiaTheme="minorEastAsia"/>
                <w:color w:val="auto"/>
                <w:lang w:val="en-US" w:eastAsia="zh-CN"/>
              </w:rPr>
              <w:t>0</w:t>
            </w:r>
          </w:p>
        </w:tc>
      </w:tr>
      <w:tr>
        <w:tblPrEx>
          <w:tblCellMar>
            <w:top w:w="0" w:type="dxa"/>
            <w:left w:w="0" w:type="dxa"/>
            <w:bottom w:w="0" w:type="dxa"/>
            <w:right w:w="0" w:type="dxa"/>
          </w:tblCellMar>
        </w:tblPrEx>
        <w:trPr>
          <w:trHeight w:val="270" w:hRule="atLeast"/>
          <w:jc w:val="center"/>
        </w:trPr>
        <w:tc>
          <w:tcPr>
            <w:tcW w:w="709" w:type="dxa"/>
            <w:vMerge w:val="continue"/>
            <w:tcBorders>
              <w:left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_GB2312" w:eastAsia="仿宋_GB2312" w:cs="宋体" w:hAnsiTheme="minorEastAsia"/>
                <w:color w:val="auto"/>
                <w:sz w:val="24"/>
                <w:szCs w:val="24"/>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00" w:lineRule="exact"/>
              <w:jc w:val="center"/>
              <w:rPr>
                <w:rFonts w:ascii="仿宋_GB2312" w:eastAsia="仿宋_GB2312" w:cs="Arial" w:hAnsiTheme="minorEastAsia"/>
                <w:color w:val="auto"/>
                <w:sz w:val="24"/>
                <w:szCs w:val="24"/>
              </w:rPr>
            </w:pPr>
            <w:r>
              <w:rPr>
                <w:rFonts w:hint="eastAsia" w:ascii="仿宋_GB2312" w:eastAsia="仿宋_GB2312" w:cs="Arial" w:hAnsiTheme="minorEastAsia"/>
                <w:color w:val="auto"/>
                <w:sz w:val="24"/>
                <w:szCs w:val="24"/>
              </w:rPr>
              <w:t>醋酸</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rPr>
              <w:t>泰兴、江阴、宁波等</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60</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2,800</w:t>
            </w:r>
          </w:p>
        </w:tc>
        <w:tc>
          <w:tcPr>
            <w:tcW w:w="11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168,000</w:t>
            </w:r>
          </w:p>
        </w:tc>
        <w:tc>
          <w:tcPr>
            <w:tcW w:w="82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kern w:val="0"/>
                <w:sz w:val="24"/>
                <w:szCs w:val="24"/>
              </w:rPr>
              <w:t>3‰</w:t>
            </w:r>
          </w:p>
        </w:tc>
        <w:tc>
          <w:tcPr>
            <w:tcW w:w="1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_GB2312" w:eastAsia="仿宋_GB2312" w:cs="宋体" w:hAnsiTheme="minorEastAsia"/>
                <w:color w:val="auto"/>
                <w:sz w:val="24"/>
                <w:szCs w:val="24"/>
              </w:rPr>
            </w:pPr>
            <w:r>
              <w:rPr>
                <w:rFonts w:hint="eastAsia" w:asciiTheme="minorEastAsia" w:hAnsiTheme="minorEastAsia" w:eastAsiaTheme="minorEastAsia"/>
                <w:color w:val="auto"/>
                <w:lang w:val="en-US" w:eastAsia="zh-CN"/>
              </w:rPr>
              <w:t>2</w:t>
            </w:r>
            <w:r>
              <w:rPr>
                <w:rFonts w:hint="eastAsia" w:asciiTheme="minorEastAsia" w:hAnsiTheme="minorEastAsia" w:eastAsiaTheme="minorEastAsia"/>
                <w:color w:val="auto"/>
              </w:rPr>
              <w:t>024年</w:t>
            </w:r>
            <w:r>
              <w:rPr>
                <w:rFonts w:hint="eastAsia" w:asciiTheme="minorEastAsia" w:hAnsiTheme="minorEastAsia" w:eastAsiaTheme="minorEastAsia"/>
                <w:color w:val="auto"/>
                <w:lang w:val="en-US" w:eastAsia="zh-CN"/>
              </w:rPr>
              <w:t>9</w:t>
            </w:r>
            <w:r>
              <w:rPr>
                <w:rFonts w:hint="eastAsia" w:asciiTheme="minorEastAsia" w:hAnsiTheme="minorEastAsia" w:eastAsiaTheme="minorEastAsia"/>
                <w:color w:val="auto"/>
              </w:rPr>
              <w:t>月1日至202</w:t>
            </w:r>
            <w:r>
              <w:rPr>
                <w:rFonts w:hint="eastAsia" w:asciiTheme="minorEastAsia" w:hAnsiTheme="minorEastAsia" w:eastAsiaTheme="minorEastAsia"/>
                <w:color w:val="auto"/>
                <w:lang w:val="en-US" w:eastAsia="zh-CN"/>
              </w:rPr>
              <w:t>6</w:t>
            </w:r>
            <w:r>
              <w:rPr>
                <w:rFonts w:hint="eastAsia" w:asciiTheme="minorEastAsia" w:hAnsiTheme="minorEastAsia" w:eastAsiaTheme="minorEastAsia"/>
                <w:color w:val="auto"/>
              </w:rPr>
              <w:t>年</w:t>
            </w:r>
            <w:r>
              <w:rPr>
                <w:rFonts w:hint="eastAsia" w:asciiTheme="minorEastAsia" w:hAnsiTheme="minorEastAsia" w:eastAsiaTheme="minorEastAsia"/>
                <w:color w:val="auto"/>
                <w:lang w:val="en-US" w:eastAsia="zh-CN"/>
              </w:rPr>
              <w:t>8</w:t>
            </w:r>
            <w:r>
              <w:rPr>
                <w:rFonts w:hint="eastAsia" w:asciiTheme="minorEastAsia" w:hAnsiTheme="minorEastAsia" w:eastAsiaTheme="minorEastAsia"/>
                <w:color w:val="auto"/>
              </w:rPr>
              <w:t>月31</w:t>
            </w:r>
          </w:p>
        </w:tc>
      </w:tr>
      <w:tr>
        <w:tblPrEx>
          <w:tblCellMar>
            <w:top w:w="0" w:type="dxa"/>
            <w:left w:w="0" w:type="dxa"/>
            <w:bottom w:w="0" w:type="dxa"/>
            <w:right w:w="0" w:type="dxa"/>
          </w:tblCellMar>
        </w:tblPrEx>
        <w:trPr>
          <w:trHeight w:val="270" w:hRule="atLeast"/>
          <w:jc w:val="center"/>
        </w:trPr>
        <w:tc>
          <w:tcPr>
            <w:tcW w:w="709" w:type="dxa"/>
            <w:vMerge w:val="continue"/>
            <w:tcBorders>
              <w:left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_GB2312" w:eastAsia="仿宋_GB2312" w:cs="宋体" w:hAnsiTheme="minorEastAsia"/>
                <w:color w:val="auto"/>
                <w:sz w:val="24"/>
                <w:szCs w:val="24"/>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00" w:lineRule="exact"/>
              <w:jc w:val="center"/>
              <w:rPr>
                <w:rFonts w:hint="eastAsia" w:ascii="仿宋_GB2312" w:eastAsia="仿宋_GB2312" w:cs="Arial" w:hAnsiTheme="minorEastAsia"/>
                <w:color w:val="auto"/>
                <w:sz w:val="24"/>
                <w:szCs w:val="24"/>
              </w:rPr>
            </w:pPr>
            <w:r>
              <w:rPr>
                <w:rFonts w:hint="eastAsia" w:ascii="仿宋_GB2312" w:eastAsia="仿宋_GB2312" w:cs="Arial" w:hAnsiTheme="minorEastAsia"/>
                <w:color w:val="auto"/>
                <w:sz w:val="24"/>
                <w:szCs w:val="24"/>
              </w:rPr>
              <w:t>乙酯</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olor w:val="auto"/>
              </w:rPr>
            </w:pPr>
            <w:r>
              <w:rPr>
                <w:rFonts w:hint="eastAsia" w:asciiTheme="minorEastAsia" w:hAnsiTheme="minorEastAsia" w:eastAsiaTheme="minorEastAsia"/>
                <w:color w:val="auto"/>
              </w:rPr>
              <w:t>泰兴、江阴、宁波等</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5</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6,200</w:t>
            </w:r>
          </w:p>
        </w:tc>
        <w:tc>
          <w:tcPr>
            <w:tcW w:w="11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31,000</w:t>
            </w:r>
          </w:p>
        </w:tc>
        <w:tc>
          <w:tcPr>
            <w:tcW w:w="82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hint="eastAsia"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3‰</w:t>
            </w:r>
          </w:p>
        </w:tc>
        <w:tc>
          <w:tcPr>
            <w:tcW w:w="1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_GB2312" w:eastAsia="仿宋_GB2312" w:cs="宋体" w:hAnsiTheme="minorEastAsia"/>
                <w:color w:val="auto"/>
                <w:sz w:val="24"/>
                <w:szCs w:val="24"/>
              </w:rPr>
            </w:pPr>
            <w:r>
              <w:rPr>
                <w:rFonts w:hint="eastAsia" w:asciiTheme="minorEastAsia" w:hAnsiTheme="minorEastAsia" w:eastAsiaTheme="minorEastAsia"/>
                <w:color w:val="auto"/>
                <w:lang w:val="en-US" w:eastAsia="zh-CN"/>
              </w:rPr>
              <w:t>2</w:t>
            </w:r>
            <w:r>
              <w:rPr>
                <w:rFonts w:hint="eastAsia" w:asciiTheme="minorEastAsia" w:hAnsiTheme="minorEastAsia" w:eastAsiaTheme="minorEastAsia"/>
                <w:color w:val="auto"/>
              </w:rPr>
              <w:t>024年</w:t>
            </w:r>
            <w:r>
              <w:rPr>
                <w:rFonts w:hint="eastAsia" w:asciiTheme="minorEastAsia" w:hAnsiTheme="minorEastAsia" w:eastAsiaTheme="minorEastAsia"/>
                <w:color w:val="auto"/>
                <w:lang w:val="en-US" w:eastAsia="zh-CN"/>
              </w:rPr>
              <w:t>9</w:t>
            </w:r>
            <w:r>
              <w:rPr>
                <w:rFonts w:hint="eastAsia" w:asciiTheme="minorEastAsia" w:hAnsiTheme="minorEastAsia" w:eastAsiaTheme="minorEastAsia"/>
                <w:color w:val="auto"/>
              </w:rPr>
              <w:t>月1日至202</w:t>
            </w:r>
            <w:r>
              <w:rPr>
                <w:rFonts w:hint="eastAsia" w:asciiTheme="minorEastAsia" w:hAnsiTheme="minorEastAsia" w:eastAsiaTheme="minorEastAsia"/>
                <w:color w:val="auto"/>
                <w:lang w:val="en-US" w:eastAsia="zh-CN"/>
              </w:rPr>
              <w:t>6</w:t>
            </w:r>
            <w:r>
              <w:rPr>
                <w:rFonts w:hint="eastAsia" w:asciiTheme="minorEastAsia" w:hAnsiTheme="minorEastAsia" w:eastAsiaTheme="minorEastAsia"/>
                <w:color w:val="auto"/>
              </w:rPr>
              <w:t>年</w:t>
            </w:r>
            <w:r>
              <w:rPr>
                <w:rFonts w:hint="eastAsia" w:asciiTheme="minorEastAsia" w:hAnsiTheme="minorEastAsia" w:eastAsiaTheme="minorEastAsia"/>
                <w:color w:val="auto"/>
                <w:lang w:val="en-US" w:eastAsia="zh-CN"/>
              </w:rPr>
              <w:t>8</w:t>
            </w:r>
            <w:r>
              <w:rPr>
                <w:rFonts w:hint="eastAsia" w:asciiTheme="minorEastAsia" w:hAnsiTheme="minorEastAsia" w:eastAsiaTheme="minorEastAsia"/>
                <w:color w:val="auto"/>
              </w:rPr>
              <w:t>月31</w:t>
            </w:r>
          </w:p>
        </w:tc>
      </w:tr>
      <w:tr>
        <w:tblPrEx>
          <w:tblCellMar>
            <w:top w:w="0" w:type="dxa"/>
            <w:left w:w="0" w:type="dxa"/>
            <w:bottom w:w="0" w:type="dxa"/>
            <w:right w:w="0" w:type="dxa"/>
          </w:tblCellMar>
        </w:tblPrEx>
        <w:trPr>
          <w:trHeight w:val="270" w:hRule="atLeast"/>
          <w:jc w:val="center"/>
        </w:trPr>
        <w:tc>
          <w:tcPr>
            <w:tcW w:w="19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00" w:lineRule="exact"/>
              <w:jc w:val="center"/>
              <w:rPr>
                <w:rFonts w:ascii="仿宋_GB2312" w:eastAsia="仿宋_GB2312" w:cs="宋体" w:hAnsiTheme="minorEastAsia"/>
                <w:color w:val="auto"/>
                <w:sz w:val="24"/>
                <w:szCs w:val="24"/>
              </w:rPr>
            </w:pPr>
            <w:r>
              <w:rPr>
                <w:rFonts w:hint="eastAsia" w:ascii="仿宋_GB2312" w:eastAsia="仿宋_GB2312" w:cs="宋体" w:hAnsiTheme="minorEastAsia"/>
                <w:color w:val="auto"/>
                <w:sz w:val="24"/>
                <w:szCs w:val="24"/>
              </w:rPr>
              <w:t>投保险种</w:t>
            </w:r>
          </w:p>
        </w:tc>
        <w:tc>
          <w:tcPr>
            <w:tcW w:w="6644"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hAnsiTheme="minorEastAsia"/>
                <w:color w:val="auto"/>
                <w:sz w:val="24"/>
                <w:szCs w:val="24"/>
              </w:rPr>
            </w:pPr>
            <w:r>
              <w:rPr>
                <w:rFonts w:hint="eastAsia" w:ascii="仿宋_GB2312" w:eastAsia="仿宋_GB2312" w:cs="宋体" w:hAnsiTheme="minorEastAsia"/>
                <w:color w:val="auto"/>
                <w:sz w:val="24"/>
                <w:szCs w:val="24"/>
              </w:rPr>
              <w:t>货物运输预约保险</w:t>
            </w:r>
          </w:p>
        </w:tc>
      </w:tr>
    </w:tbl>
    <w:p>
      <w:pPr>
        <w:pStyle w:val="4"/>
        <w:spacing w:line="500" w:lineRule="exact"/>
        <w:ind w:firstLine="560" w:firstLineChars="200"/>
        <w:rPr>
          <w:rFonts w:hint="default" w:ascii="仿宋_GB2312" w:hAnsi="宋体" w:eastAsia="仿宋_GB2312"/>
          <w:bCs/>
          <w:color w:val="auto"/>
          <w:sz w:val="28"/>
          <w:szCs w:val="28"/>
          <w:lang w:val="en-US" w:eastAsia="zh-CN"/>
        </w:rPr>
      </w:pPr>
      <w:r>
        <w:rPr>
          <w:rFonts w:hint="eastAsia" w:ascii="楷体" w:hAnsi="楷体" w:eastAsia="楷体"/>
          <w:bCs/>
          <w:color w:val="auto"/>
          <w:sz w:val="28"/>
          <w:szCs w:val="28"/>
        </w:rPr>
        <w:t>（1）索普集团及子公司资产分为5个标的，最终资产保险金额以实际资产清单数据为准；</w:t>
      </w:r>
      <w:r>
        <w:rPr>
          <w:rFonts w:hint="eastAsia" w:ascii="楷体" w:hAnsi="楷体" w:eastAsia="楷体"/>
          <w:bCs/>
          <w:color w:val="auto"/>
          <w:sz w:val="28"/>
          <w:szCs w:val="28"/>
          <w:lang w:val="en-US" w:eastAsia="zh-CN"/>
        </w:rPr>
        <w:t>项目四如</w:t>
      </w:r>
      <w:r>
        <w:rPr>
          <w:rFonts w:hint="eastAsia" w:ascii="仿宋_GB2312" w:hAnsi="宋体"/>
          <w:bCs/>
          <w:color w:val="auto"/>
          <w:sz w:val="28"/>
          <w:szCs w:val="28"/>
          <w:lang w:val="en-US" w:eastAsia="zh-CN"/>
        </w:rPr>
        <w:t>在保险期间被吸收合并，将以吸收合并公司签订保险合同。</w:t>
      </w:r>
    </w:p>
    <w:p>
      <w:pPr>
        <w:pStyle w:val="4"/>
        <w:spacing w:line="500" w:lineRule="exact"/>
        <w:ind w:firstLine="560" w:firstLineChars="200"/>
        <w:rPr>
          <w:rFonts w:ascii="楷体" w:hAnsi="楷体" w:eastAsia="楷体"/>
          <w:bCs/>
          <w:color w:val="auto"/>
          <w:sz w:val="28"/>
          <w:szCs w:val="28"/>
        </w:rPr>
      </w:pPr>
      <w:r>
        <w:rPr>
          <w:rFonts w:hint="eastAsia" w:ascii="楷体" w:hAnsi="楷体" w:eastAsia="楷体"/>
          <w:bCs/>
          <w:color w:val="auto"/>
          <w:sz w:val="28"/>
          <w:szCs w:val="28"/>
        </w:rPr>
        <w:t>（2）保险期限为两年，第一年到期后，索普集团及子公司根据最新资产清册投保第二年资产，更新保险标的。</w:t>
      </w:r>
    </w:p>
    <w:p>
      <w:pPr>
        <w:pStyle w:val="4"/>
        <w:numPr>
          <w:ilvl w:val="0"/>
          <w:numId w:val="1"/>
        </w:numPr>
        <w:spacing w:line="500" w:lineRule="exact"/>
        <w:ind w:firstLine="562" w:firstLineChars="200"/>
        <w:rPr>
          <w:rFonts w:ascii="仿宋_GB2312" w:hAnsi="宋体"/>
          <w:color w:val="auto"/>
          <w:sz w:val="28"/>
          <w:szCs w:val="28"/>
        </w:rPr>
      </w:pPr>
      <w:r>
        <w:rPr>
          <w:rFonts w:hint="eastAsia" w:ascii="仿宋_GB2312" w:hAnsi="宋体"/>
          <w:b/>
          <w:color w:val="auto"/>
          <w:sz w:val="28"/>
          <w:szCs w:val="28"/>
        </w:rPr>
        <w:t>招标文件的领取：</w:t>
      </w:r>
    </w:p>
    <w:p>
      <w:pPr>
        <w:spacing w:line="500" w:lineRule="exact"/>
        <w:ind w:firstLine="560" w:firstLineChars="200"/>
        <w:jc w:val="left"/>
        <w:rPr>
          <w:rFonts w:ascii="仿宋_GB2312" w:hAnsi="宋体" w:eastAsia="仿宋_GB2312"/>
          <w:color w:val="auto"/>
          <w:sz w:val="28"/>
          <w:szCs w:val="28"/>
          <w:highlight w:val="yellow"/>
        </w:rPr>
      </w:pPr>
      <w:r>
        <w:rPr>
          <w:rFonts w:hint="eastAsia" w:ascii="仿宋_GB2312" w:hAnsi="宋体" w:eastAsia="仿宋_GB2312"/>
          <w:color w:val="auto"/>
          <w:sz w:val="28"/>
          <w:szCs w:val="28"/>
        </w:rPr>
        <w:t>领取方式：索普集团官方网站自行下载标书，网址http://www.sopo.com.cn/list/3-25-2.html</w:t>
      </w:r>
    </w:p>
    <w:p>
      <w:pPr>
        <w:spacing w:line="500" w:lineRule="exact"/>
        <w:ind w:firstLine="640"/>
        <w:jc w:val="left"/>
        <w:rPr>
          <w:rFonts w:ascii="仿宋_GB2312" w:hAnsi="宋体" w:eastAsia="仿宋_GB2312"/>
          <w:b/>
          <w:bCs/>
          <w:color w:val="auto"/>
          <w:sz w:val="28"/>
          <w:szCs w:val="28"/>
        </w:rPr>
      </w:pPr>
      <w:r>
        <w:rPr>
          <w:rFonts w:hint="eastAsia" w:ascii="仿宋_GB2312" w:hAnsi="宋体" w:eastAsia="仿宋_GB2312"/>
          <w:b/>
          <w:bCs/>
          <w:color w:val="auto"/>
          <w:sz w:val="28"/>
          <w:szCs w:val="28"/>
        </w:rPr>
        <w:t>四、投标文件的递交时间和开标时间：</w:t>
      </w:r>
    </w:p>
    <w:p>
      <w:pPr>
        <w:spacing w:line="50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1.投标文件递交地：江苏索普（集团）有限公司资产财务部</w:t>
      </w:r>
    </w:p>
    <w:p>
      <w:pPr>
        <w:spacing w:line="50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2.投标文件递交截止时间：20</w:t>
      </w:r>
      <w:r>
        <w:rPr>
          <w:rFonts w:hint="eastAsia" w:ascii="仿宋_GB2312" w:hAnsi="宋体" w:eastAsia="仿宋_GB2312"/>
          <w:color w:val="auto"/>
          <w:sz w:val="28"/>
          <w:szCs w:val="28"/>
          <w:lang w:val="en-US" w:eastAsia="zh-CN"/>
        </w:rPr>
        <w:t>24</w:t>
      </w:r>
      <w:r>
        <w:rPr>
          <w:rFonts w:hint="eastAsia" w:ascii="仿宋_GB2312" w:hAnsi="宋体" w:eastAsia="仿宋_GB2312"/>
          <w:color w:val="auto"/>
          <w:sz w:val="28"/>
          <w:szCs w:val="28"/>
        </w:rPr>
        <w:t>年4月</w:t>
      </w:r>
      <w:r>
        <w:rPr>
          <w:rFonts w:hint="eastAsia" w:ascii="仿宋_GB2312" w:hAnsi="宋体" w:eastAsia="仿宋_GB2312"/>
          <w:color w:val="auto"/>
          <w:sz w:val="28"/>
          <w:szCs w:val="28"/>
          <w:lang w:val="en-US" w:eastAsia="zh-CN"/>
        </w:rPr>
        <w:t>28</w:t>
      </w:r>
      <w:r>
        <w:rPr>
          <w:rFonts w:hint="eastAsia" w:ascii="仿宋_GB2312" w:hAnsi="宋体" w:eastAsia="仿宋_GB2312"/>
          <w:color w:val="auto"/>
          <w:sz w:val="28"/>
          <w:szCs w:val="28"/>
        </w:rPr>
        <w:t>日</w:t>
      </w:r>
      <w:r>
        <w:rPr>
          <w:rFonts w:hint="eastAsia" w:ascii="仿宋_GB2312" w:hAnsi="宋体" w:eastAsia="仿宋_GB2312"/>
          <w:color w:val="auto"/>
          <w:sz w:val="28"/>
          <w:szCs w:val="28"/>
          <w:lang w:val="en-US" w:eastAsia="zh-CN"/>
        </w:rPr>
        <w:t>9</w:t>
      </w:r>
      <w:r>
        <w:rPr>
          <w:rFonts w:hint="eastAsia" w:ascii="仿宋_GB2312" w:hAnsi="宋体" w:eastAsia="仿宋_GB2312"/>
          <w:color w:val="auto"/>
          <w:sz w:val="28"/>
          <w:szCs w:val="28"/>
        </w:rPr>
        <w:t>:00时前</w:t>
      </w:r>
    </w:p>
    <w:p>
      <w:pPr>
        <w:spacing w:line="50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3.开标时间：20</w:t>
      </w:r>
      <w:r>
        <w:rPr>
          <w:rFonts w:hint="eastAsia" w:ascii="仿宋_GB2312" w:hAnsi="宋体" w:eastAsia="仿宋_GB2312"/>
          <w:color w:val="auto"/>
          <w:sz w:val="28"/>
          <w:szCs w:val="28"/>
          <w:lang w:val="en-US" w:eastAsia="zh-CN"/>
        </w:rPr>
        <w:t>24</w:t>
      </w:r>
      <w:r>
        <w:rPr>
          <w:rFonts w:hint="eastAsia" w:ascii="仿宋_GB2312" w:hAnsi="宋体" w:eastAsia="仿宋_GB2312"/>
          <w:color w:val="auto"/>
          <w:sz w:val="28"/>
          <w:szCs w:val="28"/>
        </w:rPr>
        <w:t>年4月</w:t>
      </w:r>
      <w:r>
        <w:rPr>
          <w:rFonts w:hint="eastAsia" w:ascii="仿宋_GB2312" w:hAnsi="宋体" w:eastAsia="仿宋_GB2312"/>
          <w:color w:val="auto"/>
          <w:sz w:val="28"/>
          <w:szCs w:val="28"/>
          <w:lang w:val="en-US" w:eastAsia="zh-CN"/>
        </w:rPr>
        <w:t>28</w:t>
      </w:r>
      <w:r>
        <w:rPr>
          <w:rFonts w:hint="eastAsia" w:ascii="仿宋_GB2312" w:hAnsi="宋体" w:eastAsia="仿宋_GB2312"/>
          <w:color w:val="auto"/>
          <w:sz w:val="28"/>
          <w:szCs w:val="28"/>
        </w:rPr>
        <w:t>日</w:t>
      </w:r>
      <w:r>
        <w:rPr>
          <w:rFonts w:hint="eastAsia" w:ascii="仿宋_GB2312" w:hAnsi="宋体" w:eastAsia="仿宋_GB2312"/>
          <w:color w:val="auto"/>
          <w:sz w:val="28"/>
          <w:szCs w:val="28"/>
          <w:lang w:val="en-US" w:eastAsia="zh-CN"/>
        </w:rPr>
        <w:t>9</w:t>
      </w:r>
      <w:r>
        <w:rPr>
          <w:rFonts w:hint="eastAsia" w:ascii="仿宋_GB2312" w:hAnsi="宋体" w:eastAsia="仿宋_GB2312"/>
          <w:color w:val="auto"/>
          <w:sz w:val="28"/>
          <w:szCs w:val="28"/>
        </w:rPr>
        <w:t>:00时</w:t>
      </w:r>
    </w:p>
    <w:p>
      <w:pPr>
        <w:spacing w:line="50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4.注意事项：</w:t>
      </w:r>
    </w:p>
    <w:p>
      <w:pPr>
        <w:spacing w:line="50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（1）投标公司应在投标截止时间前将投标文件递交至我公司，逾期未递交投标文件者视为放弃投标。</w:t>
      </w:r>
    </w:p>
    <w:p>
      <w:pPr>
        <w:spacing w:line="50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（2）超过招标文件递交截止时间递交或不按规定密封的招标文件，我公司概不接受。</w:t>
      </w:r>
    </w:p>
    <w:p>
      <w:pPr>
        <w:spacing w:line="50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5.本招标文件未尽事宜</w:t>
      </w: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rPr>
        <w:t>解释权属于</w:t>
      </w:r>
      <w:r>
        <w:rPr>
          <w:rFonts w:hint="eastAsia" w:ascii="仿宋_GB2312" w:eastAsia="仿宋_GB2312"/>
          <w:color w:val="auto"/>
          <w:sz w:val="28"/>
          <w:szCs w:val="28"/>
        </w:rPr>
        <w:t>我公司，我公司对每一位投标公司的非公开信息都予以保密。</w:t>
      </w:r>
    </w:p>
    <w:p>
      <w:pPr>
        <w:spacing w:line="500" w:lineRule="exact"/>
        <w:ind w:firstLine="660"/>
        <w:rPr>
          <w:rFonts w:ascii="仿宋_GB2312" w:hAnsi="宋体" w:eastAsia="仿宋_GB2312"/>
          <w:b/>
          <w:color w:val="auto"/>
          <w:sz w:val="28"/>
          <w:szCs w:val="28"/>
        </w:rPr>
      </w:pPr>
      <w:r>
        <w:rPr>
          <w:rFonts w:hint="eastAsia" w:ascii="仿宋_GB2312" w:hAnsi="宋体" w:eastAsia="仿宋_GB2312"/>
          <w:b/>
          <w:color w:val="auto"/>
          <w:sz w:val="28"/>
          <w:szCs w:val="28"/>
        </w:rPr>
        <w:t>五、联系方式：</w:t>
      </w:r>
    </w:p>
    <w:p>
      <w:pPr>
        <w:spacing w:line="500" w:lineRule="exact"/>
        <w:ind w:firstLine="660"/>
        <w:rPr>
          <w:rFonts w:ascii="仿宋_GB2312" w:hAnsi="宋体" w:eastAsia="仿宋_GB2312"/>
          <w:color w:val="auto"/>
          <w:sz w:val="28"/>
          <w:szCs w:val="28"/>
        </w:rPr>
      </w:pPr>
      <w:r>
        <w:rPr>
          <w:rFonts w:hint="eastAsia" w:ascii="仿宋_GB2312" w:hAnsi="宋体" w:eastAsia="仿宋_GB2312"/>
          <w:color w:val="auto"/>
          <w:sz w:val="28"/>
          <w:szCs w:val="28"/>
        </w:rPr>
        <w:t>详细地址：</w:t>
      </w:r>
      <w:r>
        <w:rPr>
          <w:rFonts w:hint="eastAsia" w:ascii="仿宋_GB2312" w:eastAsia="仿宋_GB2312"/>
          <w:color w:val="auto"/>
          <w:sz w:val="28"/>
          <w:szCs w:val="28"/>
        </w:rPr>
        <w:t xml:space="preserve"> 镇江市京口区求索路101号</w:t>
      </w:r>
    </w:p>
    <w:p>
      <w:pPr>
        <w:spacing w:line="500" w:lineRule="exact"/>
        <w:ind w:firstLine="660"/>
        <w:rPr>
          <w:rFonts w:ascii="仿宋_GB2312" w:hAnsi="宋体" w:eastAsia="仿宋_GB2312"/>
          <w:color w:val="auto"/>
          <w:sz w:val="28"/>
          <w:szCs w:val="28"/>
        </w:rPr>
      </w:pPr>
      <w:r>
        <w:rPr>
          <w:rFonts w:hint="eastAsia" w:ascii="仿宋_GB2312" w:hAnsi="宋体" w:eastAsia="仿宋_GB2312"/>
          <w:color w:val="auto"/>
          <w:sz w:val="28"/>
          <w:szCs w:val="28"/>
        </w:rPr>
        <w:t>邮    编： 212006</w:t>
      </w:r>
    </w:p>
    <w:p>
      <w:pPr>
        <w:spacing w:line="500" w:lineRule="exact"/>
        <w:ind w:firstLine="660"/>
        <w:rPr>
          <w:rFonts w:ascii="仿宋_GB2312" w:hAnsi="宋体" w:eastAsia="仿宋_GB2312"/>
          <w:color w:val="auto"/>
          <w:sz w:val="28"/>
          <w:szCs w:val="28"/>
        </w:rPr>
      </w:pPr>
      <w:r>
        <w:rPr>
          <w:rFonts w:hint="eastAsia" w:ascii="仿宋_GB2312" w:hAnsi="宋体" w:eastAsia="仿宋_GB2312"/>
          <w:color w:val="auto"/>
          <w:sz w:val="28"/>
          <w:szCs w:val="28"/>
        </w:rPr>
        <w:t xml:space="preserve">联系人及电话： </w:t>
      </w:r>
      <w:r>
        <w:rPr>
          <w:rFonts w:hint="eastAsia" w:ascii="仿宋_GB2312" w:hAnsi="宋体" w:eastAsia="仿宋_GB2312"/>
          <w:color w:val="auto"/>
          <w:sz w:val="28"/>
          <w:szCs w:val="28"/>
          <w:lang w:val="en-US" w:eastAsia="zh-CN"/>
        </w:rPr>
        <w:t>雷  雪</w:t>
      </w:r>
      <w:r>
        <w:rPr>
          <w:rFonts w:hint="eastAsia" w:ascii="仿宋_GB2312" w:hAnsi="宋体" w:eastAsia="仿宋_GB2312"/>
          <w:color w:val="auto"/>
          <w:sz w:val="28"/>
          <w:szCs w:val="28"/>
        </w:rPr>
        <w:t xml:space="preserve"> </w:t>
      </w:r>
      <w:r>
        <w:rPr>
          <w:rFonts w:hint="eastAsia" w:ascii="仿宋_GB2312" w:hAnsi="宋体" w:eastAsia="仿宋_GB2312"/>
          <w:color w:val="auto"/>
          <w:sz w:val="28"/>
          <w:szCs w:val="28"/>
          <w:lang w:val="en-US" w:eastAsia="zh-CN"/>
        </w:rPr>
        <w:t xml:space="preserve">15189122174 </w:t>
      </w:r>
      <w:r>
        <w:rPr>
          <w:rFonts w:hint="eastAsia" w:ascii="仿宋_GB2312" w:hAnsi="宋体" w:eastAsia="仿宋_GB2312"/>
          <w:color w:val="auto"/>
          <w:sz w:val="28"/>
          <w:szCs w:val="28"/>
        </w:rPr>
        <w:t>（索普集团）</w:t>
      </w:r>
    </w:p>
    <w:p>
      <w:pPr>
        <w:spacing w:line="500" w:lineRule="exact"/>
        <w:ind w:firstLine="660"/>
        <w:rPr>
          <w:rFonts w:ascii="仿宋_GB2312" w:hAnsi="宋体" w:eastAsia="仿宋_GB2312"/>
          <w:color w:val="auto"/>
          <w:sz w:val="28"/>
          <w:szCs w:val="28"/>
        </w:rPr>
      </w:pPr>
      <w:r>
        <w:rPr>
          <w:rFonts w:hint="eastAsia" w:ascii="仿宋_GB2312" w:hAnsi="宋体" w:eastAsia="仿宋_GB2312"/>
          <w:color w:val="auto"/>
          <w:sz w:val="28"/>
          <w:szCs w:val="28"/>
        </w:rPr>
        <w:t xml:space="preserve">               张亦新</w:t>
      </w:r>
      <w:r>
        <w:rPr>
          <w:rFonts w:ascii="仿宋_GB2312" w:hAnsi="宋体" w:eastAsia="仿宋_GB2312"/>
          <w:color w:val="auto"/>
          <w:sz w:val="28"/>
          <w:szCs w:val="28"/>
        </w:rPr>
        <w:t>13003456721</w:t>
      </w:r>
      <w:r>
        <w:rPr>
          <w:rFonts w:hint="eastAsia" w:ascii="仿宋_GB2312" w:hAnsi="宋体" w:eastAsia="仿宋_GB2312"/>
          <w:color w:val="auto"/>
          <w:sz w:val="28"/>
          <w:szCs w:val="28"/>
        </w:rPr>
        <w:t>（索普股份/索普天辰）</w:t>
      </w:r>
    </w:p>
    <w:p>
      <w:pPr>
        <w:spacing w:line="500" w:lineRule="exact"/>
        <w:ind w:firstLine="660"/>
        <w:rPr>
          <w:rFonts w:ascii="仿宋_GB2312" w:hAnsi="宋体" w:eastAsia="仿宋_GB2312"/>
          <w:color w:val="auto"/>
          <w:sz w:val="28"/>
          <w:szCs w:val="28"/>
        </w:rPr>
      </w:pPr>
      <w:r>
        <w:rPr>
          <w:rFonts w:hint="eastAsia" w:ascii="仿宋_GB2312" w:hAnsi="宋体" w:eastAsia="仿宋_GB2312"/>
          <w:color w:val="auto"/>
          <w:sz w:val="28"/>
          <w:szCs w:val="28"/>
        </w:rPr>
        <w:t xml:space="preserve">               田文宪 13912806794（索普新材料）</w:t>
      </w:r>
    </w:p>
    <w:p>
      <w:pPr>
        <w:spacing w:line="500" w:lineRule="exact"/>
        <w:ind w:firstLine="660"/>
        <w:rPr>
          <w:rFonts w:ascii="仿宋_GB2312" w:hAnsi="宋体" w:eastAsia="仿宋_GB2312"/>
          <w:color w:val="auto"/>
          <w:sz w:val="28"/>
          <w:szCs w:val="28"/>
        </w:rPr>
      </w:pPr>
    </w:p>
    <w:p>
      <w:pPr>
        <w:spacing w:line="500" w:lineRule="exact"/>
        <w:ind w:firstLine="660"/>
        <w:rPr>
          <w:rFonts w:ascii="仿宋_GB2312" w:hAnsi="宋体" w:eastAsia="仿宋_GB2312"/>
          <w:color w:val="auto"/>
          <w:sz w:val="28"/>
          <w:szCs w:val="28"/>
        </w:rPr>
      </w:pPr>
    </w:p>
    <w:p>
      <w:pPr>
        <w:pageBreakBefore/>
        <w:spacing w:line="500" w:lineRule="exact"/>
        <w:jc w:val="center"/>
        <w:rPr>
          <w:rFonts w:eastAsia="黑体"/>
          <w:color w:val="auto"/>
          <w:sz w:val="32"/>
          <w:szCs w:val="32"/>
        </w:rPr>
      </w:pPr>
      <w:r>
        <w:rPr>
          <w:rFonts w:hint="eastAsia" w:eastAsia="黑体"/>
          <w:color w:val="auto"/>
          <w:sz w:val="32"/>
          <w:szCs w:val="32"/>
        </w:rPr>
        <w:t>第二章 招标须知</w:t>
      </w:r>
    </w:p>
    <w:p>
      <w:pPr>
        <w:spacing w:line="500" w:lineRule="exact"/>
        <w:rPr>
          <w:rFonts w:ascii="仿宋_GB2312" w:eastAsia="仿宋_GB2312"/>
          <w:color w:val="auto"/>
          <w:sz w:val="28"/>
          <w:szCs w:val="28"/>
        </w:rPr>
      </w:pPr>
    </w:p>
    <w:p>
      <w:pPr>
        <w:spacing w:line="50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一、投标公司应遵守有关的法律法规，否则一切法律责任由投标公司自己承担。一切与投标有关费用，均由投标公司自理。我公司有权对投标时间、地点进行变更并以书面形式通知所有投标公司。</w:t>
      </w:r>
    </w:p>
    <w:p>
      <w:pPr>
        <w:spacing w:line="50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二、资质</w:t>
      </w:r>
    </w:p>
    <w:p>
      <w:pPr>
        <w:pStyle w:val="5"/>
        <w:spacing w:line="500" w:lineRule="exact"/>
        <w:ind w:firstLine="560"/>
        <w:rPr>
          <w:rFonts w:hAnsi="宋体"/>
          <w:color w:val="auto"/>
          <w:sz w:val="28"/>
          <w:szCs w:val="28"/>
        </w:rPr>
      </w:pPr>
      <w:r>
        <w:rPr>
          <w:rFonts w:hint="eastAsia" w:hAnsi="宋体"/>
          <w:color w:val="auto"/>
          <w:sz w:val="28"/>
          <w:szCs w:val="28"/>
        </w:rPr>
        <w:t>投标公司必须是拥有中国银保监会批准开展财产保险业务的资格，且在镇江市设立分（支)公司。</w:t>
      </w:r>
    </w:p>
    <w:p>
      <w:pPr>
        <w:pStyle w:val="5"/>
        <w:spacing w:line="500" w:lineRule="exact"/>
        <w:ind w:firstLine="560"/>
        <w:rPr>
          <w:rFonts w:hAnsi="宋体"/>
          <w:color w:val="auto"/>
          <w:sz w:val="28"/>
          <w:szCs w:val="28"/>
        </w:rPr>
      </w:pPr>
      <w:r>
        <w:rPr>
          <w:rFonts w:hint="eastAsia" w:hAnsi="宋体"/>
          <w:color w:val="auto"/>
          <w:sz w:val="28"/>
          <w:szCs w:val="28"/>
        </w:rPr>
        <w:t>本次投标公司必须符合下列条件：</w:t>
      </w:r>
    </w:p>
    <w:p>
      <w:pPr>
        <w:spacing w:line="500" w:lineRule="exact"/>
        <w:ind w:firstLine="560" w:firstLineChars="200"/>
        <w:rPr>
          <w:rFonts w:ascii="仿宋_GB2312" w:eastAsia="仿宋_GB2312"/>
          <w:color w:val="auto"/>
          <w:sz w:val="28"/>
          <w:szCs w:val="28"/>
        </w:rPr>
      </w:pPr>
      <w:r>
        <w:rPr>
          <w:rFonts w:ascii="仿宋_GB2312" w:hAnsi="宋体" w:eastAsia="仿宋_GB2312"/>
          <w:color w:val="auto"/>
          <w:sz w:val="28"/>
          <w:szCs w:val="28"/>
        </w:rPr>
        <w:t>1</w:t>
      </w:r>
      <w:r>
        <w:rPr>
          <w:rFonts w:hint="eastAsia" w:ascii="仿宋_GB2312" w:hAnsi="宋体" w:eastAsia="仿宋_GB2312"/>
          <w:color w:val="auto"/>
          <w:sz w:val="28"/>
          <w:szCs w:val="28"/>
        </w:rPr>
        <w:t>.具有合法的企业营业执照</w:t>
      </w:r>
      <w:r>
        <w:rPr>
          <w:rFonts w:hint="eastAsia" w:ascii="仿宋_GB2312" w:eastAsia="仿宋_GB2312"/>
          <w:color w:val="auto"/>
          <w:sz w:val="28"/>
          <w:szCs w:val="28"/>
        </w:rPr>
        <w:t>以及相关资质证明。</w:t>
      </w:r>
    </w:p>
    <w:p>
      <w:pPr>
        <w:spacing w:line="500" w:lineRule="exact"/>
        <w:ind w:firstLine="560" w:firstLineChars="200"/>
        <w:rPr>
          <w:rFonts w:ascii="仿宋_GB2312" w:hAnsi="宋体" w:eastAsia="仿宋_GB2312"/>
          <w:color w:val="auto"/>
          <w:sz w:val="28"/>
          <w:szCs w:val="28"/>
        </w:rPr>
      </w:pPr>
      <w:r>
        <w:rPr>
          <w:rFonts w:ascii="仿宋_GB2312" w:hAnsi="宋体" w:eastAsia="仿宋_GB2312"/>
          <w:color w:val="auto"/>
          <w:sz w:val="28"/>
          <w:szCs w:val="28"/>
        </w:rPr>
        <w:t>2</w:t>
      </w:r>
      <w:r>
        <w:rPr>
          <w:rFonts w:hint="eastAsia" w:ascii="仿宋_GB2312" w:hAnsi="宋体" w:eastAsia="仿宋_GB2312"/>
          <w:color w:val="auto"/>
          <w:sz w:val="28"/>
          <w:szCs w:val="28"/>
        </w:rPr>
        <w:t>.投标公司代表必须是公司的法定</w:t>
      </w:r>
      <w:r>
        <w:rPr>
          <w:rFonts w:hint="eastAsia" w:ascii="仿宋_GB2312" w:hAnsi="宋体" w:eastAsia="仿宋_GB2312"/>
          <w:color w:val="auto"/>
          <w:sz w:val="28"/>
          <w:szCs w:val="28"/>
          <w:lang w:val="en-US" w:eastAsia="zh-CN"/>
        </w:rPr>
        <w:t>代表</w:t>
      </w:r>
      <w:r>
        <w:rPr>
          <w:rFonts w:hint="eastAsia" w:ascii="仿宋_GB2312" w:hAnsi="宋体" w:eastAsia="仿宋_GB2312"/>
          <w:color w:val="auto"/>
          <w:sz w:val="28"/>
          <w:szCs w:val="28"/>
        </w:rPr>
        <w:t>人</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负责人</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rPr>
        <w:t>或授权代理人。</w:t>
      </w:r>
    </w:p>
    <w:p>
      <w:pPr>
        <w:spacing w:line="500" w:lineRule="exact"/>
        <w:ind w:firstLine="560" w:firstLineChars="200"/>
        <w:rPr>
          <w:rFonts w:ascii="仿宋_GB2312" w:hAnsi="宋体" w:eastAsia="仿宋_GB2312"/>
          <w:color w:val="auto"/>
          <w:sz w:val="28"/>
          <w:szCs w:val="28"/>
        </w:rPr>
      </w:pPr>
      <w:r>
        <w:rPr>
          <w:rFonts w:ascii="仿宋_GB2312" w:hAnsi="宋体" w:eastAsia="仿宋_GB2312"/>
          <w:color w:val="auto"/>
          <w:sz w:val="28"/>
          <w:szCs w:val="28"/>
        </w:rPr>
        <w:t>3</w:t>
      </w:r>
      <w:r>
        <w:rPr>
          <w:rFonts w:hint="eastAsia" w:ascii="仿宋_GB2312" w:hAnsi="宋体" w:eastAsia="仿宋_GB2312"/>
          <w:color w:val="auto"/>
          <w:sz w:val="28"/>
          <w:szCs w:val="28"/>
        </w:rPr>
        <w:t>.投标公司在承保安排、人员组织、业绩经验、方案设计、经营管理和配套服务等方面具有相关的资格和能力。</w:t>
      </w:r>
    </w:p>
    <w:p>
      <w:pPr>
        <w:spacing w:line="500" w:lineRule="exact"/>
        <w:ind w:firstLine="560" w:firstLineChars="200"/>
        <w:jc w:val="left"/>
        <w:rPr>
          <w:rFonts w:ascii="仿宋_GB2312" w:hAnsi="宋体" w:eastAsia="仿宋_GB2312"/>
          <w:color w:val="auto"/>
          <w:sz w:val="28"/>
          <w:szCs w:val="28"/>
        </w:rPr>
      </w:pPr>
      <w:r>
        <w:rPr>
          <w:rFonts w:ascii="仿宋_GB2312" w:hAnsi="宋体" w:eastAsia="仿宋_GB2312"/>
          <w:color w:val="auto"/>
          <w:sz w:val="28"/>
          <w:szCs w:val="28"/>
        </w:rPr>
        <w:t>4</w:t>
      </w:r>
      <w:r>
        <w:rPr>
          <w:rFonts w:hint="eastAsia" w:ascii="仿宋_GB2312" w:hAnsi="宋体" w:eastAsia="仿宋_GB2312"/>
          <w:color w:val="auto"/>
          <w:sz w:val="28"/>
          <w:szCs w:val="28"/>
        </w:rPr>
        <w:t>.投标公司参加此次招标事项前三年内</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即2021年至2023年</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rPr>
        <w:t>，在经营活动中没有重大违法记录。</w:t>
      </w:r>
    </w:p>
    <w:p>
      <w:pPr>
        <w:spacing w:line="500" w:lineRule="exact"/>
        <w:ind w:firstLine="560" w:firstLineChars="200"/>
        <w:rPr>
          <w:rFonts w:ascii="仿宋_GB2312" w:hAnsi="宋体" w:eastAsia="仿宋_GB2312"/>
          <w:color w:val="auto"/>
          <w:sz w:val="28"/>
          <w:szCs w:val="28"/>
        </w:rPr>
      </w:pPr>
      <w:r>
        <w:rPr>
          <w:rFonts w:ascii="仿宋_GB2312" w:hAnsi="宋体" w:eastAsia="仿宋_GB2312"/>
          <w:color w:val="auto"/>
          <w:sz w:val="28"/>
          <w:szCs w:val="28"/>
        </w:rPr>
        <w:t>5</w:t>
      </w:r>
      <w:r>
        <w:rPr>
          <w:rFonts w:hint="eastAsia" w:ascii="仿宋_GB2312" w:hAnsi="宋体" w:eastAsia="仿宋_GB2312"/>
          <w:color w:val="auto"/>
          <w:sz w:val="28"/>
          <w:szCs w:val="28"/>
        </w:rPr>
        <w:t>.投标公司具有良好的银行资信和商业信誉，没有处于被责令停业、财产被接管、冻结、破产状态。</w:t>
      </w:r>
    </w:p>
    <w:p>
      <w:pPr>
        <w:spacing w:line="500" w:lineRule="exact"/>
        <w:ind w:firstLine="560" w:firstLineChars="200"/>
        <w:rPr>
          <w:rFonts w:ascii="仿宋_GB2312" w:hAnsi="宋体" w:eastAsia="仿宋_GB2312"/>
          <w:color w:val="auto"/>
          <w:sz w:val="28"/>
          <w:szCs w:val="28"/>
        </w:rPr>
      </w:pPr>
      <w:r>
        <w:rPr>
          <w:rFonts w:ascii="仿宋_GB2312" w:hAnsi="宋体" w:eastAsia="仿宋_GB2312"/>
          <w:color w:val="auto"/>
          <w:sz w:val="28"/>
          <w:szCs w:val="28"/>
        </w:rPr>
        <w:t>6</w:t>
      </w:r>
      <w:r>
        <w:rPr>
          <w:rFonts w:hint="eastAsia" w:ascii="仿宋_GB2312" w:hAnsi="宋体" w:eastAsia="仿宋_GB2312"/>
          <w:color w:val="auto"/>
          <w:sz w:val="28"/>
          <w:szCs w:val="28"/>
        </w:rPr>
        <w:t>.投标公司具有承保本次招标公司提出险种的经营范围。</w:t>
      </w:r>
    </w:p>
    <w:p>
      <w:pPr>
        <w:spacing w:line="500" w:lineRule="exact"/>
        <w:ind w:firstLine="560" w:firstLineChars="200"/>
        <w:rPr>
          <w:rFonts w:ascii="仿宋_GB2312" w:hAnsi="宋体" w:eastAsia="仿宋_GB2312"/>
          <w:b/>
          <w:color w:val="auto"/>
          <w:sz w:val="28"/>
          <w:szCs w:val="28"/>
        </w:rPr>
      </w:pPr>
      <w:r>
        <w:rPr>
          <w:rFonts w:hint="eastAsia" w:ascii="仿宋_GB2312" w:hAnsi="宋体" w:eastAsia="仿宋_GB2312"/>
          <w:color w:val="auto"/>
          <w:sz w:val="28"/>
          <w:szCs w:val="28"/>
        </w:rPr>
        <w:t>7.法律、行政法规规定的其他条件。</w:t>
      </w:r>
    </w:p>
    <w:p>
      <w:pPr>
        <w:spacing w:line="50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三、招标文件</w:t>
      </w:r>
    </w:p>
    <w:p>
      <w:pPr>
        <w:spacing w:line="500" w:lineRule="exact"/>
        <w:ind w:firstLine="560" w:firstLineChars="200"/>
        <w:rPr>
          <w:rFonts w:ascii="仿宋_GB2312" w:hAnsi="宋体" w:eastAsia="仿宋_GB2312"/>
          <w:color w:val="auto"/>
          <w:sz w:val="28"/>
          <w:szCs w:val="28"/>
        </w:rPr>
      </w:pPr>
      <w:r>
        <w:rPr>
          <w:rFonts w:ascii="仿宋_GB2312" w:hAnsi="宋体" w:eastAsia="仿宋_GB2312"/>
          <w:color w:val="auto"/>
          <w:sz w:val="28"/>
          <w:szCs w:val="28"/>
        </w:rPr>
        <w:t>1</w:t>
      </w:r>
      <w:r>
        <w:rPr>
          <w:rFonts w:hint="eastAsia" w:ascii="仿宋_GB2312" w:hAnsi="宋体" w:eastAsia="仿宋_GB2312"/>
          <w:color w:val="auto"/>
          <w:sz w:val="28"/>
          <w:szCs w:val="28"/>
        </w:rPr>
        <w:t>.招标文件的组成。</w:t>
      </w:r>
    </w:p>
    <w:p>
      <w:pPr>
        <w:spacing w:line="50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（1）招标文件由招标函；招标须知；内容及要求；</w:t>
      </w:r>
      <w:r>
        <w:rPr>
          <w:rFonts w:hint="eastAsia" w:ascii="仿宋_GB2312" w:hAnsi="宋体" w:eastAsia="仿宋_GB2312"/>
          <w:bCs/>
          <w:color w:val="auto"/>
          <w:sz w:val="28"/>
          <w:szCs w:val="28"/>
        </w:rPr>
        <w:t>投</w:t>
      </w:r>
      <w:r>
        <w:rPr>
          <w:rFonts w:hint="eastAsia" w:ascii="仿宋_GB2312" w:hAnsi="宋体" w:eastAsia="仿宋_GB2312"/>
          <w:color w:val="auto"/>
          <w:sz w:val="28"/>
          <w:szCs w:val="28"/>
        </w:rPr>
        <w:t>标文件格式要求、附件等内容组成。</w:t>
      </w:r>
    </w:p>
    <w:p>
      <w:pPr>
        <w:spacing w:line="50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（2）我公司在招标期间发出的补充通知及其他正式有效函件，均作为招标文件的有效组成部分。</w:t>
      </w:r>
    </w:p>
    <w:p>
      <w:pPr>
        <w:spacing w:line="500" w:lineRule="exact"/>
        <w:ind w:firstLine="560" w:firstLineChars="200"/>
        <w:rPr>
          <w:rFonts w:ascii="仿宋_GB2312" w:hAnsi="宋体" w:eastAsia="仿宋_GB2312"/>
          <w:color w:val="auto"/>
          <w:sz w:val="28"/>
          <w:szCs w:val="28"/>
        </w:rPr>
      </w:pPr>
      <w:r>
        <w:rPr>
          <w:rFonts w:ascii="仿宋_GB2312" w:hAnsi="宋体" w:eastAsia="仿宋_GB2312"/>
          <w:color w:val="auto"/>
          <w:sz w:val="28"/>
          <w:szCs w:val="28"/>
        </w:rPr>
        <w:t>2</w:t>
      </w:r>
      <w:r>
        <w:rPr>
          <w:rFonts w:hint="eastAsia" w:ascii="仿宋_GB2312" w:hAnsi="宋体" w:eastAsia="仿宋_GB2312"/>
          <w:color w:val="auto"/>
          <w:sz w:val="28"/>
          <w:szCs w:val="28"/>
        </w:rPr>
        <w:t>.招标文件的解释。</w:t>
      </w:r>
    </w:p>
    <w:p>
      <w:pPr>
        <w:spacing w:line="50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各投标公司对招标文件如有疑问，须及时与</w:t>
      </w:r>
      <w:r>
        <w:rPr>
          <w:rFonts w:hint="eastAsia" w:ascii="仿宋_GB2312" w:eastAsia="仿宋_GB2312"/>
          <w:color w:val="auto"/>
          <w:sz w:val="28"/>
          <w:szCs w:val="28"/>
        </w:rPr>
        <w:t>我公司</w:t>
      </w:r>
      <w:r>
        <w:rPr>
          <w:rFonts w:hint="eastAsia" w:ascii="仿宋_GB2312" w:hAnsi="宋体" w:eastAsia="仿宋_GB2312"/>
          <w:color w:val="auto"/>
          <w:sz w:val="28"/>
          <w:szCs w:val="28"/>
        </w:rPr>
        <w:t>联系。</w:t>
      </w:r>
    </w:p>
    <w:p>
      <w:pPr>
        <w:spacing w:line="50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四、投标文件要求</w:t>
      </w:r>
    </w:p>
    <w:p>
      <w:pPr>
        <w:spacing w:line="50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1.各投标公司需提交的投标文件材料见第三章投标文件格式要求。</w:t>
      </w:r>
    </w:p>
    <w:p>
      <w:pPr>
        <w:pStyle w:val="14"/>
        <w:spacing w:line="500" w:lineRule="exact"/>
        <w:ind w:firstLine="538"/>
        <w:rPr>
          <w:color w:val="auto"/>
          <w:sz w:val="28"/>
          <w:szCs w:val="28"/>
        </w:rPr>
      </w:pPr>
      <w:r>
        <w:rPr>
          <w:color w:val="auto"/>
          <w:sz w:val="28"/>
          <w:szCs w:val="28"/>
        </w:rPr>
        <w:t>2</w:t>
      </w:r>
      <w:r>
        <w:rPr>
          <w:rFonts w:hint="eastAsia"/>
          <w:color w:val="auto"/>
          <w:sz w:val="28"/>
          <w:szCs w:val="28"/>
        </w:rPr>
        <w:t>.投标文件的制作</w:t>
      </w:r>
    </w:p>
    <w:p>
      <w:pPr>
        <w:pStyle w:val="14"/>
        <w:spacing w:line="500" w:lineRule="exact"/>
        <w:ind w:firstLine="538"/>
        <w:rPr>
          <w:color w:val="auto"/>
          <w:sz w:val="28"/>
          <w:szCs w:val="28"/>
        </w:rPr>
      </w:pPr>
      <w:r>
        <w:rPr>
          <w:rFonts w:hint="eastAsia"/>
          <w:color w:val="auto"/>
          <w:sz w:val="28"/>
          <w:szCs w:val="28"/>
        </w:rPr>
        <w:t>（1）投标文件的签署：</w:t>
      </w:r>
    </w:p>
    <w:p>
      <w:pPr>
        <w:spacing w:line="5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投标文件应由法定</w:t>
      </w:r>
      <w:r>
        <w:rPr>
          <w:rFonts w:hint="eastAsia" w:ascii="仿宋_GB2312" w:eastAsia="仿宋_GB2312"/>
          <w:color w:val="auto"/>
          <w:sz w:val="28"/>
          <w:szCs w:val="28"/>
          <w:lang w:val="en-US" w:eastAsia="zh-CN"/>
        </w:rPr>
        <w:t>代表</w:t>
      </w:r>
      <w:r>
        <w:rPr>
          <w:rFonts w:hint="eastAsia" w:ascii="仿宋_GB2312" w:eastAsia="仿宋_GB2312"/>
          <w:color w:val="auto"/>
          <w:sz w:val="28"/>
          <w:szCs w:val="28"/>
        </w:rPr>
        <w:t>人或授权代表签名并盖公章；授权书以书面委托的方式出具，并附在投标文件中；投标文件的报价单应加盖公章。</w:t>
      </w:r>
    </w:p>
    <w:p>
      <w:pPr>
        <w:pStyle w:val="14"/>
        <w:spacing w:line="500" w:lineRule="exact"/>
        <w:ind w:firstLine="560" w:firstLineChars="200"/>
        <w:rPr>
          <w:color w:val="auto"/>
          <w:sz w:val="28"/>
          <w:szCs w:val="28"/>
        </w:rPr>
      </w:pPr>
      <w:r>
        <w:rPr>
          <w:rFonts w:hint="eastAsia"/>
          <w:color w:val="auto"/>
          <w:sz w:val="28"/>
          <w:szCs w:val="28"/>
        </w:rPr>
        <w:t>（</w:t>
      </w:r>
      <w:r>
        <w:rPr>
          <w:color w:val="auto"/>
          <w:sz w:val="28"/>
          <w:szCs w:val="28"/>
        </w:rPr>
        <w:t>2</w:t>
      </w:r>
      <w:r>
        <w:rPr>
          <w:rFonts w:hint="eastAsia"/>
          <w:color w:val="auto"/>
          <w:sz w:val="28"/>
          <w:szCs w:val="28"/>
        </w:rPr>
        <w:t>）投标文件的装订：</w:t>
      </w:r>
    </w:p>
    <w:p>
      <w:pPr>
        <w:pStyle w:val="14"/>
        <w:spacing w:line="500" w:lineRule="exact"/>
        <w:ind w:firstLine="560" w:firstLineChars="200"/>
        <w:rPr>
          <w:color w:val="auto"/>
          <w:sz w:val="28"/>
          <w:szCs w:val="28"/>
        </w:rPr>
      </w:pPr>
      <w:r>
        <w:rPr>
          <w:rFonts w:hint="eastAsia"/>
          <w:color w:val="auto"/>
          <w:sz w:val="28"/>
          <w:szCs w:val="28"/>
        </w:rPr>
        <w:t>投标公司必须按以上文件构成内容及顺序编制投标文件，并编制目录装订成册，加盖骑缝章。</w:t>
      </w:r>
    </w:p>
    <w:p>
      <w:pPr>
        <w:spacing w:line="50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w:t>
      </w:r>
      <w:r>
        <w:rPr>
          <w:rFonts w:ascii="仿宋_GB2312" w:hAnsi="宋体" w:eastAsia="仿宋_GB2312"/>
          <w:color w:val="auto"/>
          <w:sz w:val="28"/>
          <w:szCs w:val="28"/>
        </w:rPr>
        <w:t>3</w:t>
      </w:r>
      <w:r>
        <w:rPr>
          <w:rFonts w:hint="eastAsia" w:ascii="仿宋_GB2312" w:hAnsi="宋体" w:eastAsia="仿宋_GB2312"/>
          <w:color w:val="auto"/>
          <w:sz w:val="28"/>
          <w:szCs w:val="28"/>
        </w:rPr>
        <w:t>）投标文件份数：</w:t>
      </w:r>
    </w:p>
    <w:p>
      <w:pPr>
        <w:spacing w:line="500" w:lineRule="exact"/>
        <w:ind w:firstLine="560" w:firstLineChars="200"/>
        <w:rPr>
          <w:rFonts w:ascii="仿宋_GB2312" w:eastAsia="仿宋_GB2312"/>
          <w:color w:val="auto"/>
          <w:sz w:val="28"/>
          <w:szCs w:val="28"/>
        </w:rPr>
      </w:pPr>
      <w:r>
        <w:rPr>
          <w:rFonts w:hint="eastAsia" w:ascii="仿宋_GB2312" w:hAnsi="宋体" w:eastAsia="仿宋_GB2312"/>
          <w:bCs/>
          <w:color w:val="auto"/>
          <w:sz w:val="28"/>
          <w:szCs w:val="28"/>
        </w:rPr>
        <w:t>提供符合要求的投标文件壹份</w:t>
      </w:r>
      <w:r>
        <w:rPr>
          <w:rFonts w:hint="eastAsia" w:ascii="仿宋_GB2312" w:hAnsi="宋体" w:eastAsia="仿宋_GB2312"/>
          <w:color w:val="auto"/>
          <w:sz w:val="28"/>
          <w:szCs w:val="28"/>
        </w:rPr>
        <w:t>。</w:t>
      </w:r>
    </w:p>
    <w:p>
      <w:pPr>
        <w:spacing w:line="5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w:t>
      </w:r>
      <w:r>
        <w:rPr>
          <w:rFonts w:ascii="仿宋_GB2312" w:eastAsia="仿宋_GB2312"/>
          <w:color w:val="auto"/>
          <w:sz w:val="28"/>
          <w:szCs w:val="28"/>
        </w:rPr>
        <w:t>4</w:t>
      </w:r>
      <w:r>
        <w:rPr>
          <w:rFonts w:hint="eastAsia" w:ascii="仿宋_GB2312" w:eastAsia="仿宋_GB2312"/>
          <w:color w:val="auto"/>
          <w:sz w:val="28"/>
          <w:szCs w:val="28"/>
        </w:rPr>
        <w:t>）投标文件的密封：</w:t>
      </w:r>
    </w:p>
    <w:p>
      <w:pPr>
        <w:pStyle w:val="5"/>
        <w:spacing w:line="500" w:lineRule="exact"/>
        <w:ind w:firstLine="560"/>
        <w:rPr>
          <w:color w:val="auto"/>
          <w:sz w:val="28"/>
          <w:szCs w:val="28"/>
        </w:rPr>
      </w:pPr>
      <w:r>
        <w:rPr>
          <w:rFonts w:hint="eastAsia"/>
          <w:color w:val="auto"/>
          <w:sz w:val="28"/>
          <w:szCs w:val="28"/>
        </w:rPr>
        <w:t>投标文件应密封。封口处须用封条加以覆盖密封并加盖企业公章。</w:t>
      </w:r>
    </w:p>
    <w:p>
      <w:pPr>
        <w:pStyle w:val="10"/>
        <w:spacing w:line="500" w:lineRule="exact"/>
        <w:ind w:firstLine="730" w:firstLineChars="261"/>
        <w:rPr>
          <w:rFonts w:ascii="仿宋_GB2312" w:eastAsia="仿宋_GB2312"/>
          <w:color w:val="auto"/>
          <w:sz w:val="28"/>
          <w:szCs w:val="28"/>
        </w:rPr>
      </w:pPr>
      <w:r>
        <w:rPr>
          <w:rFonts w:ascii="仿宋_GB2312" w:eastAsia="仿宋_GB2312"/>
          <w:color w:val="auto"/>
          <w:sz w:val="28"/>
          <w:szCs w:val="28"/>
        </w:rPr>
        <w:t>3</w:t>
      </w:r>
      <w:r>
        <w:rPr>
          <w:rFonts w:hint="eastAsia" w:ascii="仿宋_GB2312" w:eastAsia="仿宋_GB2312"/>
          <w:color w:val="auto"/>
          <w:sz w:val="28"/>
          <w:szCs w:val="28"/>
        </w:rPr>
        <w:t>.判定为废标的情形</w:t>
      </w:r>
    </w:p>
    <w:p>
      <w:pPr>
        <w:pStyle w:val="10"/>
        <w:spacing w:line="5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投标公司发生以下情形之一，视为废标：</w:t>
      </w:r>
    </w:p>
    <w:p>
      <w:pPr>
        <w:snapToGrid w:val="0"/>
        <w:spacing w:line="500" w:lineRule="exact"/>
        <w:ind w:firstLine="560" w:firstLineChars="200"/>
        <w:outlineLvl w:val="0"/>
        <w:rPr>
          <w:rFonts w:ascii="仿宋_GB2312" w:hAnsi="宋体" w:eastAsia="仿宋_GB2312"/>
          <w:color w:val="auto"/>
          <w:sz w:val="28"/>
          <w:szCs w:val="28"/>
        </w:rPr>
      </w:pPr>
      <w:r>
        <w:rPr>
          <w:rFonts w:hint="eastAsia" w:ascii="仿宋_GB2312" w:hAnsi="宋体" w:eastAsia="仿宋_GB2312"/>
          <w:color w:val="auto"/>
          <w:sz w:val="28"/>
          <w:szCs w:val="28"/>
        </w:rPr>
        <w:t>（1）投标文件不按规定的格式内容填写、签字盖章或投标文件与财产保险实质性要求有严重背离。</w:t>
      </w:r>
    </w:p>
    <w:p>
      <w:pPr>
        <w:snapToGrid w:val="0"/>
        <w:spacing w:line="500" w:lineRule="exact"/>
        <w:ind w:firstLine="560" w:firstLineChars="200"/>
        <w:outlineLvl w:val="0"/>
        <w:rPr>
          <w:rFonts w:ascii="仿宋_GB2312" w:hAnsi="宋体" w:eastAsia="仿宋_GB2312"/>
          <w:color w:val="auto"/>
          <w:sz w:val="28"/>
          <w:szCs w:val="28"/>
        </w:rPr>
      </w:pPr>
      <w:r>
        <w:rPr>
          <w:rFonts w:hint="eastAsia" w:ascii="仿宋_GB2312" w:hAnsi="宋体" w:eastAsia="仿宋_GB2312"/>
          <w:color w:val="auto"/>
          <w:sz w:val="28"/>
          <w:szCs w:val="28"/>
        </w:rPr>
        <w:t>（</w:t>
      </w:r>
      <w:r>
        <w:rPr>
          <w:rFonts w:ascii="仿宋_GB2312" w:hAnsi="宋体" w:eastAsia="仿宋_GB2312"/>
          <w:color w:val="auto"/>
          <w:sz w:val="28"/>
          <w:szCs w:val="28"/>
        </w:rPr>
        <w:t>2</w:t>
      </w:r>
      <w:r>
        <w:rPr>
          <w:rFonts w:hint="eastAsia" w:ascii="仿宋_GB2312" w:hAnsi="宋体" w:eastAsia="仿宋_GB2312"/>
          <w:color w:val="auto"/>
          <w:sz w:val="28"/>
          <w:szCs w:val="28"/>
        </w:rPr>
        <w:t>）无主要的有效资格证明文件或超出营业范围的投标。</w:t>
      </w:r>
    </w:p>
    <w:p>
      <w:pPr>
        <w:snapToGrid w:val="0"/>
        <w:spacing w:line="500" w:lineRule="exact"/>
        <w:ind w:firstLine="560" w:firstLineChars="200"/>
        <w:outlineLvl w:val="0"/>
        <w:rPr>
          <w:rFonts w:ascii="仿宋_GB2312" w:hAnsi="宋体" w:eastAsia="仿宋_GB2312"/>
          <w:color w:val="auto"/>
          <w:sz w:val="28"/>
          <w:szCs w:val="28"/>
        </w:rPr>
      </w:pPr>
      <w:r>
        <w:rPr>
          <w:rFonts w:hint="eastAsia" w:ascii="仿宋_GB2312" w:hAnsi="宋体" w:eastAsia="仿宋_GB2312"/>
          <w:color w:val="auto"/>
          <w:sz w:val="28"/>
          <w:szCs w:val="28"/>
        </w:rPr>
        <w:t>（3）</w:t>
      </w:r>
      <w:r>
        <w:rPr>
          <w:rFonts w:hint="eastAsia" w:ascii="仿宋_GB2312" w:eastAsia="仿宋_GB2312"/>
          <w:color w:val="auto"/>
          <w:sz w:val="28"/>
          <w:szCs w:val="28"/>
        </w:rPr>
        <w:t>投标文件</w:t>
      </w:r>
      <w:r>
        <w:rPr>
          <w:rFonts w:hint="eastAsia" w:ascii="仿宋_GB2312" w:hAnsi="宋体" w:eastAsia="仿宋_GB2312"/>
          <w:color w:val="auto"/>
          <w:sz w:val="28"/>
          <w:szCs w:val="28"/>
        </w:rPr>
        <w:t>的应答不满足商务条款要求或技术要求。</w:t>
      </w:r>
    </w:p>
    <w:p>
      <w:pPr>
        <w:snapToGrid w:val="0"/>
        <w:spacing w:line="500" w:lineRule="exact"/>
        <w:ind w:firstLine="560" w:firstLineChars="200"/>
        <w:outlineLvl w:val="0"/>
        <w:rPr>
          <w:rFonts w:ascii="仿宋_GB2312" w:hAnsi="宋体" w:eastAsia="仿宋_GB2312"/>
          <w:color w:val="auto"/>
          <w:sz w:val="28"/>
          <w:szCs w:val="28"/>
        </w:rPr>
      </w:pPr>
      <w:r>
        <w:rPr>
          <w:rFonts w:hint="eastAsia" w:ascii="仿宋_GB2312" w:hAnsi="宋体" w:eastAsia="仿宋_GB2312"/>
          <w:color w:val="auto"/>
          <w:sz w:val="28"/>
          <w:szCs w:val="28"/>
        </w:rPr>
        <w:t>（4）本次保险费率设定</w:t>
      </w:r>
      <w:r>
        <w:rPr>
          <w:rFonts w:hint="eastAsia" w:ascii="仿宋_GB2312" w:hAnsi="宋体" w:eastAsia="仿宋_GB2312"/>
          <w:color w:val="auto"/>
          <w:sz w:val="28"/>
          <w:szCs w:val="28"/>
          <w:lang w:val="en-US" w:eastAsia="zh-CN"/>
        </w:rPr>
        <w:t>标底</w:t>
      </w:r>
      <w:r>
        <w:rPr>
          <w:rFonts w:hint="eastAsia" w:ascii="仿宋_GB2312" w:hAnsi="宋体" w:eastAsia="仿宋_GB2312"/>
          <w:color w:val="auto"/>
          <w:sz w:val="28"/>
          <w:szCs w:val="28"/>
        </w:rPr>
        <w:t>，超过设定</w:t>
      </w:r>
      <w:r>
        <w:rPr>
          <w:rFonts w:hint="eastAsia" w:ascii="仿宋_GB2312" w:hAnsi="宋体" w:eastAsia="仿宋_GB2312"/>
          <w:color w:val="auto"/>
          <w:sz w:val="28"/>
          <w:szCs w:val="28"/>
          <w:lang w:val="en-US" w:eastAsia="zh-CN"/>
        </w:rPr>
        <w:t>标底</w:t>
      </w:r>
      <w:r>
        <w:rPr>
          <w:rFonts w:hint="eastAsia" w:ascii="仿宋_GB2312" w:hAnsi="宋体" w:eastAsia="仿宋_GB2312"/>
          <w:color w:val="auto"/>
          <w:sz w:val="28"/>
          <w:szCs w:val="28"/>
        </w:rPr>
        <w:t>即为废标。</w:t>
      </w:r>
    </w:p>
    <w:p>
      <w:pPr>
        <w:snapToGrid w:val="0"/>
        <w:spacing w:line="500" w:lineRule="exact"/>
        <w:ind w:firstLine="560" w:firstLineChars="200"/>
        <w:rPr>
          <w:rFonts w:ascii="仿宋_GB2312" w:hAnsi="宋体" w:eastAsia="仿宋_GB2312"/>
          <w:b/>
          <w:color w:val="auto"/>
          <w:sz w:val="28"/>
          <w:szCs w:val="28"/>
        </w:rPr>
      </w:pPr>
      <w:r>
        <w:rPr>
          <w:rFonts w:hint="eastAsia" w:ascii="仿宋_GB2312" w:hAnsi="宋体" w:eastAsia="仿宋_GB2312"/>
          <w:color w:val="auto"/>
          <w:sz w:val="28"/>
          <w:szCs w:val="28"/>
        </w:rPr>
        <w:t>（5）投标公司</w:t>
      </w:r>
      <w:r>
        <w:rPr>
          <w:rFonts w:hint="eastAsia" w:ascii="仿宋_GB2312" w:eastAsia="仿宋_GB2312"/>
          <w:color w:val="auto"/>
          <w:sz w:val="28"/>
          <w:szCs w:val="28"/>
        </w:rPr>
        <w:t>投标文件</w:t>
      </w:r>
      <w:r>
        <w:rPr>
          <w:rFonts w:hint="eastAsia" w:ascii="仿宋_GB2312" w:hAnsi="宋体" w:eastAsia="仿宋_GB2312"/>
          <w:color w:val="auto"/>
          <w:sz w:val="28"/>
          <w:szCs w:val="28"/>
        </w:rPr>
        <w:t>内容有与国家现行法律法规相违背的内容。</w:t>
      </w:r>
    </w:p>
    <w:p>
      <w:pPr>
        <w:spacing w:line="500" w:lineRule="exact"/>
        <w:ind w:firstLine="562" w:firstLineChars="200"/>
        <w:rPr>
          <w:rFonts w:ascii="仿宋_GB2312" w:hAnsi="宋体" w:eastAsia="仿宋_GB2312"/>
          <w:b/>
          <w:color w:val="auto"/>
          <w:sz w:val="28"/>
          <w:szCs w:val="28"/>
        </w:rPr>
      </w:pPr>
      <w:r>
        <w:rPr>
          <w:rFonts w:hint="eastAsia" w:ascii="仿宋_GB2312" w:hAnsi="宋体" w:eastAsia="仿宋_GB2312"/>
          <w:b/>
          <w:color w:val="auto"/>
          <w:sz w:val="28"/>
          <w:szCs w:val="28"/>
        </w:rPr>
        <w:t>五、开标与评标</w:t>
      </w:r>
    </w:p>
    <w:p>
      <w:pPr>
        <w:spacing w:line="500" w:lineRule="exact"/>
        <w:ind w:firstLine="560" w:firstLineChars="200"/>
        <w:rPr>
          <w:rFonts w:ascii="仿宋_GB2312" w:eastAsia="仿宋_GB2312"/>
          <w:color w:val="auto"/>
          <w:sz w:val="28"/>
          <w:szCs w:val="28"/>
        </w:rPr>
      </w:pPr>
      <w:r>
        <w:rPr>
          <w:rFonts w:hint="eastAsia" w:ascii="仿宋_GB2312" w:hAnsi="宋体" w:eastAsia="仿宋_GB2312"/>
          <w:color w:val="auto"/>
          <w:sz w:val="28"/>
          <w:szCs w:val="28"/>
        </w:rPr>
        <w:t>整个招标过程将严格按照“公开、公平、公正”和“诚实信用”的原则进行，在招标过程中任何一方不得向他人透露与谈判有关的技术</w:t>
      </w:r>
      <w:r>
        <w:rPr>
          <w:rFonts w:hint="eastAsia" w:ascii="仿宋_GB2312" w:eastAsia="仿宋_GB2312"/>
          <w:color w:val="auto"/>
          <w:sz w:val="28"/>
          <w:szCs w:val="28"/>
        </w:rPr>
        <w:t>资料、价格或其他信息。</w:t>
      </w:r>
    </w:p>
    <w:p>
      <w:pPr>
        <w:spacing w:line="50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1.招标工作按文件规定的时间和地点进行。</w:t>
      </w:r>
    </w:p>
    <w:p>
      <w:pPr>
        <w:spacing w:line="50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2.评标组检查投标文件是否符合要求。</w:t>
      </w:r>
    </w:p>
    <w:p>
      <w:pPr>
        <w:spacing w:line="50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3.评标组对各投标公司的经营效果、</w:t>
      </w:r>
      <w:r>
        <w:rPr>
          <w:rFonts w:hint="eastAsia" w:ascii="仿宋_GB2312" w:hAnsi="宋体" w:eastAsia="仿宋_GB2312"/>
          <w:color w:val="auto"/>
          <w:sz w:val="28"/>
          <w:szCs w:val="28"/>
          <w:lang w:val="en-US" w:eastAsia="zh-CN"/>
        </w:rPr>
        <w:t>财务</w:t>
      </w:r>
      <w:r>
        <w:rPr>
          <w:rFonts w:hint="eastAsia" w:ascii="仿宋_GB2312" w:hAnsi="宋体" w:eastAsia="仿宋_GB2312"/>
          <w:color w:val="auto"/>
          <w:sz w:val="28"/>
          <w:szCs w:val="28"/>
        </w:rPr>
        <w:t>状况、保险费率等情况进行综合评定。</w:t>
      </w:r>
    </w:p>
    <w:p>
      <w:pPr>
        <w:pStyle w:val="3"/>
        <w:spacing w:line="50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4.评标细则</w:t>
      </w:r>
    </w:p>
    <w:p>
      <w:pPr>
        <w:pStyle w:val="3"/>
        <w:spacing w:line="50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（1）</w:t>
      </w:r>
      <w:r>
        <w:rPr>
          <w:rFonts w:hint="eastAsia" w:ascii="仿宋_GB2312" w:hAnsi="宋体" w:eastAsia="仿宋_GB2312"/>
          <w:b/>
          <w:color w:val="auto"/>
          <w:sz w:val="28"/>
          <w:szCs w:val="28"/>
        </w:rPr>
        <w:t>项目二（索普股份）</w:t>
      </w:r>
      <w:r>
        <w:rPr>
          <w:rFonts w:hint="eastAsia" w:ascii="仿宋_GB2312" w:hAnsi="宋体" w:eastAsia="仿宋_GB2312"/>
          <w:color w:val="auto"/>
          <w:sz w:val="28"/>
          <w:szCs w:val="28"/>
        </w:rPr>
        <w:t>采用共同保险模式，设首席承保人(</w:t>
      </w:r>
      <w:r>
        <w:rPr>
          <w:rFonts w:hint="eastAsia" w:ascii="仿宋_GB2312" w:hAnsi="宋体" w:eastAsia="仿宋_GB2312"/>
          <w:color w:val="auto"/>
          <w:sz w:val="28"/>
          <w:szCs w:val="28"/>
          <w:lang w:val="en-US" w:eastAsia="zh-CN"/>
        </w:rPr>
        <w:t>一</w:t>
      </w:r>
      <w:r>
        <w:rPr>
          <w:rFonts w:hint="eastAsia" w:ascii="仿宋_GB2312" w:hAnsi="宋体" w:eastAsia="仿宋_GB2312"/>
          <w:color w:val="auto"/>
          <w:sz w:val="28"/>
          <w:szCs w:val="28"/>
        </w:rPr>
        <w:t>家）和</w:t>
      </w:r>
      <w:r>
        <w:rPr>
          <w:rFonts w:hint="eastAsia" w:ascii="仿宋_GB2312" w:hAnsi="宋体" w:eastAsia="仿宋_GB2312"/>
          <w:color w:val="auto"/>
          <w:sz w:val="28"/>
          <w:szCs w:val="28"/>
          <w:lang w:val="en-US" w:eastAsia="zh-CN"/>
        </w:rPr>
        <w:t>三家</w:t>
      </w:r>
      <w:r>
        <w:rPr>
          <w:rFonts w:hint="eastAsia" w:ascii="仿宋_GB2312" w:hAnsi="宋体" w:eastAsia="仿宋_GB2312"/>
          <w:color w:val="auto"/>
          <w:sz w:val="28"/>
          <w:szCs w:val="28"/>
        </w:rPr>
        <w:t>共同保险人，保险公司不超过</w:t>
      </w:r>
      <w:r>
        <w:rPr>
          <w:rFonts w:hint="eastAsia" w:ascii="仿宋_GB2312" w:hAnsi="宋体" w:eastAsia="仿宋_GB2312"/>
          <w:color w:val="auto"/>
          <w:sz w:val="28"/>
          <w:szCs w:val="28"/>
          <w:lang w:val="en-US" w:eastAsia="zh-CN"/>
        </w:rPr>
        <w:t>四</w:t>
      </w:r>
      <w:r>
        <w:rPr>
          <w:rFonts w:hint="eastAsia" w:ascii="仿宋_GB2312" w:hAnsi="宋体" w:eastAsia="仿宋_GB2312"/>
          <w:color w:val="auto"/>
          <w:sz w:val="28"/>
          <w:szCs w:val="28"/>
        </w:rPr>
        <w:t>家，首席承保人承保份额比例</w:t>
      </w:r>
      <w:r>
        <w:rPr>
          <w:rFonts w:hint="eastAsia" w:ascii="仿宋_GB2312" w:hAnsi="宋体" w:eastAsia="仿宋_GB2312"/>
          <w:color w:val="auto"/>
          <w:sz w:val="28"/>
          <w:szCs w:val="28"/>
          <w:lang w:val="en-US" w:eastAsia="zh-CN"/>
        </w:rPr>
        <w:t>为50</w:t>
      </w:r>
      <w:r>
        <w:rPr>
          <w:rFonts w:hint="eastAsia" w:ascii="仿宋_GB2312" w:hAnsi="宋体" w:eastAsia="仿宋_GB2312"/>
          <w:color w:val="auto"/>
          <w:sz w:val="28"/>
          <w:szCs w:val="28"/>
        </w:rPr>
        <w:t>%，共同保险人承保比例分别为</w:t>
      </w:r>
      <w:r>
        <w:rPr>
          <w:rFonts w:hint="eastAsia" w:ascii="仿宋_GB2312" w:hAnsi="宋体" w:eastAsia="仿宋_GB2312"/>
          <w:color w:val="auto"/>
          <w:sz w:val="28"/>
          <w:szCs w:val="28"/>
          <w:lang w:val="en-US" w:eastAsia="zh-CN"/>
        </w:rPr>
        <w:t>20</w:t>
      </w:r>
      <w:r>
        <w:rPr>
          <w:rFonts w:hint="eastAsia" w:ascii="仿宋_GB2312" w:hAnsi="宋体" w:eastAsia="仿宋_GB2312"/>
          <w:color w:val="auto"/>
          <w:sz w:val="28"/>
          <w:szCs w:val="28"/>
        </w:rPr>
        <w:t>%，20%，</w:t>
      </w:r>
      <w:r>
        <w:rPr>
          <w:rFonts w:hint="eastAsia" w:ascii="仿宋_GB2312" w:hAnsi="宋体" w:eastAsia="仿宋_GB2312"/>
          <w:color w:val="auto"/>
          <w:sz w:val="28"/>
          <w:szCs w:val="28"/>
          <w:lang w:val="en-US" w:eastAsia="zh-CN"/>
        </w:rPr>
        <w:t>1</w:t>
      </w:r>
      <w:r>
        <w:rPr>
          <w:rFonts w:hint="eastAsia" w:ascii="仿宋_GB2312" w:hAnsi="宋体" w:eastAsia="仿宋_GB2312"/>
          <w:color w:val="auto"/>
          <w:sz w:val="28"/>
          <w:szCs w:val="28"/>
        </w:rPr>
        <w:t>0%。</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olor w:val="auto"/>
          <w:sz w:val="28"/>
          <w:szCs w:val="28"/>
          <w:highlight w:val="none"/>
        </w:rPr>
        <w:t>首席承保人的确定：</w:t>
      </w:r>
      <w:r>
        <w:rPr>
          <w:rFonts w:hint="eastAsia" w:ascii="仿宋_GB2312" w:hAnsi="宋体" w:eastAsia="仿宋_GB2312"/>
          <w:color w:val="auto"/>
          <w:sz w:val="28"/>
          <w:szCs w:val="28"/>
          <w:highlight w:val="none"/>
          <w:lang w:val="en-US" w:eastAsia="zh-CN"/>
        </w:rPr>
        <w:t>从</w:t>
      </w:r>
      <w:r>
        <w:rPr>
          <w:rFonts w:hint="eastAsia" w:ascii="仿宋_GB2312" w:hAnsi="宋体" w:eastAsia="仿宋_GB2312" w:cs="Times New Roman"/>
          <w:color w:val="auto"/>
          <w:kern w:val="2"/>
          <w:sz w:val="28"/>
          <w:szCs w:val="28"/>
          <w:highlight w:val="none"/>
          <w:lang w:val="en-US" w:eastAsia="zh-CN" w:bidi="ar-SA"/>
        </w:rPr>
        <w:t>愿意承接我公司项目二标的首席承保人的投标公司中，比较</w:t>
      </w:r>
      <w:r>
        <w:rPr>
          <w:rFonts w:hint="eastAsia" w:ascii="仿宋_GB2312" w:hAnsi="宋体" w:eastAsia="仿宋_GB2312"/>
          <w:color w:val="auto"/>
          <w:sz w:val="28"/>
          <w:szCs w:val="28"/>
          <w:highlight w:val="none"/>
          <w:lang w:val="en-US" w:eastAsia="zh-CN"/>
        </w:rPr>
        <w:t>最终评分得分排名的前四名，保险费率评分最高的为项目二</w:t>
      </w:r>
      <w:r>
        <w:rPr>
          <w:rFonts w:hint="eastAsia" w:ascii="仿宋_GB2312" w:hAnsi="宋体" w:eastAsia="仿宋_GB2312"/>
          <w:color w:val="auto"/>
          <w:sz w:val="28"/>
          <w:szCs w:val="28"/>
          <w:highlight w:val="none"/>
        </w:rPr>
        <w:t>首席承保人</w:t>
      </w:r>
      <w:r>
        <w:rPr>
          <w:rFonts w:hint="eastAsia" w:ascii="仿宋_GB2312" w:hAnsi="宋体" w:eastAsia="仿宋_GB2312" w:cs="Times New Roman"/>
          <w:color w:val="auto"/>
          <w:kern w:val="2"/>
          <w:sz w:val="28"/>
          <w:szCs w:val="28"/>
          <w:highlight w:val="none"/>
          <w:lang w:val="en-US" w:eastAsia="zh-CN" w:bidi="ar-SA"/>
        </w:rPr>
        <w:t>，该公司报价费率为首席承保人综合保险费率。</w:t>
      </w:r>
    </w:p>
    <w:p>
      <w:pPr>
        <w:pStyle w:val="3"/>
        <w:spacing w:line="500" w:lineRule="exact"/>
        <w:ind w:firstLine="560" w:firstLineChars="200"/>
        <w:rPr>
          <w:rFonts w:hint="default" w:ascii="仿宋_GB2312" w:hAnsi="宋体" w:eastAsia="仿宋_GB2312"/>
          <w:color w:val="auto"/>
          <w:sz w:val="28"/>
          <w:szCs w:val="28"/>
          <w:lang w:val="en-US" w:eastAsia="zh-CN"/>
        </w:rPr>
      </w:pPr>
      <w:r>
        <w:rPr>
          <w:rFonts w:hint="eastAsia" w:ascii="仿宋_GB2312" w:hAnsi="宋体" w:eastAsia="仿宋_GB2312"/>
          <w:color w:val="auto"/>
          <w:sz w:val="28"/>
          <w:szCs w:val="28"/>
          <w:lang w:val="en-US" w:eastAsia="zh-CN"/>
        </w:rPr>
        <w:t>如果经我公司评标小组评定为首席</w:t>
      </w:r>
      <w:r>
        <w:rPr>
          <w:rFonts w:hint="eastAsia" w:ascii="仿宋_GB2312" w:hAnsi="宋体" w:eastAsia="仿宋_GB2312"/>
          <w:color w:val="auto"/>
          <w:sz w:val="28"/>
          <w:szCs w:val="28"/>
        </w:rPr>
        <w:t>承保人</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而该投标人不愿意担任</w:t>
      </w:r>
      <w:r>
        <w:rPr>
          <w:rFonts w:hint="eastAsia" w:ascii="仿宋_GB2312" w:hAnsi="宋体" w:eastAsia="仿宋_GB2312"/>
          <w:color w:val="auto"/>
          <w:sz w:val="28"/>
          <w:szCs w:val="28"/>
        </w:rPr>
        <w:t>首席承保人</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同时取消该投保人为共同保险人资格。</w:t>
      </w:r>
    </w:p>
    <w:p>
      <w:pPr>
        <w:pStyle w:val="3"/>
        <w:spacing w:line="50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highlight w:val="none"/>
        </w:rPr>
        <w:t>共同保险人的确定：在剩余</w:t>
      </w:r>
      <w:r>
        <w:rPr>
          <w:rFonts w:hint="eastAsia" w:ascii="仿宋_GB2312" w:hAnsi="宋体" w:eastAsia="仿宋_GB2312"/>
          <w:color w:val="auto"/>
          <w:sz w:val="28"/>
          <w:szCs w:val="28"/>
          <w:highlight w:val="none"/>
          <w:lang w:val="en-US" w:eastAsia="zh-CN"/>
        </w:rPr>
        <w:t>投标者中，</w:t>
      </w:r>
      <w:r>
        <w:rPr>
          <w:rFonts w:hint="eastAsia" w:ascii="仿宋_GB2312" w:hAnsi="宋体" w:eastAsia="仿宋_GB2312" w:cs="Times New Roman"/>
          <w:color w:val="auto"/>
          <w:kern w:val="2"/>
          <w:sz w:val="28"/>
          <w:szCs w:val="28"/>
          <w:highlight w:val="none"/>
          <w:lang w:val="en-US" w:eastAsia="zh-CN" w:bidi="ar-SA"/>
        </w:rPr>
        <w:t>按照综合能力评分从高到低</w:t>
      </w:r>
      <w:r>
        <w:rPr>
          <w:rFonts w:hint="eastAsia" w:ascii="仿宋_GB2312" w:hAnsi="宋体" w:eastAsia="仿宋_GB2312"/>
          <w:color w:val="auto"/>
          <w:sz w:val="28"/>
          <w:szCs w:val="28"/>
          <w:highlight w:val="none"/>
          <w:lang w:val="en-US" w:eastAsia="zh-CN"/>
        </w:rPr>
        <w:t>确定共同保险人；如未能选满3</w:t>
      </w:r>
      <w:r>
        <w:rPr>
          <w:rFonts w:hint="eastAsia" w:ascii="仿宋_GB2312" w:hAnsi="宋体" w:eastAsia="仿宋_GB2312"/>
          <w:color w:val="auto"/>
          <w:sz w:val="28"/>
          <w:szCs w:val="28"/>
          <w:highlight w:val="none"/>
        </w:rPr>
        <w:t>家共同保险人</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rPr>
        <w:t>将在已确定的承</w:t>
      </w:r>
      <w:r>
        <w:rPr>
          <w:rFonts w:hint="eastAsia" w:ascii="仿宋_GB2312" w:hAnsi="宋体" w:eastAsia="仿宋_GB2312"/>
          <w:color w:val="auto"/>
          <w:sz w:val="28"/>
          <w:szCs w:val="28"/>
        </w:rPr>
        <w:t>保人中按比例增加未确定承保比例（具体公式：未确定保险人承保比例/已确定保险人承保比例*某确定保险人承保比例，增加的比例四舍五入不留小数位）。</w:t>
      </w:r>
    </w:p>
    <w:p>
      <w:pPr>
        <w:pStyle w:val="3"/>
        <w:spacing w:line="50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（2）</w:t>
      </w:r>
      <w:r>
        <w:rPr>
          <w:rFonts w:hint="eastAsia" w:ascii="仿宋_GB2312" w:hAnsi="宋体" w:eastAsia="仿宋_GB2312"/>
          <w:b/>
          <w:color w:val="auto"/>
          <w:sz w:val="28"/>
          <w:szCs w:val="28"/>
        </w:rPr>
        <w:t>其他四个项目（索普集团、索普新材料、索普天辰及索普股份货物运输险）</w:t>
      </w:r>
      <w:r>
        <w:rPr>
          <w:rFonts w:hint="eastAsia" w:ascii="仿宋_GB2312" w:hAnsi="宋体" w:eastAsia="仿宋_GB2312"/>
          <w:color w:val="auto"/>
          <w:sz w:val="28"/>
          <w:szCs w:val="28"/>
          <w:lang w:val="en-US" w:eastAsia="zh-CN"/>
        </w:rPr>
        <w:t>从投标</w:t>
      </w:r>
      <w:r>
        <w:rPr>
          <w:rFonts w:hint="eastAsia" w:ascii="仿宋_GB2312" w:hAnsi="宋体" w:eastAsia="仿宋_GB2312"/>
          <w:color w:val="auto"/>
          <w:sz w:val="28"/>
          <w:szCs w:val="28"/>
          <w:highlight w:val="none"/>
          <w:lang w:val="en-US" w:eastAsia="zh-CN"/>
        </w:rPr>
        <w:t>人最终评分得分前三家中，选保险费率评分最高的一家为中标人</w:t>
      </w:r>
      <w:r>
        <w:rPr>
          <w:rFonts w:hint="eastAsia" w:ascii="仿宋_GB2312" w:hAnsi="宋体" w:eastAsia="仿宋_GB2312"/>
          <w:color w:val="auto"/>
          <w:sz w:val="28"/>
          <w:szCs w:val="28"/>
        </w:rPr>
        <w:t>。</w:t>
      </w:r>
    </w:p>
    <w:p>
      <w:pPr>
        <w:pStyle w:val="3"/>
        <w:spacing w:line="500" w:lineRule="exact"/>
        <w:ind w:firstLine="560" w:firstLineChars="200"/>
        <w:rPr>
          <w:rFonts w:hint="eastAsia" w:ascii="仿宋_GB2312" w:hAnsi="宋体" w:eastAsia="仿宋_GB2312"/>
          <w:color w:val="auto"/>
          <w:sz w:val="28"/>
          <w:szCs w:val="28"/>
          <w:lang w:eastAsia="zh-CN"/>
        </w:rPr>
      </w:pPr>
      <w:r>
        <w:rPr>
          <w:rFonts w:hint="eastAsia" w:ascii="仿宋_GB2312" w:hAnsi="宋体" w:eastAsia="仿宋_GB2312"/>
          <w:color w:val="auto"/>
          <w:sz w:val="28"/>
          <w:szCs w:val="28"/>
        </w:rPr>
        <w:t>在指定开标日，请各投标人保持通讯畅通。如评标小组开标现场电话联系不上中标候选人，则视为放弃</w:t>
      </w:r>
      <w:r>
        <w:rPr>
          <w:rFonts w:hint="eastAsia" w:ascii="仿宋_GB2312" w:hAnsi="宋体" w:eastAsia="仿宋_GB2312"/>
          <w:color w:val="auto"/>
          <w:sz w:val="28"/>
          <w:szCs w:val="28"/>
          <w:lang w:eastAsia="zh-CN"/>
        </w:rPr>
        <w:t>。</w:t>
      </w:r>
    </w:p>
    <w:p>
      <w:pPr>
        <w:pStyle w:val="3"/>
        <w:spacing w:line="50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（3）评标组在检查投标文件是否符合要求后，本着公平、公正的原则进行评标，按照百分制对投标公司的经营效果、</w:t>
      </w:r>
      <w:r>
        <w:rPr>
          <w:rFonts w:hint="eastAsia" w:ascii="仿宋_GB2312" w:hAnsi="宋体" w:eastAsia="仿宋_GB2312"/>
          <w:color w:val="auto"/>
          <w:sz w:val="28"/>
          <w:szCs w:val="28"/>
          <w:lang w:val="en-US" w:eastAsia="zh-CN"/>
        </w:rPr>
        <w:t>风险综合评级、营业收入、实收资本</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综合偿付能力充足率</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化工行业承保业绩</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是否受到监管部门处罚</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保险费率</w:t>
      </w:r>
      <w:r>
        <w:rPr>
          <w:rFonts w:hint="eastAsia" w:ascii="仿宋_GB2312" w:hAnsi="宋体" w:eastAsia="仿宋_GB2312"/>
          <w:color w:val="auto"/>
          <w:sz w:val="28"/>
          <w:szCs w:val="28"/>
        </w:rPr>
        <w:t>进行评分。</w:t>
      </w:r>
    </w:p>
    <w:p>
      <w:pPr>
        <w:pStyle w:val="3"/>
        <w:spacing w:line="500" w:lineRule="exact"/>
        <w:ind w:firstLine="560" w:firstLineChars="200"/>
        <w:jc w:val="center"/>
        <w:rPr>
          <w:rFonts w:ascii="仿宋_GB2312" w:hAnsi="宋体" w:eastAsia="仿宋_GB2312"/>
          <w:color w:val="auto"/>
          <w:sz w:val="28"/>
          <w:szCs w:val="28"/>
        </w:rPr>
      </w:pPr>
      <w:r>
        <w:rPr>
          <w:rFonts w:hint="eastAsia" w:ascii="仿宋_GB2312" w:hAnsi="宋体" w:eastAsia="仿宋_GB2312"/>
          <w:color w:val="auto"/>
          <w:sz w:val="28"/>
          <w:szCs w:val="28"/>
        </w:rPr>
        <w:t>评分表</w:t>
      </w:r>
    </w:p>
    <w:tbl>
      <w:tblPr>
        <w:tblStyle w:val="11"/>
        <w:tblW w:w="8237" w:type="dxa"/>
        <w:jc w:val="center"/>
        <w:tblLayout w:type="fixed"/>
        <w:tblCellMar>
          <w:top w:w="0" w:type="dxa"/>
          <w:left w:w="108" w:type="dxa"/>
          <w:bottom w:w="0" w:type="dxa"/>
          <w:right w:w="108" w:type="dxa"/>
        </w:tblCellMar>
      </w:tblPr>
      <w:tblGrid>
        <w:gridCol w:w="2709"/>
        <w:gridCol w:w="2976"/>
        <w:gridCol w:w="2552"/>
      </w:tblGrid>
      <w:tr>
        <w:tblPrEx>
          <w:tblCellMar>
            <w:top w:w="0" w:type="dxa"/>
            <w:left w:w="108" w:type="dxa"/>
            <w:bottom w:w="0" w:type="dxa"/>
            <w:right w:w="108" w:type="dxa"/>
          </w:tblCellMar>
        </w:tblPrEx>
        <w:trPr>
          <w:trHeight w:val="340" w:hRule="atLeast"/>
          <w:jc w:val="center"/>
        </w:trPr>
        <w:tc>
          <w:tcPr>
            <w:tcW w:w="2709" w:type="dxa"/>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kern w:val="0"/>
                <w:sz w:val="24"/>
                <w:szCs w:val="28"/>
              </w:rPr>
            </w:pPr>
            <w:r>
              <w:rPr>
                <w:rFonts w:hint="eastAsia" w:ascii="仿宋_GB2312" w:hAnsi="宋体" w:eastAsia="仿宋_GB2312" w:cs="仿宋_GB2312"/>
                <w:color w:val="auto"/>
                <w:kern w:val="0"/>
                <w:sz w:val="24"/>
                <w:szCs w:val="28"/>
              </w:rPr>
              <w:t>总分</w:t>
            </w:r>
          </w:p>
        </w:tc>
        <w:tc>
          <w:tcPr>
            <w:tcW w:w="2976" w:type="dxa"/>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kern w:val="0"/>
                <w:sz w:val="24"/>
                <w:szCs w:val="28"/>
              </w:rPr>
            </w:pPr>
            <w:r>
              <w:rPr>
                <w:rFonts w:hint="eastAsia" w:ascii="仿宋_GB2312" w:hAnsi="宋体" w:eastAsia="仿宋_GB2312" w:cs="仿宋_GB2312"/>
                <w:color w:val="auto"/>
                <w:kern w:val="0"/>
                <w:sz w:val="24"/>
                <w:szCs w:val="28"/>
              </w:rPr>
              <w:t>项目</w:t>
            </w:r>
          </w:p>
        </w:tc>
        <w:tc>
          <w:tcPr>
            <w:tcW w:w="2552" w:type="dxa"/>
            <w:tcBorders>
              <w:top w:val="single" w:color="000000" w:sz="8"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仿宋_GB2312" w:hAnsi="宋体" w:eastAsia="仿宋_GB2312" w:cs="仿宋_GB2312"/>
                <w:color w:val="auto"/>
                <w:kern w:val="0"/>
                <w:sz w:val="24"/>
                <w:szCs w:val="28"/>
              </w:rPr>
            </w:pPr>
            <w:r>
              <w:rPr>
                <w:rFonts w:hint="eastAsia" w:ascii="仿宋_GB2312" w:hAnsi="宋体" w:eastAsia="仿宋_GB2312" w:cs="仿宋_GB2312"/>
                <w:color w:val="auto"/>
                <w:kern w:val="0"/>
                <w:sz w:val="24"/>
                <w:szCs w:val="28"/>
              </w:rPr>
              <w:t>分值</w:t>
            </w:r>
          </w:p>
        </w:tc>
      </w:tr>
      <w:tr>
        <w:tblPrEx>
          <w:tblCellMar>
            <w:top w:w="0" w:type="dxa"/>
            <w:left w:w="108" w:type="dxa"/>
            <w:bottom w:w="0" w:type="dxa"/>
            <w:right w:w="108" w:type="dxa"/>
          </w:tblCellMar>
        </w:tblPrEx>
        <w:trPr>
          <w:trHeight w:val="340" w:hRule="atLeast"/>
          <w:jc w:val="center"/>
        </w:trPr>
        <w:tc>
          <w:tcPr>
            <w:tcW w:w="2709" w:type="dxa"/>
            <w:vMerge w:val="restart"/>
            <w:tcBorders>
              <w:top w:val="single" w:color="000000" w:sz="8" w:space="0"/>
              <w:left w:val="single" w:color="000000" w:sz="8"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szCs w:val="28"/>
              </w:rPr>
            </w:pPr>
            <w:r>
              <w:rPr>
                <w:rFonts w:hint="eastAsia" w:ascii="仿宋_GB2312" w:hAnsi="宋体" w:eastAsia="仿宋_GB2312" w:cs="仿宋_GB2312"/>
                <w:color w:val="auto"/>
                <w:kern w:val="0"/>
                <w:sz w:val="24"/>
                <w:szCs w:val="28"/>
              </w:rPr>
              <w:t>综合能力评分（</w:t>
            </w:r>
            <w:r>
              <w:rPr>
                <w:rFonts w:hint="eastAsia" w:ascii="仿宋_GB2312" w:hAnsi="宋体" w:eastAsia="仿宋_GB2312" w:cs="仿宋_GB2312"/>
                <w:color w:val="auto"/>
                <w:kern w:val="0"/>
                <w:sz w:val="24"/>
                <w:szCs w:val="28"/>
                <w:lang w:val="en-US" w:eastAsia="zh-CN"/>
              </w:rPr>
              <w:t>40</w:t>
            </w:r>
            <w:r>
              <w:rPr>
                <w:rFonts w:hint="eastAsia" w:ascii="仿宋_GB2312" w:hAnsi="宋体" w:eastAsia="仿宋_GB2312" w:cs="仿宋_GB2312"/>
                <w:color w:val="auto"/>
                <w:kern w:val="0"/>
                <w:sz w:val="24"/>
                <w:szCs w:val="28"/>
              </w:rPr>
              <w:t>分）</w:t>
            </w:r>
          </w:p>
        </w:tc>
        <w:tc>
          <w:tcPr>
            <w:tcW w:w="2976" w:type="dxa"/>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auto"/>
                <w:sz w:val="24"/>
                <w:szCs w:val="28"/>
                <w:lang w:eastAsia="zh-CN"/>
              </w:rPr>
            </w:pPr>
            <w:r>
              <w:rPr>
                <w:rFonts w:hint="eastAsia" w:ascii="仿宋_GB2312" w:hAnsi="宋体" w:eastAsia="仿宋_GB2312" w:cs="仿宋_GB2312"/>
                <w:color w:val="auto"/>
                <w:kern w:val="0"/>
                <w:sz w:val="24"/>
                <w:szCs w:val="28"/>
                <w:highlight w:val="none"/>
              </w:rPr>
              <w:t>经营</w:t>
            </w:r>
            <w:r>
              <w:rPr>
                <w:rFonts w:hint="eastAsia" w:ascii="仿宋_GB2312" w:hAnsi="宋体" w:eastAsia="仿宋_GB2312" w:cs="仿宋_GB2312"/>
                <w:color w:val="auto"/>
                <w:kern w:val="0"/>
                <w:sz w:val="24"/>
                <w:szCs w:val="28"/>
                <w:highlight w:val="none"/>
                <w:lang w:val="en-US" w:eastAsia="zh-CN"/>
              </w:rPr>
              <w:t>评价结</w:t>
            </w:r>
            <w:r>
              <w:rPr>
                <w:rFonts w:hint="eastAsia" w:ascii="仿宋_GB2312" w:hAnsi="宋体" w:eastAsia="仿宋_GB2312" w:cs="仿宋_GB2312"/>
                <w:color w:val="auto"/>
                <w:kern w:val="0"/>
                <w:sz w:val="24"/>
                <w:szCs w:val="28"/>
                <w:highlight w:val="none"/>
              </w:rPr>
              <w:t>果</w:t>
            </w:r>
          </w:p>
        </w:tc>
        <w:tc>
          <w:tcPr>
            <w:tcW w:w="2552" w:type="dxa"/>
            <w:tcBorders>
              <w:top w:val="single" w:color="000000" w:sz="8"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hint="default" w:ascii="仿宋_GB2312" w:hAnsi="宋体" w:eastAsia="仿宋_GB2312" w:cs="仿宋_GB2312"/>
                <w:color w:val="auto"/>
                <w:sz w:val="24"/>
                <w:szCs w:val="28"/>
                <w:lang w:val="en-US" w:eastAsia="zh-CN"/>
              </w:rPr>
            </w:pPr>
            <w:r>
              <w:rPr>
                <w:rFonts w:hint="eastAsia" w:ascii="仿宋_GB2312" w:hAnsi="宋体" w:eastAsia="仿宋_GB2312" w:cs="仿宋_GB2312"/>
                <w:color w:val="auto"/>
                <w:sz w:val="24"/>
                <w:szCs w:val="28"/>
                <w:lang w:val="en-US" w:eastAsia="zh-CN"/>
              </w:rPr>
              <w:t>10</w:t>
            </w:r>
          </w:p>
        </w:tc>
      </w:tr>
      <w:tr>
        <w:tblPrEx>
          <w:tblCellMar>
            <w:top w:w="0" w:type="dxa"/>
            <w:left w:w="108" w:type="dxa"/>
            <w:bottom w:w="0" w:type="dxa"/>
            <w:right w:w="108" w:type="dxa"/>
          </w:tblCellMar>
        </w:tblPrEx>
        <w:trPr>
          <w:trHeight w:val="340" w:hRule="atLeast"/>
          <w:jc w:val="center"/>
        </w:trPr>
        <w:tc>
          <w:tcPr>
            <w:tcW w:w="2709" w:type="dxa"/>
            <w:vMerge w:val="continue"/>
            <w:tcBorders>
              <w:left w:val="single" w:color="000000" w:sz="8" w:space="0"/>
              <w:right w:val="single" w:color="000000" w:sz="4" w:space="0"/>
            </w:tcBorders>
            <w:shd w:val="clear" w:color="auto" w:fill="auto"/>
            <w:vAlign w:val="center"/>
          </w:tcPr>
          <w:p>
            <w:pPr>
              <w:jc w:val="center"/>
              <w:rPr>
                <w:rFonts w:ascii="仿宋_GB2312" w:hAnsi="宋体" w:eastAsia="仿宋_GB2312" w:cs="仿宋_GB2312"/>
                <w:color w:val="auto"/>
                <w:sz w:val="24"/>
                <w:szCs w:val="28"/>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color w:val="auto"/>
                <w:kern w:val="0"/>
                <w:sz w:val="24"/>
                <w:szCs w:val="28"/>
                <w:lang w:val="en-US" w:eastAsia="zh-CN"/>
              </w:rPr>
            </w:pPr>
            <w:r>
              <w:rPr>
                <w:rFonts w:hint="eastAsia" w:ascii="仿宋_GB2312" w:hAnsi="宋体" w:eastAsia="仿宋_GB2312" w:cs="仿宋_GB2312"/>
                <w:color w:val="auto"/>
                <w:kern w:val="0"/>
                <w:sz w:val="24"/>
                <w:szCs w:val="28"/>
                <w:lang w:val="en-US" w:eastAsia="zh-CN"/>
              </w:rPr>
              <w:t>风险综合评级</w:t>
            </w:r>
          </w:p>
        </w:tc>
        <w:tc>
          <w:tcPr>
            <w:tcW w:w="2552"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hint="default" w:ascii="仿宋_GB2312" w:hAnsi="宋体" w:eastAsia="仿宋_GB2312" w:cs="仿宋_GB2312"/>
                <w:color w:val="auto"/>
                <w:sz w:val="24"/>
                <w:szCs w:val="28"/>
                <w:lang w:val="en-US" w:eastAsia="zh-CN"/>
              </w:rPr>
            </w:pPr>
            <w:r>
              <w:rPr>
                <w:rFonts w:hint="eastAsia" w:ascii="仿宋_GB2312" w:hAnsi="宋体" w:eastAsia="仿宋_GB2312" w:cs="仿宋_GB2312"/>
                <w:color w:val="auto"/>
                <w:sz w:val="24"/>
                <w:szCs w:val="28"/>
                <w:lang w:val="en-US" w:eastAsia="zh-CN"/>
              </w:rPr>
              <w:t>5</w:t>
            </w:r>
          </w:p>
        </w:tc>
      </w:tr>
      <w:tr>
        <w:tblPrEx>
          <w:tblCellMar>
            <w:top w:w="0" w:type="dxa"/>
            <w:left w:w="108" w:type="dxa"/>
            <w:bottom w:w="0" w:type="dxa"/>
            <w:right w:w="108" w:type="dxa"/>
          </w:tblCellMar>
        </w:tblPrEx>
        <w:trPr>
          <w:trHeight w:val="340" w:hRule="atLeast"/>
          <w:jc w:val="center"/>
        </w:trPr>
        <w:tc>
          <w:tcPr>
            <w:tcW w:w="2709" w:type="dxa"/>
            <w:vMerge w:val="continue"/>
            <w:tcBorders>
              <w:left w:val="single" w:color="000000" w:sz="8" w:space="0"/>
              <w:right w:val="single" w:color="000000" w:sz="4" w:space="0"/>
            </w:tcBorders>
            <w:shd w:val="clear" w:color="auto" w:fill="auto"/>
            <w:vAlign w:val="center"/>
          </w:tcPr>
          <w:p>
            <w:pPr>
              <w:jc w:val="center"/>
              <w:rPr>
                <w:rFonts w:ascii="仿宋_GB2312" w:hAnsi="宋体" w:eastAsia="仿宋_GB2312" w:cs="仿宋_GB2312"/>
                <w:color w:val="auto"/>
                <w:sz w:val="24"/>
                <w:szCs w:val="28"/>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color w:val="auto"/>
                <w:kern w:val="0"/>
                <w:sz w:val="24"/>
                <w:szCs w:val="28"/>
                <w:lang w:val="en-US" w:eastAsia="zh-CN"/>
              </w:rPr>
            </w:pPr>
            <w:r>
              <w:rPr>
                <w:rFonts w:hint="eastAsia" w:ascii="仿宋_GB2312" w:hAnsi="宋体" w:eastAsia="仿宋_GB2312" w:cs="仿宋_GB2312"/>
                <w:color w:val="auto"/>
                <w:kern w:val="0"/>
                <w:sz w:val="24"/>
                <w:szCs w:val="28"/>
                <w:lang w:val="en-US" w:eastAsia="zh-CN"/>
              </w:rPr>
              <w:t>营业收入</w:t>
            </w:r>
          </w:p>
        </w:tc>
        <w:tc>
          <w:tcPr>
            <w:tcW w:w="2552"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hint="default" w:ascii="仿宋_GB2312" w:hAnsi="宋体" w:eastAsia="仿宋_GB2312" w:cs="仿宋_GB2312"/>
                <w:color w:val="auto"/>
                <w:sz w:val="24"/>
                <w:szCs w:val="28"/>
                <w:lang w:val="en-US" w:eastAsia="zh-CN"/>
              </w:rPr>
            </w:pPr>
            <w:r>
              <w:rPr>
                <w:rFonts w:hint="eastAsia" w:ascii="仿宋_GB2312" w:hAnsi="宋体" w:eastAsia="仿宋_GB2312" w:cs="仿宋_GB2312"/>
                <w:color w:val="auto"/>
                <w:sz w:val="24"/>
                <w:szCs w:val="28"/>
                <w:lang w:val="en-US" w:eastAsia="zh-CN"/>
              </w:rPr>
              <w:t>5</w:t>
            </w:r>
          </w:p>
        </w:tc>
      </w:tr>
      <w:tr>
        <w:tblPrEx>
          <w:tblCellMar>
            <w:top w:w="0" w:type="dxa"/>
            <w:left w:w="108" w:type="dxa"/>
            <w:bottom w:w="0" w:type="dxa"/>
            <w:right w:w="108" w:type="dxa"/>
          </w:tblCellMar>
        </w:tblPrEx>
        <w:trPr>
          <w:trHeight w:val="340" w:hRule="atLeast"/>
          <w:jc w:val="center"/>
        </w:trPr>
        <w:tc>
          <w:tcPr>
            <w:tcW w:w="2709" w:type="dxa"/>
            <w:vMerge w:val="continue"/>
            <w:tcBorders>
              <w:left w:val="single" w:color="000000" w:sz="8" w:space="0"/>
              <w:right w:val="single" w:color="000000" w:sz="4" w:space="0"/>
            </w:tcBorders>
            <w:shd w:val="clear" w:color="auto" w:fill="auto"/>
            <w:vAlign w:val="center"/>
          </w:tcPr>
          <w:p>
            <w:pPr>
              <w:jc w:val="center"/>
              <w:rPr>
                <w:rFonts w:ascii="仿宋_GB2312" w:hAnsi="宋体" w:eastAsia="仿宋_GB2312" w:cs="仿宋_GB2312"/>
                <w:color w:val="auto"/>
                <w:sz w:val="24"/>
                <w:szCs w:val="28"/>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color w:val="auto"/>
                <w:sz w:val="24"/>
                <w:szCs w:val="28"/>
                <w:lang w:val="en-US" w:eastAsia="zh-CN"/>
              </w:rPr>
            </w:pPr>
            <w:r>
              <w:rPr>
                <w:rFonts w:hint="eastAsia" w:ascii="仿宋_GB2312" w:hAnsi="宋体" w:eastAsia="仿宋_GB2312" w:cs="仿宋_GB2312"/>
                <w:color w:val="auto"/>
                <w:sz w:val="24"/>
                <w:szCs w:val="28"/>
                <w:lang w:val="en-US" w:eastAsia="zh-CN"/>
              </w:rPr>
              <w:t>实收资本</w:t>
            </w:r>
          </w:p>
        </w:tc>
        <w:tc>
          <w:tcPr>
            <w:tcW w:w="2552"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hint="default" w:ascii="仿宋_GB2312" w:hAnsi="宋体" w:eastAsia="仿宋_GB2312" w:cs="仿宋_GB2312"/>
                <w:color w:val="auto"/>
                <w:sz w:val="24"/>
                <w:szCs w:val="28"/>
                <w:lang w:val="en-US" w:eastAsia="zh-CN"/>
              </w:rPr>
            </w:pPr>
            <w:r>
              <w:rPr>
                <w:rFonts w:hint="eastAsia" w:ascii="仿宋_GB2312" w:hAnsi="宋体" w:eastAsia="仿宋_GB2312" w:cs="仿宋_GB2312"/>
                <w:color w:val="auto"/>
                <w:sz w:val="24"/>
                <w:szCs w:val="28"/>
                <w:lang w:val="en-US" w:eastAsia="zh-CN"/>
              </w:rPr>
              <w:t>5</w:t>
            </w:r>
          </w:p>
        </w:tc>
      </w:tr>
      <w:tr>
        <w:tblPrEx>
          <w:tblCellMar>
            <w:top w:w="0" w:type="dxa"/>
            <w:left w:w="108" w:type="dxa"/>
            <w:bottom w:w="0" w:type="dxa"/>
            <w:right w:w="108" w:type="dxa"/>
          </w:tblCellMar>
        </w:tblPrEx>
        <w:trPr>
          <w:trHeight w:val="340" w:hRule="atLeast"/>
          <w:jc w:val="center"/>
        </w:trPr>
        <w:tc>
          <w:tcPr>
            <w:tcW w:w="2709" w:type="dxa"/>
            <w:vMerge w:val="continue"/>
            <w:tcBorders>
              <w:left w:val="single" w:color="000000" w:sz="8" w:space="0"/>
              <w:right w:val="single" w:color="000000" w:sz="4" w:space="0"/>
            </w:tcBorders>
            <w:shd w:val="clear" w:color="auto" w:fill="auto"/>
            <w:vAlign w:val="center"/>
          </w:tcPr>
          <w:p>
            <w:pPr>
              <w:jc w:val="center"/>
              <w:rPr>
                <w:rFonts w:ascii="仿宋_GB2312" w:hAnsi="宋体" w:eastAsia="仿宋_GB2312" w:cs="仿宋_GB2312"/>
                <w:color w:val="auto"/>
                <w:sz w:val="24"/>
                <w:szCs w:val="28"/>
              </w:rPr>
            </w:pPr>
          </w:p>
        </w:tc>
        <w:tc>
          <w:tcPr>
            <w:tcW w:w="2976" w:type="dxa"/>
            <w:tcBorders>
              <w:top w:val="nil"/>
              <w:left w:val="single" w:color="000000" w:sz="4" w:space="0"/>
              <w:bottom w:val="single" w:color="000000" w:sz="8" w:space="0"/>
              <w:right w:val="single" w:color="000000" w:sz="8" w:space="0"/>
            </w:tcBorders>
            <w:shd w:val="clear" w:color="auto" w:fill="auto"/>
            <w:vAlign w:val="center"/>
          </w:tcPr>
          <w:p>
            <w:pPr>
              <w:widowControl/>
              <w:jc w:val="center"/>
              <w:textAlignment w:val="center"/>
              <w:rPr>
                <w:rFonts w:hint="default" w:ascii="仿宋_GB2312" w:hAnsi="宋体" w:eastAsia="仿宋_GB2312" w:cs="仿宋_GB2312"/>
                <w:color w:val="auto"/>
                <w:sz w:val="24"/>
                <w:szCs w:val="28"/>
                <w:lang w:val="en-US" w:eastAsia="zh-CN"/>
              </w:rPr>
            </w:pPr>
            <w:r>
              <w:rPr>
                <w:rFonts w:hint="eastAsia" w:ascii="仿宋_GB2312" w:eastAsia="仿宋_GB2312"/>
                <w:color w:val="auto"/>
                <w:szCs w:val="21"/>
                <w:lang w:val="en-US" w:eastAsia="zh-CN"/>
              </w:rPr>
              <w:t>综合偿付能力充足率</w:t>
            </w:r>
          </w:p>
        </w:tc>
        <w:tc>
          <w:tcPr>
            <w:tcW w:w="2552"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hint="default" w:ascii="仿宋_GB2312" w:hAnsi="宋体" w:eastAsia="仿宋_GB2312" w:cs="仿宋_GB2312"/>
                <w:color w:val="auto"/>
                <w:sz w:val="24"/>
                <w:szCs w:val="28"/>
                <w:lang w:val="en-US" w:eastAsia="zh-CN"/>
              </w:rPr>
            </w:pPr>
            <w:r>
              <w:rPr>
                <w:rFonts w:hint="eastAsia" w:ascii="仿宋_GB2312" w:hAnsi="宋体" w:eastAsia="仿宋_GB2312" w:cs="仿宋_GB2312"/>
                <w:color w:val="auto"/>
                <w:sz w:val="24"/>
                <w:szCs w:val="28"/>
                <w:lang w:val="en-US" w:eastAsia="zh-CN"/>
              </w:rPr>
              <w:t>5</w:t>
            </w:r>
          </w:p>
        </w:tc>
      </w:tr>
      <w:tr>
        <w:tblPrEx>
          <w:tblCellMar>
            <w:top w:w="0" w:type="dxa"/>
            <w:left w:w="108" w:type="dxa"/>
            <w:bottom w:w="0" w:type="dxa"/>
            <w:right w:w="108" w:type="dxa"/>
          </w:tblCellMar>
        </w:tblPrEx>
        <w:trPr>
          <w:trHeight w:val="340" w:hRule="atLeast"/>
          <w:jc w:val="center"/>
        </w:trPr>
        <w:tc>
          <w:tcPr>
            <w:tcW w:w="2709" w:type="dxa"/>
            <w:vMerge w:val="continue"/>
            <w:tcBorders>
              <w:left w:val="single" w:color="000000" w:sz="8" w:space="0"/>
              <w:right w:val="single" w:color="000000" w:sz="4" w:space="0"/>
            </w:tcBorders>
            <w:shd w:val="clear" w:color="auto" w:fill="auto"/>
            <w:vAlign w:val="center"/>
          </w:tcPr>
          <w:p>
            <w:pPr>
              <w:jc w:val="center"/>
              <w:rPr>
                <w:rFonts w:ascii="仿宋_GB2312" w:hAnsi="宋体" w:eastAsia="仿宋_GB2312" w:cs="仿宋_GB2312"/>
                <w:color w:val="auto"/>
                <w:sz w:val="24"/>
                <w:szCs w:val="28"/>
              </w:rPr>
            </w:pPr>
          </w:p>
        </w:tc>
        <w:tc>
          <w:tcPr>
            <w:tcW w:w="2976" w:type="dxa"/>
            <w:tcBorders>
              <w:top w:val="nil"/>
              <w:left w:val="single" w:color="000000" w:sz="4" w:space="0"/>
              <w:bottom w:val="single" w:color="000000" w:sz="8" w:space="0"/>
              <w:right w:val="single" w:color="000000" w:sz="8" w:space="0"/>
            </w:tcBorders>
            <w:shd w:val="clear" w:color="auto" w:fill="auto"/>
            <w:vAlign w:val="center"/>
          </w:tcPr>
          <w:p>
            <w:pPr>
              <w:widowControl/>
              <w:jc w:val="center"/>
              <w:textAlignment w:val="center"/>
              <w:rPr>
                <w:rFonts w:hint="default" w:ascii="仿宋_GB2312" w:hAnsi="宋体" w:eastAsia="仿宋_GB2312" w:cs="仿宋_GB2312"/>
                <w:color w:val="auto"/>
                <w:sz w:val="24"/>
                <w:szCs w:val="28"/>
                <w:lang w:val="en-US" w:eastAsia="zh-CN"/>
              </w:rPr>
            </w:pPr>
            <w:r>
              <w:rPr>
                <w:rFonts w:hint="eastAsia" w:ascii="仿宋_GB2312" w:eastAsia="仿宋_GB2312"/>
                <w:color w:val="auto"/>
                <w:szCs w:val="21"/>
                <w:lang w:val="en-US" w:eastAsia="zh-CN"/>
              </w:rPr>
              <w:t>化工行业承保业绩</w:t>
            </w:r>
          </w:p>
        </w:tc>
        <w:tc>
          <w:tcPr>
            <w:tcW w:w="2552"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hint="default" w:ascii="仿宋_GB2312" w:hAnsi="宋体" w:eastAsia="仿宋_GB2312" w:cs="仿宋_GB2312"/>
                <w:color w:val="auto"/>
                <w:sz w:val="24"/>
                <w:szCs w:val="28"/>
                <w:lang w:val="en-US" w:eastAsia="zh-CN"/>
              </w:rPr>
            </w:pPr>
            <w:r>
              <w:rPr>
                <w:rFonts w:hint="eastAsia" w:ascii="仿宋_GB2312" w:hAnsi="宋体" w:eastAsia="仿宋_GB2312" w:cs="仿宋_GB2312"/>
                <w:color w:val="auto"/>
                <w:sz w:val="24"/>
                <w:szCs w:val="28"/>
                <w:lang w:val="en-US" w:eastAsia="zh-CN"/>
              </w:rPr>
              <w:t>5</w:t>
            </w:r>
          </w:p>
        </w:tc>
      </w:tr>
      <w:tr>
        <w:tblPrEx>
          <w:tblCellMar>
            <w:top w:w="0" w:type="dxa"/>
            <w:left w:w="108" w:type="dxa"/>
            <w:bottom w:w="0" w:type="dxa"/>
            <w:right w:w="108" w:type="dxa"/>
          </w:tblCellMar>
        </w:tblPrEx>
        <w:trPr>
          <w:trHeight w:val="340" w:hRule="atLeast"/>
          <w:jc w:val="center"/>
        </w:trPr>
        <w:tc>
          <w:tcPr>
            <w:tcW w:w="2709" w:type="dxa"/>
            <w:vMerge w:val="continue"/>
            <w:tcBorders>
              <w:left w:val="single" w:color="000000" w:sz="8" w:space="0"/>
              <w:bottom w:val="single" w:color="000000" w:sz="8" w:space="0"/>
              <w:right w:val="single" w:color="000000" w:sz="4" w:space="0"/>
            </w:tcBorders>
            <w:shd w:val="clear" w:color="auto" w:fill="auto"/>
            <w:vAlign w:val="center"/>
          </w:tcPr>
          <w:p>
            <w:pPr>
              <w:jc w:val="center"/>
              <w:rPr>
                <w:rFonts w:ascii="仿宋_GB2312" w:hAnsi="宋体" w:eastAsia="仿宋_GB2312" w:cs="仿宋_GB2312"/>
                <w:color w:val="auto"/>
                <w:sz w:val="24"/>
                <w:szCs w:val="28"/>
              </w:rPr>
            </w:pPr>
          </w:p>
        </w:tc>
        <w:tc>
          <w:tcPr>
            <w:tcW w:w="2976" w:type="dxa"/>
            <w:tcBorders>
              <w:top w:val="nil"/>
              <w:left w:val="single" w:color="000000" w:sz="4" w:space="0"/>
              <w:bottom w:val="single" w:color="000000" w:sz="8" w:space="0"/>
              <w:right w:val="single" w:color="000000" w:sz="8" w:space="0"/>
            </w:tcBorders>
            <w:shd w:val="clear" w:color="auto" w:fill="auto"/>
            <w:vAlign w:val="center"/>
          </w:tcPr>
          <w:p>
            <w:pPr>
              <w:widowControl/>
              <w:jc w:val="center"/>
              <w:textAlignment w:val="center"/>
              <w:rPr>
                <w:rFonts w:hint="default" w:ascii="仿宋_GB2312" w:hAnsi="宋体" w:eastAsia="仿宋_GB2312" w:cs="仿宋_GB2312"/>
                <w:color w:val="auto"/>
                <w:sz w:val="24"/>
                <w:szCs w:val="28"/>
                <w:lang w:val="en-US" w:eastAsia="zh-CN"/>
              </w:rPr>
            </w:pPr>
            <w:r>
              <w:rPr>
                <w:rFonts w:hint="eastAsia" w:ascii="仿宋_GB2312" w:eastAsia="仿宋_GB2312"/>
                <w:color w:val="auto"/>
                <w:szCs w:val="21"/>
                <w:lang w:val="en-US" w:eastAsia="zh-CN"/>
              </w:rPr>
              <w:t>是否受到主管部门处罚</w:t>
            </w:r>
          </w:p>
        </w:tc>
        <w:tc>
          <w:tcPr>
            <w:tcW w:w="2552"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hint="default" w:ascii="仿宋_GB2312" w:hAnsi="宋体" w:eastAsia="仿宋_GB2312" w:cs="仿宋_GB2312"/>
                <w:color w:val="auto"/>
                <w:sz w:val="24"/>
                <w:szCs w:val="28"/>
                <w:lang w:val="en-US" w:eastAsia="zh-CN"/>
              </w:rPr>
            </w:pPr>
            <w:r>
              <w:rPr>
                <w:rFonts w:hint="eastAsia" w:ascii="仿宋_GB2312" w:hAnsi="宋体" w:eastAsia="仿宋_GB2312" w:cs="仿宋_GB2312"/>
                <w:color w:val="auto"/>
                <w:sz w:val="24"/>
                <w:szCs w:val="28"/>
                <w:lang w:val="en-US" w:eastAsia="zh-CN"/>
              </w:rPr>
              <w:t>5</w:t>
            </w:r>
          </w:p>
        </w:tc>
      </w:tr>
      <w:tr>
        <w:tblPrEx>
          <w:tblCellMar>
            <w:top w:w="0" w:type="dxa"/>
            <w:left w:w="108" w:type="dxa"/>
            <w:bottom w:w="0" w:type="dxa"/>
            <w:right w:w="108" w:type="dxa"/>
          </w:tblCellMar>
        </w:tblPrEx>
        <w:trPr>
          <w:trHeight w:val="340" w:hRule="atLeast"/>
          <w:jc w:val="center"/>
        </w:trPr>
        <w:tc>
          <w:tcPr>
            <w:tcW w:w="5685" w:type="dxa"/>
            <w:gridSpan w:val="2"/>
            <w:tcBorders>
              <w:top w:val="nil"/>
              <w:left w:val="single" w:color="000000" w:sz="8" w:space="0"/>
              <w:bottom w:val="single" w:color="000000" w:sz="8"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color w:val="auto"/>
                <w:kern w:val="0"/>
                <w:sz w:val="24"/>
                <w:szCs w:val="28"/>
                <w:lang w:val="en-US" w:eastAsia="zh-CN"/>
              </w:rPr>
            </w:pPr>
            <w:r>
              <w:rPr>
                <w:rFonts w:hint="eastAsia" w:ascii="仿宋_GB2312" w:hAnsi="宋体" w:eastAsia="仿宋_GB2312" w:cs="仿宋_GB2312"/>
                <w:color w:val="auto"/>
                <w:kern w:val="0"/>
                <w:sz w:val="24"/>
                <w:szCs w:val="28"/>
                <w:lang w:val="en-US" w:eastAsia="zh-CN"/>
              </w:rPr>
              <w:t>保险费率评分（60分）</w:t>
            </w:r>
          </w:p>
        </w:tc>
        <w:tc>
          <w:tcPr>
            <w:tcW w:w="2552" w:type="dxa"/>
            <w:tcBorders>
              <w:top w:val="nil"/>
              <w:left w:val="single" w:color="000000" w:sz="4" w:space="0"/>
              <w:bottom w:val="single" w:color="000000" w:sz="8" w:space="0"/>
              <w:right w:val="single" w:color="000000" w:sz="8" w:space="0"/>
            </w:tcBorders>
            <w:shd w:val="clear" w:color="auto" w:fill="auto"/>
            <w:vAlign w:val="center"/>
          </w:tcPr>
          <w:p>
            <w:pPr>
              <w:widowControl/>
              <w:jc w:val="center"/>
              <w:textAlignment w:val="center"/>
              <w:rPr>
                <w:rFonts w:hint="default" w:ascii="仿宋_GB2312" w:hAnsi="宋体" w:eastAsia="仿宋_GB2312" w:cs="仿宋_GB2312"/>
                <w:color w:val="auto"/>
                <w:sz w:val="24"/>
                <w:szCs w:val="28"/>
                <w:lang w:val="en-US" w:eastAsia="zh-CN"/>
              </w:rPr>
            </w:pPr>
            <w:r>
              <w:rPr>
                <w:rFonts w:hint="eastAsia" w:ascii="仿宋_GB2312" w:hAnsi="宋体" w:eastAsia="仿宋_GB2312" w:cs="仿宋_GB2312"/>
                <w:color w:val="auto"/>
                <w:sz w:val="24"/>
                <w:szCs w:val="28"/>
                <w:lang w:val="en-US" w:eastAsia="zh-CN"/>
              </w:rPr>
              <w:t>60</w:t>
            </w:r>
          </w:p>
        </w:tc>
      </w:tr>
      <w:tr>
        <w:tblPrEx>
          <w:tblCellMar>
            <w:top w:w="0" w:type="dxa"/>
            <w:left w:w="108" w:type="dxa"/>
            <w:bottom w:w="0" w:type="dxa"/>
            <w:right w:w="108" w:type="dxa"/>
          </w:tblCellMar>
        </w:tblPrEx>
        <w:trPr>
          <w:trHeight w:val="340" w:hRule="atLeast"/>
          <w:jc w:val="center"/>
        </w:trPr>
        <w:tc>
          <w:tcPr>
            <w:tcW w:w="5685" w:type="dxa"/>
            <w:gridSpan w:val="2"/>
            <w:tcBorders>
              <w:top w:val="nil"/>
              <w:left w:val="single" w:color="000000" w:sz="8" w:space="0"/>
              <w:bottom w:val="single" w:color="000000" w:sz="8" w:space="0"/>
              <w:right w:val="single" w:color="000000" w:sz="4" w:space="0"/>
            </w:tcBorders>
            <w:shd w:val="clear" w:color="auto" w:fill="auto"/>
            <w:vAlign w:val="center"/>
          </w:tcPr>
          <w:p>
            <w:pPr>
              <w:widowControl/>
              <w:jc w:val="center"/>
              <w:textAlignment w:val="center"/>
              <w:rPr>
                <w:rFonts w:hint="default" w:ascii="仿宋_GB2312" w:hAnsi="宋体" w:eastAsia="仿宋_GB2312" w:cs="仿宋_GB2312"/>
                <w:color w:val="auto"/>
                <w:sz w:val="24"/>
                <w:szCs w:val="28"/>
                <w:lang w:val="en-US" w:eastAsia="zh-CN"/>
              </w:rPr>
            </w:pPr>
            <w:r>
              <w:rPr>
                <w:rFonts w:hint="eastAsia" w:ascii="仿宋_GB2312" w:hAnsi="宋体" w:eastAsia="仿宋_GB2312" w:cs="仿宋_GB2312"/>
                <w:color w:val="auto"/>
                <w:sz w:val="24"/>
                <w:szCs w:val="28"/>
                <w:lang w:val="en-US" w:eastAsia="zh-CN"/>
              </w:rPr>
              <w:t>最终评分</w:t>
            </w:r>
          </w:p>
        </w:tc>
        <w:tc>
          <w:tcPr>
            <w:tcW w:w="2552" w:type="dxa"/>
            <w:tcBorders>
              <w:top w:val="nil"/>
              <w:left w:val="single" w:color="000000" w:sz="4" w:space="0"/>
              <w:bottom w:val="single" w:color="000000" w:sz="8" w:space="0"/>
              <w:right w:val="single" w:color="000000" w:sz="8" w:space="0"/>
            </w:tcBorders>
            <w:shd w:val="clear" w:color="auto" w:fill="auto"/>
            <w:vAlign w:val="center"/>
          </w:tcPr>
          <w:p>
            <w:pPr>
              <w:widowControl/>
              <w:jc w:val="center"/>
              <w:textAlignment w:val="center"/>
              <w:rPr>
                <w:rFonts w:hint="default" w:ascii="仿宋_GB2312" w:hAnsi="宋体" w:eastAsia="仿宋_GB2312" w:cs="仿宋_GB2312"/>
                <w:color w:val="auto"/>
                <w:sz w:val="24"/>
                <w:szCs w:val="28"/>
                <w:lang w:val="en-US" w:eastAsia="zh-CN"/>
              </w:rPr>
            </w:pPr>
            <w:r>
              <w:rPr>
                <w:rFonts w:hint="eastAsia" w:ascii="仿宋_GB2312" w:hAnsi="宋体" w:eastAsia="仿宋_GB2312" w:cs="仿宋_GB2312"/>
                <w:color w:val="auto"/>
                <w:sz w:val="24"/>
                <w:szCs w:val="28"/>
                <w:lang w:val="en-US" w:eastAsia="zh-CN"/>
              </w:rPr>
              <w:t>100</w:t>
            </w:r>
          </w:p>
        </w:tc>
      </w:tr>
    </w:tbl>
    <w:p>
      <w:pPr>
        <w:pStyle w:val="5"/>
        <w:spacing w:line="500" w:lineRule="exact"/>
        <w:ind w:firstLine="560"/>
        <w:rPr>
          <w:rFonts w:hAnsi="宋体"/>
          <w:color w:val="auto"/>
          <w:sz w:val="28"/>
          <w:szCs w:val="28"/>
        </w:rPr>
      </w:pPr>
      <w:r>
        <w:rPr>
          <w:rFonts w:hint="eastAsia" w:hAnsi="宋体"/>
          <w:color w:val="auto"/>
          <w:sz w:val="28"/>
          <w:szCs w:val="28"/>
        </w:rPr>
        <w:t>5.评标组不向未中标公司解释落标原因，不退还其投标文件。</w:t>
      </w:r>
    </w:p>
    <w:p>
      <w:pPr>
        <w:snapToGrid w:val="0"/>
        <w:spacing w:line="50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6.出现以下情形之一，视为招标失败，应重新</w:t>
      </w:r>
      <w:r>
        <w:rPr>
          <w:rFonts w:hint="eastAsia" w:ascii="仿宋_GB2312" w:hAnsi="宋体" w:eastAsia="仿宋_GB2312"/>
          <w:color w:val="auto"/>
          <w:sz w:val="28"/>
          <w:szCs w:val="28"/>
          <w:lang w:val="en-US" w:eastAsia="zh-CN"/>
        </w:rPr>
        <w:t>通过其他方式选择企财险服务商</w:t>
      </w:r>
      <w:r>
        <w:rPr>
          <w:rFonts w:hint="eastAsia" w:ascii="仿宋_GB2312" w:hAnsi="宋体" w:eastAsia="仿宋_GB2312"/>
          <w:color w:val="auto"/>
          <w:sz w:val="28"/>
          <w:szCs w:val="28"/>
        </w:rPr>
        <w:t>：</w:t>
      </w:r>
    </w:p>
    <w:p>
      <w:pPr>
        <w:adjustRightInd w:val="0"/>
        <w:snapToGrid w:val="0"/>
        <w:spacing w:line="50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w:t>
      </w:r>
      <w:r>
        <w:rPr>
          <w:rFonts w:ascii="仿宋_GB2312" w:hAnsi="宋体" w:eastAsia="仿宋_GB2312"/>
          <w:color w:val="auto"/>
          <w:sz w:val="28"/>
          <w:szCs w:val="28"/>
        </w:rPr>
        <w:t>1</w:t>
      </w:r>
      <w:r>
        <w:rPr>
          <w:rFonts w:hint="eastAsia" w:ascii="仿宋_GB2312" w:hAnsi="宋体" w:eastAsia="仿宋_GB2312"/>
          <w:color w:val="auto"/>
          <w:sz w:val="28"/>
          <w:szCs w:val="28"/>
        </w:rPr>
        <w:t>）出现影响招标公正的违法、违规行为的；</w:t>
      </w:r>
    </w:p>
    <w:p>
      <w:pPr>
        <w:adjustRightInd w:val="0"/>
        <w:snapToGrid w:val="0"/>
        <w:spacing w:line="50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w:t>
      </w:r>
      <w:r>
        <w:rPr>
          <w:rFonts w:ascii="仿宋_GB2312" w:hAnsi="宋体" w:eastAsia="仿宋_GB2312"/>
          <w:color w:val="auto"/>
          <w:sz w:val="28"/>
          <w:szCs w:val="28"/>
        </w:rPr>
        <w:t>2</w:t>
      </w:r>
      <w:r>
        <w:rPr>
          <w:rFonts w:hint="eastAsia" w:ascii="仿宋_GB2312" w:hAnsi="宋体" w:eastAsia="仿宋_GB2312"/>
          <w:color w:val="auto"/>
          <w:sz w:val="28"/>
          <w:szCs w:val="28"/>
        </w:rPr>
        <w:t>）我公司认为投标公司资质、方案、技术等均不能满足要求的；</w:t>
      </w:r>
    </w:p>
    <w:p>
      <w:pPr>
        <w:adjustRightInd w:val="0"/>
        <w:snapToGrid w:val="0"/>
        <w:spacing w:line="500" w:lineRule="exact"/>
        <w:ind w:firstLine="560" w:firstLineChars="200"/>
        <w:rPr>
          <w:rFonts w:hint="eastAsia" w:ascii="仿宋_GB2312" w:eastAsia="仿宋_GB2312"/>
          <w:color w:val="auto"/>
          <w:sz w:val="28"/>
          <w:szCs w:val="28"/>
          <w:lang w:val="en-US" w:eastAsia="zh-CN"/>
        </w:rPr>
      </w:pPr>
      <w:r>
        <w:rPr>
          <w:rFonts w:hint="eastAsia" w:ascii="仿宋_GB2312" w:eastAsia="仿宋_GB2312"/>
          <w:color w:val="auto"/>
          <w:sz w:val="28"/>
          <w:szCs w:val="28"/>
        </w:rPr>
        <w:t>（</w:t>
      </w:r>
      <w:r>
        <w:rPr>
          <w:rFonts w:ascii="仿宋_GB2312" w:eastAsia="仿宋_GB2312"/>
          <w:color w:val="auto"/>
          <w:sz w:val="28"/>
          <w:szCs w:val="28"/>
        </w:rPr>
        <w:t>3</w:t>
      </w:r>
      <w:r>
        <w:rPr>
          <w:rFonts w:hint="eastAsia" w:ascii="仿宋_GB2312" w:eastAsia="仿宋_GB2312"/>
          <w:color w:val="auto"/>
          <w:sz w:val="28"/>
          <w:szCs w:val="28"/>
        </w:rPr>
        <w:t>）因不可抗力导致重大变故等原因，企业财产保险项目取消的。</w:t>
      </w:r>
      <w:r>
        <w:rPr>
          <w:rFonts w:hint="eastAsia" w:ascii="仿宋_GB2312" w:eastAsia="仿宋_GB2312"/>
          <w:color w:val="auto"/>
          <w:sz w:val="28"/>
          <w:szCs w:val="28"/>
          <w:lang w:val="en-US" w:eastAsia="zh-CN"/>
        </w:rPr>
        <w:t xml:space="preserve"> </w:t>
      </w:r>
    </w:p>
    <w:p>
      <w:pPr>
        <w:adjustRightInd w:val="0"/>
        <w:snapToGrid w:val="0"/>
        <w:spacing w:line="500" w:lineRule="exact"/>
        <w:ind w:firstLine="560" w:firstLineChars="200"/>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4</w:t>
      </w:r>
      <w:r>
        <w:rPr>
          <w:rFonts w:hint="eastAsia" w:ascii="仿宋_GB2312" w:eastAsia="仿宋_GB2312"/>
          <w:color w:val="auto"/>
          <w:sz w:val="28"/>
          <w:szCs w:val="28"/>
          <w:lang w:eastAsia="zh-CN"/>
        </w:rPr>
        <w:t>）</w:t>
      </w:r>
      <w:r>
        <w:rPr>
          <w:rFonts w:hint="eastAsia" w:ascii="仿宋_GB2312" w:eastAsia="仿宋_GB2312"/>
          <w:color w:val="auto"/>
          <w:sz w:val="28"/>
          <w:szCs w:val="28"/>
          <w:highlight w:val="none"/>
          <w:lang w:val="en-US" w:eastAsia="zh-CN"/>
        </w:rPr>
        <w:t>因本次招标过程中出现流标或其他未能确定保险服务商的情形。</w:t>
      </w:r>
    </w:p>
    <w:p>
      <w:pPr>
        <w:adjustRightInd w:val="0"/>
        <w:snapToGrid w:val="0"/>
        <w:spacing w:line="500" w:lineRule="exact"/>
        <w:ind w:firstLine="562" w:firstLineChars="200"/>
        <w:rPr>
          <w:rFonts w:ascii="仿宋_GB2312" w:eastAsia="仿宋_GB2312"/>
          <w:b/>
          <w:color w:val="auto"/>
          <w:sz w:val="28"/>
          <w:szCs w:val="28"/>
        </w:rPr>
      </w:pPr>
      <w:r>
        <w:rPr>
          <w:rFonts w:hint="eastAsia" w:ascii="仿宋_GB2312" w:eastAsia="仿宋_GB2312"/>
          <w:b/>
          <w:color w:val="auto"/>
          <w:sz w:val="28"/>
          <w:szCs w:val="28"/>
        </w:rPr>
        <w:t>六、定标</w:t>
      </w:r>
    </w:p>
    <w:p>
      <w:pPr>
        <w:adjustRightInd w:val="0"/>
        <w:snapToGrid w:val="0"/>
        <w:spacing w:line="50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1.我公司将采用综合评价法定标，每个项目单独定标，一家保险单位可中标多个项目。</w:t>
      </w:r>
    </w:p>
    <w:p>
      <w:pPr>
        <w:adjustRightInd w:val="0"/>
        <w:snapToGrid w:val="0"/>
        <w:spacing w:line="50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2.中标公司一旦被确定，其他未中标公司不能再以任何形式影响中标决定。</w:t>
      </w:r>
    </w:p>
    <w:p>
      <w:pPr>
        <w:snapToGrid w:val="0"/>
        <w:spacing w:line="500" w:lineRule="exact"/>
        <w:ind w:firstLine="551" w:firstLineChars="196"/>
        <w:rPr>
          <w:rFonts w:ascii="仿宋_GB2312" w:eastAsia="仿宋_GB2312"/>
          <w:b/>
          <w:color w:val="auto"/>
          <w:sz w:val="28"/>
          <w:szCs w:val="28"/>
        </w:rPr>
      </w:pPr>
      <w:r>
        <w:rPr>
          <w:rFonts w:hint="eastAsia" w:ascii="仿宋_GB2312" w:eastAsia="仿宋_GB2312"/>
          <w:b/>
          <w:color w:val="auto"/>
          <w:sz w:val="28"/>
          <w:szCs w:val="28"/>
        </w:rPr>
        <w:t>七、中标通知</w:t>
      </w:r>
    </w:p>
    <w:p>
      <w:pPr>
        <w:pStyle w:val="14"/>
        <w:spacing w:line="500" w:lineRule="exact"/>
        <w:ind w:firstLine="538"/>
        <w:rPr>
          <w:color w:val="auto"/>
          <w:sz w:val="28"/>
          <w:szCs w:val="28"/>
        </w:rPr>
      </w:pPr>
      <w:r>
        <w:rPr>
          <w:color w:val="auto"/>
          <w:sz w:val="28"/>
          <w:szCs w:val="28"/>
        </w:rPr>
        <w:t>1</w:t>
      </w:r>
      <w:r>
        <w:rPr>
          <w:rFonts w:hint="eastAsia"/>
          <w:color w:val="auto"/>
          <w:sz w:val="28"/>
          <w:szCs w:val="28"/>
        </w:rPr>
        <w:t>.评标结束后，我公司适时将中标结果通知中标公司。</w:t>
      </w:r>
    </w:p>
    <w:p>
      <w:pPr>
        <w:pStyle w:val="14"/>
        <w:spacing w:line="500" w:lineRule="exact"/>
        <w:ind w:firstLine="538"/>
        <w:rPr>
          <w:color w:val="auto"/>
          <w:sz w:val="28"/>
          <w:szCs w:val="28"/>
        </w:rPr>
      </w:pPr>
      <w:r>
        <w:rPr>
          <w:color w:val="auto"/>
          <w:sz w:val="28"/>
          <w:szCs w:val="28"/>
        </w:rPr>
        <w:t>2</w:t>
      </w:r>
      <w:r>
        <w:rPr>
          <w:rFonts w:hint="eastAsia"/>
          <w:color w:val="auto"/>
          <w:sz w:val="28"/>
          <w:szCs w:val="28"/>
        </w:rPr>
        <w:t>.若投标人中标后，不得无故放弃中标资格，如出现投标人放弃中标资格的情况，则第二成交候选人有顺序递补的资格并以此类推，但具体的成交事项须经招标单位、顺序递补候选人达成一致意见。</w:t>
      </w:r>
    </w:p>
    <w:p>
      <w:pPr>
        <w:spacing w:line="500" w:lineRule="exact"/>
        <w:ind w:firstLine="562" w:firstLineChars="200"/>
        <w:rPr>
          <w:rFonts w:ascii="仿宋_GB2312" w:hAnsi="宋体" w:eastAsia="仿宋_GB2312"/>
          <w:b/>
          <w:color w:val="auto"/>
          <w:sz w:val="28"/>
          <w:szCs w:val="28"/>
        </w:rPr>
      </w:pPr>
      <w:r>
        <w:rPr>
          <w:rFonts w:hint="eastAsia" w:ascii="仿宋_GB2312" w:hAnsi="宋体" w:eastAsia="仿宋_GB2312"/>
          <w:b/>
          <w:color w:val="auto"/>
          <w:sz w:val="28"/>
          <w:szCs w:val="28"/>
        </w:rPr>
        <w:t>八、签订合同</w:t>
      </w:r>
    </w:p>
    <w:p>
      <w:pPr>
        <w:spacing w:line="500" w:lineRule="exact"/>
        <w:ind w:firstLine="537" w:firstLineChars="192"/>
        <w:rPr>
          <w:rFonts w:ascii="仿宋_GB2312" w:hAnsi="宋体" w:eastAsia="仿宋_GB2312"/>
          <w:color w:val="auto"/>
          <w:sz w:val="28"/>
          <w:szCs w:val="28"/>
        </w:rPr>
      </w:pPr>
      <w:r>
        <w:rPr>
          <w:rFonts w:ascii="仿宋_GB2312" w:hAnsi="宋体" w:eastAsia="仿宋_GB2312"/>
          <w:color w:val="auto"/>
          <w:sz w:val="28"/>
          <w:szCs w:val="28"/>
        </w:rPr>
        <w:t>1</w:t>
      </w:r>
      <w:r>
        <w:rPr>
          <w:rFonts w:hint="eastAsia" w:ascii="仿宋_GB2312" w:hAnsi="宋体" w:eastAsia="仿宋_GB2312"/>
          <w:color w:val="auto"/>
          <w:sz w:val="28"/>
          <w:szCs w:val="28"/>
        </w:rPr>
        <w:t>.中标公司收到</w:t>
      </w:r>
      <w:r>
        <w:rPr>
          <w:rFonts w:hint="eastAsia" w:ascii="仿宋_GB2312" w:eastAsia="仿宋_GB2312"/>
          <w:color w:val="auto"/>
          <w:sz w:val="28"/>
          <w:szCs w:val="28"/>
        </w:rPr>
        <w:t>中标通知</w:t>
      </w:r>
      <w:r>
        <w:rPr>
          <w:rFonts w:hint="eastAsia" w:ascii="仿宋_GB2312" w:hAnsi="宋体" w:eastAsia="仿宋_GB2312"/>
          <w:color w:val="auto"/>
          <w:sz w:val="28"/>
          <w:szCs w:val="28"/>
        </w:rPr>
        <w:t>后</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需在各单位资产投保期限到期前</w:t>
      </w:r>
      <w:r>
        <w:rPr>
          <w:rFonts w:hint="eastAsia" w:ascii="仿宋_GB2312" w:hAnsi="宋体" w:eastAsia="仿宋_GB2312"/>
          <w:color w:val="auto"/>
          <w:sz w:val="28"/>
          <w:szCs w:val="28"/>
        </w:rPr>
        <w:t>与各投保单位（索普集团、索普股份、索普新材料及索普天辰）签订保险合同。合同内容应与国家相关法律法规、招标文件内容保持一致。</w:t>
      </w:r>
    </w:p>
    <w:p>
      <w:pPr>
        <w:spacing w:line="500" w:lineRule="exact"/>
        <w:ind w:firstLine="537" w:firstLineChars="192"/>
        <w:rPr>
          <w:rFonts w:ascii="仿宋_GB2312" w:hAnsi="宋体" w:eastAsia="仿宋_GB2312"/>
          <w:color w:val="auto"/>
          <w:sz w:val="28"/>
          <w:szCs w:val="28"/>
        </w:rPr>
      </w:pPr>
      <w:r>
        <w:rPr>
          <w:rFonts w:ascii="仿宋_GB2312" w:hAnsi="宋体" w:eastAsia="仿宋_GB2312"/>
          <w:color w:val="auto"/>
          <w:sz w:val="28"/>
          <w:szCs w:val="28"/>
        </w:rPr>
        <w:t>2</w:t>
      </w:r>
      <w:r>
        <w:rPr>
          <w:rFonts w:hint="eastAsia" w:ascii="仿宋_GB2312" w:hAnsi="宋体" w:eastAsia="仿宋_GB2312"/>
          <w:color w:val="auto"/>
          <w:sz w:val="28"/>
          <w:szCs w:val="28"/>
        </w:rPr>
        <w:t>.合同一式二份：中标公司、投保单位各一份。</w:t>
      </w:r>
    </w:p>
    <w:p>
      <w:pPr>
        <w:spacing w:line="50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3.若中标公司放弃或擅自在签订合同中改变最终承诺条款时，我公司可在参与投标的公司中重新确定中标公司。</w:t>
      </w:r>
    </w:p>
    <w:p>
      <w:pPr>
        <w:spacing w:line="500" w:lineRule="exact"/>
        <w:ind w:firstLine="562" w:firstLineChars="200"/>
        <w:rPr>
          <w:rFonts w:ascii="仿宋_GB2312" w:hAnsi="宋体" w:eastAsia="仿宋_GB2312"/>
          <w:b/>
          <w:bCs/>
          <w:color w:val="auto"/>
          <w:sz w:val="28"/>
          <w:szCs w:val="28"/>
        </w:rPr>
      </w:pPr>
      <w:r>
        <w:rPr>
          <w:rFonts w:hint="eastAsia" w:ascii="仿宋_GB2312" w:hAnsi="宋体" w:eastAsia="仿宋_GB2312"/>
          <w:b/>
          <w:bCs/>
          <w:color w:val="auto"/>
          <w:sz w:val="28"/>
          <w:szCs w:val="28"/>
        </w:rPr>
        <w:t>九、合同履行相关要求</w:t>
      </w:r>
    </w:p>
    <w:p>
      <w:pPr>
        <w:spacing w:line="50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1.资金支付方式</w:t>
      </w:r>
    </w:p>
    <w:p>
      <w:pPr>
        <w:spacing w:line="50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本保险项目付款方式</w:t>
      </w:r>
    </w:p>
    <w:p>
      <w:pPr>
        <w:numPr>
          <w:ilvl w:val="0"/>
          <w:numId w:val="4"/>
        </w:numPr>
        <w:spacing w:line="50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财产险</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采用现汇方式，分期付款。一年共分两期支付，第一期保费在合同生效之日起30日内付总保费的60%，第二期保费于合同执行6个月后付总保费的40%，第二年按上述同样支付方式执行。保险公司支付保险理赔款同样采用现汇方式。</w:t>
      </w:r>
    </w:p>
    <w:p>
      <w:pPr>
        <w:numPr>
          <w:ilvl w:val="0"/>
          <w:numId w:val="4"/>
        </w:numPr>
        <w:spacing w:line="50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货运险</w:t>
      </w:r>
    </w:p>
    <w:p>
      <w:pPr>
        <w:autoSpaceDE w:val="0"/>
        <w:autoSpaceDN w:val="0"/>
        <w:spacing w:before="74" w:line="500" w:lineRule="exact"/>
        <w:ind w:right="69" w:firstLine="560" w:firstLineChars="200"/>
        <w:rPr>
          <w:rFonts w:hint="eastAsia"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rPr>
        <w:t>采用现汇方式，</w:t>
      </w:r>
      <w:r>
        <w:rPr>
          <w:rFonts w:hint="eastAsia" w:ascii="仿宋_GB2312" w:hAnsi="宋体" w:eastAsia="仿宋_GB2312"/>
          <w:color w:val="auto"/>
          <w:sz w:val="28"/>
          <w:szCs w:val="28"/>
          <w:lang w:val="en-US" w:eastAsia="zh-CN"/>
        </w:rPr>
        <w:t>招标方按月投保货运险</w:t>
      </w:r>
      <w:r>
        <w:rPr>
          <w:rFonts w:hint="eastAsia" w:ascii="仿宋_GB2312" w:hAnsi="宋体" w:eastAsia="仿宋_GB2312"/>
          <w:color w:val="auto"/>
          <w:sz w:val="28"/>
          <w:szCs w:val="28"/>
          <w:highlight w:val="none"/>
          <w:lang w:val="en-US" w:eastAsia="zh-CN"/>
        </w:rPr>
        <w:t>，在收到中标方保险单据及增值税专用发票后，次月将保费汇入中标方指定的银行账户。</w:t>
      </w:r>
    </w:p>
    <w:p>
      <w:pPr>
        <w:autoSpaceDE w:val="0"/>
        <w:autoSpaceDN w:val="0"/>
        <w:spacing w:before="74" w:line="500" w:lineRule="exact"/>
        <w:ind w:right="69"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2.保险公司服务机构</w:t>
      </w:r>
    </w:p>
    <w:p>
      <w:pPr>
        <w:autoSpaceDE w:val="0"/>
        <w:autoSpaceDN w:val="0"/>
        <w:spacing w:before="74" w:line="500" w:lineRule="exact"/>
        <w:ind w:right="69" w:firstLine="495" w:firstLineChars="177"/>
        <w:rPr>
          <w:rFonts w:ascii="仿宋_GB2312" w:hAnsi="宋体" w:eastAsia="仿宋_GB2312"/>
          <w:color w:val="auto"/>
          <w:sz w:val="28"/>
          <w:szCs w:val="28"/>
        </w:rPr>
      </w:pPr>
      <w:r>
        <w:rPr>
          <w:rFonts w:hint="eastAsia" w:ascii="仿宋_GB2312" w:hAnsi="宋体" w:eastAsia="仿宋_GB2312"/>
          <w:color w:val="auto"/>
          <w:sz w:val="28"/>
          <w:szCs w:val="28"/>
        </w:rPr>
        <w:t>成立工作服务小组，明确负责人，负责协调承保、理赔服务等相关事宜。</w:t>
      </w:r>
    </w:p>
    <w:p>
      <w:pPr>
        <w:autoSpaceDE w:val="0"/>
        <w:autoSpaceDN w:val="0"/>
        <w:spacing w:before="74" w:line="500" w:lineRule="exact"/>
        <w:ind w:right="69" w:firstLine="495" w:firstLineChars="177"/>
        <w:rPr>
          <w:rFonts w:ascii="仿宋_GB2312" w:hAnsi="宋体" w:eastAsia="仿宋_GB2312"/>
          <w:bCs/>
          <w:color w:val="auto"/>
          <w:sz w:val="28"/>
          <w:szCs w:val="28"/>
        </w:rPr>
      </w:pPr>
      <w:r>
        <w:rPr>
          <w:rFonts w:hint="eastAsia" w:ascii="仿宋_GB2312" w:hAnsi="宋体" w:eastAsia="仿宋_GB2312"/>
          <w:bCs/>
          <w:color w:val="auto"/>
          <w:sz w:val="28"/>
          <w:szCs w:val="28"/>
        </w:rPr>
        <w:t>3.查勘</w:t>
      </w:r>
    </w:p>
    <w:p>
      <w:pPr>
        <w:autoSpaceDE w:val="0"/>
        <w:autoSpaceDN w:val="0"/>
        <w:spacing w:before="74" w:line="500" w:lineRule="exact"/>
        <w:ind w:right="69" w:firstLine="495" w:firstLineChars="177"/>
        <w:rPr>
          <w:rFonts w:ascii="仿宋_GB2312" w:hAnsi="宋体" w:eastAsia="仿宋_GB2312"/>
          <w:color w:val="auto"/>
          <w:sz w:val="28"/>
          <w:szCs w:val="28"/>
        </w:rPr>
      </w:pPr>
      <w:r>
        <w:rPr>
          <w:rFonts w:hint="eastAsia" w:ascii="仿宋_GB2312" w:hAnsi="宋体" w:eastAsia="仿宋_GB2312"/>
          <w:color w:val="auto"/>
          <w:sz w:val="28"/>
          <w:szCs w:val="28"/>
        </w:rPr>
        <w:t>（</w:t>
      </w:r>
      <w:r>
        <w:rPr>
          <w:rFonts w:ascii="仿宋_GB2312" w:hAnsi="宋体" w:eastAsia="仿宋_GB2312"/>
          <w:color w:val="auto"/>
          <w:sz w:val="28"/>
          <w:szCs w:val="28"/>
        </w:rPr>
        <w:t>1</w:t>
      </w:r>
      <w:r>
        <w:rPr>
          <w:rFonts w:hint="eastAsia" w:ascii="仿宋_GB2312" w:hAnsi="宋体" w:eastAsia="仿宋_GB2312"/>
          <w:color w:val="auto"/>
          <w:sz w:val="28"/>
          <w:szCs w:val="28"/>
        </w:rPr>
        <w:t>）设立</w:t>
      </w:r>
      <w:r>
        <w:rPr>
          <w:rFonts w:ascii="仿宋_GB2312" w:hAnsi="宋体" w:eastAsia="仿宋_GB2312"/>
          <w:color w:val="auto"/>
          <w:sz w:val="28"/>
          <w:szCs w:val="28"/>
        </w:rPr>
        <w:t xml:space="preserve"> 365 </w:t>
      </w:r>
      <w:r>
        <w:rPr>
          <w:rFonts w:hint="eastAsia" w:ascii="仿宋_GB2312" w:hAnsi="宋体" w:eastAsia="仿宋_GB2312"/>
          <w:color w:val="auto"/>
          <w:sz w:val="28"/>
          <w:szCs w:val="28"/>
        </w:rPr>
        <w:t>天无休日，</w:t>
      </w:r>
      <w:r>
        <w:rPr>
          <w:rFonts w:ascii="仿宋_GB2312" w:hAnsi="宋体" w:eastAsia="仿宋_GB2312"/>
          <w:color w:val="auto"/>
          <w:sz w:val="28"/>
          <w:szCs w:val="28"/>
        </w:rPr>
        <w:t xml:space="preserve">24 </w:t>
      </w:r>
      <w:r>
        <w:rPr>
          <w:rFonts w:hint="eastAsia" w:ascii="仿宋_GB2312" w:hAnsi="宋体" w:eastAsia="仿宋_GB2312"/>
          <w:color w:val="auto"/>
          <w:sz w:val="28"/>
          <w:szCs w:val="28"/>
        </w:rPr>
        <w:t>小时报案、咨询受理电话；</w:t>
      </w:r>
    </w:p>
    <w:p>
      <w:pPr>
        <w:autoSpaceDE w:val="0"/>
        <w:autoSpaceDN w:val="0"/>
        <w:spacing w:before="74" w:line="500" w:lineRule="exact"/>
        <w:ind w:right="69" w:firstLine="495" w:firstLineChars="177"/>
        <w:rPr>
          <w:rFonts w:ascii="仿宋_GB2312" w:hAnsi="宋体" w:eastAsia="仿宋_GB2312"/>
          <w:color w:val="auto"/>
          <w:sz w:val="28"/>
          <w:szCs w:val="28"/>
        </w:rPr>
      </w:pPr>
      <w:r>
        <w:rPr>
          <w:rFonts w:hint="eastAsia" w:ascii="仿宋_GB2312" w:hAnsi="宋体" w:eastAsia="仿宋_GB2312"/>
          <w:color w:val="auto"/>
          <w:sz w:val="28"/>
          <w:szCs w:val="28"/>
        </w:rPr>
        <w:t>（</w:t>
      </w:r>
      <w:r>
        <w:rPr>
          <w:rFonts w:ascii="仿宋_GB2312" w:hAnsi="宋体" w:eastAsia="仿宋_GB2312"/>
          <w:color w:val="auto"/>
          <w:sz w:val="28"/>
          <w:szCs w:val="28"/>
        </w:rPr>
        <w:t>2</w:t>
      </w:r>
      <w:r>
        <w:rPr>
          <w:rFonts w:hint="eastAsia" w:ascii="仿宋_GB2312" w:hAnsi="宋体" w:eastAsia="仿宋_GB2312"/>
          <w:color w:val="auto"/>
          <w:sz w:val="28"/>
          <w:szCs w:val="28"/>
        </w:rPr>
        <w:t>）接到我公司报案后，应迅速组织人员或委托出险当地保险分公司人员赶赴现场查勘，如果财产尚未脱离危险状态，现场查勘人员应立即会同我公司人员或有关部门采取必要合理的措施，尽量减少保险财产的损失。</w:t>
      </w:r>
    </w:p>
    <w:p>
      <w:pPr>
        <w:autoSpaceDE w:val="0"/>
        <w:autoSpaceDN w:val="0"/>
        <w:spacing w:before="74" w:line="500" w:lineRule="exact"/>
        <w:ind w:right="69" w:firstLine="495" w:firstLineChars="177"/>
        <w:rPr>
          <w:rFonts w:ascii="仿宋_GB2312" w:hAnsi="宋体" w:eastAsia="仿宋_GB2312"/>
          <w:bCs/>
          <w:color w:val="auto"/>
          <w:sz w:val="28"/>
          <w:szCs w:val="28"/>
        </w:rPr>
      </w:pPr>
      <w:r>
        <w:rPr>
          <w:rFonts w:hint="eastAsia" w:ascii="仿宋_GB2312" w:hAnsi="宋体" w:eastAsia="仿宋_GB2312"/>
          <w:bCs/>
          <w:color w:val="auto"/>
          <w:sz w:val="28"/>
          <w:szCs w:val="28"/>
        </w:rPr>
        <w:t>4.索赔时效</w:t>
      </w:r>
    </w:p>
    <w:p>
      <w:pPr>
        <w:autoSpaceDE w:val="0"/>
        <w:autoSpaceDN w:val="0"/>
        <w:spacing w:before="74" w:line="500" w:lineRule="exact"/>
        <w:ind w:right="69" w:firstLine="495" w:firstLineChars="177"/>
        <w:rPr>
          <w:rFonts w:ascii="仿宋_GB2312" w:hAnsi="宋体" w:eastAsia="仿宋_GB2312"/>
          <w:color w:val="auto"/>
          <w:sz w:val="32"/>
        </w:rPr>
      </w:pPr>
      <w:r>
        <w:rPr>
          <w:rFonts w:hint="eastAsia" w:ascii="仿宋_GB2312" w:hAnsi="宋体" w:eastAsia="仿宋_GB2312"/>
          <w:color w:val="auto"/>
          <w:sz w:val="28"/>
          <w:szCs w:val="28"/>
        </w:rPr>
        <w:t>我公司将完整的索赔资料提交给保险公司后，保险公司应</w:t>
      </w:r>
      <w:r>
        <w:rPr>
          <w:rFonts w:hint="eastAsia" w:ascii="仿宋_GB2312" w:hAnsi="宋体" w:eastAsia="仿宋_GB2312"/>
          <w:color w:val="auto"/>
          <w:sz w:val="28"/>
          <w:szCs w:val="28"/>
          <w:highlight w:val="none"/>
        </w:rPr>
        <w:t>在</w:t>
      </w:r>
      <w:r>
        <w:rPr>
          <w:rFonts w:hint="eastAsia" w:ascii="仿宋_GB2312" w:hAnsi="宋体" w:eastAsia="仿宋_GB2312"/>
          <w:color w:val="auto"/>
          <w:sz w:val="28"/>
          <w:szCs w:val="28"/>
          <w:highlight w:val="none"/>
          <w:lang w:val="en-US" w:eastAsia="zh-CN"/>
        </w:rPr>
        <w:t>十五</w:t>
      </w:r>
      <w:r>
        <w:rPr>
          <w:rFonts w:hint="eastAsia" w:ascii="仿宋_GB2312" w:hAnsi="宋体" w:eastAsia="仿宋_GB2312"/>
          <w:color w:val="auto"/>
          <w:sz w:val="28"/>
          <w:szCs w:val="28"/>
        </w:rPr>
        <w:t>个工作日内将理赔款项支付给我公司。</w:t>
      </w:r>
    </w:p>
    <w:p>
      <w:pPr>
        <w:pageBreakBefore/>
        <w:spacing w:line="500" w:lineRule="exact"/>
        <w:jc w:val="center"/>
        <w:rPr>
          <w:rFonts w:eastAsia="黑体"/>
          <w:color w:val="auto"/>
          <w:sz w:val="32"/>
          <w:szCs w:val="32"/>
        </w:rPr>
      </w:pPr>
      <w:r>
        <w:rPr>
          <w:rFonts w:hint="eastAsia" w:eastAsia="黑体"/>
          <w:color w:val="auto"/>
          <w:sz w:val="32"/>
          <w:szCs w:val="32"/>
        </w:rPr>
        <w:t>第三章  投标文件格式要求</w:t>
      </w:r>
    </w:p>
    <w:p>
      <w:pPr>
        <w:pStyle w:val="7"/>
        <w:spacing w:line="560" w:lineRule="exact"/>
        <w:ind w:firstLine="0" w:firstLineChars="0"/>
        <w:jc w:val="both"/>
        <w:rPr>
          <w:rFonts w:ascii="仿宋" w:hAnsi="仿宋" w:eastAsia="仿宋" w:cs="仿宋"/>
          <w:b/>
          <w:color w:val="auto"/>
          <w:sz w:val="28"/>
          <w:szCs w:val="28"/>
        </w:rPr>
      </w:pPr>
    </w:p>
    <w:p>
      <w:pPr>
        <w:pStyle w:val="7"/>
        <w:spacing w:line="560" w:lineRule="exact"/>
        <w:ind w:firstLine="560"/>
        <w:jc w:val="both"/>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投标文件需提交以下材料，并按照招标须知第四条要求装订成册：</w:t>
      </w:r>
    </w:p>
    <w:p>
      <w:pPr>
        <w:pStyle w:val="7"/>
        <w:spacing w:line="560" w:lineRule="exact"/>
        <w:ind w:firstLine="560"/>
        <w:jc w:val="both"/>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1.投标函</w:t>
      </w:r>
    </w:p>
    <w:p>
      <w:pPr>
        <w:pStyle w:val="7"/>
        <w:spacing w:line="560" w:lineRule="exact"/>
        <w:ind w:firstLine="560"/>
        <w:jc w:val="both"/>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2.营业执照副本（复印件，要求清晰反映企业法人年检情况记录和经营范围）</w:t>
      </w:r>
    </w:p>
    <w:p>
      <w:pPr>
        <w:pStyle w:val="7"/>
        <w:spacing w:line="560" w:lineRule="exact"/>
        <w:ind w:firstLine="560"/>
        <w:jc w:val="both"/>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3.保险业务许可证、资质证书（复印件）</w:t>
      </w:r>
    </w:p>
    <w:p>
      <w:pPr>
        <w:pStyle w:val="7"/>
        <w:spacing w:line="560" w:lineRule="exact"/>
        <w:ind w:firstLine="560"/>
        <w:jc w:val="both"/>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4.投标授权委托书（原件，委托代理时提供）</w:t>
      </w:r>
    </w:p>
    <w:p>
      <w:pPr>
        <w:pStyle w:val="7"/>
        <w:spacing w:line="560" w:lineRule="exact"/>
        <w:ind w:firstLine="560"/>
        <w:jc w:val="both"/>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5.投标公司承诺函</w:t>
      </w:r>
    </w:p>
    <w:p>
      <w:pPr>
        <w:pStyle w:val="7"/>
        <w:spacing w:line="560" w:lineRule="exact"/>
        <w:ind w:firstLine="560"/>
        <w:jc w:val="both"/>
        <w:rPr>
          <w:rFonts w:hint="eastAsia" w:ascii="仿宋_GB2312" w:hAnsi="仿宋" w:eastAsia="仿宋_GB2312" w:cs="仿宋"/>
          <w:bCs/>
          <w:color w:val="auto"/>
          <w:sz w:val="28"/>
          <w:szCs w:val="28"/>
        </w:rPr>
      </w:pPr>
      <w:r>
        <w:rPr>
          <w:rFonts w:hint="eastAsia" w:ascii="仿宋_GB2312" w:hAnsi="仿宋" w:eastAsia="仿宋_GB2312" w:cs="仿宋"/>
          <w:bCs/>
          <w:color w:val="auto"/>
          <w:sz w:val="28"/>
          <w:szCs w:val="28"/>
        </w:rPr>
        <w:t>6.投标公司综合情况（含公司经营评价结果类别）</w:t>
      </w:r>
    </w:p>
    <w:p>
      <w:pPr>
        <w:pStyle w:val="7"/>
        <w:spacing w:line="560" w:lineRule="exact"/>
        <w:ind w:firstLine="560"/>
        <w:jc w:val="both"/>
        <w:rPr>
          <w:rFonts w:hint="default" w:ascii="仿宋_GB2312" w:hAnsi="仿宋" w:eastAsia="仿宋_GB2312" w:cs="仿宋"/>
          <w:bCs/>
          <w:color w:val="auto"/>
          <w:sz w:val="28"/>
          <w:szCs w:val="28"/>
          <w:lang w:val="en-US" w:eastAsia="zh-CN"/>
        </w:rPr>
      </w:pPr>
      <w:r>
        <w:rPr>
          <w:rFonts w:hint="eastAsia" w:ascii="仿宋_GB2312" w:hAnsi="仿宋" w:eastAsia="仿宋_GB2312" w:cs="仿宋"/>
          <w:bCs/>
          <w:color w:val="auto"/>
          <w:sz w:val="28"/>
          <w:szCs w:val="28"/>
          <w:lang w:val="en-US" w:eastAsia="zh-CN"/>
        </w:rPr>
        <w:t>7.投标公司总部2022年经审计的审计报告，要求列明2022年度经审计的营业收入、实收资本等主要信息。</w:t>
      </w:r>
    </w:p>
    <w:p>
      <w:pPr>
        <w:pStyle w:val="7"/>
        <w:spacing w:line="560" w:lineRule="exact"/>
        <w:ind w:firstLine="560"/>
        <w:jc w:val="both"/>
        <w:rPr>
          <w:rFonts w:ascii="仿宋_GB2312" w:hAnsi="仿宋" w:eastAsia="仿宋_GB2312" w:cs="仿宋"/>
          <w:bCs/>
          <w:color w:val="auto"/>
          <w:sz w:val="28"/>
          <w:szCs w:val="28"/>
        </w:rPr>
      </w:pPr>
      <w:r>
        <w:rPr>
          <w:rFonts w:hint="eastAsia" w:ascii="仿宋_GB2312" w:hAnsi="仿宋" w:eastAsia="仿宋_GB2312" w:cs="仿宋"/>
          <w:bCs/>
          <w:color w:val="auto"/>
          <w:sz w:val="28"/>
          <w:szCs w:val="28"/>
          <w:lang w:val="en-US" w:eastAsia="zh-CN"/>
        </w:rPr>
        <w:t>8</w:t>
      </w:r>
      <w:r>
        <w:rPr>
          <w:rFonts w:hint="eastAsia" w:ascii="仿宋_GB2312" w:hAnsi="仿宋" w:eastAsia="仿宋_GB2312" w:cs="仿宋"/>
          <w:bCs/>
          <w:color w:val="auto"/>
          <w:sz w:val="28"/>
          <w:szCs w:val="28"/>
        </w:rPr>
        <w:t>.投标报价单（格式按我公司提供的模板，需加盖公章）</w:t>
      </w:r>
    </w:p>
    <w:p>
      <w:pPr>
        <w:pStyle w:val="7"/>
        <w:spacing w:line="560" w:lineRule="exact"/>
        <w:ind w:firstLine="560"/>
        <w:jc w:val="both"/>
        <w:rPr>
          <w:rFonts w:ascii="仿宋_GB2312" w:hAnsi="仿宋" w:eastAsia="仿宋_GB2312" w:cs="仿宋"/>
          <w:bCs/>
          <w:color w:val="auto"/>
          <w:sz w:val="28"/>
          <w:szCs w:val="28"/>
        </w:rPr>
      </w:pPr>
    </w:p>
    <w:p>
      <w:pPr>
        <w:spacing w:line="560" w:lineRule="exact"/>
        <w:ind w:firstLine="560" w:firstLineChars="200"/>
        <w:rPr>
          <w:rFonts w:ascii="仿宋" w:hAnsi="仿宋" w:eastAsia="仿宋" w:cs="仿宋"/>
          <w:color w:val="auto"/>
          <w:sz w:val="28"/>
          <w:szCs w:val="28"/>
        </w:rPr>
      </w:pPr>
    </w:p>
    <w:p>
      <w:pPr>
        <w:spacing w:line="560" w:lineRule="exact"/>
        <w:ind w:firstLine="560" w:firstLineChars="200"/>
        <w:rPr>
          <w:rFonts w:ascii="仿宋" w:hAnsi="仿宋" w:eastAsia="仿宋" w:cs="仿宋"/>
          <w:color w:val="auto"/>
          <w:sz w:val="28"/>
          <w:szCs w:val="28"/>
        </w:rPr>
      </w:pPr>
    </w:p>
    <w:p>
      <w:pPr>
        <w:spacing w:line="560" w:lineRule="exact"/>
        <w:ind w:firstLine="560" w:firstLineChars="200"/>
        <w:rPr>
          <w:rFonts w:ascii="仿宋" w:hAnsi="仿宋" w:eastAsia="仿宋" w:cs="仿宋"/>
          <w:color w:val="auto"/>
          <w:sz w:val="28"/>
          <w:szCs w:val="28"/>
        </w:rPr>
      </w:pPr>
    </w:p>
    <w:p>
      <w:pPr>
        <w:spacing w:line="560" w:lineRule="exact"/>
        <w:ind w:firstLine="560" w:firstLineChars="200"/>
        <w:rPr>
          <w:rFonts w:ascii="仿宋" w:hAnsi="仿宋" w:eastAsia="仿宋" w:cs="仿宋"/>
          <w:color w:val="auto"/>
          <w:sz w:val="28"/>
          <w:szCs w:val="28"/>
        </w:rPr>
      </w:pPr>
    </w:p>
    <w:p>
      <w:pPr>
        <w:spacing w:line="560" w:lineRule="exact"/>
        <w:ind w:firstLine="560" w:firstLineChars="200"/>
        <w:rPr>
          <w:rFonts w:ascii="仿宋" w:hAnsi="仿宋" w:eastAsia="仿宋" w:cs="仿宋"/>
          <w:color w:val="auto"/>
          <w:sz w:val="28"/>
          <w:szCs w:val="28"/>
        </w:rPr>
      </w:pPr>
    </w:p>
    <w:p>
      <w:pPr>
        <w:spacing w:line="560" w:lineRule="exact"/>
        <w:ind w:firstLine="560" w:firstLineChars="200"/>
        <w:rPr>
          <w:rFonts w:ascii="仿宋" w:hAnsi="仿宋" w:eastAsia="仿宋" w:cs="仿宋"/>
          <w:color w:val="auto"/>
          <w:sz w:val="28"/>
          <w:szCs w:val="28"/>
        </w:rPr>
      </w:pPr>
    </w:p>
    <w:p>
      <w:pPr>
        <w:spacing w:line="560" w:lineRule="exact"/>
        <w:rPr>
          <w:rFonts w:ascii="仿宋" w:hAnsi="仿宋" w:eastAsia="仿宋" w:cs="仿宋"/>
          <w:color w:val="auto"/>
          <w:sz w:val="28"/>
          <w:szCs w:val="28"/>
        </w:rPr>
      </w:pPr>
    </w:p>
    <w:p>
      <w:pPr>
        <w:pStyle w:val="7"/>
        <w:pageBreakBefore/>
        <w:spacing w:line="500" w:lineRule="exact"/>
        <w:ind w:firstLine="0" w:firstLineChars="0"/>
        <w:rPr>
          <w:rFonts w:hAnsi="黑体" w:cs="黑体"/>
          <w:color w:val="auto"/>
          <w:sz w:val="32"/>
          <w:szCs w:val="32"/>
        </w:rPr>
      </w:pPr>
      <w:r>
        <w:rPr>
          <w:rFonts w:hint="eastAsia" w:hAnsi="黑体" w:cs="黑体"/>
          <w:color w:val="auto"/>
          <w:sz w:val="32"/>
          <w:szCs w:val="32"/>
        </w:rPr>
        <w:t>投 标 函</w:t>
      </w:r>
    </w:p>
    <w:p>
      <w:pPr>
        <w:pStyle w:val="7"/>
        <w:spacing w:line="500" w:lineRule="exact"/>
        <w:ind w:firstLine="0" w:firstLineChars="0"/>
        <w:jc w:val="both"/>
        <w:rPr>
          <w:rFonts w:ascii="仿宋" w:hAnsi="仿宋" w:eastAsia="仿宋" w:cs="仿宋"/>
          <w:color w:val="auto"/>
          <w:sz w:val="28"/>
          <w:szCs w:val="28"/>
        </w:rPr>
      </w:pPr>
    </w:p>
    <w:p>
      <w:pPr>
        <w:pStyle w:val="7"/>
        <w:spacing w:line="500" w:lineRule="exact"/>
        <w:ind w:firstLine="0" w:firstLineChars="0"/>
        <w:jc w:val="both"/>
        <w:rPr>
          <w:rFonts w:ascii="仿宋_GB2312" w:hAnsi="仿宋" w:eastAsia="仿宋_GB2312" w:cs="仿宋"/>
          <w:color w:val="auto"/>
          <w:sz w:val="28"/>
          <w:szCs w:val="28"/>
        </w:rPr>
      </w:pPr>
      <w:r>
        <w:rPr>
          <w:rFonts w:hint="eastAsia" w:ascii="仿宋_GB2312" w:hAnsi="仿宋" w:eastAsia="仿宋_GB2312" w:cs="仿宋"/>
          <w:color w:val="auto"/>
          <w:sz w:val="28"/>
          <w:szCs w:val="28"/>
        </w:rPr>
        <w:t>江苏索普（集团）有限公司：</w:t>
      </w:r>
    </w:p>
    <w:p>
      <w:pPr>
        <w:spacing w:line="500" w:lineRule="exact"/>
        <w:ind w:firstLine="560" w:firstLineChars="200"/>
        <w:rPr>
          <w:rFonts w:ascii="仿宋_GB2312" w:hAnsi="仿宋" w:eastAsia="仿宋_GB2312" w:cs="仿宋"/>
          <w:color w:val="auto"/>
          <w:sz w:val="28"/>
          <w:szCs w:val="28"/>
        </w:rPr>
      </w:pPr>
      <w:r>
        <w:rPr>
          <w:rFonts w:hint="eastAsia" w:ascii="仿宋_GB2312" w:hAnsi="仿宋" w:eastAsia="仿宋_GB2312" w:cs="仿宋"/>
          <w:color w:val="auto"/>
          <w:sz w:val="28"/>
          <w:szCs w:val="28"/>
        </w:rPr>
        <w:t>我公司获悉贵公司企业保险合同招标信息，经研究，决定自愿参加该项目招标，并同意和承诺自觉遵守招标中的各项要求。</w:t>
      </w:r>
    </w:p>
    <w:p>
      <w:pPr>
        <w:spacing w:line="500" w:lineRule="exact"/>
        <w:ind w:firstLine="560" w:firstLineChars="200"/>
        <w:rPr>
          <w:rFonts w:ascii="仿宋_GB2312" w:hAnsi="仿宋" w:eastAsia="仿宋_GB2312" w:cs="仿宋"/>
          <w:color w:val="auto"/>
          <w:sz w:val="28"/>
          <w:szCs w:val="28"/>
        </w:rPr>
      </w:pPr>
      <w:r>
        <w:rPr>
          <w:rFonts w:hint="eastAsia" w:ascii="仿宋_GB2312" w:hAnsi="仿宋" w:eastAsia="仿宋_GB2312" w:cs="仿宋"/>
          <w:color w:val="auto"/>
          <w:sz w:val="28"/>
          <w:szCs w:val="28"/>
        </w:rPr>
        <w:t>1.我公司全面研究了招标文件，并能够正确理解其全部内容。我公司根据招标文件中的投标要求进行了测算，投标报价见我公司提供的《投标报价单》，我公司的报价包含项目的所有费用。</w:t>
      </w:r>
    </w:p>
    <w:p>
      <w:pPr>
        <w:spacing w:line="500" w:lineRule="exact"/>
        <w:ind w:firstLine="560" w:firstLineChars="200"/>
        <w:rPr>
          <w:rFonts w:ascii="仿宋_GB2312" w:hAnsi="仿宋" w:eastAsia="仿宋_GB2312" w:cs="仿宋"/>
          <w:color w:val="auto"/>
          <w:sz w:val="28"/>
          <w:szCs w:val="28"/>
        </w:rPr>
      </w:pPr>
      <w:r>
        <w:rPr>
          <w:rFonts w:hint="eastAsia" w:ascii="仿宋_GB2312" w:hAnsi="仿宋" w:eastAsia="仿宋_GB2312" w:cs="仿宋"/>
          <w:color w:val="auto"/>
          <w:sz w:val="28"/>
          <w:szCs w:val="28"/>
        </w:rPr>
        <w:t>2.我公司完全接受招标文件中的开标与评标细则。</w:t>
      </w:r>
    </w:p>
    <w:p>
      <w:pPr>
        <w:spacing w:line="500" w:lineRule="exact"/>
        <w:ind w:firstLine="560" w:firstLineChars="200"/>
        <w:rPr>
          <w:rFonts w:ascii="仿宋_GB2312" w:hAnsi="仿宋" w:eastAsia="仿宋_GB2312" w:cs="仿宋"/>
          <w:color w:val="auto"/>
          <w:sz w:val="28"/>
          <w:szCs w:val="28"/>
        </w:rPr>
      </w:pPr>
      <w:r>
        <w:rPr>
          <w:rFonts w:hint="eastAsia" w:ascii="仿宋_GB2312" w:hAnsi="仿宋" w:eastAsia="仿宋_GB2312" w:cs="仿宋"/>
          <w:color w:val="auto"/>
          <w:sz w:val="28"/>
          <w:szCs w:val="28"/>
        </w:rPr>
        <w:t>3.我公司现提交的投标文件壹份。</w:t>
      </w:r>
    </w:p>
    <w:p>
      <w:pPr>
        <w:spacing w:line="500" w:lineRule="exact"/>
        <w:ind w:firstLine="560" w:firstLineChars="200"/>
        <w:rPr>
          <w:rFonts w:ascii="仿宋_GB2312" w:hAnsi="仿宋" w:eastAsia="仿宋_GB2312" w:cs="仿宋"/>
          <w:color w:val="auto"/>
          <w:sz w:val="28"/>
          <w:szCs w:val="28"/>
        </w:rPr>
      </w:pPr>
      <w:r>
        <w:rPr>
          <w:rFonts w:hint="eastAsia" w:ascii="仿宋_GB2312" w:hAnsi="仿宋" w:eastAsia="仿宋_GB2312" w:cs="仿宋"/>
          <w:color w:val="auto"/>
          <w:sz w:val="28"/>
          <w:szCs w:val="28"/>
        </w:rPr>
        <w:t>4.如果我公司中标，我公司承诺严格执行双方签订的保险合同。如果我公司出现不能正常履行合同条款的情形，我公司愿意承担由此给贵公司造成的一切损失。</w:t>
      </w:r>
    </w:p>
    <w:p>
      <w:pPr>
        <w:pStyle w:val="2"/>
        <w:spacing w:line="500" w:lineRule="exact"/>
        <w:ind w:firstLineChars="150"/>
        <w:rPr>
          <w:rFonts w:ascii="仿宋_GB2312" w:hAnsi="仿宋" w:eastAsia="仿宋_GB2312" w:cs="仿宋"/>
          <w:color w:val="auto"/>
          <w:sz w:val="28"/>
          <w:szCs w:val="28"/>
        </w:rPr>
      </w:pPr>
    </w:p>
    <w:p>
      <w:pPr>
        <w:pStyle w:val="2"/>
        <w:spacing w:line="500" w:lineRule="exact"/>
        <w:ind w:firstLine="0" w:firstLineChars="0"/>
        <w:rPr>
          <w:rFonts w:ascii="仿宋_GB2312" w:hAnsi="仿宋" w:eastAsia="仿宋_GB2312" w:cs="仿宋"/>
          <w:color w:val="auto"/>
          <w:sz w:val="28"/>
          <w:szCs w:val="28"/>
        </w:rPr>
      </w:pPr>
    </w:p>
    <w:p>
      <w:pPr>
        <w:pStyle w:val="2"/>
        <w:spacing w:line="500" w:lineRule="exact"/>
        <w:ind w:firstLine="4760" w:firstLineChars="1700"/>
        <w:rPr>
          <w:rFonts w:ascii="仿宋_GB2312" w:hAnsi="仿宋" w:eastAsia="仿宋_GB2312" w:cs="仿宋"/>
          <w:color w:val="auto"/>
          <w:sz w:val="28"/>
          <w:szCs w:val="28"/>
        </w:rPr>
      </w:pPr>
    </w:p>
    <w:p>
      <w:pPr>
        <w:pStyle w:val="2"/>
        <w:spacing w:line="500" w:lineRule="exact"/>
        <w:ind w:firstLine="3640" w:firstLineChars="1300"/>
        <w:rPr>
          <w:rFonts w:ascii="仿宋_GB2312" w:hAnsi="仿宋" w:eastAsia="仿宋_GB2312" w:cs="仿宋"/>
          <w:color w:val="auto"/>
          <w:sz w:val="28"/>
          <w:szCs w:val="28"/>
        </w:rPr>
      </w:pPr>
      <w:r>
        <w:rPr>
          <w:rFonts w:hint="eastAsia" w:ascii="仿宋_GB2312" w:hAnsi="仿宋" w:eastAsia="仿宋_GB2312" w:cs="仿宋"/>
          <w:color w:val="auto"/>
          <w:sz w:val="28"/>
          <w:szCs w:val="28"/>
        </w:rPr>
        <w:t xml:space="preserve">投标公司（盖章）： </w:t>
      </w:r>
    </w:p>
    <w:p>
      <w:pPr>
        <w:pStyle w:val="2"/>
        <w:spacing w:line="500" w:lineRule="exact"/>
        <w:ind w:firstLineChars="150"/>
        <w:rPr>
          <w:rFonts w:ascii="仿宋_GB2312" w:hAnsi="仿宋" w:eastAsia="仿宋_GB2312" w:cs="仿宋"/>
          <w:color w:val="auto"/>
          <w:sz w:val="28"/>
          <w:szCs w:val="28"/>
        </w:rPr>
      </w:pPr>
    </w:p>
    <w:p>
      <w:pPr>
        <w:pStyle w:val="2"/>
        <w:spacing w:line="500" w:lineRule="exact"/>
        <w:ind w:firstLine="4900" w:firstLineChars="1750"/>
        <w:rPr>
          <w:rFonts w:ascii="仿宋_GB2312" w:hAnsi="仿宋" w:eastAsia="仿宋_GB2312" w:cs="仿宋"/>
          <w:color w:val="auto"/>
          <w:sz w:val="28"/>
          <w:szCs w:val="28"/>
        </w:rPr>
      </w:pPr>
      <w:r>
        <w:rPr>
          <w:rFonts w:hint="eastAsia" w:ascii="仿宋_GB2312" w:hAnsi="仿宋" w:eastAsia="仿宋_GB2312" w:cs="仿宋"/>
          <w:color w:val="auto"/>
          <w:sz w:val="28"/>
          <w:szCs w:val="28"/>
        </w:rPr>
        <w:t>年  月  日</w:t>
      </w:r>
    </w:p>
    <w:p>
      <w:pPr>
        <w:pStyle w:val="2"/>
        <w:spacing w:line="500" w:lineRule="exact"/>
        <w:ind w:firstLine="0" w:firstLineChars="0"/>
        <w:rPr>
          <w:rFonts w:ascii="仿宋_GB2312" w:hAnsi="仿宋" w:eastAsia="仿宋_GB2312" w:cs="仿宋"/>
          <w:color w:val="auto"/>
          <w:sz w:val="28"/>
          <w:szCs w:val="28"/>
        </w:rPr>
      </w:pPr>
    </w:p>
    <w:p>
      <w:pPr>
        <w:jc w:val="center"/>
        <w:rPr>
          <w:rFonts w:ascii="黑体" w:hAnsi="黑体" w:eastAsia="黑体" w:cs="黑体"/>
          <w:color w:val="auto"/>
          <w:sz w:val="32"/>
          <w:szCs w:val="32"/>
        </w:rPr>
      </w:pPr>
    </w:p>
    <w:p>
      <w:pPr>
        <w:jc w:val="center"/>
        <w:rPr>
          <w:rFonts w:ascii="黑体" w:hAnsi="黑体" w:eastAsia="黑体" w:cs="黑体"/>
          <w:color w:val="auto"/>
          <w:sz w:val="32"/>
          <w:szCs w:val="32"/>
        </w:rPr>
      </w:pPr>
    </w:p>
    <w:p>
      <w:pPr>
        <w:jc w:val="center"/>
        <w:rPr>
          <w:rFonts w:ascii="黑体" w:hAnsi="黑体" w:eastAsia="黑体" w:cs="黑体"/>
          <w:color w:val="auto"/>
          <w:sz w:val="32"/>
          <w:szCs w:val="32"/>
        </w:rPr>
      </w:pPr>
    </w:p>
    <w:p>
      <w:pPr>
        <w:jc w:val="center"/>
        <w:rPr>
          <w:rFonts w:ascii="黑体" w:hAnsi="黑体" w:eastAsia="黑体" w:cs="黑体"/>
          <w:color w:val="auto"/>
          <w:sz w:val="32"/>
          <w:szCs w:val="32"/>
        </w:rPr>
      </w:pPr>
    </w:p>
    <w:p>
      <w:pPr>
        <w:widowControl/>
        <w:jc w:val="left"/>
        <w:rPr>
          <w:rFonts w:ascii="黑体" w:hAnsi="黑体" w:eastAsia="黑体" w:cs="黑体"/>
          <w:color w:val="auto"/>
          <w:sz w:val="32"/>
          <w:szCs w:val="32"/>
        </w:rPr>
      </w:pPr>
      <w:r>
        <w:rPr>
          <w:rFonts w:ascii="黑体" w:hAnsi="黑体" w:eastAsia="黑体" w:cs="黑体"/>
          <w:color w:val="auto"/>
          <w:sz w:val="32"/>
          <w:szCs w:val="32"/>
        </w:rPr>
        <w:br w:type="page"/>
      </w:r>
    </w:p>
    <w:p>
      <w:pPr>
        <w:jc w:val="center"/>
        <w:rPr>
          <w:rFonts w:ascii="黑体" w:hAnsi="黑体" w:eastAsia="黑体" w:cs="黑体"/>
          <w:color w:val="auto"/>
          <w:sz w:val="32"/>
          <w:szCs w:val="32"/>
        </w:rPr>
      </w:pPr>
      <w:r>
        <w:rPr>
          <w:rFonts w:hint="eastAsia" w:ascii="黑体" w:hAnsi="黑体" w:eastAsia="黑体" w:cs="黑体"/>
          <w:color w:val="auto"/>
          <w:sz w:val="32"/>
          <w:szCs w:val="32"/>
        </w:rPr>
        <w:t>投标授权委托书</w:t>
      </w:r>
    </w:p>
    <w:p>
      <w:pPr>
        <w:rPr>
          <w:color w:val="auto"/>
        </w:rPr>
      </w:pPr>
    </w:p>
    <w:p>
      <w:pPr>
        <w:rPr>
          <w:color w:val="auto"/>
        </w:rPr>
      </w:pPr>
    </w:p>
    <w:p>
      <w:pPr>
        <w:pStyle w:val="4"/>
        <w:numPr>
          <w:ilvl w:val="0"/>
          <w:numId w:val="5"/>
        </w:numPr>
        <w:spacing w:line="500" w:lineRule="exact"/>
        <w:ind w:firstLine="560" w:firstLineChars="200"/>
        <w:rPr>
          <w:rFonts w:ascii="仿宋_GB2312" w:hAnsi="仿宋" w:cs="仿宋"/>
          <w:color w:val="auto"/>
          <w:sz w:val="28"/>
          <w:szCs w:val="28"/>
        </w:rPr>
      </w:pPr>
      <w:r>
        <w:rPr>
          <w:rFonts w:hint="eastAsia" w:ascii="仿宋_GB2312" w:hAnsi="仿宋" w:cs="仿宋"/>
          <w:color w:val="auto"/>
          <w:sz w:val="28"/>
          <w:szCs w:val="28"/>
        </w:rPr>
        <w:t>本人(姓名)系(投标公司名称)的法定代表人</w:t>
      </w:r>
      <w:r>
        <w:rPr>
          <w:rFonts w:hint="eastAsia" w:ascii="仿宋_GB2312" w:hAnsi="仿宋" w:cs="仿宋"/>
          <w:color w:val="auto"/>
          <w:sz w:val="28"/>
          <w:szCs w:val="28"/>
          <w:lang w:eastAsia="zh-CN"/>
        </w:rPr>
        <w:t>（</w:t>
      </w:r>
      <w:r>
        <w:rPr>
          <w:rFonts w:hint="eastAsia" w:ascii="仿宋_GB2312" w:hAnsi="仿宋" w:cs="仿宋"/>
          <w:color w:val="auto"/>
          <w:sz w:val="28"/>
          <w:szCs w:val="28"/>
          <w:lang w:val="en-US" w:eastAsia="zh-CN"/>
        </w:rPr>
        <w:t>负责人</w:t>
      </w:r>
      <w:r>
        <w:rPr>
          <w:rFonts w:hint="eastAsia" w:ascii="仿宋_GB2312" w:hAnsi="仿宋" w:cs="仿宋"/>
          <w:color w:val="auto"/>
          <w:sz w:val="28"/>
          <w:szCs w:val="28"/>
          <w:lang w:eastAsia="zh-CN"/>
        </w:rPr>
        <w:t>）</w:t>
      </w:r>
      <w:r>
        <w:rPr>
          <w:rFonts w:hint="eastAsia" w:ascii="仿宋_GB2312" w:hAnsi="仿宋" w:cs="仿宋"/>
          <w:color w:val="auto"/>
          <w:sz w:val="28"/>
          <w:szCs w:val="28"/>
        </w:rPr>
        <w:t>，现委托(姓名)为我公司代理人。代理人根据授权，以我公司名义签署、澄清、说明、补正、递交、撤回、修改</w:t>
      </w:r>
      <w:r>
        <w:rPr>
          <w:rFonts w:hint="eastAsia" w:ascii="仿宋_GB2312" w:hAnsi="仿宋" w:cs="仿宋"/>
          <w:bCs/>
          <w:color w:val="auto"/>
          <w:sz w:val="28"/>
          <w:szCs w:val="28"/>
        </w:rPr>
        <w:t>20</w:t>
      </w:r>
      <w:r>
        <w:rPr>
          <w:rFonts w:hint="eastAsia" w:ascii="仿宋_GB2312" w:hAnsi="仿宋" w:cs="仿宋"/>
          <w:bCs/>
          <w:color w:val="auto"/>
          <w:sz w:val="28"/>
          <w:szCs w:val="28"/>
          <w:lang w:val="en-US" w:eastAsia="zh-CN"/>
        </w:rPr>
        <w:t>24</w:t>
      </w:r>
      <w:r>
        <w:rPr>
          <w:rFonts w:hint="eastAsia" w:ascii="仿宋_GB2312" w:hAnsi="仿宋" w:cs="仿宋"/>
          <w:bCs/>
          <w:color w:val="auto"/>
          <w:sz w:val="28"/>
          <w:szCs w:val="28"/>
        </w:rPr>
        <w:t>至202</w:t>
      </w:r>
      <w:r>
        <w:rPr>
          <w:rFonts w:hint="eastAsia" w:ascii="仿宋_GB2312" w:hAnsi="仿宋" w:cs="仿宋"/>
          <w:bCs/>
          <w:color w:val="auto"/>
          <w:sz w:val="28"/>
          <w:szCs w:val="28"/>
          <w:lang w:val="en-US" w:eastAsia="zh-CN"/>
        </w:rPr>
        <w:t>6</w:t>
      </w:r>
      <w:r>
        <w:rPr>
          <w:rFonts w:hint="eastAsia" w:ascii="仿宋_GB2312" w:hAnsi="仿宋" w:cs="仿宋"/>
          <w:bCs/>
          <w:color w:val="auto"/>
          <w:sz w:val="28"/>
          <w:szCs w:val="28"/>
        </w:rPr>
        <w:t>年度</w:t>
      </w:r>
      <w:r>
        <w:rPr>
          <w:rFonts w:hint="eastAsia" w:ascii="仿宋_GB2312" w:hAnsi="仿宋" w:cs="仿宋"/>
          <w:color w:val="auto"/>
          <w:sz w:val="28"/>
          <w:szCs w:val="28"/>
        </w:rPr>
        <w:t>资产财产保险投标文件、签订合同和处理有关事宜，其法律后果由我公司承担。</w:t>
      </w:r>
    </w:p>
    <w:p>
      <w:pPr>
        <w:spacing w:line="500" w:lineRule="exact"/>
        <w:ind w:firstLine="560" w:firstLineChars="200"/>
        <w:rPr>
          <w:rFonts w:ascii="仿宋_GB2312" w:hAnsi="仿宋" w:eastAsia="仿宋_GB2312" w:cs="仿宋"/>
          <w:color w:val="auto"/>
          <w:sz w:val="28"/>
          <w:szCs w:val="28"/>
        </w:rPr>
      </w:pPr>
      <w:r>
        <w:rPr>
          <w:rFonts w:hint="eastAsia" w:ascii="仿宋_GB2312" w:hAnsi="仿宋" w:eastAsia="仿宋_GB2312" w:cs="仿宋"/>
          <w:color w:val="auto"/>
          <w:sz w:val="28"/>
          <w:szCs w:val="28"/>
        </w:rPr>
        <w:t>委托期限:本次投标活动结束后自动终止。</w:t>
      </w:r>
    </w:p>
    <w:p>
      <w:pPr>
        <w:spacing w:line="500" w:lineRule="exact"/>
        <w:ind w:firstLine="560" w:firstLineChars="200"/>
        <w:rPr>
          <w:rFonts w:ascii="仿宋_GB2312" w:hAnsi="仿宋" w:eastAsia="仿宋_GB2312" w:cs="仿宋"/>
          <w:color w:val="auto"/>
          <w:sz w:val="28"/>
          <w:szCs w:val="28"/>
        </w:rPr>
      </w:pPr>
      <w:r>
        <w:rPr>
          <w:rFonts w:hint="eastAsia" w:ascii="仿宋_GB2312" w:hAnsi="仿宋" w:eastAsia="仿宋_GB2312" w:cs="仿宋"/>
          <w:color w:val="auto"/>
          <w:sz w:val="28"/>
          <w:szCs w:val="28"/>
        </w:rPr>
        <w:t>代理人无转委托权。</w:t>
      </w:r>
    </w:p>
    <w:p>
      <w:pPr>
        <w:spacing w:line="500" w:lineRule="exact"/>
        <w:ind w:firstLine="560" w:firstLineChars="200"/>
        <w:rPr>
          <w:rFonts w:ascii="仿宋_GB2312" w:hAnsi="仿宋" w:eastAsia="仿宋_GB2312" w:cs="仿宋"/>
          <w:color w:val="auto"/>
          <w:sz w:val="28"/>
          <w:szCs w:val="28"/>
        </w:rPr>
      </w:pPr>
    </w:p>
    <w:p>
      <w:pPr>
        <w:spacing w:line="500" w:lineRule="exact"/>
        <w:rPr>
          <w:rFonts w:ascii="仿宋_GB2312" w:hAnsi="仿宋" w:eastAsia="仿宋_GB2312" w:cs="仿宋"/>
          <w:color w:val="auto"/>
          <w:sz w:val="28"/>
          <w:szCs w:val="28"/>
        </w:rPr>
      </w:pPr>
    </w:p>
    <w:p>
      <w:pPr>
        <w:spacing w:line="500" w:lineRule="exact"/>
        <w:ind w:firstLine="560" w:firstLineChars="200"/>
        <w:rPr>
          <w:rFonts w:ascii="仿宋_GB2312" w:hAnsi="仿宋" w:eastAsia="仿宋_GB2312" w:cs="仿宋"/>
          <w:color w:val="auto"/>
          <w:sz w:val="28"/>
          <w:szCs w:val="28"/>
        </w:rPr>
      </w:pPr>
      <w:r>
        <w:rPr>
          <w:rFonts w:hint="eastAsia" w:ascii="仿宋_GB2312" w:hAnsi="仿宋" w:eastAsia="仿宋_GB2312" w:cs="仿宋"/>
          <w:color w:val="auto"/>
          <w:sz w:val="28"/>
          <w:szCs w:val="28"/>
        </w:rPr>
        <w:t>投标公司(公章)</w:t>
      </w:r>
    </w:p>
    <w:p>
      <w:pPr>
        <w:spacing w:line="500" w:lineRule="exact"/>
        <w:rPr>
          <w:rFonts w:ascii="仿宋_GB2312" w:hAnsi="仿宋" w:eastAsia="仿宋_GB2312" w:cs="仿宋"/>
          <w:color w:val="auto"/>
          <w:sz w:val="28"/>
          <w:szCs w:val="28"/>
        </w:rPr>
      </w:pPr>
    </w:p>
    <w:p>
      <w:pPr>
        <w:spacing w:line="500" w:lineRule="exact"/>
        <w:ind w:firstLine="560" w:firstLineChars="200"/>
        <w:rPr>
          <w:rFonts w:ascii="仿宋_GB2312" w:hAnsi="仿宋" w:eastAsia="仿宋_GB2312" w:cs="仿宋"/>
          <w:color w:val="auto"/>
          <w:sz w:val="28"/>
          <w:szCs w:val="28"/>
        </w:rPr>
      </w:pPr>
      <w:r>
        <w:rPr>
          <w:rFonts w:hint="eastAsia" w:ascii="仿宋_GB2312" w:hAnsi="仿宋" w:eastAsia="仿宋_GB2312" w:cs="仿宋"/>
          <w:color w:val="auto"/>
          <w:sz w:val="28"/>
          <w:szCs w:val="28"/>
        </w:rPr>
        <w:t>法定代表人</w:t>
      </w:r>
      <w:r>
        <w:rPr>
          <w:rFonts w:hint="eastAsia" w:ascii="仿宋_GB2312" w:hAnsi="仿宋" w:eastAsia="仿宋_GB2312" w:cs="仿宋"/>
          <w:color w:val="auto"/>
          <w:sz w:val="28"/>
          <w:szCs w:val="28"/>
          <w:lang w:eastAsia="zh-CN"/>
        </w:rPr>
        <w:t>（</w:t>
      </w:r>
      <w:r>
        <w:rPr>
          <w:rFonts w:hint="eastAsia" w:ascii="仿宋_GB2312" w:hAnsi="仿宋" w:cs="仿宋"/>
          <w:color w:val="auto"/>
          <w:sz w:val="28"/>
          <w:szCs w:val="28"/>
          <w:lang w:val="en-US" w:eastAsia="zh-CN"/>
        </w:rPr>
        <w:t>负责人</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rPr>
        <w:t>(签字)</w:t>
      </w:r>
    </w:p>
    <w:p>
      <w:pPr>
        <w:spacing w:line="500" w:lineRule="exact"/>
        <w:ind w:firstLine="560" w:firstLineChars="200"/>
        <w:rPr>
          <w:rFonts w:ascii="仿宋_GB2312" w:hAnsi="仿宋" w:eastAsia="仿宋_GB2312" w:cs="仿宋"/>
          <w:color w:val="auto"/>
          <w:sz w:val="28"/>
          <w:szCs w:val="28"/>
        </w:rPr>
      </w:pPr>
      <w:r>
        <w:rPr>
          <w:rFonts w:hint="eastAsia" w:ascii="仿宋_GB2312" w:hAnsi="仿宋" w:eastAsia="仿宋_GB2312" w:cs="仿宋"/>
          <w:color w:val="auto"/>
          <w:sz w:val="28"/>
          <w:szCs w:val="28"/>
        </w:rPr>
        <w:t>身份证号码</w:t>
      </w:r>
    </w:p>
    <w:p>
      <w:pPr>
        <w:spacing w:line="500" w:lineRule="exact"/>
        <w:rPr>
          <w:rFonts w:ascii="仿宋_GB2312" w:hAnsi="仿宋" w:eastAsia="仿宋_GB2312" w:cs="仿宋"/>
          <w:color w:val="auto"/>
          <w:sz w:val="28"/>
          <w:szCs w:val="28"/>
        </w:rPr>
      </w:pPr>
    </w:p>
    <w:p>
      <w:pPr>
        <w:spacing w:line="500" w:lineRule="exact"/>
        <w:ind w:firstLine="560" w:firstLineChars="200"/>
        <w:rPr>
          <w:rFonts w:ascii="仿宋_GB2312" w:hAnsi="仿宋" w:eastAsia="仿宋_GB2312" w:cs="仿宋"/>
          <w:color w:val="auto"/>
          <w:sz w:val="28"/>
          <w:szCs w:val="28"/>
        </w:rPr>
      </w:pPr>
      <w:r>
        <w:rPr>
          <w:rFonts w:hint="eastAsia" w:ascii="仿宋_GB2312" w:hAnsi="仿宋" w:eastAsia="仿宋_GB2312" w:cs="仿宋"/>
          <w:color w:val="auto"/>
          <w:sz w:val="28"/>
          <w:szCs w:val="28"/>
        </w:rPr>
        <w:t>委托代理人(签字)</w:t>
      </w:r>
    </w:p>
    <w:p>
      <w:pPr>
        <w:spacing w:line="500" w:lineRule="exact"/>
        <w:ind w:firstLine="560" w:firstLineChars="200"/>
        <w:rPr>
          <w:rFonts w:ascii="仿宋_GB2312" w:hAnsi="仿宋" w:eastAsia="仿宋_GB2312" w:cs="仿宋"/>
          <w:color w:val="auto"/>
          <w:sz w:val="28"/>
          <w:szCs w:val="28"/>
        </w:rPr>
      </w:pPr>
      <w:r>
        <w:rPr>
          <w:rFonts w:hint="eastAsia" w:ascii="仿宋_GB2312" w:hAnsi="仿宋" w:eastAsia="仿宋_GB2312" w:cs="仿宋"/>
          <w:color w:val="auto"/>
          <w:sz w:val="28"/>
          <w:szCs w:val="28"/>
        </w:rPr>
        <w:t>身份证号码</w:t>
      </w:r>
    </w:p>
    <w:p>
      <w:pPr>
        <w:pStyle w:val="7"/>
        <w:spacing w:line="500" w:lineRule="exact"/>
        <w:ind w:firstLine="0" w:firstLineChars="0"/>
        <w:jc w:val="both"/>
        <w:rPr>
          <w:rFonts w:ascii="仿宋_GB2312" w:hAnsi="仿宋" w:eastAsia="仿宋_GB2312" w:cs="仿宋"/>
          <w:color w:val="auto"/>
          <w:sz w:val="28"/>
          <w:szCs w:val="28"/>
        </w:rPr>
      </w:pPr>
    </w:p>
    <w:p>
      <w:pPr>
        <w:pStyle w:val="7"/>
        <w:pageBreakBefore/>
        <w:spacing w:line="500" w:lineRule="exact"/>
        <w:ind w:firstLine="0" w:firstLineChars="0"/>
        <w:rPr>
          <w:rFonts w:hAnsi="黑体" w:cs="黑体"/>
          <w:bCs/>
          <w:color w:val="auto"/>
          <w:sz w:val="32"/>
          <w:szCs w:val="32"/>
        </w:rPr>
      </w:pPr>
      <w:r>
        <w:rPr>
          <w:rFonts w:hint="eastAsia" w:hAnsi="黑体" w:cs="黑体"/>
          <w:bCs/>
          <w:color w:val="auto"/>
          <w:sz w:val="32"/>
          <w:szCs w:val="32"/>
        </w:rPr>
        <w:t>投标公司承诺函</w:t>
      </w:r>
    </w:p>
    <w:p>
      <w:pPr>
        <w:pStyle w:val="4"/>
        <w:spacing w:line="500" w:lineRule="exact"/>
        <w:rPr>
          <w:rFonts w:ascii="仿宋" w:hAnsi="仿宋" w:eastAsia="仿宋" w:cs="仿宋"/>
          <w:color w:val="auto"/>
          <w:sz w:val="28"/>
          <w:szCs w:val="28"/>
        </w:rPr>
      </w:pPr>
    </w:p>
    <w:p>
      <w:pPr>
        <w:pStyle w:val="2"/>
        <w:spacing w:line="500" w:lineRule="exact"/>
        <w:ind w:firstLine="0" w:firstLineChars="0"/>
        <w:rPr>
          <w:rFonts w:ascii="仿宋_GB2312" w:hAnsi="仿宋" w:eastAsia="仿宋_GB2312" w:cs="仿宋"/>
          <w:color w:val="auto"/>
          <w:sz w:val="28"/>
          <w:szCs w:val="28"/>
        </w:rPr>
      </w:pPr>
      <w:r>
        <w:rPr>
          <w:rFonts w:hint="eastAsia" w:ascii="仿宋_GB2312" w:hAnsi="仿宋" w:eastAsia="仿宋_GB2312" w:cs="仿宋"/>
          <w:color w:val="auto"/>
          <w:sz w:val="28"/>
          <w:szCs w:val="28"/>
        </w:rPr>
        <w:t>江苏索普（集团）有限公司：</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ascii="仿宋_GB2312" w:hAnsi="仿宋" w:eastAsia="仿宋_GB2312" w:cs="仿宋"/>
          <w:color w:val="auto"/>
          <w:sz w:val="28"/>
          <w:szCs w:val="28"/>
        </w:rPr>
      </w:pPr>
      <w:r>
        <w:rPr>
          <w:rFonts w:hint="eastAsia" w:ascii="仿宋_GB2312" w:hAnsi="仿宋" w:eastAsia="仿宋_GB2312" w:cs="仿宋"/>
          <w:color w:val="auto"/>
          <w:sz w:val="28"/>
          <w:szCs w:val="28"/>
        </w:rPr>
        <w:t>经全面理解贵公司企业财产保险招标要求后，我公司郑重作出如下承诺：</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ascii="仿宋_GB2312" w:hAnsi="仿宋" w:eastAsia="仿宋_GB2312" w:cs="仿宋"/>
          <w:color w:val="auto"/>
          <w:sz w:val="28"/>
          <w:szCs w:val="28"/>
        </w:rPr>
      </w:pPr>
      <w:r>
        <w:rPr>
          <w:rFonts w:hint="eastAsia" w:ascii="仿宋_GB2312" w:hAnsi="仿宋" w:eastAsia="仿宋_GB2312" w:cs="仿宋"/>
          <w:color w:val="auto"/>
          <w:sz w:val="28"/>
          <w:szCs w:val="28"/>
        </w:rPr>
        <w:t>一、我公司投标文件的每一部分均是真实的，如若有假，愿意接受废标处理。</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ascii="仿宋_GB2312" w:hAnsi="仿宋" w:eastAsia="仿宋_GB2312" w:cs="仿宋"/>
          <w:color w:val="auto"/>
          <w:sz w:val="28"/>
          <w:szCs w:val="28"/>
        </w:rPr>
      </w:pPr>
      <w:r>
        <w:rPr>
          <w:rFonts w:hint="eastAsia" w:ascii="仿宋_GB2312" w:hAnsi="仿宋" w:eastAsia="仿宋_GB2312" w:cs="仿宋"/>
          <w:color w:val="auto"/>
          <w:sz w:val="28"/>
          <w:szCs w:val="28"/>
        </w:rPr>
        <w:t>二、如果我公司的投标文件被接受，我公司将履行招标文件中规定的每一项要求。</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三、我公司愿按《中华人民共和国民法典》履行自己的全部责任。</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ascii="仿宋_GB2312" w:hAnsi="仿宋" w:eastAsia="仿宋_GB2312" w:cs="仿宋"/>
          <w:color w:val="auto"/>
          <w:sz w:val="28"/>
          <w:szCs w:val="28"/>
        </w:rPr>
      </w:pPr>
      <w:r>
        <w:rPr>
          <w:rFonts w:hint="eastAsia" w:ascii="仿宋_GB2312" w:hAnsi="仿宋" w:eastAsia="仿宋_GB2312" w:cs="仿宋"/>
          <w:color w:val="auto"/>
          <w:sz w:val="28"/>
          <w:szCs w:val="28"/>
        </w:rPr>
        <w:t>四、我公司同意按招标文件规定遵守贵公司有关招标的各项规定。</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ascii="仿宋_GB2312" w:hAnsi="仿宋" w:eastAsia="仿宋_GB2312" w:cs="仿宋"/>
          <w:color w:val="auto"/>
          <w:sz w:val="28"/>
          <w:szCs w:val="28"/>
        </w:rPr>
      </w:pPr>
      <w:r>
        <w:rPr>
          <w:rFonts w:hint="eastAsia" w:ascii="仿宋_GB2312" w:hAnsi="仿宋" w:eastAsia="仿宋_GB2312" w:cs="仿宋"/>
          <w:color w:val="auto"/>
          <w:sz w:val="28"/>
          <w:szCs w:val="28"/>
        </w:rPr>
        <w:t>五、除非另外达成协议并生效，贵公司招标要求和我公司的投标文件将构成约束双方的合同条件。</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ascii="仿宋_GB2312" w:hAnsi="仿宋" w:eastAsia="仿宋_GB2312" w:cs="仿宋"/>
          <w:color w:val="auto"/>
          <w:sz w:val="28"/>
          <w:szCs w:val="28"/>
        </w:rPr>
      </w:pPr>
      <w:r>
        <w:rPr>
          <w:rFonts w:hint="eastAsia" w:ascii="仿宋_GB2312" w:hAnsi="仿宋" w:eastAsia="仿宋_GB2312" w:cs="仿宋"/>
          <w:color w:val="auto"/>
          <w:sz w:val="28"/>
          <w:szCs w:val="28"/>
        </w:rPr>
        <w:t xml:space="preserve">六、我公司理解，为避免恶性竞争，接受贵公司的综合评标方式。贵公司无义务向未中标公司作任何解释。 </w:t>
      </w:r>
    </w:p>
    <w:p>
      <w:pPr>
        <w:pStyle w:val="2"/>
        <w:spacing w:line="500" w:lineRule="exact"/>
        <w:ind w:firstLine="0" w:firstLineChars="0"/>
        <w:rPr>
          <w:rFonts w:ascii="仿宋_GB2312" w:hAnsi="仿宋" w:eastAsia="仿宋_GB2312" w:cs="仿宋"/>
          <w:color w:val="auto"/>
          <w:sz w:val="28"/>
          <w:szCs w:val="28"/>
        </w:rPr>
      </w:pPr>
    </w:p>
    <w:p>
      <w:pPr>
        <w:pStyle w:val="2"/>
        <w:spacing w:line="500" w:lineRule="exact"/>
        <w:ind w:firstLine="0" w:firstLineChars="0"/>
        <w:rPr>
          <w:rFonts w:ascii="仿宋_GB2312" w:hAnsi="仿宋" w:eastAsia="仿宋_GB2312" w:cs="仿宋"/>
          <w:color w:val="auto"/>
          <w:sz w:val="28"/>
          <w:szCs w:val="28"/>
        </w:rPr>
      </w:pPr>
    </w:p>
    <w:p>
      <w:pPr>
        <w:pStyle w:val="2"/>
        <w:spacing w:line="500" w:lineRule="exact"/>
        <w:ind w:firstLine="840" w:firstLineChars="300"/>
        <w:jc w:val="center"/>
        <w:rPr>
          <w:rFonts w:ascii="仿宋_GB2312" w:hAnsi="仿宋" w:eastAsia="仿宋_GB2312" w:cs="仿宋"/>
          <w:color w:val="auto"/>
          <w:sz w:val="28"/>
          <w:szCs w:val="28"/>
        </w:rPr>
      </w:pPr>
      <w:r>
        <w:rPr>
          <w:rFonts w:hint="eastAsia" w:ascii="仿宋_GB2312" w:hAnsi="仿宋" w:eastAsia="仿宋_GB2312" w:cs="仿宋"/>
          <w:color w:val="auto"/>
          <w:sz w:val="28"/>
          <w:szCs w:val="28"/>
        </w:rPr>
        <w:t>投标公司（公章）：</w:t>
      </w:r>
    </w:p>
    <w:p>
      <w:pPr>
        <w:pStyle w:val="2"/>
        <w:spacing w:line="500" w:lineRule="exact"/>
        <w:ind w:firstLine="840" w:firstLineChars="300"/>
        <w:jc w:val="center"/>
        <w:rPr>
          <w:rFonts w:ascii="仿宋_GB2312" w:hAnsi="仿宋" w:eastAsia="仿宋_GB2312" w:cs="仿宋"/>
          <w:color w:val="auto"/>
          <w:sz w:val="28"/>
          <w:szCs w:val="28"/>
        </w:rPr>
      </w:pPr>
    </w:p>
    <w:p>
      <w:pPr>
        <w:pStyle w:val="2"/>
        <w:spacing w:line="500" w:lineRule="exact"/>
        <w:ind w:firstLine="840" w:firstLineChars="300"/>
        <w:jc w:val="center"/>
        <w:rPr>
          <w:rFonts w:ascii="仿宋_GB2312" w:hAnsi="仿宋" w:eastAsia="仿宋_GB2312" w:cs="仿宋"/>
          <w:color w:val="auto"/>
          <w:sz w:val="28"/>
          <w:szCs w:val="28"/>
        </w:rPr>
      </w:pPr>
      <w:r>
        <w:rPr>
          <w:rFonts w:hint="eastAsia" w:ascii="仿宋_GB2312" w:hAnsi="仿宋" w:eastAsia="仿宋_GB2312" w:cs="仿宋"/>
          <w:color w:val="auto"/>
          <w:sz w:val="28"/>
          <w:szCs w:val="28"/>
        </w:rPr>
        <w:t>法定代表人</w:t>
      </w:r>
      <w:r>
        <w:rPr>
          <w:rFonts w:hint="eastAsia" w:ascii="仿宋_GB2312" w:hAnsi="仿宋" w:eastAsia="仿宋_GB2312" w:cs="仿宋"/>
          <w:color w:val="auto"/>
          <w:sz w:val="28"/>
          <w:szCs w:val="28"/>
          <w:lang w:eastAsia="zh-CN"/>
        </w:rPr>
        <w:t>（</w:t>
      </w:r>
      <w:r>
        <w:rPr>
          <w:rFonts w:hint="eastAsia" w:ascii="仿宋_GB2312" w:hAnsi="仿宋" w:cs="仿宋"/>
          <w:color w:val="auto"/>
          <w:sz w:val="28"/>
          <w:szCs w:val="28"/>
          <w:lang w:val="en-US" w:eastAsia="zh-CN"/>
        </w:rPr>
        <w:t>负责人</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rPr>
        <w:t>或委托代理人（签字）：</w:t>
      </w:r>
    </w:p>
    <w:p>
      <w:pPr>
        <w:pStyle w:val="2"/>
        <w:spacing w:line="500" w:lineRule="exact"/>
        <w:ind w:firstLine="840" w:firstLineChars="300"/>
        <w:jc w:val="center"/>
        <w:rPr>
          <w:rFonts w:ascii="仿宋_GB2312" w:hAnsi="仿宋" w:eastAsia="仿宋_GB2312" w:cs="仿宋"/>
          <w:color w:val="auto"/>
          <w:sz w:val="28"/>
          <w:szCs w:val="28"/>
        </w:rPr>
      </w:pPr>
    </w:p>
    <w:p>
      <w:pPr>
        <w:pStyle w:val="2"/>
        <w:spacing w:line="500" w:lineRule="exact"/>
        <w:ind w:firstLine="4480" w:firstLineChars="1600"/>
        <w:rPr>
          <w:rFonts w:ascii="仿宋_GB2312" w:hAnsi="仿宋" w:eastAsia="仿宋_GB2312" w:cs="仿宋"/>
          <w:color w:val="auto"/>
          <w:sz w:val="28"/>
          <w:szCs w:val="28"/>
        </w:rPr>
      </w:pPr>
      <w:r>
        <w:rPr>
          <w:rFonts w:hint="eastAsia" w:ascii="仿宋_GB2312" w:hAnsi="仿宋" w:eastAsia="仿宋_GB2312" w:cs="仿宋"/>
          <w:color w:val="auto"/>
          <w:sz w:val="28"/>
          <w:szCs w:val="28"/>
        </w:rPr>
        <w:t xml:space="preserve">   年     月    日</w:t>
      </w:r>
    </w:p>
    <w:p>
      <w:pPr>
        <w:pStyle w:val="7"/>
        <w:pageBreakBefore/>
        <w:spacing w:line="500" w:lineRule="exact"/>
        <w:ind w:firstLine="0" w:firstLineChars="0"/>
        <w:rPr>
          <w:rFonts w:hAnsi="黑体" w:cs="黑体"/>
          <w:color w:val="auto"/>
          <w:sz w:val="32"/>
          <w:szCs w:val="32"/>
        </w:rPr>
      </w:pPr>
      <w:r>
        <w:rPr>
          <w:rFonts w:hint="eastAsia" w:hAnsi="黑体" w:cs="黑体"/>
          <w:color w:val="auto"/>
          <w:sz w:val="32"/>
          <w:szCs w:val="32"/>
        </w:rPr>
        <w:t>投标公司综合情况</w:t>
      </w:r>
    </w:p>
    <w:p>
      <w:pPr>
        <w:spacing w:line="500" w:lineRule="exact"/>
        <w:rPr>
          <w:rFonts w:ascii="仿宋_GB2312" w:hAnsi="仿宋" w:eastAsia="仿宋_GB2312" w:cs="仿宋"/>
          <w:color w:val="auto"/>
          <w:sz w:val="28"/>
          <w:szCs w:val="28"/>
        </w:rPr>
      </w:pPr>
    </w:p>
    <w:p>
      <w:pPr>
        <w:spacing w:line="500" w:lineRule="exact"/>
        <w:rPr>
          <w:rFonts w:ascii="仿宋_GB2312" w:hAnsi="仿宋" w:eastAsia="仿宋_GB2312" w:cs="仿宋"/>
          <w:color w:val="auto"/>
          <w:sz w:val="28"/>
          <w:szCs w:val="28"/>
        </w:rPr>
      </w:pPr>
      <w:r>
        <w:rPr>
          <w:rFonts w:hint="eastAsia" w:ascii="仿宋_GB2312" w:hAnsi="仿宋" w:eastAsia="仿宋_GB2312" w:cs="仿宋"/>
          <w:color w:val="auto"/>
          <w:sz w:val="28"/>
          <w:szCs w:val="28"/>
        </w:rPr>
        <w:t>江苏索普（集团）有限公司：</w:t>
      </w:r>
    </w:p>
    <w:p>
      <w:pPr>
        <w:pStyle w:val="7"/>
        <w:spacing w:line="500" w:lineRule="exact"/>
        <w:ind w:firstLine="560"/>
        <w:jc w:val="both"/>
        <w:rPr>
          <w:rFonts w:ascii="仿宋_GB2312" w:hAnsi="仿宋" w:eastAsia="仿宋_GB2312" w:cs="仿宋"/>
          <w:color w:val="auto"/>
          <w:sz w:val="28"/>
          <w:szCs w:val="28"/>
        </w:rPr>
      </w:pPr>
      <w:r>
        <w:rPr>
          <w:rFonts w:hint="eastAsia" w:ascii="仿宋_GB2312" w:hAnsi="仿宋" w:eastAsia="仿宋_GB2312" w:cs="仿宋"/>
          <w:color w:val="auto"/>
          <w:sz w:val="28"/>
          <w:szCs w:val="28"/>
        </w:rPr>
        <w:t>（一）我公司经评定的公司经营评价结果类别如下：</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802"/>
        <w:gridCol w:w="2126"/>
        <w:gridCol w:w="1843"/>
        <w:gridCol w:w="175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vAlign w:val="center"/>
          </w:tcPr>
          <w:p>
            <w:pPr>
              <w:spacing w:line="500" w:lineRule="exact"/>
              <w:jc w:val="center"/>
              <w:rPr>
                <w:rFonts w:ascii="仿宋_GB2312" w:hAnsi="仿宋" w:eastAsia="仿宋_GB2312" w:cs="仿宋"/>
                <w:b/>
                <w:color w:val="auto"/>
                <w:sz w:val="28"/>
                <w:szCs w:val="28"/>
              </w:rPr>
            </w:pPr>
          </w:p>
        </w:tc>
        <w:tc>
          <w:tcPr>
            <w:tcW w:w="2126" w:type="dxa"/>
            <w:vAlign w:val="center"/>
          </w:tcPr>
          <w:p>
            <w:pPr>
              <w:spacing w:line="500" w:lineRule="exact"/>
              <w:jc w:val="center"/>
              <w:rPr>
                <w:rFonts w:ascii="仿宋_GB2312" w:hAnsi="仿宋" w:eastAsia="仿宋_GB2312" w:cs="仿宋"/>
                <w:b/>
                <w:color w:val="auto"/>
                <w:sz w:val="24"/>
                <w:szCs w:val="24"/>
              </w:rPr>
            </w:pPr>
            <w:r>
              <w:rPr>
                <w:rFonts w:hint="eastAsia" w:ascii="仿宋_GB2312" w:hAnsi="仿宋" w:eastAsia="仿宋_GB2312" w:cs="仿宋"/>
                <w:b/>
                <w:color w:val="auto"/>
                <w:sz w:val="24"/>
                <w:szCs w:val="24"/>
              </w:rPr>
              <w:t>评级/类别</w:t>
            </w:r>
          </w:p>
        </w:tc>
        <w:tc>
          <w:tcPr>
            <w:tcW w:w="1843" w:type="dxa"/>
          </w:tcPr>
          <w:p>
            <w:pPr>
              <w:spacing w:line="500" w:lineRule="exact"/>
              <w:jc w:val="center"/>
              <w:rPr>
                <w:rFonts w:ascii="仿宋_GB2312" w:hAnsi="仿宋" w:eastAsia="仿宋_GB2312" w:cs="仿宋"/>
                <w:b/>
                <w:color w:val="auto"/>
                <w:sz w:val="24"/>
                <w:szCs w:val="24"/>
              </w:rPr>
            </w:pPr>
            <w:r>
              <w:rPr>
                <w:rFonts w:hint="eastAsia" w:ascii="仿宋_GB2312" w:hAnsi="仿宋" w:eastAsia="仿宋_GB2312" w:cs="仿宋"/>
                <w:b/>
                <w:color w:val="auto"/>
                <w:sz w:val="24"/>
                <w:szCs w:val="24"/>
              </w:rPr>
              <w:t>所属年度</w:t>
            </w:r>
          </w:p>
        </w:tc>
        <w:tc>
          <w:tcPr>
            <w:tcW w:w="1751" w:type="dxa"/>
          </w:tcPr>
          <w:p>
            <w:pPr>
              <w:spacing w:line="500" w:lineRule="exact"/>
              <w:jc w:val="center"/>
              <w:rPr>
                <w:rFonts w:ascii="仿宋_GB2312" w:hAnsi="仿宋" w:eastAsia="仿宋_GB2312" w:cs="仿宋"/>
                <w:b/>
                <w:color w:val="auto"/>
                <w:sz w:val="24"/>
                <w:szCs w:val="24"/>
              </w:rPr>
            </w:pPr>
            <w:r>
              <w:rPr>
                <w:rFonts w:hint="eastAsia" w:ascii="仿宋_GB2312" w:hAnsi="仿宋" w:eastAsia="仿宋_GB2312" w:cs="仿宋"/>
                <w:b/>
                <w:color w:val="auto"/>
                <w:sz w:val="24"/>
                <w:szCs w:val="24"/>
              </w:rPr>
              <w:t>评定机构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pPr>
              <w:pStyle w:val="7"/>
              <w:spacing w:line="500" w:lineRule="exact"/>
              <w:ind w:firstLine="0" w:firstLineChars="0"/>
              <w:jc w:val="both"/>
              <w:rPr>
                <w:rFonts w:ascii="仿宋_GB2312" w:hAnsi="仿宋" w:eastAsia="仿宋_GB2312" w:cs="仿宋"/>
                <w:color w:val="auto"/>
                <w:sz w:val="24"/>
                <w:szCs w:val="24"/>
              </w:rPr>
            </w:pPr>
            <w:r>
              <w:rPr>
                <w:rFonts w:hint="eastAsia" w:ascii="仿宋_GB2312" w:hAnsi="仿宋" w:eastAsia="仿宋_GB2312" w:cs="仿宋"/>
                <w:color w:val="auto"/>
                <w:sz w:val="24"/>
                <w:szCs w:val="24"/>
              </w:rPr>
              <w:t>经营评价结果类别</w:t>
            </w:r>
          </w:p>
        </w:tc>
        <w:tc>
          <w:tcPr>
            <w:tcW w:w="2126" w:type="dxa"/>
          </w:tcPr>
          <w:p>
            <w:pPr>
              <w:pStyle w:val="7"/>
              <w:spacing w:line="500" w:lineRule="exact"/>
              <w:ind w:firstLine="0" w:firstLineChars="0"/>
              <w:jc w:val="both"/>
              <w:rPr>
                <w:rFonts w:ascii="仿宋_GB2312" w:hAnsi="仿宋" w:eastAsia="仿宋_GB2312" w:cs="仿宋"/>
                <w:color w:val="auto"/>
                <w:sz w:val="24"/>
                <w:szCs w:val="24"/>
              </w:rPr>
            </w:pPr>
          </w:p>
        </w:tc>
        <w:tc>
          <w:tcPr>
            <w:tcW w:w="1843" w:type="dxa"/>
            <w:vAlign w:val="center"/>
          </w:tcPr>
          <w:p>
            <w:pPr>
              <w:pStyle w:val="7"/>
              <w:spacing w:line="500" w:lineRule="exact"/>
              <w:ind w:firstLine="0" w:firstLineChars="0"/>
              <w:rPr>
                <w:rFonts w:ascii="仿宋_GB2312" w:hAnsi="仿宋" w:eastAsia="仿宋_GB2312" w:cs="仿宋"/>
                <w:color w:val="auto"/>
                <w:sz w:val="24"/>
                <w:szCs w:val="24"/>
              </w:rPr>
            </w:pPr>
            <w:r>
              <w:rPr>
                <w:rFonts w:hint="eastAsia" w:ascii="仿宋_GB2312" w:hAnsi="仿宋" w:eastAsia="仿宋_GB2312" w:cs="仿宋"/>
                <w:color w:val="auto"/>
                <w:sz w:val="24"/>
                <w:szCs w:val="24"/>
              </w:rPr>
              <w:t>202</w:t>
            </w:r>
            <w:r>
              <w:rPr>
                <w:rFonts w:hint="eastAsia" w:ascii="仿宋_GB2312" w:hAnsi="仿宋" w:eastAsia="仿宋_GB2312" w:cs="仿宋"/>
                <w:color w:val="auto"/>
                <w:sz w:val="24"/>
                <w:szCs w:val="24"/>
                <w:lang w:val="en-US" w:eastAsia="zh-CN"/>
              </w:rPr>
              <w:t>2</w:t>
            </w:r>
            <w:r>
              <w:rPr>
                <w:rFonts w:hint="eastAsia" w:ascii="仿宋_GB2312" w:hAnsi="仿宋" w:eastAsia="仿宋_GB2312" w:cs="仿宋"/>
                <w:color w:val="auto"/>
                <w:sz w:val="24"/>
                <w:szCs w:val="24"/>
              </w:rPr>
              <w:t>年</w:t>
            </w:r>
          </w:p>
        </w:tc>
        <w:tc>
          <w:tcPr>
            <w:tcW w:w="1751" w:type="dxa"/>
          </w:tcPr>
          <w:p>
            <w:pPr>
              <w:pStyle w:val="7"/>
              <w:spacing w:line="500" w:lineRule="exact"/>
              <w:ind w:firstLine="0" w:firstLineChars="0"/>
              <w:rPr>
                <w:rFonts w:ascii="仿宋_GB2312" w:hAnsi="仿宋" w:eastAsia="仿宋_GB2312" w:cs="仿宋"/>
                <w:color w:val="auto"/>
                <w:sz w:val="24"/>
                <w:szCs w:val="24"/>
              </w:rPr>
            </w:pPr>
            <w:r>
              <w:rPr>
                <w:rFonts w:hint="eastAsia" w:ascii="仿宋_GB2312" w:hAnsi="仿宋" w:eastAsia="仿宋_GB2312" w:cs="仿宋"/>
                <w:color w:val="auto"/>
                <w:sz w:val="24"/>
                <w:szCs w:val="24"/>
              </w:rPr>
              <w:t>中保协</w:t>
            </w:r>
          </w:p>
        </w:tc>
      </w:tr>
    </w:tbl>
    <w:p>
      <w:pPr>
        <w:spacing w:line="500" w:lineRule="exact"/>
        <w:ind w:firstLine="560" w:firstLineChars="200"/>
        <w:rPr>
          <w:rFonts w:ascii="楷体" w:hAnsi="楷体" w:eastAsia="楷体" w:cs="仿宋"/>
          <w:color w:val="auto"/>
          <w:sz w:val="28"/>
          <w:szCs w:val="28"/>
        </w:rPr>
      </w:pPr>
      <w:r>
        <w:rPr>
          <w:rFonts w:hint="eastAsia" w:ascii="楷体" w:hAnsi="楷体" w:eastAsia="楷体" w:cs="仿宋"/>
          <w:color w:val="auto"/>
          <w:sz w:val="28"/>
          <w:szCs w:val="28"/>
        </w:rPr>
        <w:t>注：以上数据为经中保协评定并发布的数据，并请附上评级通知截图或复印件。</w:t>
      </w:r>
    </w:p>
    <w:p>
      <w:pPr>
        <w:pStyle w:val="7"/>
        <w:numPr>
          <w:ilvl w:val="0"/>
          <w:numId w:val="6"/>
        </w:numPr>
        <w:spacing w:line="50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我公司202</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二季度风险综合评级</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w:t>
      </w:r>
    </w:p>
    <w:p>
      <w:pPr>
        <w:pStyle w:val="7"/>
        <w:numPr>
          <w:ilvl w:val="0"/>
          <w:numId w:val="0"/>
        </w:numPr>
        <w:spacing w:line="500" w:lineRule="exact"/>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请附投标公司2023年二季度风险综合评级证明材料。</w:t>
      </w:r>
    </w:p>
    <w:p>
      <w:pPr>
        <w:pStyle w:val="7"/>
        <w:numPr>
          <w:ilvl w:val="0"/>
          <w:numId w:val="0"/>
        </w:numPr>
        <w:spacing w:line="500" w:lineRule="exact"/>
        <w:jc w:val="both"/>
        <w:rPr>
          <w:rFonts w:hint="eastAsia" w:ascii="仿宋" w:hAnsi="仿宋" w:eastAsia="仿宋" w:cs="仿宋"/>
          <w:color w:val="auto"/>
          <w:sz w:val="28"/>
          <w:szCs w:val="28"/>
        </w:rPr>
      </w:pPr>
    </w:p>
    <w:p>
      <w:pPr>
        <w:pStyle w:val="7"/>
        <w:numPr>
          <w:ilvl w:val="0"/>
          <w:numId w:val="0"/>
        </w:numPr>
        <w:spacing w:line="50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kern w:val="2"/>
          <w:sz w:val="28"/>
          <w:szCs w:val="28"/>
          <w:lang w:val="en-US" w:eastAsia="zh-CN" w:bidi="ar-SA"/>
        </w:rPr>
        <w:t>（三）</w:t>
      </w:r>
      <w:r>
        <w:rPr>
          <w:rFonts w:hint="eastAsia" w:ascii="仿宋" w:hAnsi="仿宋" w:eastAsia="仿宋" w:cs="仿宋"/>
          <w:color w:val="auto"/>
          <w:sz w:val="28"/>
          <w:szCs w:val="28"/>
        </w:rPr>
        <w:t>我公司202</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年度</w:t>
      </w:r>
      <w:r>
        <w:rPr>
          <w:rFonts w:hint="eastAsia" w:ascii="仿宋" w:hAnsi="仿宋" w:eastAsia="仿宋" w:cs="仿宋"/>
          <w:color w:val="auto"/>
          <w:sz w:val="28"/>
          <w:szCs w:val="28"/>
          <w:lang w:val="en-US" w:eastAsia="zh-CN"/>
        </w:rPr>
        <w:t>营业收入为</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w:t>
      </w:r>
    </w:p>
    <w:p>
      <w:pPr>
        <w:spacing w:line="500" w:lineRule="exact"/>
        <w:ind w:firstLine="560" w:firstLineChars="200"/>
        <w:rPr>
          <w:rFonts w:ascii="仿宋" w:hAnsi="仿宋" w:eastAsia="仿宋" w:cs="仿宋"/>
          <w:color w:val="auto"/>
          <w:sz w:val="28"/>
          <w:szCs w:val="28"/>
        </w:rPr>
      </w:pPr>
    </w:p>
    <w:p>
      <w:pPr>
        <w:numPr>
          <w:ilvl w:val="0"/>
          <w:numId w:val="0"/>
        </w:numPr>
        <w:spacing w:line="500" w:lineRule="exact"/>
        <w:ind w:left="0" w:leftChars="0" w:firstLine="560" w:firstLineChars="200"/>
        <w:rPr>
          <w:rFonts w:hint="default" w:ascii="仿宋" w:hAnsi="仿宋" w:eastAsia="仿宋" w:cs="仿宋"/>
          <w:color w:val="auto"/>
          <w:sz w:val="28"/>
          <w:szCs w:val="28"/>
          <w:u w:val="single"/>
          <w:lang w:val="en-US" w:eastAsia="zh-CN"/>
        </w:rPr>
      </w:pPr>
      <w:r>
        <w:rPr>
          <w:rFonts w:hint="eastAsia" w:ascii="仿宋" w:hAnsi="仿宋" w:eastAsia="仿宋" w:cs="仿宋"/>
          <w:color w:val="auto"/>
          <w:kern w:val="2"/>
          <w:sz w:val="28"/>
          <w:szCs w:val="28"/>
          <w:lang w:val="en-US" w:eastAsia="zh-CN" w:bidi="ar-SA"/>
        </w:rPr>
        <w:t>（四）</w:t>
      </w:r>
      <w:r>
        <w:rPr>
          <w:rFonts w:hint="eastAsia" w:ascii="仿宋" w:hAnsi="仿宋" w:eastAsia="仿宋" w:cs="仿宋"/>
          <w:color w:val="auto"/>
          <w:sz w:val="28"/>
          <w:szCs w:val="28"/>
          <w:lang w:eastAsia="zh-CN"/>
        </w:rPr>
        <w:t>我</w:t>
      </w:r>
      <w:r>
        <w:rPr>
          <w:rFonts w:hint="eastAsia" w:ascii="仿宋" w:hAnsi="仿宋" w:eastAsia="仿宋" w:cs="仿宋"/>
          <w:color w:val="auto"/>
          <w:sz w:val="28"/>
          <w:szCs w:val="28"/>
          <w:lang w:val="en-US" w:eastAsia="zh-CN"/>
        </w:rPr>
        <w:t>公司截止2022年末实收资本为</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 xml:space="preserve"> 。</w:t>
      </w:r>
    </w:p>
    <w:p>
      <w:pPr>
        <w:numPr>
          <w:ilvl w:val="0"/>
          <w:numId w:val="0"/>
        </w:numPr>
        <w:spacing w:line="500" w:lineRule="exact"/>
        <w:ind w:leftChars="200"/>
        <w:rPr>
          <w:rFonts w:hint="eastAsia" w:ascii="仿宋" w:hAnsi="仿宋" w:eastAsia="仿宋" w:cs="仿宋"/>
          <w:color w:val="auto"/>
          <w:sz w:val="28"/>
          <w:szCs w:val="28"/>
          <w:u w:val="single"/>
          <w:lang w:val="en-US" w:eastAsia="zh-CN"/>
        </w:rPr>
      </w:pPr>
    </w:p>
    <w:p>
      <w:pPr>
        <w:numPr>
          <w:ilvl w:val="0"/>
          <w:numId w:val="0"/>
        </w:numPr>
        <w:spacing w:line="500" w:lineRule="exact"/>
        <w:ind w:left="0" w:leftChars="0"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kern w:val="2"/>
          <w:sz w:val="28"/>
          <w:szCs w:val="28"/>
          <w:lang w:val="en-US" w:eastAsia="zh-CN" w:bidi="ar-SA"/>
        </w:rPr>
        <w:t>（五）</w:t>
      </w:r>
      <w:r>
        <w:rPr>
          <w:rFonts w:hint="eastAsia" w:ascii="仿宋" w:hAnsi="仿宋" w:eastAsia="仿宋" w:cs="仿宋"/>
          <w:color w:val="auto"/>
          <w:sz w:val="28"/>
          <w:szCs w:val="28"/>
        </w:rPr>
        <w:t>我公司202</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综合偿付能力充足率为</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w:t>
      </w:r>
    </w:p>
    <w:p>
      <w:pPr>
        <w:numPr>
          <w:ilvl w:val="0"/>
          <w:numId w:val="0"/>
        </w:numPr>
        <w:spacing w:line="500" w:lineRule="exact"/>
        <w:ind w:leftChars="200"/>
        <w:rPr>
          <w:rFonts w:hint="default" w:ascii="仿宋" w:hAnsi="仿宋" w:eastAsia="仿宋" w:cs="仿宋"/>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我公司20</w:t>
      </w:r>
      <w:r>
        <w:rPr>
          <w:rFonts w:hint="eastAsia" w:ascii="仿宋" w:hAnsi="仿宋" w:eastAsia="仿宋" w:cs="仿宋"/>
          <w:color w:val="auto"/>
          <w:sz w:val="28"/>
          <w:szCs w:val="28"/>
          <w:lang w:val="en-US" w:eastAsia="zh-CN"/>
        </w:rPr>
        <w:t>22年-20</w:t>
      </w: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度化工行业承保业绩为</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户。附化工行业承保业绩明细表及保单复印件。</w:t>
      </w:r>
    </w:p>
    <w:p>
      <w:pPr>
        <w:numPr>
          <w:ilvl w:val="0"/>
          <w:numId w:val="0"/>
        </w:numPr>
        <w:spacing w:line="500" w:lineRule="exact"/>
        <w:ind w:leftChars="200"/>
        <w:rPr>
          <w:rFonts w:hint="eastAsia" w:ascii="仿宋" w:hAnsi="仿宋" w:eastAsia="仿宋" w:cs="仿宋"/>
          <w:color w:val="auto"/>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（七）我公司2022年-2023年度受到监管部门处罚情况，如没有受到主管部门处罚的也请附书面承诺。</w:t>
      </w:r>
    </w:p>
    <w:p>
      <w:pPr>
        <w:numPr>
          <w:ilvl w:val="0"/>
          <w:numId w:val="0"/>
        </w:numPr>
        <w:spacing w:line="500" w:lineRule="exact"/>
        <w:ind w:leftChars="200"/>
        <w:rPr>
          <w:rFonts w:hint="eastAsia" w:ascii="仿宋" w:hAnsi="仿宋" w:eastAsia="仿宋" w:cs="仿宋"/>
          <w:color w:val="auto"/>
          <w:sz w:val="28"/>
          <w:szCs w:val="28"/>
          <w:u w:val="none"/>
          <w:lang w:val="en-US" w:eastAsia="zh-CN"/>
        </w:rPr>
      </w:pPr>
    </w:p>
    <w:p>
      <w:pPr>
        <w:numPr>
          <w:ilvl w:val="0"/>
          <w:numId w:val="0"/>
        </w:numPr>
        <w:spacing w:line="500" w:lineRule="exact"/>
        <w:ind w:leftChars="200"/>
        <w:rPr>
          <w:rFonts w:hint="default" w:ascii="仿宋" w:hAnsi="仿宋" w:eastAsia="仿宋" w:cs="仿宋"/>
          <w:color w:val="auto"/>
          <w:sz w:val="28"/>
          <w:szCs w:val="28"/>
          <w:u w:val="none"/>
          <w:lang w:val="en-US" w:eastAsia="zh-CN"/>
        </w:rPr>
      </w:pPr>
    </w:p>
    <w:p>
      <w:pPr>
        <w:widowControl w:val="0"/>
        <w:numPr>
          <w:ilvl w:val="0"/>
          <w:numId w:val="0"/>
        </w:numPr>
        <w:spacing w:line="500" w:lineRule="exact"/>
        <w:jc w:val="both"/>
        <w:rPr>
          <w:rFonts w:hint="eastAsia" w:ascii="仿宋" w:hAnsi="仿宋" w:eastAsia="仿宋" w:cs="仿宋"/>
          <w:color w:val="auto"/>
          <w:sz w:val="28"/>
          <w:szCs w:val="28"/>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上述（三）-（四）项，为投标公司总部2022年经审计的审计报告数据，单位：万元，保留两位小数。</w:t>
      </w:r>
    </w:p>
    <w:p>
      <w:pPr>
        <w:pStyle w:val="7"/>
        <w:pageBreakBefore/>
        <w:spacing w:line="500" w:lineRule="exact"/>
        <w:ind w:firstLine="0" w:firstLineChars="0"/>
        <w:rPr>
          <w:rFonts w:hAnsi="黑体" w:cs="黑体"/>
          <w:b/>
          <w:bCs/>
          <w:color w:val="auto"/>
          <w:sz w:val="32"/>
          <w:szCs w:val="32"/>
        </w:rPr>
      </w:pPr>
      <w:r>
        <w:rPr>
          <w:rFonts w:hint="eastAsia" w:hAnsi="黑体" w:cs="黑体"/>
          <w:b/>
          <w:bCs/>
          <w:color w:val="auto"/>
          <w:sz w:val="32"/>
          <w:szCs w:val="32"/>
        </w:rPr>
        <w:t>投标报价单</w:t>
      </w:r>
    </w:p>
    <w:p>
      <w:pPr>
        <w:pStyle w:val="7"/>
        <w:spacing w:line="500" w:lineRule="exact"/>
        <w:ind w:firstLine="0" w:firstLineChars="0"/>
        <w:jc w:val="both"/>
        <w:rPr>
          <w:rFonts w:ascii="仿宋" w:hAnsi="仿宋" w:eastAsia="仿宋" w:cs="仿宋"/>
          <w:color w:val="auto"/>
          <w:sz w:val="28"/>
          <w:szCs w:val="28"/>
        </w:rPr>
      </w:pPr>
    </w:p>
    <w:p>
      <w:pPr>
        <w:pStyle w:val="7"/>
        <w:numPr>
          <w:ilvl w:val="0"/>
          <w:numId w:val="7"/>
        </w:numPr>
        <w:spacing w:line="500" w:lineRule="exact"/>
        <w:ind w:firstLine="0" w:firstLineChars="0"/>
        <w:jc w:val="both"/>
        <w:rPr>
          <w:rFonts w:ascii="仿宋_GB2312" w:hAnsi="仿宋" w:eastAsia="仿宋_GB2312" w:cs="仿宋"/>
          <w:color w:val="auto"/>
          <w:sz w:val="28"/>
          <w:szCs w:val="28"/>
        </w:rPr>
      </w:pPr>
      <w:r>
        <w:rPr>
          <w:rFonts w:hint="eastAsia" w:ascii="仿宋_GB2312" w:hAnsi="仿宋" w:eastAsia="仿宋_GB2312" w:cs="仿宋"/>
          <w:b/>
          <w:bCs/>
          <w:color w:val="auto"/>
          <w:sz w:val="28"/>
          <w:szCs w:val="28"/>
        </w:rPr>
        <w:t>投标项目名称</w:t>
      </w:r>
    </w:p>
    <w:p>
      <w:pPr>
        <w:pStyle w:val="4"/>
        <w:spacing w:line="500" w:lineRule="exact"/>
        <w:ind w:firstLine="560" w:firstLineChars="200"/>
        <w:rPr>
          <w:rFonts w:ascii="仿宋_GB2312" w:hAnsi="仿宋" w:cs="仿宋"/>
          <w:bCs/>
          <w:color w:val="auto"/>
          <w:sz w:val="28"/>
          <w:szCs w:val="28"/>
        </w:rPr>
      </w:pPr>
      <w:r>
        <w:rPr>
          <w:rFonts w:hint="eastAsia" w:ascii="仿宋_GB2312" w:hAnsi="宋体"/>
          <w:color w:val="auto"/>
          <w:sz w:val="28"/>
          <w:szCs w:val="28"/>
        </w:rPr>
        <w:t>江苏索普（集团）有限公司</w:t>
      </w:r>
      <w:r>
        <w:rPr>
          <w:rFonts w:hint="eastAsia" w:ascii="仿宋_GB2312" w:hAnsi="仿宋" w:cs="仿宋"/>
          <w:color w:val="auto"/>
          <w:sz w:val="28"/>
          <w:szCs w:val="28"/>
        </w:rPr>
        <w:t>及子公司</w:t>
      </w:r>
      <w:r>
        <w:rPr>
          <w:rFonts w:hint="eastAsia" w:ascii="仿宋_GB2312" w:hAnsi="仿宋" w:cs="仿宋"/>
          <w:bCs/>
          <w:color w:val="auto"/>
          <w:sz w:val="28"/>
          <w:szCs w:val="28"/>
        </w:rPr>
        <w:t>20</w:t>
      </w:r>
      <w:r>
        <w:rPr>
          <w:rFonts w:hint="eastAsia" w:ascii="仿宋_GB2312" w:hAnsi="仿宋" w:cs="仿宋"/>
          <w:bCs/>
          <w:color w:val="auto"/>
          <w:sz w:val="28"/>
          <w:szCs w:val="28"/>
          <w:lang w:val="en-US" w:eastAsia="zh-CN"/>
        </w:rPr>
        <w:t>24</w:t>
      </w:r>
      <w:r>
        <w:rPr>
          <w:rFonts w:hint="eastAsia" w:ascii="仿宋_GB2312" w:hAnsi="仿宋" w:cs="仿宋"/>
          <w:bCs/>
          <w:color w:val="auto"/>
          <w:sz w:val="28"/>
          <w:szCs w:val="28"/>
        </w:rPr>
        <w:t>至20</w:t>
      </w:r>
      <w:r>
        <w:rPr>
          <w:rFonts w:hint="eastAsia" w:ascii="仿宋_GB2312" w:hAnsi="仿宋" w:cs="仿宋"/>
          <w:bCs/>
          <w:color w:val="auto"/>
          <w:sz w:val="28"/>
          <w:szCs w:val="28"/>
          <w:lang w:val="en-US" w:eastAsia="zh-CN"/>
        </w:rPr>
        <w:t>26</w:t>
      </w:r>
      <w:r>
        <w:rPr>
          <w:rFonts w:hint="eastAsia" w:ascii="仿宋_GB2312" w:hAnsi="仿宋" w:cs="仿宋"/>
          <w:bCs/>
          <w:color w:val="auto"/>
          <w:sz w:val="28"/>
          <w:szCs w:val="28"/>
        </w:rPr>
        <w:t>年度企业财产保险</w:t>
      </w:r>
    </w:p>
    <w:p>
      <w:pPr>
        <w:pStyle w:val="7"/>
        <w:spacing w:line="500" w:lineRule="exact"/>
        <w:ind w:firstLine="0" w:firstLineChars="0"/>
        <w:jc w:val="both"/>
        <w:rPr>
          <w:rFonts w:ascii="仿宋_GB2312" w:hAnsi="仿宋" w:eastAsia="仿宋_GB2312" w:cs="仿宋"/>
          <w:color w:val="auto"/>
          <w:sz w:val="28"/>
          <w:szCs w:val="28"/>
        </w:rPr>
      </w:pPr>
    </w:p>
    <w:p>
      <w:pPr>
        <w:pStyle w:val="7"/>
        <w:numPr>
          <w:ilvl w:val="0"/>
          <w:numId w:val="7"/>
        </w:numPr>
        <w:spacing w:line="500" w:lineRule="exact"/>
        <w:ind w:firstLine="0" w:firstLineChars="0"/>
        <w:jc w:val="both"/>
        <w:rPr>
          <w:rFonts w:ascii="仿宋_GB2312" w:hAnsi="仿宋" w:eastAsia="仿宋_GB2312" w:cs="仿宋"/>
          <w:b/>
          <w:color w:val="auto"/>
          <w:sz w:val="28"/>
          <w:szCs w:val="28"/>
        </w:rPr>
      </w:pPr>
      <w:r>
        <w:rPr>
          <w:rFonts w:hint="eastAsia" w:ascii="仿宋_GB2312" w:hAnsi="仿宋" w:eastAsia="仿宋_GB2312" w:cs="仿宋"/>
          <w:b/>
          <w:bCs/>
          <w:color w:val="auto"/>
          <w:sz w:val="28"/>
          <w:szCs w:val="28"/>
        </w:rPr>
        <w:t>投标报价表</w:t>
      </w:r>
    </w:p>
    <w:p>
      <w:pPr>
        <w:pStyle w:val="4"/>
        <w:spacing w:line="500" w:lineRule="exact"/>
        <w:ind w:firstLine="560" w:firstLineChars="200"/>
        <w:rPr>
          <w:rFonts w:ascii="仿宋_GB2312" w:hAnsi="仿宋" w:cs="仿宋"/>
          <w:color w:val="auto"/>
          <w:sz w:val="28"/>
          <w:szCs w:val="28"/>
        </w:rPr>
      </w:pPr>
      <w:r>
        <w:rPr>
          <w:rFonts w:hint="eastAsia" w:ascii="仿宋_GB2312" w:hAnsi="仿宋" w:cs="仿宋"/>
          <w:color w:val="auto"/>
          <w:sz w:val="28"/>
          <w:szCs w:val="28"/>
        </w:rPr>
        <w:t>1.项目一：</w:t>
      </w:r>
      <w:r>
        <w:rPr>
          <w:rFonts w:hint="eastAsia" w:ascii="仿宋_GB2312" w:hAnsi="宋体"/>
          <w:color w:val="auto"/>
          <w:sz w:val="28"/>
          <w:szCs w:val="28"/>
        </w:rPr>
        <w:t>江苏索普（集团）有限公司</w:t>
      </w:r>
    </w:p>
    <w:tbl>
      <w:tblPr>
        <w:tblStyle w:val="11"/>
        <w:tblW w:w="6264" w:type="dxa"/>
        <w:jc w:val="center"/>
        <w:tblLayout w:type="fixed"/>
        <w:tblCellMar>
          <w:top w:w="0" w:type="dxa"/>
          <w:left w:w="0" w:type="dxa"/>
          <w:bottom w:w="0" w:type="dxa"/>
          <w:right w:w="0" w:type="dxa"/>
        </w:tblCellMar>
      </w:tblPr>
      <w:tblGrid>
        <w:gridCol w:w="1815"/>
        <w:gridCol w:w="1843"/>
        <w:gridCol w:w="1218"/>
        <w:gridCol w:w="1388"/>
      </w:tblGrid>
      <w:tr>
        <w:tblPrEx>
          <w:tblCellMar>
            <w:top w:w="0" w:type="dxa"/>
            <w:left w:w="0" w:type="dxa"/>
            <w:bottom w:w="0" w:type="dxa"/>
            <w:right w:w="0" w:type="dxa"/>
          </w:tblCellMar>
        </w:tblPrEx>
        <w:trPr>
          <w:trHeight w:val="480" w:hRule="atLeast"/>
          <w:jc w:val="center"/>
        </w:trPr>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_GB2312" w:hAnsi="仿宋" w:eastAsia="仿宋_GB2312" w:cs="宋体"/>
                <w:b/>
                <w:color w:val="auto"/>
                <w:kern w:val="0"/>
                <w:sz w:val="24"/>
                <w:szCs w:val="28"/>
              </w:rPr>
            </w:pPr>
            <w:r>
              <w:rPr>
                <w:rFonts w:hint="eastAsia" w:ascii="仿宋_GB2312" w:hAnsi="仿宋" w:eastAsia="仿宋_GB2312" w:cs="宋体"/>
                <w:b/>
                <w:color w:val="auto"/>
                <w:kern w:val="0"/>
                <w:sz w:val="24"/>
                <w:szCs w:val="28"/>
              </w:rPr>
              <w:t>资产范围</w:t>
            </w:r>
          </w:p>
        </w:tc>
        <w:tc>
          <w:tcPr>
            <w:tcW w:w="18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_GB2312" w:hAnsi="仿宋" w:eastAsia="仿宋_GB2312" w:cs="宋体"/>
                <w:b/>
                <w:color w:val="auto"/>
                <w:kern w:val="0"/>
                <w:sz w:val="24"/>
                <w:szCs w:val="28"/>
              </w:rPr>
            </w:pPr>
            <w:r>
              <w:rPr>
                <w:rFonts w:hint="eastAsia" w:ascii="仿宋_GB2312" w:hAnsi="仿宋" w:eastAsia="仿宋_GB2312" w:cs="宋体"/>
                <w:b/>
                <w:color w:val="auto"/>
                <w:kern w:val="0"/>
                <w:sz w:val="24"/>
                <w:szCs w:val="28"/>
              </w:rPr>
              <w:t>固定资产</w:t>
            </w:r>
          </w:p>
          <w:p>
            <w:pPr>
              <w:widowControl/>
              <w:spacing w:line="500" w:lineRule="exact"/>
              <w:jc w:val="center"/>
              <w:textAlignment w:val="center"/>
              <w:rPr>
                <w:rFonts w:ascii="仿宋_GB2312" w:hAnsi="仿宋" w:eastAsia="仿宋_GB2312" w:cs="宋体"/>
                <w:b/>
                <w:color w:val="auto"/>
                <w:sz w:val="24"/>
                <w:szCs w:val="28"/>
              </w:rPr>
            </w:pPr>
            <w:r>
              <w:rPr>
                <w:rFonts w:hint="eastAsia" w:ascii="仿宋_GB2312" w:hAnsi="仿宋" w:eastAsia="仿宋_GB2312" w:cs="宋体"/>
                <w:b/>
                <w:color w:val="auto"/>
                <w:kern w:val="0"/>
                <w:sz w:val="24"/>
                <w:szCs w:val="28"/>
              </w:rPr>
              <w:t>（万元）</w:t>
            </w:r>
          </w:p>
        </w:tc>
        <w:tc>
          <w:tcPr>
            <w:tcW w:w="12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_GB2312" w:hAnsi="仿宋" w:eastAsia="仿宋_GB2312" w:cs="宋体"/>
                <w:b/>
                <w:color w:val="auto"/>
                <w:sz w:val="24"/>
                <w:szCs w:val="28"/>
              </w:rPr>
            </w:pPr>
            <w:r>
              <w:rPr>
                <w:rFonts w:hint="eastAsia" w:ascii="仿宋_GB2312" w:hAnsi="仿宋" w:eastAsia="仿宋_GB2312" w:cs="宋体"/>
                <w:b/>
                <w:color w:val="auto"/>
                <w:kern w:val="0"/>
                <w:sz w:val="24"/>
                <w:szCs w:val="28"/>
              </w:rPr>
              <w:t>保险期限</w:t>
            </w:r>
          </w:p>
        </w:tc>
        <w:tc>
          <w:tcPr>
            <w:tcW w:w="13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仿宋_GB2312" w:hAnsi="仿宋" w:eastAsia="仿宋_GB2312" w:cs="宋体"/>
                <w:b/>
                <w:color w:val="auto"/>
                <w:kern w:val="0"/>
                <w:sz w:val="24"/>
                <w:szCs w:val="28"/>
              </w:rPr>
            </w:pPr>
            <w:r>
              <w:rPr>
                <w:rFonts w:hint="eastAsia" w:ascii="仿宋_GB2312" w:hAnsi="仿宋" w:eastAsia="仿宋_GB2312" w:cs="宋体"/>
                <w:b/>
                <w:color w:val="auto"/>
                <w:kern w:val="0"/>
                <w:sz w:val="24"/>
                <w:szCs w:val="28"/>
              </w:rPr>
              <w:t>综合费率</w:t>
            </w:r>
            <w:r>
              <w:rPr>
                <w:rFonts w:hint="eastAsia" w:ascii="仿宋_GB2312" w:eastAsia="仿宋_GB2312" w:cs="宋体" w:hAnsiTheme="minorEastAsia"/>
                <w:b/>
                <w:color w:val="auto"/>
                <w:sz w:val="24"/>
                <w:szCs w:val="24"/>
              </w:rPr>
              <w:t>（‰）</w:t>
            </w:r>
          </w:p>
        </w:tc>
      </w:tr>
      <w:tr>
        <w:tblPrEx>
          <w:tblCellMar>
            <w:top w:w="0" w:type="dxa"/>
            <w:left w:w="0" w:type="dxa"/>
            <w:bottom w:w="0" w:type="dxa"/>
            <w:right w:w="0" w:type="dxa"/>
          </w:tblCellMar>
        </w:tblPrEx>
        <w:trPr>
          <w:trHeight w:val="270" w:hRule="atLeast"/>
          <w:jc w:val="center"/>
        </w:trPr>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00" w:lineRule="exact"/>
              <w:jc w:val="center"/>
              <w:rPr>
                <w:rFonts w:ascii="仿宋_GB2312" w:eastAsia="仿宋_GB2312" w:cs="Arial" w:hAnsiTheme="minorEastAsia"/>
                <w:color w:val="auto"/>
                <w:sz w:val="24"/>
                <w:szCs w:val="28"/>
              </w:rPr>
            </w:pPr>
            <w:r>
              <w:rPr>
                <w:rFonts w:hint="eastAsia" w:ascii="仿宋_GB2312" w:eastAsia="仿宋_GB2312" w:cs="宋体" w:hAnsiTheme="minorEastAsia"/>
                <w:color w:val="auto"/>
                <w:sz w:val="24"/>
                <w:szCs w:val="28"/>
              </w:rPr>
              <w:t>集团公司</w:t>
            </w:r>
          </w:p>
        </w:tc>
        <w:tc>
          <w:tcPr>
            <w:tcW w:w="18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heme="minorEastAsia" w:hAnsiTheme="minorEastAsia" w:eastAsiaTheme="minorEastAsia" w:cstheme="minorHAnsi"/>
                <w:color w:val="auto"/>
                <w:lang w:val="en-US" w:eastAsia="zh-CN"/>
              </w:rPr>
            </w:pPr>
            <w:r>
              <w:rPr>
                <w:rFonts w:hint="eastAsia" w:asciiTheme="minorEastAsia" w:hAnsiTheme="minorEastAsia" w:eastAsiaTheme="minorEastAsia" w:cstheme="minorHAnsi"/>
                <w:color w:val="auto"/>
                <w:lang w:val="en-US" w:eastAsia="zh-CN"/>
              </w:rPr>
              <w:t>48,970</w:t>
            </w:r>
          </w:p>
        </w:tc>
        <w:tc>
          <w:tcPr>
            <w:tcW w:w="121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hAnsiTheme="minorEastAsia"/>
                <w:color w:val="auto"/>
                <w:sz w:val="28"/>
                <w:szCs w:val="28"/>
              </w:rPr>
            </w:pPr>
            <w:r>
              <w:rPr>
                <w:rFonts w:hint="eastAsia" w:ascii="仿宋_GB2312" w:eastAsia="仿宋_GB2312" w:cs="宋体" w:hAnsiTheme="minorEastAsia"/>
                <w:color w:val="auto"/>
                <w:sz w:val="28"/>
                <w:szCs w:val="28"/>
              </w:rPr>
              <w:t>2年</w:t>
            </w:r>
          </w:p>
        </w:tc>
        <w:tc>
          <w:tcPr>
            <w:tcW w:w="1388"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仿宋_GB2312" w:eastAsia="仿宋_GB2312" w:cs="宋体" w:hAnsiTheme="minorEastAsia"/>
                <w:color w:val="auto"/>
                <w:sz w:val="28"/>
                <w:szCs w:val="28"/>
              </w:rPr>
            </w:pPr>
          </w:p>
        </w:tc>
      </w:tr>
      <w:tr>
        <w:tblPrEx>
          <w:tblCellMar>
            <w:top w:w="0" w:type="dxa"/>
            <w:left w:w="0" w:type="dxa"/>
            <w:bottom w:w="0" w:type="dxa"/>
            <w:right w:w="0" w:type="dxa"/>
          </w:tblCellMar>
        </w:tblPrEx>
        <w:trPr>
          <w:trHeight w:val="270" w:hRule="atLeast"/>
          <w:jc w:val="center"/>
        </w:trPr>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00" w:lineRule="exact"/>
              <w:jc w:val="center"/>
              <w:rPr>
                <w:rFonts w:ascii="仿宋_GB2312" w:eastAsia="仿宋_GB2312" w:cs="宋体" w:hAnsiTheme="minorEastAsia"/>
                <w:color w:val="auto"/>
                <w:sz w:val="24"/>
                <w:szCs w:val="28"/>
              </w:rPr>
            </w:pPr>
            <w:r>
              <w:rPr>
                <w:rFonts w:hint="eastAsia" w:ascii="仿宋_GB2312" w:eastAsia="仿宋_GB2312" w:cs="宋体" w:hAnsiTheme="minorEastAsia"/>
                <w:color w:val="auto"/>
                <w:sz w:val="24"/>
                <w:szCs w:val="28"/>
              </w:rPr>
              <w:t>投保险种</w:t>
            </w:r>
          </w:p>
        </w:tc>
        <w:tc>
          <w:tcPr>
            <w:tcW w:w="18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hAnsiTheme="minorEastAsia"/>
                <w:color w:val="auto"/>
                <w:sz w:val="24"/>
                <w:szCs w:val="28"/>
              </w:rPr>
            </w:pPr>
            <w:r>
              <w:rPr>
                <w:rFonts w:hint="eastAsia" w:ascii="仿宋_GB2312" w:eastAsia="仿宋_GB2312" w:cs="宋体" w:hAnsiTheme="minorEastAsia"/>
                <w:color w:val="auto"/>
                <w:sz w:val="24"/>
                <w:szCs w:val="24"/>
              </w:rPr>
              <w:t>财产一切险</w:t>
            </w:r>
          </w:p>
        </w:tc>
        <w:tc>
          <w:tcPr>
            <w:tcW w:w="1218"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hAnsiTheme="minorEastAsia"/>
                <w:color w:val="auto"/>
                <w:sz w:val="24"/>
                <w:szCs w:val="28"/>
              </w:rPr>
            </w:pPr>
          </w:p>
        </w:tc>
        <w:tc>
          <w:tcPr>
            <w:tcW w:w="1388" w:type="dxa"/>
            <w:vMerge w:val="continue"/>
            <w:tcBorders>
              <w:left w:val="single" w:color="000000" w:sz="4" w:space="0"/>
              <w:right w:val="single" w:color="000000" w:sz="4" w:space="0"/>
            </w:tcBorders>
            <w:vAlign w:val="center"/>
          </w:tcPr>
          <w:p>
            <w:pPr>
              <w:widowControl/>
              <w:jc w:val="center"/>
              <w:textAlignment w:val="center"/>
              <w:rPr>
                <w:rFonts w:ascii="仿宋_GB2312" w:eastAsia="仿宋_GB2312" w:cs="宋体" w:hAnsiTheme="minorEastAsia"/>
                <w:color w:val="auto"/>
                <w:sz w:val="24"/>
                <w:szCs w:val="28"/>
              </w:rPr>
            </w:pPr>
          </w:p>
        </w:tc>
      </w:tr>
      <w:tr>
        <w:tblPrEx>
          <w:tblCellMar>
            <w:top w:w="0" w:type="dxa"/>
            <w:left w:w="0" w:type="dxa"/>
            <w:bottom w:w="0" w:type="dxa"/>
            <w:right w:w="0" w:type="dxa"/>
          </w:tblCellMar>
        </w:tblPrEx>
        <w:trPr>
          <w:trHeight w:val="270" w:hRule="atLeast"/>
          <w:jc w:val="center"/>
        </w:trPr>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00" w:lineRule="exact"/>
              <w:jc w:val="center"/>
              <w:rPr>
                <w:rFonts w:ascii="仿宋_GB2312" w:eastAsia="仿宋_GB2312" w:cs="宋体" w:hAnsiTheme="minorEastAsia"/>
                <w:b/>
                <w:color w:val="auto"/>
                <w:sz w:val="28"/>
                <w:szCs w:val="28"/>
              </w:rPr>
            </w:pPr>
            <w:r>
              <w:rPr>
                <w:rFonts w:hint="eastAsia" w:ascii="仿宋_GB2312" w:eastAsia="仿宋_GB2312" w:cs="宋体" w:hAnsiTheme="minorEastAsia"/>
                <w:b/>
                <w:color w:val="auto"/>
                <w:sz w:val="24"/>
                <w:szCs w:val="28"/>
              </w:rPr>
              <w:t>保险年费率</w:t>
            </w:r>
            <w:r>
              <w:rPr>
                <w:rFonts w:hint="eastAsia" w:ascii="仿宋_GB2312" w:eastAsia="仿宋_GB2312" w:cs="宋体" w:hAnsiTheme="minorEastAsia"/>
                <w:b/>
                <w:color w:val="auto"/>
                <w:sz w:val="24"/>
                <w:szCs w:val="24"/>
              </w:rPr>
              <w:t>（‰）</w:t>
            </w:r>
          </w:p>
        </w:tc>
        <w:tc>
          <w:tcPr>
            <w:tcW w:w="18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宋体" w:hAnsiTheme="minorEastAsia"/>
                <w:color w:val="auto"/>
                <w:sz w:val="24"/>
                <w:szCs w:val="28"/>
              </w:rPr>
            </w:pPr>
          </w:p>
        </w:tc>
        <w:tc>
          <w:tcPr>
            <w:tcW w:w="1218"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hAnsiTheme="minorEastAsia"/>
                <w:color w:val="auto"/>
                <w:sz w:val="24"/>
                <w:szCs w:val="28"/>
              </w:rPr>
            </w:pPr>
          </w:p>
        </w:tc>
        <w:tc>
          <w:tcPr>
            <w:tcW w:w="1388"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cs="宋体" w:hAnsiTheme="minorEastAsia"/>
                <w:color w:val="auto"/>
                <w:sz w:val="24"/>
                <w:szCs w:val="28"/>
              </w:rPr>
            </w:pPr>
          </w:p>
        </w:tc>
      </w:tr>
    </w:tbl>
    <w:p>
      <w:pPr>
        <w:pStyle w:val="4"/>
        <w:spacing w:line="500" w:lineRule="exact"/>
        <w:ind w:left="560"/>
        <w:rPr>
          <w:rFonts w:ascii="仿宋_GB2312" w:hAnsi="宋体"/>
          <w:bCs/>
          <w:color w:val="auto"/>
          <w:sz w:val="28"/>
          <w:szCs w:val="28"/>
        </w:rPr>
      </w:pPr>
    </w:p>
    <w:p>
      <w:pPr>
        <w:pStyle w:val="4"/>
        <w:spacing w:line="500" w:lineRule="exact"/>
        <w:ind w:firstLine="560" w:firstLineChars="200"/>
        <w:rPr>
          <w:rFonts w:ascii="仿宋_GB2312" w:hAnsi="宋体"/>
          <w:bCs/>
          <w:color w:val="auto"/>
          <w:sz w:val="28"/>
          <w:szCs w:val="28"/>
        </w:rPr>
      </w:pPr>
      <w:r>
        <w:rPr>
          <w:rFonts w:hint="eastAsia" w:ascii="仿宋_GB2312" w:hAnsi="宋体"/>
          <w:bCs/>
          <w:color w:val="auto"/>
          <w:sz w:val="28"/>
          <w:szCs w:val="28"/>
        </w:rPr>
        <w:t>2.项目二：江苏索普化工股份有限公司</w:t>
      </w:r>
    </w:p>
    <w:tbl>
      <w:tblPr>
        <w:tblStyle w:val="11"/>
        <w:tblW w:w="9099" w:type="dxa"/>
        <w:jc w:val="center"/>
        <w:tblLayout w:type="fixed"/>
        <w:tblCellMar>
          <w:top w:w="0" w:type="dxa"/>
          <w:left w:w="0" w:type="dxa"/>
          <w:bottom w:w="0" w:type="dxa"/>
          <w:right w:w="0" w:type="dxa"/>
        </w:tblCellMar>
      </w:tblPr>
      <w:tblGrid>
        <w:gridCol w:w="2071"/>
        <w:gridCol w:w="1275"/>
        <w:gridCol w:w="1701"/>
        <w:gridCol w:w="1276"/>
        <w:gridCol w:w="1388"/>
        <w:gridCol w:w="1388"/>
      </w:tblGrid>
      <w:tr>
        <w:tblPrEx>
          <w:tblCellMar>
            <w:top w:w="0" w:type="dxa"/>
            <w:left w:w="0" w:type="dxa"/>
            <w:bottom w:w="0" w:type="dxa"/>
            <w:right w:w="0" w:type="dxa"/>
          </w:tblCellMar>
        </w:tblPrEx>
        <w:trPr>
          <w:trHeight w:val="480" w:hRule="atLeast"/>
          <w:jc w:val="center"/>
        </w:trPr>
        <w:tc>
          <w:tcPr>
            <w:tcW w:w="2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_GB2312" w:hAnsi="仿宋" w:eastAsia="仿宋_GB2312" w:cs="宋体"/>
                <w:b/>
                <w:color w:val="auto"/>
                <w:kern w:val="0"/>
                <w:sz w:val="24"/>
                <w:szCs w:val="28"/>
              </w:rPr>
            </w:pPr>
            <w:r>
              <w:rPr>
                <w:rFonts w:hint="eastAsia" w:ascii="仿宋_GB2312" w:hAnsi="仿宋" w:eastAsia="仿宋_GB2312" w:cs="宋体"/>
                <w:b/>
                <w:color w:val="auto"/>
                <w:kern w:val="0"/>
                <w:sz w:val="24"/>
                <w:szCs w:val="28"/>
              </w:rPr>
              <w:t>资产范围</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_GB2312" w:hAnsi="仿宋" w:eastAsia="仿宋_GB2312" w:cs="宋体"/>
                <w:b/>
                <w:color w:val="auto"/>
                <w:kern w:val="0"/>
                <w:sz w:val="24"/>
                <w:szCs w:val="28"/>
              </w:rPr>
            </w:pPr>
            <w:r>
              <w:rPr>
                <w:rFonts w:hint="eastAsia" w:ascii="仿宋_GB2312" w:hAnsi="仿宋" w:eastAsia="仿宋_GB2312" w:cs="宋体"/>
                <w:b/>
                <w:color w:val="auto"/>
                <w:kern w:val="0"/>
                <w:sz w:val="24"/>
                <w:szCs w:val="28"/>
              </w:rPr>
              <w:t>固定资产</w:t>
            </w:r>
          </w:p>
          <w:p>
            <w:pPr>
              <w:widowControl/>
              <w:spacing w:line="500" w:lineRule="exact"/>
              <w:jc w:val="center"/>
              <w:textAlignment w:val="center"/>
              <w:rPr>
                <w:rFonts w:ascii="仿宋_GB2312" w:hAnsi="仿宋" w:eastAsia="仿宋_GB2312" w:cs="宋体"/>
                <w:b/>
                <w:color w:val="auto"/>
                <w:sz w:val="24"/>
                <w:szCs w:val="28"/>
              </w:rPr>
            </w:pPr>
            <w:r>
              <w:rPr>
                <w:rFonts w:hint="eastAsia" w:ascii="仿宋_GB2312" w:hAnsi="仿宋" w:eastAsia="仿宋_GB2312" w:cs="宋体"/>
                <w:b/>
                <w:color w:val="auto"/>
                <w:kern w:val="0"/>
                <w:sz w:val="24"/>
                <w:szCs w:val="28"/>
              </w:rPr>
              <w:t>（万元）</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_GB2312" w:hAnsi="仿宋" w:eastAsia="仿宋_GB2312" w:cs="宋体"/>
                <w:b/>
                <w:color w:val="auto"/>
                <w:sz w:val="24"/>
                <w:szCs w:val="28"/>
              </w:rPr>
            </w:pPr>
            <w:r>
              <w:rPr>
                <w:rFonts w:hint="eastAsia" w:ascii="仿宋_GB2312" w:hAnsi="仿宋" w:eastAsia="仿宋_GB2312" w:cs="宋体"/>
                <w:b/>
                <w:color w:val="auto"/>
                <w:kern w:val="0"/>
                <w:sz w:val="24"/>
                <w:szCs w:val="28"/>
              </w:rPr>
              <w:t>其中：机器设备（万元）</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_GB2312" w:hAnsi="仿宋" w:eastAsia="仿宋_GB2312" w:cs="宋体"/>
                <w:b/>
                <w:color w:val="auto"/>
                <w:kern w:val="0"/>
                <w:sz w:val="24"/>
                <w:szCs w:val="28"/>
              </w:rPr>
            </w:pPr>
            <w:r>
              <w:rPr>
                <w:rFonts w:hint="eastAsia" w:ascii="仿宋_GB2312" w:hAnsi="仿宋" w:eastAsia="仿宋_GB2312" w:cs="宋体"/>
                <w:b/>
                <w:color w:val="auto"/>
                <w:kern w:val="0"/>
                <w:sz w:val="24"/>
                <w:szCs w:val="28"/>
              </w:rPr>
              <w:t>流动资产</w:t>
            </w:r>
          </w:p>
          <w:p>
            <w:pPr>
              <w:widowControl/>
              <w:spacing w:line="500" w:lineRule="exact"/>
              <w:jc w:val="center"/>
              <w:textAlignment w:val="center"/>
              <w:rPr>
                <w:rFonts w:ascii="仿宋_GB2312" w:hAnsi="仿宋" w:eastAsia="仿宋_GB2312" w:cs="宋体"/>
                <w:b/>
                <w:color w:val="auto"/>
                <w:sz w:val="24"/>
                <w:szCs w:val="28"/>
              </w:rPr>
            </w:pPr>
            <w:r>
              <w:rPr>
                <w:rFonts w:hint="eastAsia" w:ascii="仿宋_GB2312" w:hAnsi="仿宋" w:eastAsia="仿宋_GB2312" w:cs="宋体"/>
                <w:b/>
                <w:color w:val="auto"/>
                <w:kern w:val="0"/>
                <w:sz w:val="24"/>
                <w:szCs w:val="28"/>
              </w:rPr>
              <w:t>（万元）</w:t>
            </w:r>
          </w:p>
        </w:tc>
        <w:tc>
          <w:tcPr>
            <w:tcW w:w="13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_GB2312" w:hAnsi="仿宋" w:eastAsia="仿宋_GB2312" w:cs="宋体"/>
                <w:b/>
                <w:color w:val="auto"/>
                <w:sz w:val="24"/>
                <w:szCs w:val="28"/>
              </w:rPr>
            </w:pPr>
            <w:r>
              <w:rPr>
                <w:rFonts w:hint="eastAsia" w:ascii="仿宋_GB2312" w:hAnsi="仿宋" w:eastAsia="仿宋_GB2312" w:cs="宋体"/>
                <w:b/>
                <w:color w:val="auto"/>
                <w:kern w:val="0"/>
                <w:sz w:val="24"/>
                <w:szCs w:val="28"/>
              </w:rPr>
              <w:t>保险期限</w:t>
            </w:r>
          </w:p>
        </w:tc>
        <w:tc>
          <w:tcPr>
            <w:tcW w:w="13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仿宋_GB2312" w:hAnsi="仿宋" w:eastAsia="仿宋_GB2312" w:cs="宋体"/>
                <w:b/>
                <w:color w:val="auto"/>
                <w:kern w:val="0"/>
                <w:sz w:val="24"/>
                <w:szCs w:val="28"/>
              </w:rPr>
            </w:pPr>
            <w:r>
              <w:rPr>
                <w:rFonts w:hint="eastAsia" w:ascii="仿宋_GB2312" w:hAnsi="仿宋" w:eastAsia="仿宋_GB2312" w:cs="宋体"/>
                <w:b/>
                <w:color w:val="auto"/>
                <w:kern w:val="0"/>
                <w:sz w:val="24"/>
                <w:szCs w:val="28"/>
              </w:rPr>
              <w:t>综合费率</w:t>
            </w:r>
            <w:r>
              <w:rPr>
                <w:rFonts w:hint="eastAsia" w:ascii="仿宋_GB2312" w:eastAsia="仿宋_GB2312" w:cs="宋体" w:hAnsiTheme="minorEastAsia"/>
                <w:b/>
                <w:color w:val="auto"/>
                <w:sz w:val="24"/>
                <w:szCs w:val="24"/>
              </w:rPr>
              <w:t>（‰）</w:t>
            </w:r>
          </w:p>
        </w:tc>
      </w:tr>
      <w:tr>
        <w:tblPrEx>
          <w:tblCellMar>
            <w:top w:w="0" w:type="dxa"/>
            <w:left w:w="0" w:type="dxa"/>
            <w:bottom w:w="0" w:type="dxa"/>
            <w:right w:w="0" w:type="dxa"/>
          </w:tblCellMar>
        </w:tblPrEx>
        <w:trPr>
          <w:trHeight w:val="270" w:hRule="atLeast"/>
          <w:jc w:val="center"/>
        </w:trPr>
        <w:tc>
          <w:tcPr>
            <w:tcW w:w="2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00" w:lineRule="exact"/>
              <w:jc w:val="center"/>
              <w:rPr>
                <w:rFonts w:hint="default" w:ascii="仿宋_GB2312" w:eastAsia="仿宋_GB2312" w:cs="Arial" w:hAnsiTheme="minorEastAsia"/>
                <w:color w:val="auto"/>
                <w:sz w:val="24"/>
                <w:szCs w:val="24"/>
                <w:lang w:val="en-US" w:eastAsia="zh-CN"/>
              </w:rPr>
            </w:pPr>
            <w:r>
              <w:rPr>
                <w:rFonts w:hint="eastAsia" w:ascii="仿宋_GB2312" w:eastAsia="仿宋_GB2312" w:cs="宋体" w:hAnsiTheme="minorEastAsia"/>
                <w:color w:val="auto"/>
                <w:sz w:val="24"/>
                <w:szCs w:val="24"/>
              </w:rPr>
              <w:t>索普</w:t>
            </w:r>
            <w:r>
              <w:rPr>
                <w:rFonts w:hint="eastAsia" w:ascii="仿宋_GB2312" w:eastAsia="仿宋_GB2312" w:cs="宋体" w:hAnsiTheme="minorEastAsia"/>
                <w:color w:val="auto"/>
                <w:sz w:val="24"/>
                <w:szCs w:val="24"/>
                <w:lang w:val="en-US" w:eastAsia="zh-CN"/>
              </w:rPr>
              <w:t>股份</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00" w:lineRule="exact"/>
              <w:jc w:val="center"/>
              <w:rPr>
                <w:rFonts w:hint="default" w:asciiTheme="minorEastAsia" w:hAnsiTheme="minorEastAsia" w:eastAsiaTheme="minorEastAsia" w:cstheme="minorHAnsi"/>
                <w:color w:val="auto"/>
                <w:szCs w:val="21"/>
                <w:lang w:val="en-US" w:eastAsia="zh-CN"/>
              </w:rPr>
            </w:pPr>
            <w:r>
              <w:rPr>
                <w:rFonts w:hint="eastAsia" w:asciiTheme="minorEastAsia" w:hAnsiTheme="minorEastAsia" w:eastAsiaTheme="minorEastAsia" w:cstheme="minorHAnsi"/>
                <w:color w:val="auto"/>
                <w:szCs w:val="21"/>
                <w:lang w:val="en-US" w:eastAsia="zh-CN"/>
              </w:rPr>
              <w:t>758,448</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00" w:lineRule="exact"/>
              <w:jc w:val="center"/>
              <w:rPr>
                <w:rFonts w:hint="default" w:asciiTheme="minorEastAsia" w:hAnsiTheme="minorEastAsia" w:eastAsiaTheme="minorEastAsia" w:cstheme="minorHAnsi"/>
                <w:color w:val="auto"/>
                <w:szCs w:val="21"/>
                <w:lang w:val="en-US" w:eastAsia="zh-CN"/>
              </w:rPr>
            </w:pPr>
            <w:r>
              <w:rPr>
                <w:rFonts w:hint="eastAsia" w:asciiTheme="minorEastAsia" w:hAnsiTheme="minorEastAsia" w:eastAsiaTheme="minorEastAsia" w:cstheme="minorHAnsi"/>
                <w:color w:val="auto"/>
                <w:szCs w:val="21"/>
                <w:lang w:val="en-US" w:eastAsia="zh-CN"/>
              </w:rPr>
              <w:t>598,813</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00" w:lineRule="exact"/>
              <w:jc w:val="center"/>
              <w:rPr>
                <w:rFonts w:hint="default" w:asciiTheme="minorEastAsia" w:hAnsiTheme="minorEastAsia" w:eastAsiaTheme="minorEastAsia" w:cstheme="minorHAnsi"/>
                <w:color w:val="auto"/>
                <w:szCs w:val="21"/>
                <w:lang w:val="en-US" w:eastAsia="zh-CN"/>
              </w:rPr>
            </w:pPr>
            <w:r>
              <w:rPr>
                <w:rFonts w:hint="eastAsia" w:asciiTheme="minorEastAsia" w:hAnsiTheme="minorEastAsia" w:eastAsiaTheme="minorEastAsia" w:cstheme="minorHAnsi"/>
                <w:color w:val="auto"/>
                <w:szCs w:val="21"/>
                <w:lang w:val="en-US" w:eastAsia="zh-CN"/>
              </w:rPr>
              <w:t>40,130</w:t>
            </w:r>
          </w:p>
        </w:tc>
        <w:tc>
          <w:tcPr>
            <w:tcW w:w="138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_GB2312" w:eastAsia="仿宋_GB2312" w:cs="宋体" w:hAnsiTheme="minorEastAsia"/>
                <w:color w:val="auto"/>
                <w:sz w:val="24"/>
                <w:szCs w:val="24"/>
              </w:rPr>
            </w:pPr>
            <w:r>
              <w:rPr>
                <w:rFonts w:hint="eastAsia" w:ascii="仿宋_GB2312" w:eastAsia="仿宋_GB2312" w:cs="宋体" w:hAnsiTheme="minorEastAsia"/>
                <w:color w:val="auto"/>
                <w:sz w:val="24"/>
                <w:szCs w:val="24"/>
              </w:rPr>
              <w:t>2年</w:t>
            </w:r>
          </w:p>
        </w:tc>
        <w:tc>
          <w:tcPr>
            <w:tcW w:w="1388" w:type="dxa"/>
            <w:vMerge w:val="restart"/>
            <w:tcBorders>
              <w:top w:val="single" w:color="000000" w:sz="4" w:space="0"/>
              <w:left w:val="single" w:color="000000" w:sz="4" w:space="0"/>
              <w:right w:val="single" w:color="000000" w:sz="4" w:space="0"/>
            </w:tcBorders>
            <w:vAlign w:val="center"/>
          </w:tcPr>
          <w:p>
            <w:pPr>
              <w:widowControl/>
              <w:spacing w:line="500" w:lineRule="exact"/>
              <w:jc w:val="center"/>
              <w:textAlignment w:val="center"/>
              <w:rPr>
                <w:rFonts w:ascii="仿宋_GB2312" w:eastAsia="仿宋_GB2312" w:cs="宋体" w:hAnsiTheme="minorEastAsia"/>
                <w:color w:val="auto"/>
                <w:sz w:val="24"/>
                <w:szCs w:val="24"/>
              </w:rPr>
            </w:pPr>
          </w:p>
        </w:tc>
      </w:tr>
      <w:tr>
        <w:tblPrEx>
          <w:tblCellMar>
            <w:top w:w="0" w:type="dxa"/>
            <w:left w:w="0" w:type="dxa"/>
            <w:bottom w:w="0" w:type="dxa"/>
            <w:right w:w="0" w:type="dxa"/>
          </w:tblCellMar>
        </w:tblPrEx>
        <w:trPr>
          <w:trHeight w:val="270" w:hRule="atLeast"/>
          <w:jc w:val="center"/>
        </w:trPr>
        <w:tc>
          <w:tcPr>
            <w:tcW w:w="2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00" w:lineRule="exact"/>
              <w:jc w:val="center"/>
              <w:rPr>
                <w:rFonts w:ascii="仿宋_GB2312" w:eastAsia="仿宋_GB2312" w:cs="宋体" w:hAnsiTheme="minorEastAsia"/>
                <w:color w:val="auto"/>
                <w:sz w:val="24"/>
                <w:szCs w:val="24"/>
              </w:rPr>
            </w:pPr>
            <w:r>
              <w:rPr>
                <w:rFonts w:hint="eastAsia" w:ascii="仿宋_GB2312" w:eastAsia="仿宋_GB2312" w:cs="宋体" w:hAnsiTheme="minorEastAsia"/>
                <w:color w:val="auto"/>
                <w:sz w:val="24"/>
                <w:szCs w:val="24"/>
              </w:rPr>
              <w:t>投保险种</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Arial" w:hAnsiTheme="minorEastAsia"/>
                <w:color w:val="auto"/>
                <w:sz w:val="24"/>
                <w:szCs w:val="24"/>
              </w:rPr>
            </w:pPr>
            <w:r>
              <w:rPr>
                <w:rFonts w:hint="eastAsia" w:ascii="仿宋_GB2312" w:eastAsia="仿宋_GB2312" w:cs="宋体" w:hAnsiTheme="minorEastAsia"/>
                <w:color w:val="auto"/>
                <w:sz w:val="24"/>
                <w:szCs w:val="24"/>
              </w:rPr>
              <w:t>财产一切险</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Arial" w:hAnsiTheme="minorEastAsia"/>
                <w:color w:val="auto"/>
                <w:sz w:val="24"/>
                <w:szCs w:val="24"/>
              </w:rPr>
            </w:pPr>
            <w:r>
              <w:rPr>
                <w:rFonts w:hint="eastAsia" w:ascii="仿宋_GB2312" w:eastAsia="仿宋_GB2312" w:cs="Arial" w:hAnsiTheme="minorEastAsia"/>
                <w:color w:val="auto"/>
                <w:sz w:val="24"/>
                <w:szCs w:val="24"/>
              </w:rPr>
              <w:t>机器损坏险</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Arial" w:hAnsiTheme="minorEastAsia"/>
                <w:color w:val="auto"/>
                <w:sz w:val="24"/>
                <w:szCs w:val="24"/>
              </w:rPr>
            </w:pPr>
            <w:r>
              <w:rPr>
                <w:rFonts w:hint="eastAsia" w:ascii="仿宋_GB2312" w:eastAsia="仿宋_GB2312" w:cs="宋体" w:hAnsiTheme="minorEastAsia"/>
                <w:color w:val="auto"/>
                <w:sz w:val="24"/>
                <w:szCs w:val="24"/>
              </w:rPr>
              <w:t>财产一切险</w:t>
            </w:r>
          </w:p>
        </w:tc>
        <w:tc>
          <w:tcPr>
            <w:tcW w:w="1388" w:type="dxa"/>
            <w:vMerge w:val="continue"/>
            <w:tcBorders>
              <w:left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_GB2312" w:eastAsia="仿宋_GB2312" w:cs="宋体" w:hAnsiTheme="minorEastAsia"/>
                <w:color w:val="auto"/>
                <w:sz w:val="24"/>
                <w:szCs w:val="24"/>
              </w:rPr>
            </w:pPr>
          </w:p>
        </w:tc>
        <w:tc>
          <w:tcPr>
            <w:tcW w:w="1388" w:type="dxa"/>
            <w:vMerge w:val="continue"/>
            <w:tcBorders>
              <w:left w:val="single" w:color="000000" w:sz="4" w:space="0"/>
              <w:right w:val="single" w:color="000000" w:sz="4" w:space="0"/>
            </w:tcBorders>
          </w:tcPr>
          <w:p>
            <w:pPr>
              <w:widowControl/>
              <w:spacing w:line="500" w:lineRule="exact"/>
              <w:jc w:val="center"/>
              <w:textAlignment w:val="center"/>
              <w:rPr>
                <w:rFonts w:ascii="仿宋_GB2312" w:eastAsia="仿宋_GB2312" w:cs="宋体" w:hAnsiTheme="minorEastAsia"/>
                <w:color w:val="auto"/>
                <w:sz w:val="24"/>
                <w:szCs w:val="24"/>
              </w:rPr>
            </w:pPr>
          </w:p>
        </w:tc>
      </w:tr>
      <w:tr>
        <w:tblPrEx>
          <w:tblCellMar>
            <w:top w:w="0" w:type="dxa"/>
            <w:left w:w="0" w:type="dxa"/>
            <w:bottom w:w="0" w:type="dxa"/>
            <w:right w:w="0" w:type="dxa"/>
          </w:tblCellMar>
        </w:tblPrEx>
        <w:trPr>
          <w:trHeight w:val="270" w:hRule="atLeast"/>
          <w:jc w:val="center"/>
        </w:trPr>
        <w:tc>
          <w:tcPr>
            <w:tcW w:w="2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00" w:lineRule="exact"/>
              <w:jc w:val="center"/>
              <w:rPr>
                <w:rFonts w:ascii="仿宋_GB2312" w:eastAsia="仿宋_GB2312" w:cs="宋体" w:hAnsiTheme="minorEastAsia"/>
                <w:b/>
                <w:color w:val="auto"/>
                <w:sz w:val="24"/>
                <w:szCs w:val="24"/>
              </w:rPr>
            </w:pPr>
            <w:r>
              <w:rPr>
                <w:rFonts w:hint="eastAsia" w:ascii="仿宋_GB2312" w:eastAsia="仿宋_GB2312" w:cs="宋体" w:hAnsiTheme="minorEastAsia"/>
                <w:b/>
                <w:color w:val="auto"/>
                <w:sz w:val="24"/>
                <w:szCs w:val="24"/>
              </w:rPr>
              <w:t>保险年费率（‰）</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Arial" w:hAnsiTheme="minorEastAsia"/>
                <w:color w:val="auto"/>
                <w:sz w:val="24"/>
                <w:szCs w:val="24"/>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Arial" w:hAnsiTheme="minorEastAsia"/>
                <w:color w:val="auto"/>
                <w:sz w:val="24"/>
                <w:szCs w:val="24"/>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Arial" w:hAnsiTheme="minorEastAsia"/>
                <w:color w:val="auto"/>
                <w:sz w:val="24"/>
                <w:szCs w:val="24"/>
              </w:rPr>
            </w:pPr>
          </w:p>
        </w:tc>
        <w:tc>
          <w:tcPr>
            <w:tcW w:w="1388"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_GB2312" w:eastAsia="仿宋_GB2312" w:cs="宋体" w:hAnsiTheme="minorEastAsia"/>
                <w:color w:val="auto"/>
                <w:sz w:val="24"/>
                <w:szCs w:val="24"/>
              </w:rPr>
            </w:pPr>
          </w:p>
        </w:tc>
        <w:tc>
          <w:tcPr>
            <w:tcW w:w="1388" w:type="dxa"/>
            <w:vMerge w:val="continue"/>
            <w:tcBorders>
              <w:left w:val="single" w:color="000000" w:sz="4" w:space="0"/>
              <w:bottom w:val="single" w:color="000000" w:sz="4" w:space="0"/>
              <w:right w:val="single" w:color="000000" w:sz="4" w:space="0"/>
            </w:tcBorders>
          </w:tcPr>
          <w:p>
            <w:pPr>
              <w:widowControl/>
              <w:spacing w:line="500" w:lineRule="exact"/>
              <w:jc w:val="center"/>
              <w:textAlignment w:val="center"/>
              <w:rPr>
                <w:rFonts w:ascii="仿宋_GB2312" w:eastAsia="仿宋_GB2312" w:cs="宋体" w:hAnsiTheme="minorEastAsia"/>
                <w:color w:val="auto"/>
                <w:sz w:val="24"/>
                <w:szCs w:val="24"/>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关于项目二报价的补充说明以下内容：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1）我公司愿意承接贵公司项目二标的的首席承保人，该报价费率为首席承保人综合保险费率。若经贵公司评标小组评审我公司不能成为首席承保人，我公司愿意承接贵公司项目二标的的共同保险人，并无条件接受首席承保人的综合保险费率与共同保险人承保比例；</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宋体" w:eastAsia="仿宋_GB2312" w:cs="Times New Roman"/>
          <w:b/>
          <w:bCs/>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 xml:space="preserve">    （2）我公司愿意承接贵公司项目二标的的首席承保人，</w:t>
      </w:r>
      <w:r>
        <w:rPr>
          <w:rFonts w:hint="default" w:ascii="仿宋_GB2312" w:hAnsi="宋体" w:eastAsia="仿宋_GB2312" w:cs="Times New Roman"/>
          <w:color w:val="auto"/>
          <w:kern w:val="2"/>
          <w:sz w:val="28"/>
          <w:szCs w:val="28"/>
          <w:highlight w:val="none"/>
          <w:lang w:eastAsia="zh-CN" w:bidi="ar-SA"/>
        </w:rPr>
        <w:t>该报价费率为</w:t>
      </w:r>
      <w:r>
        <w:rPr>
          <w:rFonts w:hint="eastAsia" w:ascii="仿宋_GB2312" w:hAnsi="宋体" w:eastAsia="仿宋_GB2312" w:cs="Times New Roman"/>
          <w:color w:val="auto"/>
          <w:kern w:val="2"/>
          <w:sz w:val="28"/>
          <w:szCs w:val="28"/>
          <w:highlight w:val="none"/>
          <w:lang w:eastAsia="zh-CN" w:bidi="ar-SA"/>
        </w:rPr>
        <w:t>首席</w:t>
      </w:r>
      <w:r>
        <w:rPr>
          <w:rFonts w:hint="default" w:ascii="仿宋_GB2312" w:hAnsi="宋体" w:eastAsia="仿宋_GB2312" w:cs="Times New Roman"/>
          <w:color w:val="auto"/>
          <w:kern w:val="2"/>
          <w:sz w:val="28"/>
          <w:szCs w:val="28"/>
          <w:highlight w:val="none"/>
          <w:lang w:eastAsia="zh-CN" w:bidi="ar-SA"/>
        </w:rPr>
        <w:t>承保人</w:t>
      </w:r>
      <w:r>
        <w:rPr>
          <w:rFonts w:hint="eastAsia" w:ascii="仿宋_GB2312" w:hAnsi="宋体" w:eastAsia="仿宋_GB2312" w:cs="Times New Roman"/>
          <w:color w:val="auto"/>
          <w:kern w:val="2"/>
          <w:sz w:val="28"/>
          <w:szCs w:val="28"/>
          <w:highlight w:val="none"/>
          <w:lang w:eastAsia="zh-CN" w:bidi="ar-SA"/>
        </w:rPr>
        <w:t>综合</w:t>
      </w:r>
      <w:r>
        <w:rPr>
          <w:rFonts w:hint="default" w:ascii="仿宋_GB2312" w:hAnsi="宋体" w:eastAsia="仿宋_GB2312" w:cs="Times New Roman"/>
          <w:color w:val="auto"/>
          <w:kern w:val="2"/>
          <w:sz w:val="28"/>
          <w:szCs w:val="28"/>
          <w:highlight w:val="none"/>
          <w:lang w:eastAsia="zh-CN" w:bidi="ar-SA"/>
        </w:rPr>
        <w:t>保险</w:t>
      </w:r>
      <w:r>
        <w:rPr>
          <w:rFonts w:hint="eastAsia" w:ascii="仿宋_GB2312" w:hAnsi="宋体" w:eastAsia="仿宋_GB2312" w:cs="Times New Roman"/>
          <w:color w:val="auto"/>
          <w:kern w:val="2"/>
          <w:sz w:val="28"/>
          <w:szCs w:val="28"/>
          <w:highlight w:val="none"/>
          <w:lang w:eastAsia="zh-CN" w:bidi="ar-SA"/>
        </w:rPr>
        <w:t>费率。</w:t>
      </w:r>
      <w:r>
        <w:rPr>
          <w:rFonts w:hint="eastAsia" w:ascii="仿宋_GB2312" w:hAnsi="宋体" w:eastAsia="仿宋_GB2312" w:cs="Times New Roman"/>
          <w:color w:val="auto"/>
          <w:kern w:val="2"/>
          <w:sz w:val="28"/>
          <w:szCs w:val="28"/>
          <w:highlight w:val="none"/>
          <w:lang w:val="en-US" w:eastAsia="zh-CN" w:bidi="ar-SA"/>
        </w:rPr>
        <w:t>若经贵公司评标小组评审我公司不能成为首席承保人，我公司愿意承接贵公司项目二标的的共同保险人，但如果首席承保人综合保险费率低于等于     ，我公司将自愿放弃共同保险人资格。</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宋体" w:eastAsia="仿宋_GB2312" w:cs="Times New Roman"/>
          <w:color w:val="auto"/>
          <w:kern w:val="2"/>
          <w:sz w:val="28"/>
          <w:szCs w:val="28"/>
          <w:lang w:val="en-US" w:eastAsia="zh-CN" w:bidi="ar-SA"/>
        </w:rPr>
      </w:pPr>
      <w:r>
        <w:rPr>
          <w:rFonts w:hint="eastAsia" w:ascii="仿宋_GB2312" w:hAnsi="宋体" w:eastAsia="仿宋_GB2312" w:cs="Times New Roman"/>
          <w:color w:val="auto"/>
          <w:kern w:val="2"/>
          <w:sz w:val="28"/>
          <w:szCs w:val="28"/>
          <w:lang w:val="en-US" w:eastAsia="zh-CN" w:bidi="ar-SA"/>
        </w:rPr>
        <w:t>（3）我公司不愿意承接贵公司项目二标的的首席承保人，愿意成为项目二标的的共同保险人，并无条件接受首席承保人综合保险费率与共保人承保比例。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宋体" w:eastAsia="仿宋_GB2312" w:cs="Times New Roman"/>
          <w:color w:val="auto"/>
          <w:kern w:val="2"/>
          <w:sz w:val="28"/>
          <w:szCs w:val="28"/>
          <w:lang w:val="en-US" w:eastAsia="zh-CN" w:bidi="ar-SA"/>
        </w:rPr>
      </w:pPr>
      <w:r>
        <w:rPr>
          <w:rFonts w:hint="eastAsia" w:ascii="仿宋_GB2312" w:hAnsi="宋体" w:eastAsia="仿宋_GB2312" w:cs="Times New Roman"/>
          <w:color w:val="auto"/>
          <w:kern w:val="2"/>
          <w:sz w:val="28"/>
          <w:szCs w:val="28"/>
          <w:lang w:val="en-US" w:eastAsia="zh-CN" w:bidi="ar-SA"/>
        </w:rPr>
        <w:t>（4）我公司不愿意承接贵公司项目二标的的首席承保人，愿意成为项目二标的的共同保险人，但如果首席承保人综合保险费率低于等于         ，我公司将自愿放弃共同保险人资格。</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宋体" w:eastAsia="仿宋_GB2312" w:cs="Times New Roman"/>
          <w:color w:val="auto"/>
          <w:kern w:val="2"/>
          <w:sz w:val="28"/>
          <w:szCs w:val="28"/>
          <w:lang w:val="en-US" w:eastAsia="zh-CN" w:bidi="ar-SA"/>
        </w:rPr>
      </w:pPr>
      <w:r>
        <w:rPr>
          <w:rFonts w:hint="eastAsia" w:ascii="仿宋_GB2312" w:hAnsi="宋体" w:eastAsia="仿宋_GB2312" w:cs="Times New Roman"/>
          <w:color w:val="auto"/>
          <w:kern w:val="2"/>
          <w:sz w:val="28"/>
          <w:szCs w:val="28"/>
          <w:lang w:val="en-US" w:eastAsia="zh-CN" w:bidi="ar-SA"/>
        </w:rPr>
        <w:t>（5）其他情形（详细说明）：</w:t>
      </w:r>
    </w:p>
    <w:p>
      <w:pPr>
        <w:pStyle w:val="4"/>
        <w:spacing w:line="500" w:lineRule="exact"/>
        <w:ind w:firstLine="560" w:firstLineChars="200"/>
        <w:rPr>
          <w:rFonts w:ascii="仿宋_GB2312" w:hAnsi="宋体"/>
          <w:bCs/>
          <w:color w:val="auto"/>
          <w:sz w:val="28"/>
          <w:szCs w:val="28"/>
        </w:rPr>
      </w:pPr>
      <w:r>
        <w:rPr>
          <w:rFonts w:hint="eastAsia" w:ascii="仿宋_GB2312" w:hAnsi="宋体"/>
          <w:bCs/>
          <w:color w:val="auto"/>
          <w:sz w:val="28"/>
          <w:szCs w:val="28"/>
        </w:rPr>
        <w:t>3.项目三：江苏索普新材料科技有限公司</w:t>
      </w:r>
    </w:p>
    <w:tbl>
      <w:tblPr>
        <w:tblStyle w:val="11"/>
        <w:tblW w:w="9099" w:type="dxa"/>
        <w:jc w:val="center"/>
        <w:tblLayout w:type="fixed"/>
        <w:tblCellMar>
          <w:top w:w="0" w:type="dxa"/>
          <w:left w:w="0" w:type="dxa"/>
          <w:bottom w:w="0" w:type="dxa"/>
          <w:right w:w="0" w:type="dxa"/>
        </w:tblCellMar>
      </w:tblPr>
      <w:tblGrid>
        <w:gridCol w:w="2071"/>
        <w:gridCol w:w="1275"/>
        <w:gridCol w:w="1701"/>
        <w:gridCol w:w="1276"/>
        <w:gridCol w:w="1388"/>
        <w:gridCol w:w="1388"/>
      </w:tblGrid>
      <w:tr>
        <w:tblPrEx>
          <w:tblCellMar>
            <w:top w:w="0" w:type="dxa"/>
            <w:left w:w="0" w:type="dxa"/>
            <w:bottom w:w="0" w:type="dxa"/>
            <w:right w:w="0" w:type="dxa"/>
          </w:tblCellMar>
        </w:tblPrEx>
        <w:trPr>
          <w:trHeight w:val="480" w:hRule="atLeast"/>
          <w:jc w:val="center"/>
        </w:trPr>
        <w:tc>
          <w:tcPr>
            <w:tcW w:w="2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_GB2312" w:hAnsi="仿宋" w:eastAsia="仿宋_GB2312" w:cs="宋体"/>
                <w:b/>
                <w:color w:val="auto"/>
                <w:kern w:val="0"/>
                <w:sz w:val="24"/>
                <w:szCs w:val="28"/>
              </w:rPr>
            </w:pPr>
            <w:r>
              <w:rPr>
                <w:rFonts w:hint="eastAsia" w:ascii="仿宋_GB2312" w:hAnsi="仿宋" w:eastAsia="仿宋_GB2312" w:cs="宋体"/>
                <w:b/>
                <w:color w:val="auto"/>
                <w:kern w:val="0"/>
                <w:sz w:val="24"/>
                <w:szCs w:val="28"/>
              </w:rPr>
              <w:t>资产范围</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_GB2312" w:hAnsi="仿宋" w:eastAsia="仿宋_GB2312" w:cs="宋体"/>
                <w:b/>
                <w:color w:val="auto"/>
                <w:kern w:val="0"/>
                <w:sz w:val="24"/>
                <w:szCs w:val="28"/>
              </w:rPr>
            </w:pPr>
            <w:r>
              <w:rPr>
                <w:rFonts w:hint="eastAsia" w:ascii="仿宋_GB2312" w:hAnsi="仿宋" w:eastAsia="仿宋_GB2312" w:cs="宋体"/>
                <w:b/>
                <w:color w:val="auto"/>
                <w:kern w:val="0"/>
                <w:sz w:val="24"/>
                <w:szCs w:val="28"/>
              </w:rPr>
              <w:t>固定资产</w:t>
            </w:r>
          </w:p>
          <w:p>
            <w:pPr>
              <w:widowControl/>
              <w:spacing w:line="500" w:lineRule="exact"/>
              <w:jc w:val="center"/>
              <w:textAlignment w:val="center"/>
              <w:rPr>
                <w:rFonts w:ascii="仿宋_GB2312" w:hAnsi="仿宋" w:eastAsia="仿宋_GB2312" w:cs="宋体"/>
                <w:b/>
                <w:color w:val="auto"/>
                <w:sz w:val="24"/>
                <w:szCs w:val="28"/>
              </w:rPr>
            </w:pPr>
            <w:r>
              <w:rPr>
                <w:rFonts w:hint="eastAsia" w:ascii="仿宋_GB2312" w:hAnsi="仿宋" w:eastAsia="仿宋_GB2312" w:cs="宋体"/>
                <w:b/>
                <w:color w:val="auto"/>
                <w:kern w:val="0"/>
                <w:sz w:val="24"/>
                <w:szCs w:val="28"/>
              </w:rPr>
              <w:t>（万元）</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_GB2312" w:hAnsi="仿宋" w:eastAsia="仿宋_GB2312" w:cs="宋体"/>
                <w:b/>
                <w:color w:val="auto"/>
                <w:sz w:val="24"/>
                <w:szCs w:val="28"/>
              </w:rPr>
            </w:pPr>
            <w:r>
              <w:rPr>
                <w:rFonts w:hint="eastAsia" w:ascii="仿宋_GB2312" w:hAnsi="仿宋" w:eastAsia="仿宋_GB2312" w:cs="宋体"/>
                <w:b/>
                <w:color w:val="auto"/>
                <w:kern w:val="0"/>
                <w:sz w:val="24"/>
                <w:szCs w:val="28"/>
              </w:rPr>
              <w:t>其中：机器设备（万元）</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_GB2312" w:hAnsi="仿宋" w:eastAsia="仿宋_GB2312" w:cs="宋体"/>
                <w:b/>
                <w:color w:val="auto"/>
                <w:kern w:val="0"/>
                <w:sz w:val="24"/>
                <w:szCs w:val="28"/>
              </w:rPr>
            </w:pPr>
            <w:r>
              <w:rPr>
                <w:rFonts w:hint="eastAsia" w:ascii="仿宋_GB2312" w:hAnsi="仿宋" w:eastAsia="仿宋_GB2312" w:cs="宋体"/>
                <w:b/>
                <w:color w:val="auto"/>
                <w:kern w:val="0"/>
                <w:sz w:val="24"/>
                <w:szCs w:val="28"/>
              </w:rPr>
              <w:t>流动资产</w:t>
            </w:r>
          </w:p>
          <w:p>
            <w:pPr>
              <w:widowControl/>
              <w:spacing w:line="500" w:lineRule="exact"/>
              <w:jc w:val="center"/>
              <w:textAlignment w:val="center"/>
              <w:rPr>
                <w:rFonts w:ascii="仿宋_GB2312" w:hAnsi="仿宋" w:eastAsia="仿宋_GB2312" w:cs="宋体"/>
                <w:b/>
                <w:color w:val="auto"/>
                <w:sz w:val="24"/>
                <w:szCs w:val="28"/>
              </w:rPr>
            </w:pPr>
            <w:r>
              <w:rPr>
                <w:rFonts w:hint="eastAsia" w:ascii="仿宋_GB2312" w:hAnsi="仿宋" w:eastAsia="仿宋_GB2312" w:cs="宋体"/>
                <w:b/>
                <w:color w:val="auto"/>
                <w:kern w:val="0"/>
                <w:sz w:val="24"/>
                <w:szCs w:val="28"/>
              </w:rPr>
              <w:t>（万元）</w:t>
            </w:r>
          </w:p>
        </w:tc>
        <w:tc>
          <w:tcPr>
            <w:tcW w:w="13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_GB2312" w:hAnsi="仿宋" w:eastAsia="仿宋_GB2312" w:cs="宋体"/>
                <w:b/>
                <w:color w:val="auto"/>
                <w:sz w:val="24"/>
                <w:szCs w:val="28"/>
              </w:rPr>
            </w:pPr>
            <w:r>
              <w:rPr>
                <w:rFonts w:hint="eastAsia" w:ascii="仿宋_GB2312" w:hAnsi="仿宋" w:eastAsia="仿宋_GB2312" w:cs="宋体"/>
                <w:b/>
                <w:color w:val="auto"/>
                <w:kern w:val="0"/>
                <w:sz w:val="24"/>
                <w:szCs w:val="28"/>
              </w:rPr>
              <w:t>保险期限</w:t>
            </w:r>
          </w:p>
        </w:tc>
        <w:tc>
          <w:tcPr>
            <w:tcW w:w="13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仿宋_GB2312" w:hAnsi="仿宋" w:eastAsia="仿宋_GB2312" w:cs="宋体"/>
                <w:b/>
                <w:color w:val="auto"/>
                <w:kern w:val="0"/>
                <w:sz w:val="24"/>
                <w:szCs w:val="28"/>
              </w:rPr>
            </w:pPr>
            <w:r>
              <w:rPr>
                <w:rFonts w:hint="eastAsia" w:ascii="仿宋_GB2312" w:hAnsi="仿宋" w:eastAsia="仿宋_GB2312" w:cs="宋体"/>
                <w:b/>
                <w:color w:val="auto"/>
                <w:kern w:val="0"/>
                <w:sz w:val="24"/>
                <w:szCs w:val="28"/>
              </w:rPr>
              <w:t>综合费率</w:t>
            </w:r>
            <w:r>
              <w:rPr>
                <w:rFonts w:hint="eastAsia" w:ascii="仿宋_GB2312" w:eastAsia="仿宋_GB2312" w:cs="宋体" w:hAnsiTheme="minorEastAsia"/>
                <w:b/>
                <w:color w:val="auto"/>
                <w:sz w:val="24"/>
                <w:szCs w:val="24"/>
              </w:rPr>
              <w:t>（‰）</w:t>
            </w:r>
          </w:p>
        </w:tc>
      </w:tr>
      <w:tr>
        <w:tblPrEx>
          <w:tblCellMar>
            <w:top w:w="0" w:type="dxa"/>
            <w:left w:w="0" w:type="dxa"/>
            <w:bottom w:w="0" w:type="dxa"/>
            <w:right w:w="0" w:type="dxa"/>
          </w:tblCellMar>
        </w:tblPrEx>
        <w:trPr>
          <w:trHeight w:val="270" w:hRule="atLeast"/>
          <w:jc w:val="center"/>
        </w:trPr>
        <w:tc>
          <w:tcPr>
            <w:tcW w:w="2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00" w:lineRule="exact"/>
              <w:jc w:val="center"/>
              <w:rPr>
                <w:rFonts w:ascii="仿宋_GB2312" w:eastAsia="仿宋_GB2312" w:cs="Arial" w:hAnsiTheme="minorEastAsia"/>
                <w:color w:val="auto"/>
                <w:sz w:val="24"/>
                <w:szCs w:val="24"/>
              </w:rPr>
            </w:pPr>
            <w:r>
              <w:rPr>
                <w:rFonts w:hint="eastAsia" w:ascii="仿宋_GB2312" w:eastAsia="仿宋_GB2312" w:cs="宋体" w:hAnsiTheme="minorEastAsia"/>
                <w:color w:val="auto"/>
                <w:sz w:val="24"/>
                <w:szCs w:val="24"/>
              </w:rPr>
              <w:t>索普新材料</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00" w:lineRule="exact"/>
              <w:jc w:val="center"/>
              <w:rPr>
                <w:rFonts w:hint="default" w:asciiTheme="minorEastAsia" w:hAnsiTheme="minorEastAsia" w:eastAsiaTheme="minorEastAsia" w:cstheme="minorHAnsi"/>
                <w:color w:val="auto"/>
                <w:szCs w:val="21"/>
                <w:lang w:val="en-US" w:eastAsia="zh-CN"/>
              </w:rPr>
            </w:pPr>
            <w:r>
              <w:rPr>
                <w:rFonts w:hint="eastAsia" w:asciiTheme="minorEastAsia" w:hAnsiTheme="minorEastAsia" w:eastAsiaTheme="minorEastAsia" w:cstheme="minorHAnsi"/>
                <w:color w:val="auto"/>
                <w:szCs w:val="21"/>
                <w:lang w:val="en-US" w:eastAsia="zh-CN"/>
              </w:rPr>
              <w:t>82,962</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00" w:lineRule="exact"/>
              <w:jc w:val="center"/>
              <w:rPr>
                <w:rFonts w:hint="default" w:asciiTheme="minorEastAsia" w:hAnsiTheme="minorEastAsia" w:eastAsiaTheme="minorEastAsia" w:cstheme="minorHAnsi"/>
                <w:color w:val="auto"/>
                <w:szCs w:val="21"/>
                <w:lang w:val="en-US" w:eastAsia="zh-CN"/>
              </w:rPr>
            </w:pPr>
            <w:r>
              <w:rPr>
                <w:rFonts w:hint="eastAsia" w:asciiTheme="minorEastAsia" w:hAnsiTheme="minorEastAsia" w:eastAsiaTheme="minorEastAsia" w:cstheme="minorHAnsi"/>
                <w:color w:val="auto"/>
                <w:szCs w:val="21"/>
                <w:lang w:val="en-US" w:eastAsia="zh-CN"/>
              </w:rPr>
              <w:t>74,586</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00" w:lineRule="exact"/>
              <w:jc w:val="center"/>
              <w:rPr>
                <w:rFonts w:hint="default" w:asciiTheme="minorEastAsia" w:hAnsiTheme="minorEastAsia" w:eastAsiaTheme="minorEastAsia" w:cstheme="minorHAnsi"/>
                <w:color w:val="auto"/>
                <w:szCs w:val="21"/>
                <w:lang w:val="en-US" w:eastAsia="zh-CN"/>
              </w:rPr>
            </w:pPr>
            <w:r>
              <w:rPr>
                <w:rFonts w:hint="eastAsia" w:asciiTheme="minorEastAsia" w:hAnsiTheme="minorEastAsia" w:eastAsiaTheme="minorEastAsia" w:cstheme="minorHAnsi"/>
                <w:color w:val="auto"/>
                <w:szCs w:val="21"/>
                <w:lang w:val="en-US" w:eastAsia="zh-CN"/>
              </w:rPr>
              <w:t>1,435</w:t>
            </w:r>
          </w:p>
        </w:tc>
        <w:tc>
          <w:tcPr>
            <w:tcW w:w="138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_GB2312" w:eastAsia="仿宋_GB2312" w:cs="宋体" w:hAnsiTheme="minorEastAsia"/>
                <w:color w:val="auto"/>
                <w:sz w:val="24"/>
                <w:szCs w:val="24"/>
              </w:rPr>
            </w:pPr>
            <w:r>
              <w:rPr>
                <w:rFonts w:hint="eastAsia" w:ascii="仿宋_GB2312" w:eastAsia="仿宋_GB2312" w:cs="宋体" w:hAnsiTheme="minorEastAsia"/>
                <w:color w:val="auto"/>
                <w:sz w:val="24"/>
                <w:szCs w:val="24"/>
              </w:rPr>
              <w:t>2年</w:t>
            </w:r>
          </w:p>
        </w:tc>
        <w:tc>
          <w:tcPr>
            <w:tcW w:w="1388" w:type="dxa"/>
            <w:vMerge w:val="restart"/>
            <w:tcBorders>
              <w:top w:val="single" w:color="000000" w:sz="4" w:space="0"/>
              <w:left w:val="single" w:color="000000" w:sz="4" w:space="0"/>
              <w:right w:val="single" w:color="000000" w:sz="4" w:space="0"/>
            </w:tcBorders>
            <w:vAlign w:val="center"/>
          </w:tcPr>
          <w:p>
            <w:pPr>
              <w:widowControl/>
              <w:spacing w:line="500" w:lineRule="exact"/>
              <w:jc w:val="center"/>
              <w:textAlignment w:val="center"/>
              <w:rPr>
                <w:rFonts w:ascii="仿宋_GB2312" w:eastAsia="仿宋_GB2312" w:cs="宋体" w:hAnsiTheme="minorEastAsia"/>
                <w:color w:val="auto"/>
                <w:sz w:val="24"/>
                <w:szCs w:val="24"/>
              </w:rPr>
            </w:pPr>
          </w:p>
        </w:tc>
      </w:tr>
      <w:tr>
        <w:tblPrEx>
          <w:tblCellMar>
            <w:top w:w="0" w:type="dxa"/>
            <w:left w:w="0" w:type="dxa"/>
            <w:bottom w:w="0" w:type="dxa"/>
            <w:right w:w="0" w:type="dxa"/>
          </w:tblCellMar>
        </w:tblPrEx>
        <w:trPr>
          <w:trHeight w:val="270" w:hRule="atLeast"/>
          <w:jc w:val="center"/>
        </w:trPr>
        <w:tc>
          <w:tcPr>
            <w:tcW w:w="2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00" w:lineRule="exact"/>
              <w:jc w:val="center"/>
              <w:rPr>
                <w:rFonts w:ascii="仿宋_GB2312" w:eastAsia="仿宋_GB2312" w:cs="宋体" w:hAnsiTheme="minorEastAsia"/>
                <w:color w:val="auto"/>
                <w:sz w:val="24"/>
                <w:szCs w:val="24"/>
              </w:rPr>
            </w:pPr>
            <w:r>
              <w:rPr>
                <w:rFonts w:hint="eastAsia" w:ascii="仿宋_GB2312" w:eastAsia="仿宋_GB2312" w:cs="宋体" w:hAnsiTheme="minorEastAsia"/>
                <w:color w:val="auto"/>
                <w:sz w:val="24"/>
                <w:szCs w:val="24"/>
              </w:rPr>
              <w:t>投保险种</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Arial" w:hAnsiTheme="minorEastAsia"/>
                <w:color w:val="auto"/>
                <w:sz w:val="24"/>
                <w:szCs w:val="24"/>
              </w:rPr>
            </w:pPr>
            <w:r>
              <w:rPr>
                <w:rFonts w:hint="eastAsia" w:ascii="仿宋_GB2312" w:eastAsia="仿宋_GB2312" w:cs="宋体" w:hAnsiTheme="minorEastAsia"/>
                <w:color w:val="auto"/>
                <w:sz w:val="24"/>
                <w:szCs w:val="24"/>
              </w:rPr>
              <w:t>财产一切险</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Arial" w:hAnsiTheme="minorEastAsia"/>
                <w:color w:val="auto"/>
                <w:sz w:val="24"/>
                <w:szCs w:val="24"/>
              </w:rPr>
            </w:pPr>
            <w:r>
              <w:rPr>
                <w:rFonts w:hint="eastAsia" w:ascii="仿宋_GB2312" w:eastAsia="仿宋_GB2312" w:cs="Arial" w:hAnsiTheme="minorEastAsia"/>
                <w:color w:val="auto"/>
                <w:sz w:val="24"/>
                <w:szCs w:val="24"/>
              </w:rPr>
              <w:t>机器损坏险</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Arial" w:hAnsiTheme="minorEastAsia"/>
                <w:color w:val="auto"/>
                <w:sz w:val="24"/>
                <w:szCs w:val="24"/>
              </w:rPr>
            </w:pPr>
            <w:r>
              <w:rPr>
                <w:rFonts w:hint="eastAsia" w:ascii="仿宋_GB2312" w:eastAsia="仿宋_GB2312" w:cs="宋体" w:hAnsiTheme="minorEastAsia"/>
                <w:color w:val="auto"/>
                <w:sz w:val="24"/>
                <w:szCs w:val="24"/>
              </w:rPr>
              <w:t>财产一切险</w:t>
            </w:r>
          </w:p>
        </w:tc>
        <w:tc>
          <w:tcPr>
            <w:tcW w:w="1388" w:type="dxa"/>
            <w:vMerge w:val="continue"/>
            <w:tcBorders>
              <w:left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_GB2312" w:eastAsia="仿宋_GB2312" w:cs="宋体" w:hAnsiTheme="minorEastAsia"/>
                <w:color w:val="auto"/>
                <w:sz w:val="24"/>
                <w:szCs w:val="24"/>
              </w:rPr>
            </w:pPr>
          </w:p>
        </w:tc>
        <w:tc>
          <w:tcPr>
            <w:tcW w:w="1388" w:type="dxa"/>
            <w:vMerge w:val="continue"/>
            <w:tcBorders>
              <w:left w:val="single" w:color="000000" w:sz="4" w:space="0"/>
              <w:right w:val="single" w:color="000000" w:sz="4" w:space="0"/>
            </w:tcBorders>
          </w:tcPr>
          <w:p>
            <w:pPr>
              <w:widowControl/>
              <w:spacing w:line="500" w:lineRule="exact"/>
              <w:jc w:val="center"/>
              <w:textAlignment w:val="center"/>
              <w:rPr>
                <w:rFonts w:ascii="仿宋_GB2312" w:eastAsia="仿宋_GB2312" w:cs="宋体" w:hAnsiTheme="minorEastAsia"/>
                <w:color w:val="auto"/>
                <w:sz w:val="24"/>
                <w:szCs w:val="24"/>
              </w:rPr>
            </w:pPr>
          </w:p>
        </w:tc>
      </w:tr>
      <w:tr>
        <w:tblPrEx>
          <w:tblCellMar>
            <w:top w:w="0" w:type="dxa"/>
            <w:left w:w="0" w:type="dxa"/>
            <w:bottom w:w="0" w:type="dxa"/>
            <w:right w:w="0" w:type="dxa"/>
          </w:tblCellMar>
        </w:tblPrEx>
        <w:trPr>
          <w:trHeight w:val="270" w:hRule="atLeast"/>
          <w:jc w:val="center"/>
        </w:trPr>
        <w:tc>
          <w:tcPr>
            <w:tcW w:w="2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00" w:lineRule="exact"/>
              <w:jc w:val="center"/>
              <w:rPr>
                <w:rFonts w:ascii="仿宋_GB2312" w:eastAsia="仿宋_GB2312" w:cs="宋体" w:hAnsiTheme="minorEastAsia"/>
                <w:b/>
                <w:color w:val="auto"/>
                <w:sz w:val="24"/>
                <w:szCs w:val="24"/>
              </w:rPr>
            </w:pPr>
            <w:r>
              <w:rPr>
                <w:rFonts w:hint="eastAsia" w:ascii="仿宋_GB2312" w:eastAsia="仿宋_GB2312" w:cs="宋体" w:hAnsiTheme="minorEastAsia"/>
                <w:b/>
                <w:color w:val="auto"/>
                <w:sz w:val="24"/>
                <w:szCs w:val="24"/>
              </w:rPr>
              <w:t>保险年费率（‰）</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Arial" w:hAnsiTheme="minorEastAsia"/>
                <w:color w:val="auto"/>
                <w:sz w:val="24"/>
                <w:szCs w:val="24"/>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Arial" w:hAnsiTheme="minorEastAsia"/>
                <w:color w:val="auto"/>
                <w:sz w:val="24"/>
                <w:szCs w:val="24"/>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Arial" w:hAnsiTheme="minorEastAsia"/>
                <w:color w:val="auto"/>
                <w:sz w:val="24"/>
                <w:szCs w:val="24"/>
              </w:rPr>
            </w:pPr>
          </w:p>
        </w:tc>
        <w:tc>
          <w:tcPr>
            <w:tcW w:w="1388"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_GB2312" w:eastAsia="仿宋_GB2312" w:cs="宋体" w:hAnsiTheme="minorEastAsia"/>
                <w:color w:val="auto"/>
                <w:sz w:val="24"/>
                <w:szCs w:val="24"/>
              </w:rPr>
            </w:pPr>
          </w:p>
        </w:tc>
        <w:tc>
          <w:tcPr>
            <w:tcW w:w="1388" w:type="dxa"/>
            <w:vMerge w:val="continue"/>
            <w:tcBorders>
              <w:left w:val="single" w:color="000000" w:sz="4" w:space="0"/>
              <w:bottom w:val="single" w:color="000000" w:sz="4" w:space="0"/>
              <w:right w:val="single" w:color="000000" w:sz="4" w:space="0"/>
            </w:tcBorders>
          </w:tcPr>
          <w:p>
            <w:pPr>
              <w:widowControl/>
              <w:spacing w:line="500" w:lineRule="exact"/>
              <w:jc w:val="center"/>
              <w:textAlignment w:val="center"/>
              <w:rPr>
                <w:rFonts w:ascii="仿宋_GB2312" w:eastAsia="仿宋_GB2312" w:cs="宋体" w:hAnsiTheme="minorEastAsia"/>
                <w:color w:val="auto"/>
                <w:sz w:val="24"/>
                <w:szCs w:val="24"/>
              </w:rPr>
            </w:pPr>
          </w:p>
        </w:tc>
      </w:tr>
    </w:tbl>
    <w:p>
      <w:pPr>
        <w:pStyle w:val="4"/>
        <w:spacing w:line="500" w:lineRule="exact"/>
        <w:ind w:left="560"/>
        <w:rPr>
          <w:rFonts w:ascii="仿宋_GB2312" w:hAnsi="宋体"/>
          <w:bCs/>
          <w:color w:val="auto"/>
          <w:sz w:val="28"/>
          <w:szCs w:val="28"/>
        </w:rPr>
      </w:pPr>
    </w:p>
    <w:p>
      <w:pPr>
        <w:pStyle w:val="4"/>
        <w:spacing w:line="500" w:lineRule="exact"/>
        <w:ind w:firstLine="560" w:firstLineChars="200"/>
        <w:rPr>
          <w:rFonts w:ascii="仿宋_GB2312" w:hAnsi="宋体"/>
          <w:bCs/>
          <w:color w:val="auto"/>
          <w:sz w:val="28"/>
          <w:szCs w:val="28"/>
        </w:rPr>
      </w:pPr>
      <w:r>
        <w:rPr>
          <w:rFonts w:hint="eastAsia" w:ascii="仿宋_GB2312" w:hAnsi="宋体"/>
          <w:bCs/>
          <w:color w:val="auto"/>
          <w:sz w:val="28"/>
          <w:szCs w:val="28"/>
        </w:rPr>
        <w:t>4.项目四：江苏索普天辰气体有限公司</w:t>
      </w:r>
    </w:p>
    <w:tbl>
      <w:tblPr>
        <w:tblStyle w:val="11"/>
        <w:tblW w:w="9099" w:type="dxa"/>
        <w:jc w:val="center"/>
        <w:tblLayout w:type="fixed"/>
        <w:tblCellMar>
          <w:top w:w="0" w:type="dxa"/>
          <w:left w:w="0" w:type="dxa"/>
          <w:bottom w:w="0" w:type="dxa"/>
          <w:right w:w="0" w:type="dxa"/>
        </w:tblCellMar>
      </w:tblPr>
      <w:tblGrid>
        <w:gridCol w:w="2071"/>
        <w:gridCol w:w="1445"/>
        <w:gridCol w:w="1531"/>
        <w:gridCol w:w="1276"/>
        <w:gridCol w:w="1388"/>
        <w:gridCol w:w="1388"/>
      </w:tblGrid>
      <w:tr>
        <w:tblPrEx>
          <w:tblCellMar>
            <w:top w:w="0" w:type="dxa"/>
            <w:left w:w="0" w:type="dxa"/>
            <w:bottom w:w="0" w:type="dxa"/>
            <w:right w:w="0" w:type="dxa"/>
          </w:tblCellMar>
        </w:tblPrEx>
        <w:trPr>
          <w:trHeight w:val="480" w:hRule="atLeast"/>
          <w:jc w:val="center"/>
        </w:trPr>
        <w:tc>
          <w:tcPr>
            <w:tcW w:w="2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_GB2312" w:hAnsi="仿宋" w:eastAsia="仿宋_GB2312" w:cs="宋体"/>
                <w:b/>
                <w:color w:val="auto"/>
                <w:kern w:val="0"/>
                <w:sz w:val="24"/>
                <w:szCs w:val="28"/>
              </w:rPr>
            </w:pPr>
            <w:r>
              <w:rPr>
                <w:rFonts w:hint="eastAsia" w:ascii="仿宋_GB2312" w:hAnsi="仿宋" w:eastAsia="仿宋_GB2312" w:cs="宋体"/>
                <w:b/>
                <w:color w:val="auto"/>
                <w:kern w:val="0"/>
                <w:sz w:val="24"/>
                <w:szCs w:val="28"/>
              </w:rPr>
              <w:t>资产范围</w:t>
            </w:r>
          </w:p>
        </w:tc>
        <w:tc>
          <w:tcPr>
            <w:tcW w:w="14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_GB2312" w:hAnsi="仿宋" w:eastAsia="仿宋_GB2312" w:cs="宋体"/>
                <w:b/>
                <w:color w:val="auto"/>
                <w:kern w:val="0"/>
                <w:sz w:val="24"/>
                <w:szCs w:val="28"/>
              </w:rPr>
            </w:pPr>
            <w:r>
              <w:rPr>
                <w:rFonts w:hint="eastAsia" w:ascii="仿宋_GB2312" w:hAnsi="仿宋" w:eastAsia="仿宋_GB2312" w:cs="宋体"/>
                <w:b/>
                <w:color w:val="auto"/>
                <w:kern w:val="0"/>
                <w:sz w:val="24"/>
                <w:szCs w:val="28"/>
              </w:rPr>
              <w:t>固定资产</w:t>
            </w:r>
          </w:p>
          <w:p>
            <w:pPr>
              <w:widowControl/>
              <w:spacing w:line="500" w:lineRule="exact"/>
              <w:jc w:val="center"/>
              <w:textAlignment w:val="center"/>
              <w:rPr>
                <w:rFonts w:ascii="仿宋_GB2312" w:hAnsi="仿宋" w:eastAsia="仿宋_GB2312" w:cs="宋体"/>
                <w:b/>
                <w:color w:val="auto"/>
                <w:sz w:val="24"/>
                <w:szCs w:val="28"/>
              </w:rPr>
            </w:pPr>
            <w:r>
              <w:rPr>
                <w:rFonts w:hint="eastAsia" w:ascii="仿宋_GB2312" w:hAnsi="仿宋" w:eastAsia="仿宋_GB2312" w:cs="宋体"/>
                <w:b/>
                <w:color w:val="auto"/>
                <w:kern w:val="0"/>
                <w:sz w:val="24"/>
                <w:szCs w:val="28"/>
              </w:rPr>
              <w:t>（万元）</w:t>
            </w:r>
          </w:p>
        </w:tc>
        <w:tc>
          <w:tcPr>
            <w:tcW w:w="15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_GB2312" w:hAnsi="仿宋" w:eastAsia="仿宋_GB2312" w:cs="宋体"/>
                <w:b/>
                <w:color w:val="auto"/>
                <w:sz w:val="24"/>
                <w:szCs w:val="28"/>
              </w:rPr>
            </w:pPr>
            <w:r>
              <w:rPr>
                <w:rFonts w:hint="eastAsia" w:ascii="仿宋_GB2312" w:hAnsi="仿宋" w:eastAsia="仿宋_GB2312" w:cs="宋体"/>
                <w:b/>
                <w:color w:val="auto"/>
                <w:kern w:val="0"/>
                <w:sz w:val="24"/>
                <w:szCs w:val="28"/>
              </w:rPr>
              <w:t>其中：机器设备（万元）</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_GB2312" w:hAnsi="仿宋" w:eastAsia="仿宋_GB2312" w:cs="宋体"/>
                <w:b/>
                <w:color w:val="auto"/>
                <w:kern w:val="0"/>
                <w:sz w:val="24"/>
                <w:szCs w:val="28"/>
              </w:rPr>
            </w:pPr>
            <w:r>
              <w:rPr>
                <w:rFonts w:hint="eastAsia" w:ascii="仿宋_GB2312" w:hAnsi="仿宋" w:eastAsia="仿宋_GB2312" w:cs="宋体"/>
                <w:b/>
                <w:color w:val="auto"/>
                <w:kern w:val="0"/>
                <w:sz w:val="24"/>
                <w:szCs w:val="28"/>
              </w:rPr>
              <w:t>流动资产</w:t>
            </w:r>
          </w:p>
          <w:p>
            <w:pPr>
              <w:widowControl/>
              <w:spacing w:line="500" w:lineRule="exact"/>
              <w:jc w:val="center"/>
              <w:textAlignment w:val="center"/>
              <w:rPr>
                <w:rFonts w:ascii="仿宋_GB2312" w:hAnsi="仿宋" w:eastAsia="仿宋_GB2312" w:cs="宋体"/>
                <w:b/>
                <w:color w:val="auto"/>
                <w:sz w:val="24"/>
                <w:szCs w:val="28"/>
              </w:rPr>
            </w:pPr>
            <w:r>
              <w:rPr>
                <w:rFonts w:hint="eastAsia" w:ascii="仿宋_GB2312" w:hAnsi="仿宋" w:eastAsia="仿宋_GB2312" w:cs="宋体"/>
                <w:b/>
                <w:color w:val="auto"/>
                <w:kern w:val="0"/>
                <w:sz w:val="24"/>
                <w:szCs w:val="28"/>
              </w:rPr>
              <w:t>（万元）</w:t>
            </w:r>
          </w:p>
        </w:tc>
        <w:tc>
          <w:tcPr>
            <w:tcW w:w="13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_GB2312" w:hAnsi="仿宋" w:eastAsia="仿宋_GB2312" w:cs="宋体"/>
                <w:b/>
                <w:color w:val="auto"/>
                <w:sz w:val="24"/>
                <w:szCs w:val="28"/>
              </w:rPr>
            </w:pPr>
            <w:r>
              <w:rPr>
                <w:rFonts w:hint="eastAsia" w:ascii="仿宋_GB2312" w:hAnsi="仿宋" w:eastAsia="仿宋_GB2312" w:cs="宋体"/>
                <w:b/>
                <w:color w:val="auto"/>
                <w:kern w:val="0"/>
                <w:sz w:val="24"/>
                <w:szCs w:val="28"/>
              </w:rPr>
              <w:t>保险期限</w:t>
            </w:r>
          </w:p>
        </w:tc>
        <w:tc>
          <w:tcPr>
            <w:tcW w:w="138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仿宋_GB2312" w:hAnsi="仿宋" w:eastAsia="仿宋_GB2312" w:cs="宋体"/>
                <w:b/>
                <w:color w:val="auto"/>
                <w:kern w:val="0"/>
                <w:sz w:val="24"/>
                <w:szCs w:val="28"/>
              </w:rPr>
            </w:pPr>
            <w:r>
              <w:rPr>
                <w:rFonts w:hint="eastAsia" w:ascii="仿宋_GB2312" w:hAnsi="仿宋" w:eastAsia="仿宋_GB2312" w:cs="宋体"/>
                <w:b/>
                <w:color w:val="auto"/>
                <w:kern w:val="0"/>
                <w:sz w:val="24"/>
                <w:szCs w:val="28"/>
              </w:rPr>
              <w:t>综合费率</w:t>
            </w:r>
            <w:r>
              <w:rPr>
                <w:rFonts w:hint="eastAsia" w:ascii="仿宋_GB2312" w:eastAsia="仿宋_GB2312" w:cs="宋体" w:hAnsiTheme="minorEastAsia"/>
                <w:b/>
                <w:color w:val="auto"/>
                <w:sz w:val="24"/>
                <w:szCs w:val="24"/>
              </w:rPr>
              <w:t>（‰）</w:t>
            </w:r>
          </w:p>
        </w:tc>
      </w:tr>
      <w:tr>
        <w:tblPrEx>
          <w:tblCellMar>
            <w:top w:w="0" w:type="dxa"/>
            <w:left w:w="0" w:type="dxa"/>
            <w:bottom w:w="0" w:type="dxa"/>
            <w:right w:w="0" w:type="dxa"/>
          </w:tblCellMar>
        </w:tblPrEx>
        <w:trPr>
          <w:trHeight w:val="270" w:hRule="atLeast"/>
          <w:jc w:val="center"/>
        </w:trPr>
        <w:tc>
          <w:tcPr>
            <w:tcW w:w="2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00" w:lineRule="exact"/>
              <w:jc w:val="center"/>
              <w:rPr>
                <w:rFonts w:ascii="仿宋_GB2312" w:eastAsia="仿宋_GB2312" w:cs="Arial" w:hAnsiTheme="minorEastAsia"/>
                <w:color w:val="auto"/>
                <w:sz w:val="24"/>
                <w:szCs w:val="24"/>
              </w:rPr>
            </w:pPr>
            <w:r>
              <w:rPr>
                <w:rFonts w:hint="eastAsia" w:ascii="仿宋_GB2312" w:eastAsia="仿宋_GB2312" w:cs="宋体" w:hAnsiTheme="minorEastAsia"/>
                <w:color w:val="auto"/>
                <w:sz w:val="24"/>
                <w:szCs w:val="24"/>
              </w:rPr>
              <w:t>索普天辰</w:t>
            </w:r>
          </w:p>
        </w:tc>
        <w:tc>
          <w:tcPr>
            <w:tcW w:w="14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heme="minorEastAsia" w:hAnsiTheme="minorEastAsia" w:eastAsiaTheme="minorEastAsia" w:cstheme="minorHAnsi"/>
                <w:color w:val="auto"/>
                <w:szCs w:val="21"/>
                <w:lang w:val="en-US" w:eastAsia="zh-CN"/>
              </w:rPr>
            </w:pPr>
            <w:r>
              <w:rPr>
                <w:rFonts w:hint="eastAsia" w:asciiTheme="minorEastAsia" w:hAnsiTheme="minorEastAsia" w:eastAsiaTheme="minorEastAsia" w:cstheme="minorHAnsi"/>
                <w:color w:val="auto"/>
                <w:szCs w:val="21"/>
                <w:lang w:val="en-US" w:eastAsia="zh-CN"/>
              </w:rPr>
              <w:t>5,158</w:t>
            </w:r>
          </w:p>
        </w:tc>
        <w:tc>
          <w:tcPr>
            <w:tcW w:w="15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heme="minorEastAsia" w:hAnsiTheme="minorEastAsia" w:eastAsiaTheme="minorEastAsia" w:cstheme="minorHAnsi"/>
                <w:color w:val="auto"/>
                <w:szCs w:val="21"/>
                <w:lang w:val="en-US" w:eastAsia="zh-CN"/>
              </w:rPr>
            </w:pPr>
            <w:r>
              <w:rPr>
                <w:rFonts w:hint="eastAsia" w:asciiTheme="minorEastAsia" w:hAnsiTheme="minorEastAsia" w:eastAsiaTheme="minorEastAsia" w:cstheme="minorHAnsi"/>
                <w:color w:val="auto"/>
                <w:szCs w:val="21"/>
                <w:lang w:val="en-US" w:eastAsia="zh-CN"/>
              </w:rPr>
              <w:t>4,778</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00" w:lineRule="exact"/>
              <w:jc w:val="center"/>
              <w:rPr>
                <w:rFonts w:asciiTheme="minorEastAsia" w:hAnsiTheme="minorEastAsia" w:eastAsiaTheme="minorEastAsia" w:cstheme="minorHAnsi"/>
                <w:color w:val="auto"/>
                <w:szCs w:val="21"/>
              </w:rPr>
            </w:pPr>
          </w:p>
        </w:tc>
        <w:tc>
          <w:tcPr>
            <w:tcW w:w="138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_GB2312" w:eastAsia="仿宋_GB2312" w:cs="宋体" w:hAnsiTheme="minorEastAsia"/>
                <w:color w:val="auto"/>
                <w:sz w:val="24"/>
                <w:szCs w:val="24"/>
              </w:rPr>
            </w:pPr>
            <w:r>
              <w:rPr>
                <w:rFonts w:hint="eastAsia" w:ascii="仿宋_GB2312" w:eastAsia="仿宋_GB2312" w:cs="宋体" w:hAnsiTheme="minorEastAsia"/>
                <w:color w:val="auto"/>
                <w:sz w:val="24"/>
                <w:szCs w:val="24"/>
              </w:rPr>
              <w:t>2年</w:t>
            </w:r>
          </w:p>
        </w:tc>
        <w:tc>
          <w:tcPr>
            <w:tcW w:w="1388" w:type="dxa"/>
            <w:vMerge w:val="restart"/>
            <w:tcBorders>
              <w:top w:val="single" w:color="000000" w:sz="4" w:space="0"/>
              <w:left w:val="single" w:color="000000" w:sz="4" w:space="0"/>
              <w:right w:val="single" w:color="000000" w:sz="4" w:space="0"/>
            </w:tcBorders>
            <w:vAlign w:val="center"/>
          </w:tcPr>
          <w:p>
            <w:pPr>
              <w:widowControl/>
              <w:spacing w:line="500" w:lineRule="exact"/>
              <w:jc w:val="center"/>
              <w:textAlignment w:val="center"/>
              <w:rPr>
                <w:rFonts w:ascii="仿宋_GB2312" w:eastAsia="仿宋_GB2312" w:cs="宋体" w:hAnsiTheme="minorEastAsia"/>
                <w:color w:val="auto"/>
                <w:sz w:val="24"/>
                <w:szCs w:val="24"/>
              </w:rPr>
            </w:pPr>
          </w:p>
        </w:tc>
      </w:tr>
      <w:tr>
        <w:tblPrEx>
          <w:tblCellMar>
            <w:top w:w="0" w:type="dxa"/>
            <w:left w:w="0" w:type="dxa"/>
            <w:bottom w:w="0" w:type="dxa"/>
            <w:right w:w="0" w:type="dxa"/>
          </w:tblCellMar>
        </w:tblPrEx>
        <w:trPr>
          <w:trHeight w:val="270" w:hRule="atLeast"/>
          <w:jc w:val="center"/>
        </w:trPr>
        <w:tc>
          <w:tcPr>
            <w:tcW w:w="2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00" w:lineRule="exact"/>
              <w:jc w:val="center"/>
              <w:rPr>
                <w:rFonts w:ascii="仿宋_GB2312" w:eastAsia="仿宋_GB2312" w:cs="宋体" w:hAnsiTheme="minorEastAsia"/>
                <w:color w:val="auto"/>
                <w:sz w:val="24"/>
                <w:szCs w:val="24"/>
              </w:rPr>
            </w:pPr>
            <w:r>
              <w:rPr>
                <w:rFonts w:hint="eastAsia" w:ascii="仿宋_GB2312" w:eastAsia="仿宋_GB2312" w:cs="宋体" w:hAnsiTheme="minorEastAsia"/>
                <w:color w:val="auto"/>
                <w:sz w:val="24"/>
                <w:szCs w:val="24"/>
              </w:rPr>
              <w:t>投保险种</w:t>
            </w:r>
          </w:p>
        </w:tc>
        <w:tc>
          <w:tcPr>
            <w:tcW w:w="14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Arial" w:hAnsiTheme="minorEastAsia"/>
                <w:color w:val="auto"/>
                <w:sz w:val="24"/>
                <w:szCs w:val="24"/>
              </w:rPr>
            </w:pPr>
            <w:r>
              <w:rPr>
                <w:rFonts w:hint="eastAsia" w:ascii="仿宋_GB2312" w:eastAsia="仿宋_GB2312" w:cs="宋体" w:hAnsiTheme="minorEastAsia"/>
                <w:color w:val="auto"/>
                <w:sz w:val="24"/>
                <w:szCs w:val="24"/>
              </w:rPr>
              <w:t>财产一切险</w:t>
            </w:r>
          </w:p>
        </w:tc>
        <w:tc>
          <w:tcPr>
            <w:tcW w:w="15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Arial" w:hAnsiTheme="minorEastAsia"/>
                <w:color w:val="auto"/>
                <w:sz w:val="24"/>
                <w:szCs w:val="24"/>
              </w:rPr>
            </w:pPr>
            <w:r>
              <w:rPr>
                <w:rFonts w:hint="eastAsia" w:ascii="仿宋_GB2312" w:eastAsia="仿宋_GB2312" w:cs="Arial" w:hAnsiTheme="minorEastAsia"/>
                <w:color w:val="auto"/>
                <w:sz w:val="24"/>
                <w:szCs w:val="24"/>
              </w:rPr>
              <w:t>机器损坏险</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Arial" w:hAnsiTheme="minorEastAsia"/>
                <w:color w:val="auto"/>
                <w:sz w:val="24"/>
                <w:szCs w:val="24"/>
              </w:rPr>
            </w:pPr>
            <w:r>
              <w:rPr>
                <w:rFonts w:hint="eastAsia" w:ascii="仿宋_GB2312" w:eastAsia="仿宋_GB2312" w:cs="宋体" w:hAnsiTheme="minorEastAsia"/>
                <w:color w:val="auto"/>
                <w:sz w:val="24"/>
                <w:szCs w:val="24"/>
              </w:rPr>
              <w:t>财产一切险</w:t>
            </w:r>
          </w:p>
        </w:tc>
        <w:tc>
          <w:tcPr>
            <w:tcW w:w="1388" w:type="dxa"/>
            <w:vMerge w:val="continue"/>
            <w:tcBorders>
              <w:left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_GB2312" w:eastAsia="仿宋_GB2312" w:cs="宋体" w:hAnsiTheme="minorEastAsia"/>
                <w:color w:val="auto"/>
                <w:sz w:val="24"/>
                <w:szCs w:val="24"/>
              </w:rPr>
            </w:pPr>
          </w:p>
        </w:tc>
        <w:tc>
          <w:tcPr>
            <w:tcW w:w="1388" w:type="dxa"/>
            <w:vMerge w:val="continue"/>
            <w:tcBorders>
              <w:left w:val="single" w:color="000000" w:sz="4" w:space="0"/>
              <w:right w:val="single" w:color="000000" w:sz="4" w:space="0"/>
            </w:tcBorders>
            <w:vAlign w:val="center"/>
          </w:tcPr>
          <w:p>
            <w:pPr>
              <w:widowControl/>
              <w:spacing w:line="500" w:lineRule="exact"/>
              <w:jc w:val="center"/>
              <w:textAlignment w:val="center"/>
              <w:rPr>
                <w:rFonts w:ascii="仿宋_GB2312" w:eastAsia="仿宋_GB2312" w:cs="宋体" w:hAnsiTheme="minorEastAsia"/>
                <w:color w:val="auto"/>
                <w:sz w:val="24"/>
                <w:szCs w:val="24"/>
              </w:rPr>
            </w:pPr>
          </w:p>
        </w:tc>
      </w:tr>
      <w:tr>
        <w:tblPrEx>
          <w:tblCellMar>
            <w:top w:w="0" w:type="dxa"/>
            <w:left w:w="0" w:type="dxa"/>
            <w:bottom w:w="0" w:type="dxa"/>
            <w:right w:w="0" w:type="dxa"/>
          </w:tblCellMar>
        </w:tblPrEx>
        <w:trPr>
          <w:trHeight w:val="270" w:hRule="atLeast"/>
          <w:jc w:val="center"/>
        </w:trPr>
        <w:tc>
          <w:tcPr>
            <w:tcW w:w="2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00" w:lineRule="exact"/>
              <w:jc w:val="center"/>
              <w:rPr>
                <w:rFonts w:ascii="仿宋_GB2312" w:eastAsia="仿宋_GB2312" w:cs="宋体" w:hAnsiTheme="minorEastAsia"/>
                <w:b/>
                <w:color w:val="auto"/>
                <w:sz w:val="24"/>
                <w:szCs w:val="24"/>
              </w:rPr>
            </w:pPr>
            <w:r>
              <w:rPr>
                <w:rFonts w:hint="eastAsia" w:ascii="仿宋_GB2312" w:eastAsia="仿宋_GB2312" w:cs="宋体" w:hAnsiTheme="minorEastAsia"/>
                <w:b/>
                <w:color w:val="auto"/>
                <w:sz w:val="24"/>
                <w:szCs w:val="24"/>
              </w:rPr>
              <w:t>保险年费率（‰）</w:t>
            </w:r>
          </w:p>
        </w:tc>
        <w:tc>
          <w:tcPr>
            <w:tcW w:w="14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Arial" w:hAnsiTheme="minorEastAsia"/>
                <w:color w:val="auto"/>
                <w:sz w:val="24"/>
                <w:szCs w:val="24"/>
              </w:rPr>
            </w:pPr>
          </w:p>
        </w:tc>
        <w:tc>
          <w:tcPr>
            <w:tcW w:w="15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Arial" w:hAnsiTheme="minorEastAsia"/>
                <w:color w:val="auto"/>
                <w:sz w:val="24"/>
                <w:szCs w:val="24"/>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Arial" w:hAnsiTheme="minorEastAsia"/>
                <w:color w:val="auto"/>
                <w:sz w:val="24"/>
                <w:szCs w:val="24"/>
              </w:rPr>
            </w:pPr>
          </w:p>
        </w:tc>
        <w:tc>
          <w:tcPr>
            <w:tcW w:w="1388"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_GB2312" w:eastAsia="仿宋_GB2312" w:cs="宋体" w:hAnsiTheme="minorEastAsia"/>
                <w:color w:val="auto"/>
                <w:sz w:val="24"/>
                <w:szCs w:val="24"/>
              </w:rPr>
            </w:pPr>
          </w:p>
        </w:tc>
        <w:tc>
          <w:tcPr>
            <w:tcW w:w="1388" w:type="dxa"/>
            <w:vMerge w:val="continue"/>
            <w:tcBorders>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仿宋_GB2312" w:eastAsia="仿宋_GB2312" w:cs="宋体" w:hAnsiTheme="minorEastAsia"/>
                <w:color w:val="auto"/>
                <w:sz w:val="24"/>
                <w:szCs w:val="24"/>
              </w:rPr>
            </w:pPr>
          </w:p>
        </w:tc>
      </w:tr>
    </w:tbl>
    <w:p>
      <w:pPr>
        <w:pStyle w:val="4"/>
        <w:spacing w:line="500" w:lineRule="exact"/>
        <w:rPr>
          <w:rFonts w:ascii="仿宋_GB2312" w:hAnsi="宋体"/>
          <w:bCs/>
          <w:color w:val="auto"/>
          <w:sz w:val="24"/>
          <w:szCs w:val="24"/>
        </w:rPr>
      </w:pPr>
    </w:p>
    <w:p>
      <w:pPr>
        <w:pStyle w:val="4"/>
        <w:spacing w:line="500" w:lineRule="exact"/>
        <w:ind w:firstLine="560" w:firstLineChars="200"/>
        <w:rPr>
          <w:rFonts w:ascii="仿宋_GB2312" w:hAnsi="宋体"/>
          <w:bCs/>
          <w:color w:val="auto"/>
          <w:sz w:val="28"/>
          <w:szCs w:val="28"/>
        </w:rPr>
      </w:pPr>
      <w:r>
        <w:rPr>
          <w:rFonts w:hint="eastAsia" w:ascii="仿宋_GB2312" w:hAnsi="宋体"/>
          <w:bCs/>
          <w:color w:val="auto"/>
          <w:sz w:val="28"/>
          <w:szCs w:val="28"/>
        </w:rPr>
        <w:t>5.项目五：江苏索普化工股份有限公司</w:t>
      </w:r>
    </w:p>
    <w:tbl>
      <w:tblPr>
        <w:tblStyle w:val="11"/>
        <w:tblW w:w="9745" w:type="dxa"/>
        <w:jc w:val="center"/>
        <w:tblLayout w:type="fixed"/>
        <w:tblCellMar>
          <w:top w:w="0" w:type="dxa"/>
          <w:left w:w="0" w:type="dxa"/>
          <w:bottom w:w="0" w:type="dxa"/>
          <w:right w:w="0" w:type="dxa"/>
        </w:tblCellMar>
      </w:tblPr>
      <w:tblGrid>
        <w:gridCol w:w="709"/>
        <w:gridCol w:w="1276"/>
        <w:gridCol w:w="1134"/>
        <w:gridCol w:w="1276"/>
        <w:gridCol w:w="1134"/>
        <w:gridCol w:w="1158"/>
        <w:gridCol w:w="826"/>
        <w:gridCol w:w="720"/>
        <w:gridCol w:w="1512"/>
      </w:tblGrid>
      <w:tr>
        <w:tblPrEx>
          <w:tblCellMar>
            <w:top w:w="0" w:type="dxa"/>
            <w:left w:w="0" w:type="dxa"/>
            <w:bottom w:w="0" w:type="dxa"/>
            <w:right w:w="0" w:type="dxa"/>
          </w:tblCellMar>
        </w:tblPrEx>
        <w:trPr>
          <w:trHeight w:val="480" w:hRule="atLeast"/>
          <w:jc w:val="center"/>
        </w:trPr>
        <w:tc>
          <w:tcPr>
            <w:tcW w:w="19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宋体"/>
                <w:b/>
                <w:color w:val="auto"/>
                <w:kern w:val="0"/>
                <w:sz w:val="24"/>
                <w:szCs w:val="28"/>
              </w:rPr>
            </w:pPr>
            <w:r>
              <w:rPr>
                <w:rFonts w:hint="eastAsia" w:ascii="仿宋_GB2312" w:hAnsi="仿宋" w:eastAsia="仿宋_GB2312" w:cs="宋体"/>
                <w:b/>
                <w:color w:val="auto"/>
                <w:kern w:val="0"/>
                <w:sz w:val="24"/>
                <w:szCs w:val="28"/>
              </w:rPr>
              <w:t>资产范围</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宋体"/>
                <w:b/>
                <w:color w:val="auto"/>
                <w:sz w:val="24"/>
                <w:szCs w:val="28"/>
              </w:rPr>
            </w:pPr>
            <w:r>
              <w:rPr>
                <w:rFonts w:hint="eastAsia" w:ascii="仿宋_GB2312" w:hAnsi="仿宋" w:eastAsia="仿宋_GB2312" w:cs="宋体"/>
                <w:b/>
                <w:color w:val="auto"/>
                <w:sz w:val="24"/>
                <w:szCs w:val="28"/>
              </w:rPr>
              <w:t>运输方式及路线</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预估年总量</w:t>
            </w:r>
          </w:p>
          <w:p>
            <w:pPr>
              <w:widowControl/>
              <w:jc w:val="center"/>
              <w:textAlignment w:val="center"/>
              <w:rPr>
                <w:rFonts w:ascii="仿宋_GB2312" w:hAnsi="仿宋" w:eastAsia="仿宋_GB2312" w:cs="宋体"/>
                <w:b/>
                <w:color w:val="auto"/>
                <w:sz w:val="24"/>
                <w:szCs w:val="28"/>
              </w:rPr>
            </w:pPr>
            <w:r>
              <w:rPr>
                <w:rFonts w:hint="eastAsia" w:ascii="仿宋_GB2312" w:hAnsi="仿宋_GB2312" w:eastAsia="仿宋_GB2312" w:cs="仿宋_GB2312"/>
                <w:b/>
                <w:bCs/>
                <w:color w:val="auto"/>
                <w:sz w:val="24"/>
                <w:szCs w:val="24"/>
              </w:rPr>
              <w:t>（万吨）</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预估单价</w:t>
            </w:r>
          </w:p>
          <w:p>
            <w:pPr>
              <w:widowControl/>
              <w:jc w:val="center"/>
              <w:textAlignment w:val="center"/>
              <w:rPr>
                <w:rFonts w:ascii="仿宋_GB2312" w:hAnsi="仿宋" w:eastAsia="仿宋_GB2312" w:cs="宋体"/>
                <w:b/>
                <w:color w:val="auto"/>
                <w:sz w:val="24"/>
                <w:szCs w:val="28"/>
              </w:rPr>
            </w:pPr>
            <w:r>
              <w:rPr>
                <w:rFonts w:hint="eastAsia" w:ascii="仿宋_GB2312" w:hAnsi="仿宋_GB2312" w:eastAsia="仿宋_GB2312" w:cs="仿宋_GB2312"/>
                <w:b/>
                <w:bCs/>
                <w:color w:val="auto"/>
                <w:sz w:val="24"/>
                <w:szCs w:val="24"/>
              </w:rPr>
              <w:t>（元/吨）</w:t>
            </w:r>
          </w:p>
        </w:tc>
        <w:tc>
          <w:tcPr>
            <w:tcW w:w="11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预估货值</w:t>
            </w:r>
          </w:p>
          <w:p>
            <w:pPr>
              <w:jc w:val="center"/>
              <w:rPr>
                <w:rFonts w:ascii="仿宋_GB2312" w:hAnsi="仿宋" w:eastAsia="仿宋_GB2312" w:cs="宋体"/>
                <w:b/>
                <w:color w:val="auto"/>
                <w:sz w:val="24"/>
                <w:szCs w:val="28"/>
              </w:rPr>
            </w:pPr>
            <w:r>
              <w:rPr>
                <w:rFonts w:hint="eastAsia" w:ascii="仿宋_GB2312" w:hAnsi="仿宋_GB2312" w:eastAsia="仿宋_GB2312" w:cs="仿宋_GB2312"/>
                <w:b/>
                <w:bCs/>
                <w:color w:val="auto"/>
                <w:sz w:val="24"/>
                <w:szCs w:val="24"/>
              </w:rPr>
              <w:t>（万元）</w:t>
            </w:r>
          </w:p>
        </w:tc>
        <w:tc>
          <w:tcPr>
            <w:tcW w:w="8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宋体"/>
                <w:b/>
                <w:color w:val="auto"/>
                <w:kern w:val="0"/>
                <w:sz w:val="24"/>
                <w:szCs w:val="28"/>
              </w:rPr>
            </w:pPr>
            <w:r>
              <w:rPr>
                <w:rFonts w:hint="eastAsia" w:ascii="仿宋_GB2312" w:hAnsi="仿宋_GB2312" w:eastAsia="仿宋_GB2312" w:cs="仿宋_GB2312"/>
                <w:b/>
                <w:bCs/>
                <w:color w:val="auto"/>
                <w:sz w:val="24"/>
                <w:szCs w:val="24"/>
              </w:rPr>
              <w:t>免赔率</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 w:eastAsia="仿宋_GB2312" w:cs="宋体"/>
                <w:b/>
                <w:color w:val="auto"/>
                <w:sz w:val="24"/>
                <w:szCs w:val="28"/>
              </w:rPr>
            </w:pPr>
            <w:r>
              <w:rPr>
                <w:rFonts w:hint="eastAsia" w:ascii="仿宋_GB2312" w:hAnsi="仿宋" w:eastAsia="仿宋_GB2312" w:cs="宋体"/>
                <w:b/>
                <w:color w:val="auto"/>
                <w:kern w:val="0"/>
                <w:sz w:val="24"/>
                <w:szCs w:val="28"/>
              </w:rPr>
              <w:t>保险期限</w:t>
            </w:r>
          </w:p>
        </w:tc>
        <w:tc>
          <w:tcPr>
            <w:tcW w:w="15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 w:eastAsia="仿宋_GB2312" w:cs="宋体"/>
                <w:b/>
                <w:color w:val="auto"/>
                <w:kern w:val="0"/>
                <w:sz w:val="24"/>
                <w:szCs w:val="28"/>
              </w:rPr>
            </w:pPr>
            <w:r>
              <w:rPr>
                <w:rFonts w:hint="eastAsia" w:ascii="仿宋_GB2312" w:hAnsi="仿宋" w:eastAsia="仿宋_GB2312" w:cs="宋体"/>
                <w:b/>
                <w:color w:val="auto"/>
                <w:kern w:val="0"/>
                <w:sz w:val="24"/>
                <w:szCs w:val="28"/>
              </w:rPr>
              <w:t>保险费率</w:t>
            </w:r>
            <w:r>
              <w:rPr>
                <w:rFonts w:hint="eastAsia" w:ascii="仿宋_GB2312" w:eastAsia="仿宋_GB2312" w:cs="宋体" w:hAnsiTheme="minorEastAsia"/>
                <w:b/>
                <w:color w:val="auto"/>
                <w:sz w:val="24"/>
                <w:szCs w:val="24"/>
              </w:rPr>
              <w:t>（‰）</w:t>
            </w:r>
          </w:p>
        </w:tc>
      </w:tr>
      <w:tr>
        <w:tblPrEx>
          <w:tblCellMar>
            <w:top w:w="0" w:type="dxa"/>
            <w:left w:w="0" w:type="dxa"/>
            <w:bottom w:w="0" w:type="dxa"/>
            <w:right w:w="0" w:type="dxa"/>
          </w:tblCellMar>
        </w:tblPrEx>
        <w:trPr>
          <w:trHeight w:val="270" w:hRule="atLeast"/>
          <w:jc w:val="center"/>
        </w:trPr>
        <w:tc>
          <w:tcPr>
            <w:tcW w:w="70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spacing w:line="500" w:lineRule="exact"/>
              <w:jc w:val="center"/>
              <w:textAlignment w:val="center"/>
              <w:rPr>
                <w:rFonts w:ascii="仿宋_GB2312" w:eastAsia="仿宋_GB2312" w:cs="宋体" w:hAnsiTheme="minorEastAsia"/>
                <w:color w:val="auto"/>
                <w:sz w:val="24"/>
                <w:szCs w:val="24"/>
              </w:rPr>
            </w:pPr>
            <w:r>
              <w:rPr>
                <w:rFonts w:hint="eastAsia" w:ascii="仿宋_GB2312" w:eastAsia="仿宋_GB2312" w:cs="宋体" w:hAnsiTheme="minorEastAsia"/>
                <w:color w:val="auto"/>
                <w:sz w:val="24"/>
                <w:szCs w:val="24"/>
              </w:rPr>
              <w:t>索普股份</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00" w:lineRule="exact"/>
              <w:jc w:val="center"/>
              <w:rPr>
                <w:rFonts w:ascii="仿宋_GB2312" w:eastAsia="仿宋_GB2312" w:cs="Arial" w:hAnsiTheme="minorEastAsia"/>
                <w:color w:val="auto"/>
                <w:sz w:val="24"/>
                <w:szCs w:val="24"/>
              </w:rPr>
            </w:pPr>
            <w:r>
              <w:rPr>
                <w:rFonts w:hint="eastAsia" w:ascii="仿宋_GB2312" w:eastAsia="仿宋_GB2312" w:cs="Arial" w:hAnsiTheme="minorEastAsia"/>
                <w:color w:val="auto"/>
                <w:sz w:val="24"/>
                <w:szCs w:val="24"/>
              </w:rPr>
              <w:t>煤炭</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rPr>
              <w:t>海轮+江轮，黄骅（北方港）到江阴（镇江）到索普甲醇码头</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200</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1,000</w:t>
            </w:r>
          </w:p>
        </w:tc>
        <w:tc>
          <w:tcPr>
            <w:tcW w:w="11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200,000</w:t>
            </w:r>
          </w:p>
        </w:tc>
        <w:tc>
          <w:tcPr>
            <w:tcW w:w="82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cs="宋体" w:asciiTheme="minorEastAsia" w:hAnsiTheme="minorEastAsia" w:eastAsiaTheme="minorEastAsia"/>
                <w:b/>
                <w:color w:val="auto"/>
                <w:sz w:val="24"/>
                <w:szCs w:val="24"/>
              </w:rPr>
            </w:pPr>
          </w:p>
        </w:tc>
        <w:tc>
          <w:tcPr>
            <w:tcW w:w="72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_GB2312" w:eastAsia="仿宋_GB2312" w:cs="宋体" w:hAnsiTheme="minorEastAsia"/>
                <w:color w:val="auto"/>
                <w:sz w:val="24"/>
                <w:szCs w:val="24"/>
              </w:rPr>
            </w:pPr>
            <w:r>
              <w:rPr>
                <w:rFonts w:hint="eastAsia" w:ascii="仿宋_GB2312" w:eastAsia="仿宋_GB2312" w:cs="宋体" w:hAnsiTheme="minorEastAsia"/>
                <w:color w:val="auto"/>
                <w:sz w:val="24"/>
                <w:szCs w:val="24"/>
              </w:rPr>
              <w:t>2年</w:t>
            </w:r>
          </w:p>
        </w:tc>
        <w:tc>
          <w:tcPr>
            <w:tcW w:w="1512" w:type="dxa"/>
            <w:vMerge w:val="restart"/>
            <w:tcBorders>
              <w:top w:val="single" w:color="000000" w:sz="4" w:space="0"/>
              <w:left w:val="single" w:color="000000" w:sz="4" w:space="0"/>
              <w:right w:val="single" w:color="000000" w:sz="4" w:space="0"/>
            </w:tcBorders>
            <w:vAlign w:val="center"/>
          </w:tcPr>
          <w:p>
            <w:pPr>
              <w:widowControl/>
              <w:spacing w:line="500" w:lineRule="exact"/>
              <w:jc w:val="center"/>
              <w:textAlignment w:val="center"/>
              <w:rPr>
                <w:rFonts w:ascii="仿宋_GB2312" w:eastAsia="仿宋_GB2312" w:cs="宋体" w:hAnsiTheme="minorEastAsia"/>
                <w:b/>
                <w:color w:val="auto"/>
                <w:sz w:val="24"/>
                <w:szCs w:val="24"/>
              </w:rPr>
            </w:pPr>
          </w:p>
        </w:tc>
      </w:tr>
      <w:tr>
        <w:tblPrEx>
          <w:tblCellMar>
            <w:top w:w="0" w:type="dxa"/>
            <w:left w:w="0" w:type="dxa"/>
            <w:bottom w:w="0" w:type="dxa"/>
            <w:right w:w="0" w:type="dxa"/>
          </w:tblCellMar>
        </w:tblPrEx>
        <w:trPr>
          <w:trHeight w:val="270" w:hRule="atLeast"/>
          <w:jc w:val="center"/>
        </w:trPr>
        <w:tc>
          <w:tcPr>
            <w:tcW w:w="709" w:type="dxa"/>
            <w:vMerge w:val="continue"/>
            <w:tcBorders>
              <w:left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_GB2312" w:eastAsia="仿宋_GB2312" w:cs="宋体" w:hAnsiTheme="minorEastAsia"/>
                <w:color w:val="auto"/>
                <w:sz w:val="24"/>
                <w:szCs w:val="24"/>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00" w:lineRule="exact"/>
              <w:jc w:val="center"/>
              <w:rPr>
                <w:rFonts w:ascii="仿宋_GB2312" w:eastAsia="仿宋_GB2312" w:cs="Arial" w:hAnsiTheme="minorEastAsia"/>
                <w:color w:val="auto"/>
                <w:sz w:val="24"/>
                <w:szCs w:val="24"/>
              </w:rPr>
            </w:pPr>
            <w:r>
              <w:rPr>
                <w:rFonts w:hint="eastAsia" w:ascii="仿宋_GB2312" w:eastAsia="仿宋_GB2312" w:cs="Arial" w:hAnsiTheme="minorEastAsia"/>
                <w:color w:val="auto"/>
                <w:sz w:val="24"/>
                <w:szCs w:val="24"/>
              </w:rPr>
              <w:t>乙醇</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rPr>
              <w:t>海轮，锦州港（仙人岛、鲍鱼圈）到海纳川码头</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7.20</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6,200</w:t>
            </w:r>
          </w:p>
        </w:tc>
        <w:tc>
          <w:tcPr>
            <w:tcW w:w="11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44,640</w:t>
            </w:r>
          </w:p>
        </w:tc>
        <w:tc>
          <w:tcPr>
            <w:tcW w:w="82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cs="宋体" w:asciiTheme="minorEastAsia" w:hAnsiTheme="minorEastAsia" w:eastAsiaTheme="minorEastAsia"/>
                <w:color w:val="auto"/>
                <w:sz w:val="24"/>
                <w:szCs w:val="24"/>
              </w:rPr>
            </w:pPr>
          </w:p>
        </w:tc>
        <w:tc>
          <w:tcPr>
            <w:tcW w:w="720" w:type="dxa"/>
            <w:vMerge w:val="continue"/>
            <w:tcBorders>
              <w:left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_GB2312" w:eastAsia="仿宋_GB2312" w:cs="宋体" w:hAnsiTheme="minorEastAsia"/>
                <w:color w:val="auto"/>
                <w:sz w:val="24"/>
                <w:szCs w:val="24"/>
              </w:rPr>
            </w:pPr>
          </w:p>
        </w:tc>
        <w:tc>
          <w:tcPr>
            <w:tcW w:w="1512" w:type="dxa"/>
            <w:vMerge w:val="continue"/>
            <w:tcBorders>
              <w:left w:val="single" w:color="000000" w:sz="4" w:space="0"/>
              <w:right w:val="single" w:color="000000" w:sz="4" w:space="0"/>
            </w:tcBorders>
            <w:vAlign w:val="center"/>
          </w:tcPr>
          <w:p>
            <w:pPr>
              <w:widowControl/>
              <w:spacing w:line="500" w:lineRule="exact"/>
              <w:jc w:val="center"/>
              <w:textAlignment w:val="center"/>
              <w:rPr>
                <w:rFonts w:ascii="仿宋_GB2312" w:eastAsia="仿宋_GB2312" w:cs="宋体" w:hAnsiTheme="minorEastAsia"/>
                <w:color w:val="auto"/>
                <w:sz w:val="24"/>
                <w:szCs w:val="24"/>
              </w:rPr>
            </w:pPr>
          </w:p>
        </w:tc>
      </w:tr>
      <w:tr>
        <w:tblPrEx>
          <w:tblCellMar>
            <w:top w:w="0" w:type="dxa"/>
            <w:left w:w="0" w:type="dxa"/>
            <w:bottom w:w="0" w:type="dxa"/>
            <w:right w:w="0" w:type="dxa"/>
          </w:tblCellMar>
        </w:tblPrEx>
        <w:trPr>
          <w:trHeight w:val="270" w:hRule="atLeast"/>
          <w:jc w:val="center"/>
        </w:trPr>
        <w:tc>
          <w:tcPr>
            <w:tcW w:w="709" w:type="dxa"/>
            <w:vMerge w:val="continue"/>
            <w:tcBorders>
              <w:left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_GB2312" w:eastAsia="仿宋_GB2312" w:cs="宋体" w:hAnsiTheme="minorEastAsia"/>
                <w:color w:val="auto"/>
                <w:sz w:val="24"/>
                <w:szCs w:val="24"/>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00" w:lineRule="exact"/>
              <w:jc w:val="center"/>
              <w:rPr>
                <w:rFonts w:ascii="仿宋_GB2312" w:eastAsia="仿宋_GB2312" w:cs="Arial" w:hAnsiTheme="minorEastAsia"/>
                <w:color w:val="auto"/>
                <w:sz w:val="24"/>
                <w:szCs w:val="24"/>
              </w:rPr>
            </w:pPr>
            <w:r>
              <w:rPr>
                <w:rFonts w:hint="eastAsia" w:ascii="仿宋_GB2312" w:eastAsia="仿宋_GB2312" w:cs="Arial" w:hAnsiTheme="minorEastAsia"/>
                <w:color w:val="auto"/>
                <w:sz w:val="24"/>
                <w:szCs w:val="24"/>
              </w:rPr>
              <w:t>醋酸</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rPr>
              <w:t>泰兴、江阴、宁波等</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60</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2,800</w:t>
            </w:r>
          </w:p>
        </w:tc>
        <w:tc>
          <w:tcPr>
            <w:tcW w:w="11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168,000</w:t>
            </w:r>
          </w:p>
        </w:tc>
        <w:tc>
          <w:tcPr>
            <w:tcW w:w="82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cs="宋体" w:asciiTheme="minorEastAsia" w:hAnsiTheme="minorEastAsia" w:eastAsiaTheme="minorEastAsia"/>
                <w:color w:val="auto"/>
                <w:sz w:val="24"/>
                <w:szCs w:val="24"/>
              </w:rPr>
            </w:pPr>
          </w:p>
        </w:tc>
        <w:tc>
          <w:tcPr>
            <w:tcW w:w="720" w:type="dxa"/>
            <w:vMerge w:val="continue"/>
            <w:tcBorders>
              <w:left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_GB2312" w:eastAsia="仿宋_GB2312" w:cs="宋体" w:hAnsiTheme="minorEastAsia"/>
                <w:color w:val="auto"/>
                <w:sz w:val="24"/>
                <w:szCs w:val="24"/>
              </w:rPr>
            </w:pPr>
          </w:p>
        </w:tc>
        <w:tc>
          <w:tcPr>
            <w:tcW w:w="1512" w:type="dxa"/>
            <w:vMerge w:val="continue"/>
            <w:tcBorders>
              <w:left w:val="single" w:color="000000" w:sz="4" w:space="0"/>
              <w:right w:val="single" w:color="000000" w:sz="4" w:space="0"/>
            </w:tcBorders>
            <w:vAlign w:val="center"/>
          </w:tcPr>
          <w:p>
            <w:pPr>
              <w:widowControl/>
              <w:spacing w:line="500" w:lineRule="exact"/>
              <w:jc w:val="center"/>
              <w:textAlignment w:val="center"/>
              <w:rPr>
                <w:rFonts w:ascii="仿宋_GB2312" w:eastAsia="仿宋_GB2312" w:cs="宋体" w:hAnsiTheme="minorEastAsia"/>
                <w:color w:val="auto"/>
                <w:sz w:val="24"/>
                <w:szCs w:val="24"/>
              </w:rPr>
            </w:pPr>
          </w:p>
        </w:tc>
      </w:tr>
      <w:tr>
        <w:tblPrEx>
          <w:tblCellMar>
            <w:top w:w="0" w:type="dxa"/>
            <w:left w:w="0" w:type="dxa"/>
            <w:bottom w:w="0" w:type="dxa"/>
            <w:right w:w="0" w:type="dxa"/>
          </w:tblCellMar>
        </w:tblPrEx>
        <w:trPr>
          <w:trHeight w:val="270" w:hRule="atLeast"/>
          <w:jc w:val="center"/>
        </w:trPr>
        <w:tc>
          <w:tcPr>
            <w:tcW w:w="709" w:type="dxa"/>
            <w:vMerge w:val="continue"/>
            <w:tcBorders>
              <w:left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_GB2312" w:eastAsia="仿宋_GB2312" w:cs="宋体" w:hAnsiTheme="minorEastAsia"/>
                <w:color w:val="auto"/>
                <w:sz w:val="24"/>
                <w:szCs w:val="24"/>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00" w:lineRule="exact"/>
              <w:jc w:val="center"/>
              <w:rPr>
                <w:rFonts w:hint="default" w:ascii="仿宋_GB2312" w:eastAsia="仿宋_GB2312" w:cs="Arial" w:hAnsiTheme="minorEastAsia"/>
                <w:color w:val="auto"/>
                <w:sz w:val="24"/>
                <w:szCs w:val="24"/>
                <w:lang w:val="en-US" w:eastAsia="zh-CN"/>
              </w:rPr>
            </w:pPr>
            <w:r>
              <w:rPr>
                <w:rFonts w:hint="eastAsia" w:ascii="仿宋_GB2312" w:eastAsia="仿宋_GB2312" w:cs="Arial" w:hAnsiTheme="minorEastAsia"/>
                <w:color w:val="auto"/>
                <w:sz w:val="24"/>
                <w:szCs w:val="24"/>
                <w:lang w:val="en-US" w:eastAsia="zh-CN"/>
              </w:rPr>
              <w:t>乙酯</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olor w:val="auto"/>
              </w:rPr>
            </w:pPr>
            <w:r>
              <w:rPr>
                <w:rFonts w:hint="eastAsia" w:asciiTheme="minorEastAsia" w:hAnsiTheme="minorEastAsia" w:eastAsiaTheme="minorEastAsia"/>
                <w:color w:val="auto"/>
              </w:rPr>
              <w:t>泰兴、江阴、宁波等</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5</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6,200</w:t>
            </w:r>
          </w:p>
        </w:tc>
        <w:tc>
          <w:tcPr>
            <w:tcW w:w="11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31,000</w:t>
            </w:r>
          </w:p>
        </w:tc>
        <w:tc>
          <w:tcPr>
            <w:tcW w:w="82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cs="宋体" w:asciiTheme="minorEastAsia" w:hAnsiTheme="minorEastAsia" w:eastAsiaTheme="minorEastAsia"/>
                <w:color w:val="auto"/>
                <w:sz w:val="24"/>
                <w:szCs w:val="24"/>
              </w:rPr>
            </w:pPr>
          </w:p>
        </w:tc>
        <w:tc>
          <w:tcPr>
            <w:tcW w:w="72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00" w:lineRule="exact"/>
              <w:jc w:val="center"/>
              <w:textAlignment w:val="center"/>
              <w:rPr>
                <w:rFonts w:ascii="仿宋_GB2312" w:eastAsia="仿宋_GB2312" w:cs="宋体" w:hAnsiTheme="minorEastAsia"/>
                <w:color w:val="auto"/>
                <w:sz w:val="24"/>
                <w:szCs w:val="24"/>
              </w:rPr>
            </w:pPr>
          </w:p>
        </w:tc>
        <w:tc>
          <w:tcPr>
            <w:tcW w:w="1512" w:type="dxa"/>
            <w:vMerge w:val="continue"/>
            <w:tcBorders>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仿宋_GB2312" w:eastAsia="仿宋_GB2312" w:cs="宋体" w:hAnsiTheme="minorEastAsia"/>
                <w:color w:val="auto"/>
                <w:sz w:val="24"/>
                <w:szCs w:val="24"/>
              </w:rPr>
            </w:pPr>
          </w:p>
        </w:tc>
      </w:tr>
      <w:tr>
        <w:tblPrEx>
          <w:tblCellMar>
            <w:top w:w="0" w:type="dxa"/>
            <w:left w:w="0" w:type="dxa"/>
            <w:bottom w:w="0" w:type="dxa"/>
            <w:right w:w="0" w:type="dxa"/>
          </w:tblCellMar>
        </w:tblPrEx>
        <w:trPr>
          <w:trHeight w:val="270" w:hRule="atLeast"/>
          <w:jc w:val="center"/>
        </w:trPr>
        <w:tc>
          <w:tcPr>
            <w:tcW w:w="19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00" w:lineRule="exact"/>
              <w:jc w:val="center"/>
              <w:rPr>
                <w:rFonts w:ascii="仿宋_GB2312" w:eastAsia="仿宋_GB2312" w:cs="宋体" w:hAnsiTheme="minorEastAsia"/>
                <w:color w:val="auto"/>
                <w:sz w:val="24"/>
                <w:szCs w:val="24"/>
              </w:rPr>
            </w:pPr>
            <w:r>
              <w:rPr>
                <w:rFonts w:hint="eastAsia" w:ascii="仿宋_GB2312" w:eastAsia="仿宋_GB2312" w:cs="宋体" w:hAnsiTheme="minorEastAsia"/>
                <w:color w:val="auto"/>
                <w:sz w:val="24"/>
                <w:szCs w:val="24"/>
              </w:rPr>
              <w:t>投保险种</w:t>
            </w:r>
          </w:p>
        </w:tc>
        <w:tc>
          <w:tcPr>
            <w:tcW w:w="7760"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hAnsiTheme="minorEastAsia"/>
                <w:color w:val="auto"/>
                <w:sz w:val="24"/>
                <w:szCs w:val="24"/>
              </w:rPr>
            </w:pPr>
            <w:r>
              <w:rPr>
                <w:rFonts w:hint="eastAsia" w:ascii="仿宋_GB2312" w:eastAsia="仿宋_GB2312" w:cs="宋体" w:hAnsiTheme="minorEastAsia"/>
                <w:color w:val="auto"/>
                <w:sz w:val="24"/>
                <w:szCs w:val="24"/>
              </w:rPr>
              <w:t>货物运输保险</w:t>
            </w:r>
          </w:p>
        </w:tc>
      </w:tr>
      <w:tr>
        <w:tblPrEx>
          <w:tblCellMar>
            <w:top w:w="0" w:type="dxa"/>
            <w:left w:w="0" w:type="dxa"/>
            <w:bottom w:w="0" w:type="dxa"/>
            <w:right w:w="0" w:type="dxa"/>
          </w:tblCellMar>
        </w:tblPrEx>
        <w:trPr>
          <w:trHeight w:val="270" w:hRule="atLeast"/>
          <w:jc w:val="center"/>
        </w:trPr>
        <w:tc>
          <w:tcPr>
            <w:tcW w:w="19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00" w:lineRule="exact"/>
              <w:jc w:val="center"/>
              <w:rPr>
                <w:rFonts w:ascii="仿宋_GB2312" w:eastAsia="仿宋_GB2312" w:cs="宋体" w:hAnsiTheme="minorEastAsia"/>
                <w:b/>
                <w:color w:val="auto"/>
                <w:sz w:val="24"/>
                <w:szCs w:val="24"/>
              </w:rPr>
            </w:pPr>
            <w:r>
              <w:rPr>
                <w:rFonts w:hint="eastAsia" w:ascii="仿宋_GB2312" w:eastAsia="仿宋_GB2312" w:cs="宋体" w:hAnsiTheme="minorEastAsia"/>
                <w:b/>
                <w:color w:val="auto"/>
                <w:sz w:val="24"/>
                <w:szCs w:val="24"/>
              </w:rPr>
              <w:t>综合费率（‰）</w:t>
            </w:r>
          </w:p>
        </w:tc>
        <w:tc>
          <w:tcPr>
            <w:tcW w:w="7760"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宋体" w:hAnsiTheme="minorEastAsia"/>
                <w:color w:val="auto"/>
                <w:sz w:val="24"/>
                <w:szCs w:val="24"/>
              </w:rPr>
            </w:pPr>
          </w:p>
        </w:tc>
      </w:tr>
    </w:tbl>
    <w:p>
      <w:pPr>
        <w:pStyle w:val="7"/>
        <w:spacing w:line="500" w:lineRule="exact"/>
        <w:ind w:firstLine="0" w:firstLineChars="0"/>
        <w:jc w:val="both"/>
        <w:rPr>
          <w:rFonts w:ascii="楷体" w:hAnsi="楷体" w:eastAsia="楷体" w:cs="仿宋"/>
          <w:color w:val="auto"/>
          <w:sz w:val="28"/>
          <w:szCs w:val="28"/>
        </w:rPr>
      </w:pPr>
      <w:r>
        <w:rPr>
          <w:rFonts w:hint="eastAsia" w:ascii="楷体" w:hAnsi="楷体" w:eastAsia="楷体" w:cs="仿宋"/>
          <w:bCs/>
          <w:color w:val="auto"/>
          <w:sz w:val="28"/>
          <w:szCs w:val="28"/>
        </w:rPr>
        <w:t>注：以上保险费率</w:t>
      </w:r>
      <w:r>
        <w:rPr>
          <w:rFonts w:hint="eastAsia" w:ascii="楷体" w:hAnsi="楷体" w:eastAsia="楷体" w:cs="仿宋"/>
          <w:bCs/>
          <w:color w:val="auto"/>
          <w:sz w:val="28"/>
          <w:szCs w:val="28"/>
          <w:lang w:val="en-US" w:eastAsia="zh-CN"/>
        </w:rPr>
        <w:t>用千</w:t>
      </w:r>
      <w:r>
        <w:rPr>
          <w:rFonts w:hint="eastAsia" w:ascii="仿宋" w:hAnsi="仿宋" w:eastAsia="仿宋" w:cs="仿宋"/>
          <w:color w:val="auto"/>
          <w:sz w:val="28"/>
          <w:szCs w:val="28"/>
          <w:lang w:val="en-US" w:eastAsia="zh-CN"/>
        </w:rPr>
        <w:t>分比表示，</w:t>
      </w:r>
      <w:r>
        <w:rPr>
          <w:rFonts w:hint="eastAsia" w:ascii="楷体" w:hAnsi="楷体" w:eastAsia="楷体" w:cs="仿宋"/>
          <w:bCs/>
          <w:color w:val="auto"/>
          <w:sz w:val="28"/>
          <w:szCs w:val="28"/>
        </w:rPr>
        <w:t>均保留小数点后4位。</w:t>
      </w:r>
    </w:p>
    <w:p>
      <w:pPr>
        <w:pStyle w:val="2"/>
        <w:spacing w:line="500" w:lineRule="exact"/>
        <w:ind w:firstLineChars="150"/>
        <w:rPr>
          <w:rFonts w:ascii="仿宋_GB2312" w:hAnsi="仿宋" w:eastAsia="仿宋_GB2312" w:cs="仿宋"/>
          <w:color w:val="auto"/>
          <w:sz w:val="28"/>
          <w:szCs w:val="28"/>
        </w:rPr>
      </w:pPr>
      <w:r>
        <w:rPr>
          <w:rFonts w:hint="eastAsia" w:ascii="仿宋_GB2312" w:hAnsi="仿宋" w:eastAsia="仿宋_GB2312" w:cs="仿宋"/>
          <w:color w:val="auto"/>
          <w:sz w:val="28"/>
          <w:szCs w:val="28"/>
        </w:rPr>
        <w:t>投标公司（公章）：</w:t>
      </w:r>
    </w:p>
    <w:p>
      <w:pPr>
        <w:pStyle w:val="2"/>
        <w:spacing w:line="500" w:lineRule="exact"/>
        <w:ind w:firstLineChars="150"/>
        <w:rPr>
          <w:rFonts w:ascii="仿宋_GB2312" w:hAnsi="仿宋" w:eastAsia="仿宋_GB2312" w:cs="仿宋"/>
          <w:color w:val="auto"/>
          <w:sz w:val="28"/>
          <w:szCs w:val="28"/>
        </w:rPr>
      </w:pPr>
      <w:r>
        <w:rPr>
          <w:rFonts w:hint="eastAsia" w:ascii="仿宋_GB2312" w:hAnsi="仿宋" w:eastAsia="仿宋_GB2312" w:cs="仿宋"/>
          <w:color w:val="auto"/>
          <w:sz w:val="28"/>
          <w:szCs w:val="28"/>
        </w:rPr>
        <w:t>法定代表人</w:t>
      </w:r>
      <w:r>
        <w:rPr>
          <w:rFonts w:hint="eastAsia" w:ascii="仿宋_GB2312" w:hAnsi="仿宋" w:eastAsia="仿宋_GB2312" w:cs="仿宋"/>
          <w:color w:val="auto"/>
          <w:sz w:val="28"/>
          <w:szCs w:val="28"/>
          <w:lang w:eastAsia="zh-CN"/>
        </w:rPr>
        <w:t>（</w:t>
      </w:r>
      <w:r>
        <w:rPr>
          <w:rFonts w:hint="eastAsia" w:ascii="仿宋_GB2312" w:hAnsi="仿宋" w:cs="仿宋"/>
          <w:color w:val="auto"/>
          <w:sz w:val="28"/>
          <w:szCs w:val="28"/>
          <w:lang w:val="en-US" w:eastAsia="zh-CN"/>
        </w:rPr>
        <w:t>负责人</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rPr>
        <w:t>或委托代理人（签字）：</w:t>
      </w:r>
    </w:p>
    <w:p>
      <w:pPr>
        <w:pStyle w:val="2"/>
        <w:wordWrap w:val="0"/>
        <w:spacing w:line="500" w:lineRule="exact"/>
        <w:ind w:firstLine="4200" w:firstLineChars="1500"/>
        <w:jc w:val="right"/>
        <w:rPr>
          <w:rFonts w:ascii="仿宋_GB2312" w:hAnsi="仿宋" w:eastAsia="仿宋_GB2312" w:cs="仿宋"/>
          <w:color w:val="auto"/>
          <w:sz w:val="28"/>
          <w:szCs w:val="28"/>
        </w:rPr>
      </w:pPr>
      <w:r>
        <w:rPr>
          <w:rFonts w:hint="eastAsia" w:ascii="仿宋_GB2312" w:hAnsi="仿宋" w:eastAsia="仿宋_GB2312" w:cs="仿宋"/>
          <w:color w:val="auto"/>
          <w:sz w:val="28"/>
          <w:szCs w:val="28"/>
        </w:rPr>
        <w:t xml:space="preserve">年     月    日   </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rect id="文本框 1" o:spid="_x0000_s4097" o:spt="1"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v:imagedata o:title=""/>
          <o:lock v:ext="edit"/>
          <v:textbox inset="0mm,0mm,0mm,0mm" style="mso-fit-shape-to-text:t;">
            <w:txbxContent>
              <w:p>
                <w:pPr>
                  <w:pStyle w:val="8"/>
                </w:pPr>
                <w:r>
                  <w:fldChar w:fldCharType="begin"/>
                </w:r>
                <w:r>
                  <w:instrText xml:space="preserve"> PAGE  \* MERGEFORMAT </w:instrText>
                </w:r>
                <w:r>
                  <w:fldChar w:fldCharType="separate"/>
                </w:r>
                <w:r>
                  <w:t>5</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4691C7"/>
    <w:multiLevelType w:val="singleLevel"/>
    <w:tmpl w:val="F94691C7"/>
    <w:lvl w:ilvl="0" w:tentative="0">
      <w:start w:val="1"/>
      <w:numFmt w:val="chineseCounting"/>
      <w:suff w:val="nothing"/>
      <w:lvlText w:val="%1、"/>
      <w:lvlJc w:val="left"/>
      <w:rPr>
        <w:rFonts w:hint="eastAsia"/>
      </w:rPr>
    </w:lvl>
  </w:abstractNum>
  <w:abstractNum w:abstractNumId="1">
    <w:nsid w:val="1C23F0CA"/>
    <w:multiLevelType w:val="singleLevel"/>
    <w:tmpl w:val="1C23F0CA"/>
    <w:lvl w:ilvl="0" w:tentative="0">
      <w:start w:val="1"/>
      <w:numFmt w:val="decimal"/>
      <w:suff w:val="nothing"/>
      <w:lvlText w:val="（%1）"/>
      <w:lvlJc w:val="left"/>
    </w:lvl>
  </w:abstractNum>
  <w:abstractNum w:abstractNumId="2">
    <w:nsid w:val="230C044A"/>
    <w:multiLevelType w:val="singleLevel"/>
    <w:tmpl w:val="230C044A"/>
    <w:lvl w:ilvl="0" w:tentative="0">
      <w:start w:val="2"/>
      <w:numFmt w:val="decimal"/>
      <w:suff w:val="space"/>
      <w:lvlText w:val="%1."/>
      <w:lvlJc w:val="left"/>
    </w:lvl>
  </w:abstractNum>
  <w:abstractNum w:abstractNumId="3">
    <w:nsid w:val="3852E620"/>
    <w:multiLevelType w:val="singleLevel"/>
    <w:tmpl w:val="3852E620"/>
    <w:lvl w:ilvl="0" w:tentative="0">
      <w:start w:val="1"/>
      <w:numFmt w:val="decimalEnclosedCircleChinese"/>
      <w:suff w:val="nothing"/>
      <w:lvlText w:val="%1、"/>
      <w:lvlJc w:val="left"/>
      <w:pPr>
        <w:ind w:left="140" w:leftChars="0" w:firstLine="0" w:firstLineChars="0"/>
      </w:pPr>
      <w:rPr>
        <w:rFonts w:hint="eastAsia"/>
      </w:rPr>
    </w:lvl>
  </w:abstractNum>
  <w:abstractNum w:abstractNumId="4">
    <w:nsid w:val="3F6BE337"/>
    <w:multiLevelType w:val="singleLevel"/>
    <w:tmpl w:val="3F6BE337"/>
    <w:lvl w:ilvl="0" w:tentative="0">
      <w:start w:val="1"/>
      <w:numFmt w:val="chineseCounting"/>
      <w:suff w:val="nothing"/>
      <w:lvlText w:val="%1、"/>
      <w:lvlJc w:val="left"/>
      <w:rPr>
        <w:rFonts w:hint="eastAsia"/>
      </w:rPr>
    </w:lvl>
  </w:abstractNum>
  <w:abstractNum w:abstractNumId="5">
    <w:nsid w:val="675044B8"/>
    <w:multiLevelType w:val="singleLevel"/>
    <w:tmpl w:val="675044B8"/>
    <w:lvl w:ilvl="0" w:tentative="0">
      <w:start w:val="1"/>
      <w:numFmt w:val="chineseCounting"/>
      <w:suff w:val="nothing"/>
      <w:lvlText w:val="%1、"/>
      <w:lvlJc w:val="left"/>
      <w:rPr>
        <w:rFonts w:hint="eastAsia"/>
      </w:rPr>
    </w:lvl>
  </w:abstractNum>
  <w:abstractNum w:abstractNumId="6">
    <w:nsid w:val="7E08D540"/>
    <w:multiLevelType w:val="singleLevel"/>
    <w:tmpl w:val="7E08D540"/>
    <w:lvl w:ilvl="0" w:tentative="0">
      <w:start w:val="2"/>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TdlYzE1ZWY2MzMyZDg4OTY4NjAzMjhjZTFmNzRhMDcifQ=="/>
  </w:docVars>
  <w:rsids>
    <w:rsidRoot w:val="00000000"/>
    <w:rsid w:val="045B1D0D"/>
    <w:rsid w:val="0475734F"/>
    <w:rsid w:val="06831761"/>
    <w:rsid w:val="07291836"/>
    <w:rsid w:val="073462F8"/>
    <w:rsid w:val="087F0691"/>
    <w:rsid w:val="08836BD0"/>
    <w:rsid w:val="08AD1D04"/>
    <w:rsid w:val="09AE4F0B"/>
    <w:rsid w:val="0B9C4E15"/>
    <w:rsid w:val="0D4361E5"/>
    <w:rsid w:val="11E83031"/>
    <w:rsid w:val="14554F9D"/>
    <w:rsid w:val="19D44006"/>
    <w:rsid w:val="1A433816"/>
    <w:rsid w:val="1B37398D"/>
    <w:rsid w:val="1BDD2B54"/>
    <w:rsid w:val="1DDB673A"/>
    <w:rsid w:val="1E061D94"/>
    <w:rsid w:val="203476BB"/>
    <w:rsid w:val="24E93E40"/>
    <w:rsid w:val="2894299F"/>
    <w:rsid w:val="29653B64"/>
    <w:rsid w:val="2DD20805"/>
    <w:rsid w:val="30BB4E6B"/>
    <w:rsid w:val="33B15338"/>
    <w:rsid w:val="359D6EBB"/>
    <w:rsid w:val="36006A4E"/>
    <w:rsid w:val="365E5F6C"/>
    <w:rsid w:val="37902F8E"/>
    <w:rsid w:val="38833EB2"/>
    <w:rsid w:val="38CA0CBB"/>
    <w:rsid w:val="3D3A4DA9"/>
    <w:rsid w:val="467D3578"/>
    <w:rsid w:val="46CA008D"/>
    <w:rsid w:val="47D811E8"/>
    <w:rsid w:val="4AF566FE"/>
    <w:rsid w:val="50125BA7"/>
    <w:rsid w:val="5CED676C"/>
    <w:rsid w:val="61796113"/>
    <w:rsid w:val="63162FB1"/>
    <w:rsid w:val="6C524766"/>
    <w:rsid w:val="72780225"/>
    <w:rsid w:val="73E50B3D"/>
    <w:rsid w:val="7A497A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autoRedefine/>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99"/>
    <w:pPr>
      <w:ind w:firstLine="420" w:firstLineChars="200"/>
    </w:pPr>
  </w:style>
  <w:style w:type="paragraph" w:styleId="3">
    <w:name w:val="annotation text"/>
    <w:basedOn w:val="1"/>
    <w:autoRedefine/>
    <w:unhideWhenUsed/>
    <w:qFormat/>
    <w:uiPriority w:val="99"/>
    <w:pPr>
      <w:jc w:val="left"/>
    </w:pPr>
  </w:style>
  <w:style w:type="paragraph" w:styleId="4">
    <w:name w:val="Body Text"/>
    <w:basedOn w:val="1"/>
    <w:autoRedefine/>
    <w:qFormat/>
    <w:uiPriority w:val="99"/>
    <w:rPr>
      <w:rFonts w:eastAsia="仿宋_GB2312"/>
      <w:sz w:val="32"/>
    </w:rPr>
  </w:style>
  <w:style w:type="paragraph" w:styleId="5">
    <w:name w:val="Body Text Indent"/>
    <w:basedOn w:val="1"/>
    <w:autoRedefine/>
    <w:qFormat/>
    <w:uiPriority w:val="99"/>
    <w:pPr>
      <w:ind w:firstLine="640" w:firstLineChars="200"/>
    </w:pPr>
    <w:rPr>
      <w:rFonts w:ascii="仿宋_GB2312" w:eastAsia="仿宋_GB2312"/>
      <w:sz w:val="32"/>
    </w:rPr>
  </w:style>
  <w:style w:type="paragraph" w:styleId="6">
    <w:name w:val="Date"/>
    <w:basedOn w:val="1"/>
    <w:next w:val="1"/>
    <w:autoRedefine/>
    <w:qFormat/>
    <w:uiPriority w:val="99"/>
    <w:pPr>
      <w:ind w:left="100"/>
    </w:pPr>
    <w:rPr>
      <w:sz w:val="28"/>
    </w:rPr>
  </w:style>
  <w:style w:type="paragraph" w:styleId="7">
    <w:name w:val="Body Text Indent 2"/>
    <w:basedOn w:val="1"/>
    <w:autoRedefine/>
    <w:qFormat/>
    <w:uiPriority w:val="99"/>
    <w:pPr>
      <w:ind w:firstLine="1040" w:firstLineChars="200"/>
      <w:jc w:val="center"/>
    </w:pPr>
    <w:rPr>
      <w:rFonts w:ascii="黑体" w:eastAsia="黑体"/>
      <w:sz w:val="52"/>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Body Text Indent 3"/>
    <w:basedOn w:val="1"/>
    <w:autoRedefine/>
    <w:qFormat/>
    <w:uiPriority w:val="99"/>
    <w:pPr>
      <w:snapToGrid w:val="0"/>
      <w:spacing w:line="520" w:lineRule="exact"/>
      <w:ind w:firstLine="570"/>
    </w:pPr>
    <w:rPr>
      <w:rFonts w:ascii="宋体" w:hAnsi="宋体"/>
      <w:sz w:val="32"/>
    </w:rPr>
  </w:style>
  <w:style w:type="table" w:styleId="12">
    <w:name w:val="Table Grid"/>
    <w:basedOn w:val="11"/>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4">
    <w:name w:val="样式 正文（首行缩进两字） + 宋体 小四"/>
    <w:basedOn w:val="2"/>
    <w:autoRedefine/>
    <w:qFormat/>
    <w:uiPriority w:val="99"/>
    <w:pPr>
      <w:spacing w:line="100" w:lineRule="atLeast"/>
      <w:ind w:firstLine="614" w:firstLineChars="192"/>
      <w:jc w:val="left"/>
    </w:pPr>
    <w:rPr>
      <w:rFonts w:ascii="仿宋_GB2312" w:hAnsi="宋体" w:eastAsia="仿宋_GB2312"/>
      <w:sz w:val="32"/>
    </w:rPr>
  </w:style>
  <w:style w:type="character" w:customStyle="1" w:styleId="15">
    <w:name w:val="font01"/>
    <w:basedOn w:val="13"/>
    <w:autoRedefine/>
    <w:qFormat/>
    <w:uiPriority w:val="0"/>
    <w:rPr>
      <w:rFonts w:hint="default" w:ascii="Arial" w:hAnsi="Arial" w:cs="Arial"/>
      <w:color w:val="000000"/>
      <w:sz w:val="20"/>
      <w:szCs w:val="20"/>
      <w:u w:val="none"/>
    </w:rPr>
  </w:style>
  <w:style w:type="character" w:customStyle="1" w:styleId="16">
    <w:name w:val="font11"/>
    <w:basedOn w:val="13"/>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20</Pages>
  <Words>1128</Words>
  <Characters>6435</Characters>
  <Lines>53</Lines>
  <Paragraphs>15</Paragraphs>
  <TotalTime>2</TotalTime>
  <ScaleCrop>false</ScaleCrop>
  <LinksUpToDate>false</LinksUpToDate>
  <CharactersWithSpaces>7548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2020-05-20T22:06:00Z</dcterms:created>
  <dc:creator>紫云飞</dc:creator>
  <cp:lastModifiedBy>Administrator</cp:lastModifiedBy>
  <cp:lastPrinted>2024-04-16T07:11:00Z</cp:lastPrinted>
  <dcterms:modified xsi:type="dcterms:W3CDTF">2024-04-18T00:54:28Z</dcterms:modified>
  <dc:title>江苏索普化工股份有限公司</dc:title>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43723331D8F14AB8A480FD74C1A14983</vt:lpwstr>
  </property>
</Properties>
</file>