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ascii="方正小标宋简体" w:hAnsi="Times New Roman" w:eastAsia="方正小标宋简体" w:cs="Times New Roman"/>
          <w:sz w:val="44"/>
          <w:szCs w:val="44"/>
        </w:rPr>
      </w:pPr>
      <w:bookmarkStart w:id="0" w:name="_Toc77334018"/>
      <w:bookmarkStart w:id="1" w:name="OLE_LINK4"/>
      <w:bookmarkStart w:id="2" w:name="OLE_LINK5"/>
      <w:r>
        <w:rPr>
          <w:rFonts w:hint="eastAsia" w:ascii="方正小标宋简体" w:hAnsi="Times New Roman" w:eastAsia="方正小标宋简体" w:cs="Times New Roman"/>
          <w:sz w:val="44"/>
          <w:szCs w:val="44"/>
        </w:rPr>
        <w:t>技术规范</w:t>
      </w:r>
    </w:p>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1．总则</w:t>
      </w:r>
      <w:bookmarkEnd w:id="0"/>
    </w:p>
    <w:p>
      <w:pPr>
        <w:adjustRightInd w:val="0"/>
        <w:spacing w:line="600" w:lineRule="exact"/>
        <w:ind w:firstLine="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1.1本技术规范仅适用于江苏索普化工股份有限公司输煤栈桥巡检项目，它提出了系统功能设计、结构、性能、安装、调试和试验等方面的技术要求。</w:t>
      </w:r>
    </w:p>
    <w:p>
      <w:pPr>
        <w:adjustRightInd w:val="0"/>
        <w:spacing w:line="600" w:lineRule="exact"/>
        <w:ind w:firstLine="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1.2本技术规范中提出了最低限度的技术要求，并未规定所有的技术要求和适用的标准，投标人应提供一套满足本技术规范和所列标准要求的高质量产品及其相应服务。对国家有关安全、环保等强制</w:t>
      </w:r>
      <w:bookmarkStart w:id="82" w:name="_GoBack"/>
      <w:bookmarkEnd w:id="82"/>
      <w:r>
        <w:rPr>
          <w:rFonts w:hint="eastAsia" w:ascii="仿宋_GB2312" w:hAnsi="Times New Roman" w:eastAsia="仿宋_GB2312" w:cs="Times New Roman"/>
          <w:color w:val="000000" w:themeColor="text1"/>
          <w:kern w:val="0"/>
          <w:sz w:val="34"/>
          <w:szCs w:val="34"/>
        </w:rPr>
        <w:t>性标准，必须满足其要求。</w:t>
      </w:r>
    </w:p>
    <w:p>
      <w:pPr>
        <w:adjustRightInd w:val="0"/>
        <w:spacing w:line="600" w:lineRule="exact"/>
        <w:ind w:firstLine="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1.3投标人提供的设备应是成熟可靠、技术先进的产品。投标人提供满足本技术规范要求所必需的全套设备、设备安装附件和各项服务。</w:t>
      </w:r>
    </w:p>
    <w:p>
      <w:pPr>
        <w:adjustRightInd w:val="0"/>
        <w:spacing w:line="600" w:lineRule="exact"/>
        <w:ind w:firstLine="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1.4投标人应执行本技术规范所列标准，有不一致时，按较高标准执行。投标人在设备设计和制造中所涉及的各项规程、规范和标准必须遵循现行最新标准版本。</w:t>
      </w:r>
    </w:p>
    <w:p>
      <w:pPr>
        <w:adjustRightInd w:val="0"/>
        <w:spacing w:line="600" w:lineRule="exact"/>
        <w:ind w:firstLine="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sz w:val="34"/>
          <w:szCs w:val="34"/>
        </w:rPr>
        <w:t>1.5投标人供货的所有原装进口设备必须提供原产国生产厂所在地政府部门或商会出具的原产地证明及设备进口报关单、授权代理商证书等，安装时如有必要由相关的生产厂家参与安装及调试。</w:t>
      </w:r>
    </w:p>
    <w:p>
      <w:pPr>
        <w:adjustRightInd w:val="0"/>
        <w:spacing w:line="600" w:lineRule="exact"/>
        <w:ind w:firstLine="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1.6如果本技术规范的描述存在矛盾或不一致之处，或本技术规范的技术部分和商务部分在供货范围的描述存在矛盾或不一致之处，由招标人决定最终采用哪种描述。</w:t>
      </w:r>
    </w:p>
    <w:p>
      <w:pPr>
        <w:adjustRightInd w:val="0"/>
        <w:spacing w:line="600" w:lineRule="exact"/>
        <w:ind w:firstLine="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1.7本技术规范将作为合同的附件，与合同正文具有同等效力。</w:t>
      </w:r>
    </w:p>
    <w:p>
      <w:pPr>
        <w:adjustRightInd w:val="0"/>
        <w:spacing w:line="600" w:lineRule="exact"/>
        <w:ind w:firstLine="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1.8设备采用的专利涉及的全部费用均被认为已包含在设备中，涉及专利引起的纠纷均由投标人负责，招标人不承担任何由此产生的一切后果。</w:t>
      </w:r>
    </w:p>
    <w:p>
      <w:pPr>
        <w:adjustRightInd w:val="0"/>
        <w:spacing w:line="600" w:lineRule="exact"/>
        <w:ind w:firstLine="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1.9招标人在设计过程中对投标人设计方案和图纸的确认，并不代表招标人将为投标人所供设备的设计承担责任，投标人完全保证所供设备的安全可靠性、合理性、完整性和优良性。无论是否经过招标人确认，投标人都无条件对设备中的缺陷、不足和与合同不符的地方进行修改、补充或更换，而不增加任何费用。</w:t>
      </w:r>
    </w:p>
    <w:p>
      <w:pPr>
        <w:adjustRightInd w:val="0"/>
        <w:spacing w:line="600" w:lineRule="exact"/>
        <w:ind w:firstLine="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1.10投标人须执行本技术规范所列要求、标准，本技术规范中未提及的内容均应满足或优于本协议所列的国家标准、电力行业标准和有关国际标准。有矛盾时，按较高标准执行。所有标准都会被修订，投标人制造过程中应执行最新版本。</w:t>
      </w:r>
    </w:p>
    <w:p>
      <w:pPr>
        <w:adjustRightInd w:val="0"/>
        <w:spacing w:line="600" w:lineRule="exact"/>
        <w:ind w:firstLine="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 xml:space="preserve">1.11本技术规范中标注有“★”的条款，为重要条款，投标人应详细响应作答并提供相应证明材料。 </w:t>
      </w:r>
    </w:p>
    <w:p>
      <w:pPr>
        <w:pStyle w:val="4"/>
        <w:keepNext w:val="0"/>
        <w:keepLines w:val="0"/>
        <w:spacing w:before="0" w:after="0" w:line="600" w:lineRule="exact"/>
        <w:rPr>
          <w:rFonts w:ascii="黑体" w:hAnsi="黑体" w:eastAsia="黑体" w:cs="Times New Roman"/>
          <w:b w:val="0"/>
          <w:sz w:val="34"/>
          <w:szCs w:val="34"/>
        </w:rPr>
      </w:pPr>
      <w:bookmarkStart w:id="3" w:name="_Toc78477185"/>
      <w:r>
        <w:rPr>
          <w:rFonts w:hint="eastAsia" w:ascii="黑体" w:hAnsi="黑体" w:eastAsia="黑体" w:cs="Times New Roman"/>
          <w:b w:val="0"/>
          <w:sz w:val="34"/>
          <w:szCs w:val="34"/>
        </w:rPr>
        <w:t>2．项目概况</w:t>
      </w:r>
      <w:bookmarkEnd w:id="3"/>
    </w:p>
    <w:p>
      <w:pPr>
        <w:spacing w:line="600" w:lineRule="exact"/>
        <w:ind w:firstLine="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2.1概述</w:t>
      </w:r>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拟在江苏索普化工股份有限公司动力厂码头1#皮带机和筒仓底部2#皮带机各部署一套防爆智能挂轨式巡检机器人系统对皮带机进行巡检。</w:t>
      </w:r>
    </w:p>
    <w:p>
      <w:pPr>
        <w:spacing w:line="600" w:lineRule="exact"/>
        <w:ind w:firstLine="680" w:firstLineChars="200"/>
        <w:rPr>
          <w:rFonts w:ascii="仿宋_GB2312" w:hAnsi="Times New Roman" w:eastAsia="仿宋_GB2312" w:cs="Times New Roman"/>
          <w:color w:val="FF0000"/>
          <w:sz w:val="34"/>
          <w:szCs w:val="34"/>
        </w:rPr>
      </w:pPr>
      <w:r>
        <w:rPr>
          <w:rFonts w:hint="eastAsia" w:ascii="仿宋_GB2312" w:hAnsi="Times New Roman" w:eastAsia="仿宋_GB2312" w:cs="Times New Roman"/>
          <w:sz w:val="34"/>
          <w:szCs w:val="34"/>
        </w:rPr>
        <w:t>动力厂部分装置设备已接入DCS系统，具备一定的远程状态监测能力。使用巡检机器人实现设备运行状态全线视频监控</w:t>
      </w:r>
      <w:r>
        <w:rPr>
          <w:rFonts w:ascii="仿宋_GB2312" w:hAnsi="Times New Roman" w:eastAsia="仿宋_GB2312" w:cs="Times New Roman"/>
          <w:sz w:val="34"/>
          <w:szCs w:val="34"/>
        </w:rPr>
        <w:t>、</w:t>
      </w:r>
      <w:r>
        <w:rPr>
          <w:rFonts w:hint="eastAsia" w:ascii="仿宋_GB2312" w:hAnsi="Times New Roman" w:eastAsia="仿宋_GB2312" w:cs="Times New Roman"/>
          <w:sz w:val="34"/>
          <w:szCs w:val="34"/>
        </w:rPr>
        <w:t>红外热成像测温（运转设备、煤料）</w:t>
      </w:r>
      <w:r>
        <w:rPr>
          <w:rFonts w:ascii="仿宋_GB2312" w:hAnsi="Times New Roman" w:eastAsia="仿宋_GB2312" w:cs="Times New Roman"/>
          <w:sz w:val="34"/>
          <w:szCs w:val="34"/>
        </w:rPr>
        <w:t>、落煤撒煤</w:t>
      </w:r>
      <w:r>
        <w:rPr>
          <w:rFonts w:hint="eastAsia" w:ascii="仿宋_GB2312" w:hAnsi="Times New Roman" w:eastAsia="仿宋_GB2312" w:cs="Times New Roman"/>
          <w:sz w:val="34"/>
          <w:szCs w:val="34"/>
        </w:rPr>
        <w:t>堵煤</w:t>
      </w:r>
      <w:r>
        <w:rPr>
          <w:rFonts w:ascii="仿宋_GB2312" w:hAnsi="Times New Roman" w:eastAsia="仿宋_GB2312" w:cs="Times New Roman"/>
          <w:sz w:val="34"/>
          <w:szCs w:val="34"/>
        </w:rPr>
        <w:t>识别、皮带跑偏</w:t>
      </w:r>
      <w:r>
        <w:rPr>
          <w:rFonts w:hint="eastAsia" w:ascii="仿宋_GB2312" w:hAnsi="Times New Roman" w:eastAsia="仿宋_GB2312" w:cs="Times New Roman"/>
          <w:sz w:val="34"/>
          <w:szCs w:val="34"/>
        </w:rPr>
        <w:t>识别</w:t>
      </w:r>
      <w:r>
        <w:rPr>
          <w:rFonts w:ascii="仿宋_GB2312" w:hAnsi="Times New Roman" w:eastAsia="仿宋_GB2312" w:cs="Times New Roman"/>
          <w:sz w:val="34"/>
          <w:szCs w:val="34"/>
        </w:rPr>
        <w:t>、</w:t>
      </w:r>
      <w:r>
        <w:rPr>
          <w:rFonts w:hint="eastAsia" w:ascii="仿宋_GB2312" w:hAnsi="Times New Roman" w:eastAsia="仿宋_GB2312" w:cs="Times New Roman"/>
          <w:sz w:val="34"/>
          <w:szCs w:val="34"/>
        </w:rPr>
        <w:t>皮带撕裂识别、</w:t>
      </w:r>
      <w:r>
        <w:rPr>
          <w:rFonts w:ascii="仿宋_GB2312" w:hAnsi="Times New Roman" w:eastAsia="仿宋_GB2312" w:cs="Times New Roman"/>
          <w:sz w:val="34"/>
          <w:szCs w:val="34"/>
        </w:rPr>
        <w:t>物料大块异物识别、现场</w:t>
      </w:r>
      <w:r>
        <w:rPr>
          <w:rFonts w:hint="eastAsia" w:ascii="仿宋_GB2312" w:hAnsi="Times New Roman" w:eastAsia="仿宋_GB2312" w:cs="Times New Roman"/>
          <w:sz w:val="34"/>
          <w:szCs w:val="34"/>
        </w:rPr>
        <w:t>噪音分析等</w:t>
      </w:r>
      <w:r>
        <w:rPr>
          <w:rFonts w:ascii="仿宋_GB2312" w:hAnsi="Times New Roman" w:eastAsia="仿宋_GB2312" w:cs="Times New Roman"/>
          <w:sz w:val="34"/>
          <w:szCs w:val="34"/>
        </w:rPr>
        <w:t>功能</w:t>
      </w:r>
      <w:r>
        <w:rPr>
          <w:rFonts w:hint="eastAsia" w:ascii="仿宋_GB2312" w:hAnsi="Times New Roman" w:eastAsia="仿宋_GB2312" w:cs="Times New Roman"/>
          <w:sz w:val="34"/>
          <w:szCs w:val="34"/>
        </w:rPr>
        <w:t>，实现设备状态实时掌握、状态异常提前预警、辅助诊断等，全面提升设备状态管控力。</w:t>
      </w:r>
    </w:p>
    <w:p>
      <w:pPr>
        <w:pStyle w:val="4"/>
        <w:keepNext w:val="0"/>
        <w:keepLines w:val="0"/>
        <w:spacing w:before="0" w:after="0" w:line="600" w:lineRule="exact"/>
        <w:rPr>
          <w:rFonts w:ascii="黑体" w:hAnsi="黑体" w:eastAsia="黑体" w:cs="Times New Roman"/>
          <w:b w:val="0"/>
          <w:sz w:val="34"/>
          <w:szCs w:val="34"/>
        </w:rPr>
      </w:pPr>
      <w:bookmarkStart w:id="4" w:name="_Toc78477186"/>
      <w:bookmarkStart w:id="5" w:name="_Toc78477187"/>
      <w:r>
        <w:rPr>
          <w:rFonts w:hint="eastAsia" w:ascii="黑体" w:hAnsi="黑体" w:eastAsia="黑体" w:cs="Times New Roman"/>
          <w:b w:val="0"/>
          <w:sz w:val="34"/>
          <w:szCs w:val="34"/>
        </w:rPr>
        <w:t>3．工作范围</w:t>
      </w:r>
      <w:bookmarkEnd w:id="4"/>
    </w:p>
    <w:p>
      <w:pPr>
        <w:widowControl/>
        <w:adjustRightInd w:val="0"/>
        <w:spacing w:line="600" w:lineRule="exact"/>
        <w:ind w:firstLine="200"/>
        <w:textAlignment w:val="baseline"/>
        <w:rPr>
          <w:rFonts w:ascii="仿宋_GB2312" w:hAnsi="Times New Roman" w:eastAsia="仿宋_GB2312" w:cs="Times New Roman"/>
          <w:bCs/>
          <w:color w:val="000000" w:themeColor="text1"/>
          <w:sz w:val="34"/>
          <w:szCs w:val="34"/>
        </w:rPr>
      </w:pPr>
      <w:r>
        <w:rPr>
          <w:rFonts w:hint="eastAsia" w:ascii="仿宋_GB2312" w:hAnsi="Times New Roman" w:eastAsia="仿宋_GB2312" w:cs="Times New Roman"/>
          <w:bCs/>
          <w:color w:val="000000" w:themeColor="text1"/>
          <w:sz w:val="34"/>
          <w:szCs w:val="34"/>
        </w:rPr>
        <w:t>3.1招标人工作范围</w:t>
      </w:r>
    </w:p>
    <w:p>
      <w:pPr>
        <w:widowControl/>
        <w:adjustRightInd w:val="0"/>
        <w:snapToGrid w:val="0"/>
        <w:spacing w:line="600" w:lineRule="exact"/>
        <w:ind w:firstLine="200"/>
        <w:rPr>
          <w:rFonts w:ascii="仿宋_GB2312" w:hAnsi="Times New Roman" w:eastAsia="仿宋_GB2312" w:cs="Times New Roman"/>
          <w:bCs/>
          <w:color w:val="000000" w:themeColor="text1"/>
          <w:sz w:val="34"/>
          <w:szCs w:val="34"/>
        </w:rPr>
      </w:pPr>
      <w:r>
        <w:rPr>
          <w:rFonts w:hint="eastAsia" w:ascii="仿宋_GB2312" w:hAnsi="Times New Roman" w:eastAsia="仿宋_GB2312" w:cs="Times New Roman"/>
          <w:bCs/>
          <w:color w:val="000000" w:themeColor="text1"/>
          <w:sz w:val="34"/>
          <w:szCs w:val="34"/>
        </w:rPr>
        <w:t>3.1.1在投标人的指导下确定智能巡检机器人系统的安装位置。</w:t>
      </w:r>
    </w:p>
    <w:p>
      <w:pPr>
        <w:widowControl/>
        <w:adjustRightInd w:val="0"/>
        <w:snapToGrid w:val="0"/>
        <w:spacing w:line="600" w:lineRule="exact"/>
        <w:ind w:firstLine="200"/>
        <w:rPr>
          <w:rFonts w:ascii="仿宋_GB2312" w:hAnsi="Times New Roman" w:eastAsia="仿宋_GB2312" w:cs="Times New Roman"/>
          <w:bCs/>
          <w:color w:val="000000" w:themeColor="text1"/>
          <w:sz w:val="34"/>
          <w:szCs w:val="34"/>
        </w:rPr>
      </w:pPr>
      <w:r>
        <w:rPr>
          <w:rFonts w:hint="eastAsia" w:ascii="仿宋_GB2312" w:hAnsi="Times New Roman" w:eastAsia="仿宋_GB2312" w:cs="Times New Roman"/>
          <w:bCs/>
          <w:color w:val="000000" w:themeColor="text1"/>
          <w:sz w:val="34"/>
          <w:szCs w:val="34"/>
        </w:rPr>
        <w:t>3.1.2审核投标人完成的设计文件资料。</w:t>
      </w:r>
    </w:p>
    <w:p>
      <w:pPr>
        <w:widowControl/>
        <w:adjustRightInd w:val="0"/>
        <w:snapToGrid w:val="0"/>
        <w:spacing w:line="600" w:lineRule="exact"/>
        <w:ind w:firstLine="200"/>
        <w:rPr>
          <w:rFonts w:ascii="仿宋_GB2312" w:hAnsi="Times New Roman" w:eastAsia="仿宋_GB2312" w:cs="Times New Roman"/>
          <w:bCs/>
          <w:color w:val="000000" w:themeColor="text1"/>
          <w:sz w:val="34"/>
          <w:szCs w:val="34"/>
        </w:rPr>
      </w:pPr>
      <w:r>
        <w:rPr>
          <w:rFonts w:hint="eastAsia" w:ascii="仿宋_GB2312" w:hAnsi="Times New Roman" w:eastAsia="仿宋_GB2312" w:cs="Times New Roman"/>
          <w:bCs/>
          <w:color w:val="000000" w:themeColor="text1"/>
          <w:sz w:val="34"/>
          <w:szCs w:val="34"/>
        </w:rPr>
        <w:t>3.1.3负责对投标人最终完成的系统进行验收。</w:t>
      </w:r>
    </w:p>
    <w:p>
      <w:pPr>
        <w:widowControl/>
        <w:adjustRightInd w:val="0"/>
        <w:snapToGrid w:val="0"/>
        <w:spacing w:line="600" w:lineRule="exact"/>
        <w:ind w:firstLine="200"/>
        <w:rPr>
          <w:rFonts w:ascii="仿宋_GB2312" w:hAnsi="Times New Roman" w:eastAsia="仿宋_GB2312" w:cs="Times New Roman"/>
          <w:bCs/>
          <w:color w:val="000000" w:themeColor="text1"/>
          <w:sz w:val="34"/>
          <w:szCs w:val="34"/>
        </w:rPr>
      </w:pPr>
      <w:r>
        <w:rPr>
          <w:rFonts w:hint="eastAsia" w:ascii="仿宋_GB2312" w:hAnsi="Times New Roman" w:eastAsia="仿宋_GB2312" w:cs="Times New Roman"/>
          <w:bCs/>
          <w:color w:val="000000" w:themeColor="text1"/>
          <w:sz w:val="34"/>
          <w:szCs w:val="34"/>
        </w:rPr>
        <w:t>3.1.4负责提供给投标人在设计、安装和调试阶段所必须的现场图纸资料。</w:t>
      </w:r>
    </w:p>
    <w:p>
      <w:pPr>
        <w:widowControl/>
        <w:adjustRightInd w:val="0"/>
        <w:snapToGrid w:val="0"/>
        <w:spacing w:line="600" w:lineRule="exact"/>
        <w:ind w:firstLine="200"/>
        <w:rPr>
          <w:rFonts w:ascii="仿宋_GB2312" w:hAnsi="Times New Roman" w:eastAsia="仿宋_GB2312" w:cs="Times New Roman"/>
          <w:bCs/>
          <w:color w:val="000000" w:themeColor="text1"/>
          <w:sz w:val="34"/>
          <w:szCs w:val="34"/>
        </w:rPr>
      </w:pPr>
      <w:r>
        <w:rPr>
          <w:rFonts w:hint="eastAsia" w:ascii="仿宋_GB2312" w:hAnsi="Times New Roman" w:eastAsia="仿宋_GB2312" w:cs="Times New Roman"/>
          <w:bCs/>
          <w:color w:val="000000" w:themeColor="text1"/>
          <w:sz w:val="34"/>
          <w:szCs w:val="34"/>
        </w:rPr>
        <w:t>3.1.5负责提供电源接口、气源接口等。</w:t>
      </w:r>
    </w:p>
    <w:p>
      <w:pPr>
        <w:widowControl/>
        <w:adjustRightInd w:val="0"/>
        <w:spacing w:line="600" w:lineRule="exact"/>
        <w:ind w:firstLine="200"/>
        <w:textAlignment w:val="baseline"/>
        <w:rPr>
          <w:rFonts w:ascii="仿宋_GB2312" w:hAnsi="Times New Roman" w:eastAsia="仿宋_GB2312" w:cs="Times New Roman"/>
          <w:bCs/>
          <w:color w:val="000000" w:themeColor="text1"/>
          <w:sz w:val="34"/>
          <w:szCs w:val="34"/>
        </w:rPr>
      </w:pPr>
      <w:r>
        <w:rPr>
          <w:rFonts w:hint="eastAsia" w:ascii="仿宋_GB2312" w:hAnsi="Times New Roman" w:eastAsia="仿宋_GB2312" w:cs="Times New Roman"/>
          <w:bCs/>
          <w:color w:val="000000" w:themeColor="text1"/>
          <w:sz w:val="34"/>
          <w:szCs w:val="34"/>
        </w:rPr>
        <w:t>3.2投标人工作范围</w:t>
      </w:r>
    </w:p>
    <w:p>
      <w:pPr>
        <w:widowControl/>
        <w:adjustRightInd w:val="0"/>
        <w:spacing w:line="600" w:lineRule="exact"/>
        <w:ind w:firstLine="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3.2.1按本技术规范和适用的工业标准提供</w:t>
      </w:r>
      <w:r>
        <w:rPr>
          <w:rFonts w:hint="eastAsia" w:ascii="仿宋_GB2312" w:hAnsi="Times New Roman" w:eastAsia="仿宋_GB2312" w:cs="Times New Roman"/>
          <w:color w:val="000000" w:themeColor="text1"/>
          <w:sz w:val="34"/>
          <w:szCs w:val="34"/>
          <w:shd w:val="clear" w:color="auto" w:fill="FFFFFF"/>
        </w:rPr>
        <w:t>智</w:t>
      </w:r>
      <w:r>
        <w:rPr>
          <w:rFonts w:hint="eastAsia" w:ascii="仿宋_GB2312" w:hAnsi="Times New Roman" w:eastAsia="仿宋_GB2312" w:cs="Times New Roman"/>
          <w:color w:val="000000" w:themeColor="text1"/>
          <w:kern w:val="0"/>
          <w:sz w:val="34"/>
          <w:szCs w:val="34"/>
        </w:rPr>
        <w:t>能巡检机器人系统及配套设备（包括软件、硬件、材料及附件设备）的所有设计、供货、安装、调试、现场改造，确保所供设备能达到本技术规范所规定的全部技术条件。</w:t>
      </w:r>
    </w:p>
    <w:p>
      <w:pPr>
        <w:widowControl/>
        <w:adjustRightInd w:val="0"/>
        <w:snapToGrid w:val="0"/>
        <w:spacing w:line="600" w:lineRule="exact"/>
        <w:ind w:firstLine="200"/>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3.2.2负责培训招标人的运行和维护工程技术人员,使其掌握系统维护的各项技能。</w:t>
      </w:r>
    </w:p>
    <w:p>
      <w:pPr>
        <w:widowControl/>
        <w:adjustRightInd w:val="0"/>
        <w:snapToGrid w:val="0"/>
        <w:spacing w:line="600" w:lineRule="exact"/>
        <w:ind w:firstLine="200"/>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3.2.3负责向招标人提供所供设备的厂家设计文件、说明书和供货清单，并向招标人提供所供设备的有关技术文件和资料。</w:t>
      </w:r>
    </w:p>
    <w:p>
      <w:pPr>
        <w:widowControl/>
        <w:adjustRightInd w:val="0"/>
        <w:snapToGrid w:val="0"/>
        <w:spacing w:line="600" w:lineRule="exact"/>
        <w:ind w:firstLine="200"/>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3.2.4负责保证所有供货设备的质量，所有供货内设备出现的质量问题，由投标人负责处理。</w:t>
      </w:r>
    </w:p>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4．投标人资质要求</w:t>
      </w:r>
    </w:p>
    <w:p>
      <w:pPr>
        <w:spacing w:line="600" w:lineRule="exact"/>
        <w:ind w:firstLine="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4.1须为合格的法人或其他组织，需提供营业执照或法人单位证书扫描件。</w:t>
      </w:r>
    </w:p>
    <w:p>
      <w:pPr>
        <w:spacing w:line="600" w:lineRule="exact"/>
        <w:ind w:firstLine="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4.2须提</w:t>
      </w:r>
      <w:r>
        <w:rPr>
          <w:rFonts w:hint="eastAsia" w:ascii="仿宋_GB2312" w:hAnsi="Times New Roman" w:eastAsia="仿宋_GB2312" w:cs="Times New Roman"/>
          <w:color w:val="000000" w:themeColor="text1"/>
          <w:kern w:val="0"/>
          <w:sz w:val="34"/>
          <w:szCs w:val="34"/>
        </w:rPr>
        <w:t>供本企业或授权厂家的质量</w:t>
      </w:r>
      <w:r>
        <w:rPr>
          <w:rFonts w:hint="eastAsia" w:ascii="仿宋_GB2312" w:hAnsi="Times New Roman" w:eastAsia="仿宋_GB2312" w:cs="Times New Roman"/>
          <w:sz w:val="34"/>
          <w:szCs w:val="34"/>
        </w:rPr>
        <w:t>管理体系，具备自主研发巡检机器人系统能力，需提供符合ISO9001或9000的质量管理体系认证书。</w:t>
      </w:r>
    </w:p>
    <w:p>
      <w:pPr>
        <w:spacing w:line="600" w:lineRule="exact"/>
        <w:ind w:firstLine="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4.3须提</w:t>
      </w:r>
      <w:r>
        <w:rPr>
          <w:rFonts w:hint="eastAsia" w:ascii="仿宋_GB2312" w:hAnsi="Times New Roman" w:eastAsia="仿宋_GB2312" w:cs="Times New Roman"/>
          <w:color w:val="000000" w:themeColor="text1"/>
          <w:kern w:val="0"/>
          <w:sz w:val="34"/>
          <w:szCs w:val="34"/>
        </w:rPr>
        <w:t>供本企业或授权厂家从2020年至投标截止时间前，至少3例“防爆巡检机器人”及其附属“系统”的相关项目合同，有效</w:t>
      </w:r>
      <w:r>
        <w:rPr>
          <w:rFonts w:hint="eastAsia" w:ascii="仿宋_GB2312" w:hAnsi="Times New Roman" w:eastAsia="仿宋_GB2312" w:cs="Times New Roman"/>
          <w:sz w:val="34"/>
          <w:szCs w:val="34"/>
        </w:rPr>
        <w:t>合同需包含引号内容，合同内容要体现：合同首页、主要供货范围、合同签订时间页及双方盖章签字页。</w:t>
      </w:r>
    </w:p>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5．技术要求</w:t>
      </w:r>
      <w:bookmarkEnd w:id="5"/>
    </w:p>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5.1防爆挂轨机器人技术要求</w:t>
      </w:r>
    </w:p>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5.1.1总体要求</w:t>
      </w:r>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（1）投标人所提供的巡检机器人的所有设备应是全新的、标准的、完整的、技术上是先进的，性能上是成熟的。</w:t>
      </w:r>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（2）本项目智能巡检系统应至少配置智能轨道巡检机器人本体、固定式皮带撕裂检测装置、机器人充电系统、机器人通讯系统和机器人巡检管控平台等。</w:t>
      </w:r>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3）智能巡检机器人系统包括机器人、驱动单元、供电单元、通讯单元、轨道单元，机器人携带可见光摄像机、红外热成像仪、环境监测传感器、气体监测传感器等模块，精准收集测量现场各类信息。固定式皮带撕裂检测装置包括固定式高帧率摄像机，采集皮带图像数据。后台系统包括巡检任务管理模块、存储模块、图像处理模块、图像显示模块、查询模块和报警模块。</w:t>
      </w:r>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（4）智能巡检机器人的标准件应按照国家标准、行业标准选用标准件。</w:t>
      </w:r>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（5）机器人表面应有保护涂层或防腐设计，外表应光洁、均匀，不应有伤痕、毛刺等缺陷，标识清晰。</w:t>
      </w:r>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（6）机器人布置的电气线路应排列整齐、固定牢靠、走向合理，便于安装、维护，并用醒目的颜色和标志加以区分，机器人本体外壳和电气部件的外壳无静电。</w:t>
      </w:r>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（7）机器人外壳应采用隐藏式结构设计，螺丝等固定材料不应露于机器人表面。</w:t>
      </w:r>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8）巡检机器人具有边缘计算的功能，即所有采集的图像和设备参数均在机器人本体内完成数据处理分析，将分析结果上传巡检专用服务器。同时巡检机器人还需要具备边缘存储功能，当网络信号异常时将数据缓存在机器人本地，网络信号恢复后补传或续传。</w:t>
      </w:r>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（9）投标人应结合现场实际情况充分考虑机器人轨道设计，若投标人认为有涉及场景改造等内容，均由投标人负责，改造费用包含在本次投标报价中。</w:t>
      </w:r>
    </w:p>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5.1.2技术参数</w:t>
      </w:r>
    </w:p>
    <w:p>
      <w:pPr>
        <w:widowControl/>
        <w:topLinePunct/>
        <w:spacing w:line="600" w:lineRule="exact"/>
        <w:ind w:firstLine="200"/>
        <w:jc w:val="center"/>
        <w:rPr>
          <w:rFonts w:ascii="仿宋_GB2312" w:hAnsi="Times New Roman" w:eastAsia="仿宋_GB2312" w:cs="Times New Roman"/>
          <w:sz w:val="34"/>
          <w:szCs w:val="34"/>
        </w:rPr>
      </w:pPr>
      <w:r>
        <w:rPr>
          <w:rFonts w:hint="eastAsia" w:ascii="仿宋_GB2312" w:hAnsi="Times New Roman" w:eastAsia="仿宋_GB2312" w:cs="Times New Roman"/>
          <w:sz w:val="34"/>
          <w:szCs w:val="34"/>
        </w:rPr>
        <w:t>防爆挂轨机器人整机特性参数要求</w:t>
      </w:r>
    </w:p>
    <w:p>
      <w:pPr>
        <w:pStyle w:val="9"/>
        <w:numPr>
          <w:ilvl w:val="0"/>
          <w:numId w:val="1"/>
        </w:numPr>
        <w:spacing w:line="600" w:lineRule="exact"/>
        <w:ind w:left="0" w:firstLine="200"/>
        <w:rPr>
          <w:rFonts w:ascii="仿宋_GB2312" w:eastAsia="仿宋_GB2312"/>
          <w:spacing w:val="-7"/>
          <w:sz w:val="34"/>
          <w:szCs w:val="34"/>
        </w:rPr>
      </w:pPr>
      <w:r>
        <w:rPr>
          <w:rFonts w:hint="eastAsia" w:ascii="仿宋_GB2312" w:eastAsia="仿宋_GB2312"/>
          <w:spacing w:val="-7"/>
          <w:sz w:val="34"/>
          <w:szCs w:val="34"/>
        </w:rPr>
        <w:t>机器人技术指标</w:t>
      </w:r>
    </w:p>
    <w:tbl>
      <w:tblPr>
        <w:tblStyle w:val="14"/>
        <w:tblW w:w="8505" w:type="dxa"/>
        <w:jc w:val="center"/>
        <w:shd w:val="clear" w:color="auto" w:fill="FFFFFF" w:themeFill="background1"/>
        <w:tblLayout w:type="fixed"/>
        <w:tblCellMar>
          <w:top w:w="0" w:type="dxa"/>
          <w:left w:w="108" w:type="dxa"/>
          <w:bottom w:w="0" w:type="dxa"/>
          <w:right w:w="108" w:type="dxa"/>
        </w:tblCellMar>
      </w:tblPr>
      <w:tblGrid>
        <w:gridCol w:w="1362"/>
        <w:gridCol w:w="2432"/>
        <w:gridCol w:w="4711"/>
      </w:tblGrid>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restart"/>
            <w:tcBorders>
              <w:top w:val="single" w:color="auto" w:sz="12" w:space="0"/>
              <w:left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概要</w:t>
            </w:r>
          </w:p>
        </w:tc>
        <w:tc>
          <w:tcPr>
            <w:tcW w:w="2432" w:type="dxa"/>
            <w:tcBorders>
              <w:top w:val="single" w:color="auto" w:sz="12" w:space="0"/>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名称</w:t>
            </w:r>
          </w:p>
        </w:tc>
        <w:tc>
          <w:tcPr>
            <w:tcW w:w="4711" w:type="dxa"/>
            <w:tcBorders>
              <w:top w:val="single" w:color="auto" w:sz="12" w:space="0"/>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挂轨式防爆巡检机器人</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★防爆等级</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Ex d ⅡC T4 Gb及以上</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工作温度</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-20℃～60℃</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工作相对湿度</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0%～95%（无凝结）</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大气压强</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80～110KPa</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restart"/>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基础参数</w:t>
            </w: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使用环境要求</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-20℃～55℃</w:t>
            </w:r>
          </w:p>
        </w:tc>
      </w:tr>
      <w:tr>
        <w:tblPrEx>
          <w:shd w:val="clear" w:color="auto" w:fill="FFFFFF" w:themeFill="background1"/>
          <w:tblCellMar>
            <w:top w:w="0" w:type="dxa"/>
            <w:left w:w="108" w:type="dxa"/>
            <w:bottom w:w="0" w:type="dxa"/>
            <w:right w:w="108" w:type="dxa"/>
          </w:tblCellMar>
        </w:tblPrEx>
        <w:trPr>
          <w:trHeight w:val="334"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IP等级要求</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IP66</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驱动形式</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电机</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充电形式</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无线充电</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电池容量</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不小于20Ah，充放电不小于1000次，更换周期不小于2年。</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★电池安全性</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电池具备安全性能保障</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restart"/>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驱动系统</w:t>
            </w: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速度</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不小于0.5m/s</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爬坡角度</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不小于25°</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nil"/>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转弯半径</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不大于水平1.5m，垂直2m</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restart"/>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导航系统</w:t>
            </w:r>
          </w:p>
        </w:tc>
        <w:tc>
          <w:tcPr>
            <w:tcW w:w="2432" w:type="dxa"/>
            <w:tcBorders>
              <w:top w:val="single" w:color="auto" w:sz="4" w:space="0"/>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导航方式</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编码器+RFID</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定位精度</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不大于±20mm</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restart"/>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云台系统</w:t>
            </w: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★防爆等级</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Ex d ⅡC T4 Gb及以上</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水平方向</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0°～360°</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垂直方向</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-90°～90°</w:t>
            </w:r>
          </w:p>
        </w:tc>
      </w:tr>
      <w:tr>
        <w:tblPrEx>
          <w:shd w:val="clear" w:color="auto" w:fill="FFFFFF" w:themeFill="background1"/>
          <w:tblCellMar>
            <w:top w:w="0" w:type="dxa"/>
            <w:left w:w="108" w:type="dxa"/>
            <w:bottom w:w="0" w:type="dxa"/>
            <w:right w:w="108" w:type="dxa"/>
          </w:tblCellMar>
        </w:tblPrEx>
        <w:trPr>
          <w:trHeight w:val="377"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vMerge w:val="restart"/>
            <w:tcBorders>
              <w:top w:val="nil"/>
              <w:left w:val="single" w:color="auto" w:sz="4" w:space="0"/>
              <w:bottom w:val="single" w:color="000000"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控制速度</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水平：30°/s</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vMerge w:val="continue"/>
            <w:tcBorders>
              <w:top w:val="nil"/>
              <w:left w:val="single" w:color="auto" w:sz="4" w:space="0"/>
              <w:bottom w:val="single" w:color="000000"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垂直：40°/s</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restart"/>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人机交互</w:t>
            </w: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遥控功能</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web端遥控</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按钮</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开关，急停</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指示灯</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三色灯</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nil"/>
              <w:left w:val="single" w:color="auto" w:sz="12" w:space="0"/>
              <w:bottom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外部接口</w:t>
            </w:r>
          </w:p>
        </w:tc>
        <w:tc>
          <w:tcPr>
            <w:tcW w:w="4711" w:type="dxa"/>
            <w:tcBorders>
              <w:top w:val="nil"/>
              <w:left w:val="nil"/>
              <w:bottom w:val="single" w:color="auto" w:sz="12"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RJ45网口/程序烧录口/手动充电口</w:t>
            </w:r>
          </w:p>
        </w:tc>
      </w:tr>
    </w:tbl>
    <w:p>
      <w:pPr>
        <w:pStyle w:val="25"/>
        <w:rPr>
          <w:rFonts w:ascii="仿宋_GB2312" w:eastAsia="仿宋_GB2312"/>
          <w:sz w:val="24"/>
          <w:szCs w:val="24"/>
        </w:rPr>
      </w:pPr>
      <w:r>
        <w:rPr>
          <w:rFonts w:hint="eastAsia" w:ascii="仿宋_GB2312" w:eastAsia="仿宋_GB2312"/>
          <w:sz w:val="24"/>
          <w:szCs w:val="24"/>
        </w:rPr>
        <w:t>传感器技术参数表</w:t>
      </w:r>
    </w:p>
    <w:tbl>
      <w:tblPr>
        <w:tblStyle w:val="14"/>
        <w:tblW w:w="8505" w:type="dxa"/>
        <w:jc w:val="center"/>
        <w:shd w:val="clear" w:color="auto" w:fill="FFFFFF" w:themeFill="background1"/>
        <w:tblLayout w:type="fixed"/>
        <w:tblCellMar>
          <w:top w:w="0" w:type="dxa"/>
          <w:left w:w="108" w:type="dxa"/>
          <w:bottom w:w="0" w:type="dxa"/>
          <w:right w:w="108" w:type="dxa"/>
        </w:tblCellMar>
      </w:tblPr>
      <w:tblGrid>
        <w:gridCol w:w="1362"/>
        <w:gridCol w:w="2432"/>
        <w:gridCol w:w="4711"/>
      </w:tblGrid>
      <w:tr>
        <w:tblPrEx>
          <w:tblCellMar>
            <w:top w:w="0" w:type="dxa"/>
            <w:left w:w="108" w:type="dxa"/>
            <w:bottom w:w="0" w:type="dxa"/>
            <w:right w:w="108" w:type="dxa"/>
          </w:tblCellMar>
        </w:tblPrEx>
        <w:trPr>
          <w:trHeight w:val="397" w:hRule="atLeast"/>
          <w:jc w:val="center"/>
        </w:trPr>
        <w:tc>
          <w:tcPr>
            <w:tcW w:w="1362" w:type="dxa"/>
            <w:vMerge w:val="restart"/>
            <w:tcBorders>
              <w:top w:val="single" w:color="auto" w:sz="12"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图像类</w:t>
            </w:r>
          </w:p>
        </w:tc>
        <w:tc>
          <w:tcPr>
            <w:tcW w:w="2432" w:type="dxa"/>
            <w:vMerge w:val="restart"/>
            <w:tcBorders>
              <w:top w:val="single" w:color="auto" w:sz="12"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可见光相机</w:t>
            </w:r>
          </w:p>
        </w:tc>
        <w:tc>
          <w:tcPr>
            <w:tcW w:w="4711" w:type="dxa"/>
            <w:tcBorders>
              <w:top w:val="single" w:color="auto" w:sz="12"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★防爆等级：Ex d ⅡC T4 Gb及以上</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vMerge w:val="continue"/>
            <w:tcBorders>
              <w:left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12"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机芯类型：一体化网络机芯</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分辨率：50fps(1920×1080)</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焦距：4.5～135mm</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变倍：30 倍光学变倍</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水平视场角：65.1～2.34°(广角～望远)</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信噪比：＞52dB</w:t>
            </w:r>
          </w:p>
        </w:tc>
      </w:tr>
      <w:tr>
        <w:tblPrEx>
          <w:shd w:val="clear" w:color="auto" w:fill="FFFFFF" w:themeFill="background1"/>
          <w:tblCellMar>
            <w:top w:w="0" w:type="dxa"/>
            <w:left w:w="108" w:type="dxa"/>
            <w:bottom w:w="0" w:type="dxa"/>
            <w:right w:w="108" w:type="dxa"/>
          </w:tblCellMar>
        </w:tblPrEx>
        <w:trPr>
          <w:trHeight w:val="90"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曝光模式：</w:t>
            </w:r>
          </w:p>
          <w:p>
            <w:pPr>
              <w:pStyle w:val="25"/>
              <w:rPr>
                <w:rFonts w:ascii="仿宋_GB2312" w:eastAsia="仿宋_GB2312"/>
                <w:sz w:val="24"/>
                <w:szCs w:val="24"/>
              </w:rPr>
            </w:pPr>
            <w:r>
              <w:rPr>
                <w:rFonts w:hint="eastAsia" w:ascii="仿宋_GB2312" w:eastAsia="仿宋_GB2312"/>
                <w:sz w:val="24"/>
                <w:szCs w:val="24"/>
              </w:rPr>
              <w:t>自动曝光/光圈优先/快门优先/手动曝光</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聚焦方式：自动/手动/半自动</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红外热像仪</w:t>
            </w: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★防爆等级：Ex d ⅡC T4 Gb及以上</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vMerge w:val="continue"/>
            <w:tcBorders>
              <w:left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传感器类型：非制冷焦平面</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波长范围：7.5～14μm</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分辨率：384×288</w:t>
            </w:r>
          </w:p>
        </w:tc>
      </w:tr>
      <w:tr>
        <w:tblPrEx>
          <w:shd w:val="clear" w:color="auto" w:fill="FFFFFF" w:themeFill="background1"/>
          <w:tblCellMar>
            <w:top w:w="0" w:type="dxa"/>
            <w:left w:w="108" w:type="dxa"/>
            <w:bottom w:w="0" w:type="dxa"/>
            <w:right w:w="108" w:type="dxa"/>
          </w:tblCellMar>
        </w:tblPrEx>
        <w:trPr>
          <w:trHeight w:val="90"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测温范围：</w:t>
            </w:r>
          </w:p>
          <w:p>
            <w:pPr>
              <w:pStyle w:val="25"/>
              <w:rPr>
                <w:rFonts w:ascii="仿宋_GB2312" w:eastAsia="仿宋_GB2312"/>
                <w:sz w:val="24"/>
                <w:szCs w:val="24"/>
              </w:rPr>
            </w:pPr>
            <w:r>
              <w:rPr>
                <w:rFonts w:hint="eastAsia" w:ascii="仿宋_GB2312" w:eastAsia="仿宋_GB2312"/>
                <w:sz w:val="24"/>
                <w:szCs w:val="24"/>
              </w:rPr>
              <w:t>-20～550℃</w:t>
            </w:r>
          </w:p>
        </w:tc>
      </w:tr>
      <w:tr>
        <w:tblPrEx>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测温精度：±2℃或读数的±2%</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视场角: 39°×30°</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帧频：25Hz</w:t>
            </w:r>
          </w:p>
        </w:tc>
      </w:tr>
      <w:tr>
        <w:tblPrEx>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焦距：15mm</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tcBorders>
              <w:top w:val="single" w:color="auto" w:sz="4" w:space="0"/>
              <w:left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粉尘检测模块</w:t>
            </w:r>
          </w:p>
        </w:tc>
        <w:tc>
          <w:tcPr>
            <w:tcW w:w="2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粉尘浓度检测</w:t>
            </w: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0.01-1000mg/m³，精度0.01mg/m³</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restart"/>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其他</w:t>
            </w:r>
          </w:p>
        </w:tc>
        <w:tc>
          <w:tcPr>
            <w:tcW w:w="2432"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拾音器</w:t>
            </w: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★防爆等级：Ex d ⅡC T4 Gb及以上</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vMerge w:val="continue"/>
            <w:tcBorders>
              <w:left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拾音范围5平方—120平方</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vMerge w:val="continue"/>
            <w:tcBorders>
              <w:top w:val="single" w:color="auto" w:sz="4" w:space="0"/>
              <w:left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频率范围100—12kHz</w:t>
            </w:r>
          </w:p>
        </w:tc>
      </w:tr>
      <w:tr>
        <w:tblPrEx>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bottom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vMerge w:val="continue"/>
            <w:tcBorders>
              <w:left w:val="nil"/>
              <w:bottom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nil"/>
              <w:bottom w:val="single" w:color="auto" w:sz="12"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频率响应2.5dB</w:t>
            </w:r>
          </w:p>
        </w:tc>
      </w:tr>
    </w:tbl>
    <w:p>
      <w:pPr>
        <w:pStyle w:val="25"/>
        <w:rPr>
          <w:rFonts w:ascii="仿宋_GB2312" w:eastAsia="仿宋_GB2312"/>
          <w:sz w:val="24"/>
          <w:szCs w:val="24"/>
        </w:rPr>
      </w:pPr>
    </w:p>
    <w:p>
      <w:pPr>
        <w:pStyle w:val="25"/>
        <w:rPr>
          <w:rFonts w:ascii="仿宋_GB2312" w:eastAsia="仿宋_GB2312"/>
          <w:sz w:val="24"/>
          <w:szCs w:val="24"/>
        </w:rPr>
      </w:pPr>
      <w:r>
        <w:rPr>
          <w:rFonts w:hint="eastAsia" w:ascii="仿宋_GB2312" w:eastAsia="仿宋_GB2312"/>
          <w:sz w:val="24"/>
          <w:szCs w:val="24"/>
        </w:rPr>
        <w:t>充电系统技术指标</w:t>
      </w:r>
    </w:p>
    <w:tbl>
      <w:tblPr>
        <w:tblStyle w:val="14"/>
        <w:tblW w:w="8505" w:type="dxa"/>
        <w:jc w:val="center"/>
        <w:shd w:val="clear" w:color="auto" w:fill="FFFFFF" w:themeFill="background1"/>
        <w:tblLayout w:type="fixed"/>
        <w:tblCellMar>
          <w:top w:w="0" w:type="dxa"/>
          <w:left w:w="108" w:type="dxa"/>
          <w:bottom w:w="0" w:type="dxa"/>
          <w:right w:w="108" w:type="dxa"/>
        </w:tblCellMar>
      </w:tblPr>
      <w:tblGrid>
        <w:gridCol w:w="1362"/>
        <w:gridCol w:w="2432"/>
        <w:gridCol w:w="4711"/>
      </w:tblGrid>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restart"/>
            <w:tcBorders>
              <w:top w:val="single" w:color="auto" w:sz="12" w:space="0"/>
              <w:left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充电房</w:t>
            </w:r>
          </w:p>
        </w:tc>
        <w:tc>
          <w:tcPr>
            <w:tcW w:w="2432" w:type="dxa"/>
            <w:tcBorders>
              <w:top w:val="single" w:color="auto" w:sz="12" w:space="0"/>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充电装置</w:t>
            </w:r>
          </w:p>
        </w:tc>
        <w:tc>
          <w:tcPr>
            <w:tcW w:w="4711" w:type="dxa"/>
            <w:tcBorders>
              <w:top w:val="single" w:color="auto" w:sz="12" w:space="0"/>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自动充电桩</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single" w:color="auto" w:sz="12" w:space="0"/>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机器人自清洁装置</w:t>
            </w:r>
          </w:p>
        </w:tc>
        <w:tc>
          <w:tcPr>
            <w:tcW w:w="4711" w:type="dxa"/>
            <w:tcBorders>
              <w:top w:val="single" w:color="auto" w:sz="12" w:space="0"/>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具有，需具备轨道清洁功能</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restart"/>
            <w:tcBorders>
              <w:left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充电桩</w:t>
            </w:r>
          </w:p>
        </w:tc>
        <w:tc>
          <w:tcPr>
            <w:tcW w:w="2432" w:type="dxa"/>
            <w:tcBorders>
              <w:top w:val="single" w:color="auto" w:sz="12" w:space="0"/>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★防爆等级</w:t>
            </w:r>
          </w:p>
        </w:tc>
        <w:tc>
          <w:tcPr>
            <w:tcW w:w="4711" w:type="dxa"/>
            <w:tcBorders>
              <w:top w:val="single" w:color="auto" w:sz="12" w:space="0"/>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Ex d ⅡC T4 Gb及以上</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输入</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AC220V</w:t>
            </w:r>
          </w:p>
        </w:tc>
      </w:tr>
      <w:tr>
        <w:tblPrEx>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额定功率</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400W</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充电方式</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无线充电</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充电电流</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0.5C</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防护等级</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IP66</w:t>
            </w:r>
          </w:p>
        </w:tc>
      </w:tr>
    </w:tbl>
    <w:p>
      <w:pPr>
        <w:pStyle w:val="25"/>
        <w:rPr>
          <w:rFonts w:ascii="仿宋_GB2312" w:eastAsia="仿宋_GB2312"/>
          <w:sz w:val="24"/>
          <w:szCs w:val="24"/>
        </w:rPr>
      </w:pPr>
      <w:r>
        <w:rPr>
          <w:rFonts w:hint="eastAsia" w:ascii="仿宋_GB2312" w:eastAsia="仿宋_GB2312"/>
          <w:sz w:val="24"/>
          <w:szCs w:val="24"/>
        </w:rPr>
        <w:t>轨道技术指标</w:t>
      </w:r>
    </w:p>
    <w:tbl>
      <w:tblPr>
        <w:tblStyle w:val="14"/>
        <w:tblW w:w="8505" w:type="dxa"/>
        <w:jc w:val="center"/>
        <w:shd w:val="clear" w:color="auto" w:fill="FFFFFF" w:themeFill="background1"/>
        <w:tblLayout w:type="fixed"/>
        <w:tblCellMar>
          <w:top w:w="0" w:type="dxa"/>
          <w:left w:w="108" w:type="dxa"/>
          <w:bottom w:w="0" w:type="dxa"/>
          <w:right w:w="108" w:type="dxa"/>
        </w:tblCellMar>
      </w:tblPr>
      <w:tblGrid>
        <w:gridCol w:w="1362"/>
        <w:gridCol w:w="2432"/>
        <w:gridCol w:w="4711"/>
      </w:tblGrid>
      <w:tr>
        <w:tblPrEx>
          <w:shd w:val="clear" w:color="auto" w:fill="FFFFFF" w:themeFill="background1"/>
          <w:tblCellMar>
            <w:top w:w="0" w:type="dxa"/>
            <w:left w:w="108" w:type="dxa"/>
            <w:bottom w:w="0" w:type="dxa"/>
            <w:right w:w="108" w:type="dxa"/>
          </w:tblCellMar>
        </w:tblPrEx>
        <w:trPr>
          <w:trHeight w:val="398" w:hRule="atLeast"/>
          <w:jc w:val="center"/>
        </w:trPr>
        <w:tc>
          <w:tcPr>
            <w:tcW w:w="1362" w:type="dxa"/>
            <w:vMerge w:val="restart"/>
            <w:tcBorders>
              <w:top w:val="single" w:color="auto" w:sz="12" w:space="0"/>
              <w:left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技术参数</w:t>
            </w:r>
          </w:p>
        </w:tc>
        <w:tc>
          <w:tcPr>
            <w:tcW w:w="2432" w:type="dxa"/>
            <w:tcBorders>
              <w:top w:val="single" w:color="auto" w:sz="12" w:space="0"/>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名称</w:t>
            </w:r>
          </w:p>
        </w:tc>
        <w:tc>
          <w:tcPr>
            <w:tcW w:w="4711" w:type="dxa"/>
            <w:tcBorders>
              <w:top w:val="single" w:color="auto" w:sz="12" w:space="0"/>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机器人轨道</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材质</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高强度铝合金</w:t>
            </w:r>
          </w:p>
        </w:tc>
      </w:tr>
      <w:tr>
        <w:tblPrEx>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表面处理</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阳极氧化</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最小弯曲半径</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水平0.6m，垂直1.5m</w:t>
            </w:r>
          </w:p>
        </w:tc>
      </w:tr>
      <w:tr>
        <w:tblPrEx>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nil"/>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工作环境</w:t>
            </w:r>
          </w:p>
        </w:tc>
        <w:tc>
          <w:tcPr>
            <w:tcW w:w="4711" w:type="dxa"/>
            <w:tcBorders>
              <w:top w:val="nil"/>
              <w:left w:val="nil"/>
              <w:bottom w:val="nil"/>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温度-20℃～55℃，湿度0%～95%（无凝结）</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tcBorders>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雨棚</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码头1#皮带机位于室外露天区域，须在轨道上方安装雨棚以避免轨道及机器人长期暴露在雨天中。用彩钢板雨棚，支撑结构采用150*150*2普通镀锌方管,横梁为150*150*2，外层做防锈漆面。雨棚使用2mm厚彩钢板，现场施工需进行钢结构焊接安装施工，支撑雨棚结构采用立方管作为水平方向支撑结构，方管通过预埋（焊接或螺栓）与主体结构连接。</w:t>
            </w:r>
          </w:p>
        </w:tc>
      </w:tr>
    </w:tbl>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Segoe UI Symbol" w:eastAsia="仿宋_GB2312" w:cs="Segoe UI Symbol"/>
          <w:color w:val="000000" w:themeColor="text1"/>
          <w:kern w:val="0"/>
          <w:sz w:val="34"/>
          <w:szCs w:val="34"/>
        </w:rPr>
        <w:t>★</w:t>
      </w:r>
      <w:r>
        <w:rPr>
          <w:rFonts w:hint="eastAsia" w:ascii="仿宋_GB2312" w:hAnsi="Times New Roman" w:eastAsia="仿宋_GB2312" w:cs="Times New Roman"/>
          <w:sz w:val="34"/>
          <w:szCs w:val="34"/>
        </w:rPr>
        <w:t>机器人整机防爆采用隔爆方式，本体需有防爆证明</w:t>
      </w:r>
      <w:r>
        <w:rPr>
          <w:rFonts w:hint="eastAsia" w:ascii="仿宋_GB2312" w:hAnsi="Times New Roman" w:eastAsia="仿宋_GB2312" w:cs="Times New Roman"/>
          <w:sz w:val="34"/>
          <w:szCs w:val="34"/>
          <w:lang w:eastAsia="zh-CN"/>
        </w:rPr>
        <w:t>；</w:t>
      </w:r>
      <w:r>
        <w:rPr>
          <w:rFonts w:hint="eastAsia" w:ascii="仿宋_GB2312" w:hAnsi="Times New Roman" w:eastAsia="仿宋_GB2312" w:cs="Times New Roman"/>
          <w:sz w:val="34"/>
          <w:szCs w:val="34"/>
        </w:rPr>
        <w:t>外露的传感器或设备需防爆，投标人根据自身产品特点提供外露部分的防爆证书，防爆等级详见技术参数表。机器人及其主要配件的防爆等级满足防爆要求，提供相应的投标人本单位的防爆合格证，包括但不限于机器人本体、接近开关、充电桩、云台、可见光摄像机、红外热像仪、网桥、拾音器、扬声器等。</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Segoe UI Symbol" w:eastAsia="仿宋_GB2312" w:cs="Segoe UI Symbol"/>
          <w:color w:val="000000" w:themeColor="text1"/>
          <w:kern w:val="0"/>
          <w:sz w:val="34"/>
          <w:szCs w:val="34"/>
        </w:rPr>
        <w:t>★</w:t>
      </w:r>
      <w:r>
        <w:rPr>
          <w:rFonts w:hint="eastAsia" w:ascii="仿宋_GB2312" w:hAnsi="Times New Roman" w:eastAsia="仿宋_GB2312" w:cs="Times New Roman"/>
          <w:sz w:val="34"/>
          <w:szCs w:val="34"/>
        </w:rPr>
        <w:t>电池具备安全性能保障，应提供投标人本单位的电池安全性说明材料。</w:t>
      </w:r>
    </w:p>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5.1.3功能要求</w:t>
      </w:r>
    </w:p>
    <w:p>
      <w:pPr>
        <w:adjustRightInd w:val="0"/>
        <w:snapToGrid w:val="0"/>
        <w:spacing w:line="600" w:lineRule="exact"/>
        <w:ind w:firstLine="680" w:firstLineChars="200"/>
        <w:rPr>
          <w:rFonts w:ascii="仿宋_GB2312" w:hAnsi="Times New Roman" w:eastAsia="仿宋_GB2312" w:cs="Times New Roman"/>
          <w:bCs/>
          <w:sz w:val="34"/>
          <w:szCs w:val="34"/>
        </w:rPr>
      </w:pPr>
      <w:r>
        <w:rPr>
          <w:rFonts w:hint="eastAsia" w:ascii="仿宋_GB2312" w:hAnsi="Times New Roman" w:eastAsia="仿宋_GB2312" w:cs="Times New Roman"/>
          <w:bCs/>
          <w:sz w:val="34"/>
          <w:szCs w:val="34"/>
        </w:rPr>
        <w:t>（1）机器人巡检功能</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挂轨智能巡检机器人应支持全自主巡检模式，包括常规和特殊巡检两种方式。常规模式下，系统根据预先设定的巡检任务内容、时间、路径等参数信息，自主启动并完成巡视任务；特殊巡检由操作人员设定巡视点，机器人对巡检点自主完成巡检任务。</w:t>
      </w:r>
    </w:p>
    <w:p>
      <w:pPr>
        <w:adjustRightInd w:val="0"/>
        <w:snapToGrid w:val="0"/>
        <w:spacing w:line="600" w:lineRule="exact"/>
        <w:ind w:firstLine="680" w:firstLineChars="200"/>
        <w:rPr>
          <w:rFonts w:ascii="仿宋_GB2312" w:hAnsi="Times New Roman" w:eastAsia="仿宋_GB2312" w:cs="Times New Roman"/>
          <w:bCs/>
          <w:sz w:val="34"/>
          <w:szCs w:val="34"/>
        </w:rPr>
      </w:pPr>
      <w:r>
        <w:rPr>
          <w:rFonts w:hint="eastAsia" w:ascii="仿宋_GB2312" w:hAnsi="Times New Roman" w:eastAsia="仿宋_GB2312" w:cs="Times New Roman"/>
          <w:bCs/>
          <w:sz w:val="34"/>
          <w:szCs w:val="34"/>
        </w:rPr>
        <w:t>（2）自主充电功能</w:t>
      </w:r>
    </w:p>
    <w:p>
      <w:pPr>
        <w:spacing w:line="600" w:lineRule="exact"/>
        <w:ind w:firstLine="680" w:firstLineChars="200"/>
        <w:rPr>
          <w:rFonts w:ascii="仿宋_GB2312" w:hAnsi="宋体" w:eastAsia="仿宋_GB2312" w:cs="宋体"/>
          <w:sz w:val="34"/>
          <w:szCs w:val="34"/>
        </w:rPr>
      </w:pPr>
      <w:r>
        <w:rPr>
          <w:rFonts w:hint="eastAsia" w:ascii="仿宋_GB2312" w:hAnsi="宋体" w:eastAsia="仿宋_GB2312" w:cs="宋体"/>
          <w:sz w:val="34"/>
          <w:szCs w:val="34"/>
        </w:rPr>
        <w:t>巡检机器人的动力驱动由机器人上的大容量锂电池组提供，通过部署在输送区域中的充电桩实现自动充电，巡检机器人配套充电桩，安装于机器人巡检路径的起始或结束位置。机器人执行完巡检任务自动寻找就近的充电桩执行充电。</w:t>
      </w:r>
    </w:p>
    <w:p>
      <w:pPr>
        <w:spacing w:line="600" w:lineRule="exact"/>
        <w:ind w:firstLine="680" w:firstLineChars="200"/>
        <w:rPr>
          <w:rFonts w:ascii="仿宋_GB2312" w:eastAsia="仿宋_GB2312"/>
          <w:sz w:val="34"/>
          <w:szCs w:val="34"/>
        </w:rPr>
      </w:pPr>
      <w:r>
        <w:rPr>
          <w:rFonts w:hint="eastAsia" w:ascii="仿宋_GB2312" w:hAnsi="宋体" w:eastAsia="仿宋_GB2312" w:cs="宋体"/>
          <w:sz w:val="34"/>
          <w:szCs w:val="34"/>
        </w:rPr>
        <w:t>智能巡检机器人自带电池电量检测电路，且可人工设置电量报警下限，一旦检测到电池电量低于设置值时则会自动停止当前巡检任务，同时发出警报；之后自主运行到充电站进行充电。自主充电结束后，智能巡检机器人能自主恢复巡检任务。分布式充电站采用就近配电箱交流</w:t>
      </w:r>
      <w:r>
        <w:rPr>
          <w:rFonts w:hint="eastAsia" w:ascii="仿宋_GB2312" w:hAnsi="Times New Roman" w:eastAsia="仿宋_GB2312" w:cs="Times New Roman"/>
          <w:sz w:val="34"/>
          <w:szCs w:val="34"/>
        </w:rPr>
        <w:t>220V</w:t>
      </w:r>
      <w:r>
        <w:rPr>
          <w:rFonts w:hint="eastAsia" w:ascii="仿宋_GB2312" w:hAnsi="宋体" w:eastAsia="仿宋_GB2312" w:cs="宋体"/>
          <w:sz w:val="34"/>
          <w:szCs w:val="34"/>
        </w:rPr>
        <w:t>作为电源输入，智能巡检机器人确认准确定位并且接入充电站前，充电站处于不通状态，避免带负荷送电，出现火星，造成危害。</w:t>
      </w:r>
    </w:p>
    <w:p>
      <w:pPr>
        <w:adjustRightInd w:val="0"/>
        <w:snapToGrid w:val="0"/>
        <w:spacing w:line="600" w:lineRule="exact"/>
        <w:ind w:firstLine="680" w:firstLineChars="200"/>
        <w:rPr>
          <w:rFonts w:ascii="仿宋_GB2312" w:hAnsi="Times New Roman" w:eastAsia="仿宋_GB2312" w:cs="Times New Roman"/>
          <w:bCs/>
          <w:sz w:val="34"/>
          <w:szCs w:val="34"/>
        </w:rPr>
      </w:pPr>
      <w:r>
        <w:rPr>
          <w:rFonts w:hint="eastAsia" w:ascii="仿宋_GB2312" w:hAnsi="Times New Roman" w:eastAsia="仿宋_GB2312" w:cs="Times New Roman"/>
          <w:bCs/>
          <w:sz w:val="34"/>
          <w:szCs w:val="34"/>
        </w:rPr>
        <w:t>（3）安全防护功能</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机器人应具备安全避障功能，遇到障碍物或人员时会自动停止，并发出报警，人员或障碍物移走后，会自动继续当前的动作任务。</w:t>
      </w:r>
    </w:p>
    <w:p>
      <w:pPr>
        <w:adjustRightInd w:val="0"/>
        <w:snapToGrid w:val="0"/>
        <w:spacing w:line="600" w:lineRule="exact"/>
        <w:ind w:firstLine="680" w:firstLineChars="200"/>
        <w:rPr>
          <w:rFonts w:ascii="仿宋_GB2312" w:hAnsi="Times New Roman" w:eastAsia="仿宋_GB2312" w:cs="Times New Roman"/>
          <w:bCs/>
          <w:sz w:val="34"/>
          <w:szCs w:val="34"/>
        </w:rPr>
      </w:pPr>
      <w:r>
        <w:rPr>
          <w:rFonts w:hint="eastAsia" w:ascii="仿宋_GB2312" w:hAnsi="Times New Roman" w:eastAsia="仿宋_GB2312" w:cs="Times New Roman"/>
          <w:bCs/>
          <w:sz w:val="34"/>
          <w:szCs w:val="34"/>
        </w:rPr>
        <w:t>（4）粉尘浓度检测功能</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防爆挂轨机器人能对巡检路线上粉尘颗粒物质量浓度信息进行实时检测和监控，为运维人员分析环境粉尘状态提供全方面信息。机器人实时采集的粉尘状态及时传输到控制中心，为操控人员提供现场环境信息，当监测到粉尘浓度超标时，系统将进行报警，以提示运维人员及时处理。</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bCs/>
          <w:sz w:val="34"/>
          <w:szCs w:val="34"/>
        </w:rPr>
        <w:t>（5）红外热成像测温功能</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机器人应能利用搭载的红外热成像相机，实时监测皮带机托辊、电机、减速机温度，工作人员可以在后台通过红外视频流的方式观察设备的温度情况，红外视频流通过热力图的形式进行展示，标注画面中的最高温和最低温值。同时，对于重点关注的设备，机器人可以通过巡检点拍照的形式，对拍摄的图片进行画框标注，只对该设备进行测温识别，以减少其他设备的干扰。</w:t>
      </w:r>
    </w:p>
    <w:p>
      <w:pPr>
        <w:adjustRightInd w:val="0"/>
        <w:snapToGrid w:val="0"/>
        <w:spacing w:line="600" w:lineRule="exact"/>
        <w:ind w:firstLine="680" w:firstLineChars="200"/>
        <w:rPr>
          <w:rFonts w:ascii="仿宋_GB2312" w:hAnsi="Times New Roman" w:eastAsia="仿宋_GB2312" w:cs="Times New Roman"/>
          <w:bCs/>
          <w:sz w:val="34"/>
          <w:szCs w:val="34"/>
        </w:rPr>
      </w:pPr>
      <w:r>
        <w:rPr>
          <w:rFonts w:hint="eastAsia" w:ascii="仿宋_GB2312" w:hAnsi="Times New Roman" w:eastAsia="仿宋_GB2312" w:cs="Times New Roman"/>
          <w:bCs/>
          <w:sz w:val="34"/>
          <w:szCs w:val="34"/>
        </w:rPr>
        <w:t>（6）可见光视频监控功能</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机器人应能利用搭载的可见光相机，实时监测现场的设备情况，工作人员可以在后台通过可见光视频的方式观察设备的运行情况。同时，对于重点关注的设备，机器人可以通过巡检点录像的方式，录取现场设备10s左右（要求时间甲方可以调节）的一段图像，供后台人员查看分析。</w:t>
      </w:r>
    </w:p>
    <w:p>
      <w:pPr>
        <w:adjustRightInd w:val="0"/>
        <w:snapToGrid w:val="0"/>
        <w:spacing w:line="600" w:lineRule="exact"/>
        <w:ind w:firstLine="680" w:firstLineChars="200"/>
        <w:rPr>
          <w:rFonts w:ascii="仿宋_GB2312" w:hAnsi="Times New Roman" w:eastAsia="仿宋_GB2312" w:cs="Times New Roman"/>
          <w:bCs/>
          <w:sz w:val="34"/>
          <w:szCs w:val="34"/>
        </w:rPr>
      </w:pPr>
      <w:r>
        <w:rPr>
          <w:rFonts w:hint="eastAsia" w:ascii="仿宋_GB2312" w:hAnsi="Times New Roman" w:eastAsia="仿宋_GB2312" w:cs="Times New Roman"/>
          <w:bCs/>
          <w:sz w:val="34"/>
          <w:szCs w:val="34"/>
        </w:rPr>
        <w:t>（7）实时地图功能</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机器人后台的地图模块实时显示机器人的地图信息，包含实时数据、地图路径，机器人巡检点位置以及机器人实时位置四大元素。地图支持手动缩放，拖拽移动，全屏展示，元素隐藏操作。</w:t>
      </w:r>
    </w:p>
    <w:p>
      <w:pPr>
        <w:adjustRightInd w:val="0"/>
        <w:snapToGrid w:val="0"/>
        <w:spacing w:line="600" w:lineRule="exact"/>
        <w:ind w:firstLine="680" w:firstLineChars="200"/>
        <w:rPr>
          <w:rFonts w:ascii="仿宋_GB2312" w:hAnsi="Times New Roman" w:eastAsia="仿宋_GB2312" w:cs="Times New Roman"/>
          <w:bCs/>
          <w:sz w:val="34"/>
          <w:szCs w:val="34"/>
        </w:rPr>
      </w:pPr>
      <w:r>
        <w:rPr>
          <w:rFonts w:hint="eastAsia" w:ascii="仿宋_GB2312" w:hAnsi="Times New Roman" w:eastAsia="仿宋_GB2312" w:cs="Times New Roman"/>
          <w:bCs/>
          <w:sz w:val="34"/>
          <w:szCs w:val="34"/>
        </w:rPr>
        <w:t>（8）告警展示功能</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机器人对监测到的数据结果进行分析，可以对超限的的指标进行告警展示，如温度超高，环境信息指标超高等。也可对自身的异常进行告警，帮助运维人员快速定位问题，方便运维。</w:t>
      </w:r>
    </w:p>
    <w:p>
      <w:pPr>
        <w:adjustRightInd w:val="0"/>
        <w:snapToGrid w:val="0"/>
        <w:spacing w:line="600" w:lineRule="exact"/>
        <w:ind w:firstLine="680" w:firstLineChars="200"/>
        <w:rPr>
          <w:rFonts w:ascii="仿宋_GB2312" w:hAnsi="Times New Roman" w:eastAsia="仿宋_GB2312" w:cs="Times New Roman"/>
          <w:bCs/>
          <w:sz w:val="34"/>
          <w:szCs w:val="34"/>
        </w:rPr>
      </w:pPr>
      <w:r>
        <w:rPr>
          <w:rFonts w:hint="eastAsia" w:ascii="仿宋_GB2312" w:hAnsi="Times New Roman" w:eastAsia="仿宋_GB2312" w:cs="Times New Roman"/>
          <w:bCs/>
          <w:sz w:val="34"/>
          <w:szCs w:val="34"/>
        </w:rPr>
        <w:t>（9）巡检报告展示功能</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机器人每次巡检任务执行结束会输出一份巡检报告来对当前的任务巡检情况进行展示说明，报告可按时段进行搜索查询。巡检报告支持PDF格式导出，保存至本地。巡检报告支持巡检点的可见光和红外的巡检图片查看。</w:t>
      </w:r>
    </w:p>
    <w:p>
      <w:pPr>
        <w:adjustRightInd w:val="0"/>
        <w:snapToGrid w:val="0"/>
        <w:spacing w:line="600" w:lineRule="exact"/>
        <w:ind w:firstLine="680" w:firstLineChars="200"/>
        <w:rPr>
          <w:rFonts w:ascii="仿宋_GB2312" w:hAnsi="Times New Roman" w:eastAsia="仿宋_GB2312" w:cs="Times New Roman"/>
          <w:bCs/>
          <w:sz w:val="34"/>
          <w:szCs w:val="34"/>
        </w:rPr>
      </w:pPr>
      <w:r>
        <w:rPr>
          <w:rFonts w:hint="eastAsia" w:ascii="仿宋_GB2312" w:hAnsi="Times New Roman" w:eastAsia="仿宋_GB2312" w:cs="Times New Roman"/>
          <w:bCs/>
          <w:sz w:val="34"/>
          <w:szCs w:val="34"/>
        </w:rPr>
        <w:t>（10）历史数据查询功能</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机器人后台支持对设备的温度数据进行历史数据分析，支持单个设备数据查询和多个设备的数据比较，支持生成设备温度折线图，进行图形化展示。</w:t>
      </w:r>
    </w:p>
    <w:p>
      <w:pPr>
        <w:adjustRightInd w:val="0"/>
        <w:snapToGrid w:val="0"/>
        <w:spacing w:line="600" w:lineRule="exact"/>
        <w:ind w:firstLine="680" w:firstLineChars="200"/>
        <w:rPr>
          <w:rFonts w:ascii="仿宋_GB2312" w:hAnsi="Times New Roman" w:eastAsia="仿宋_GB2312" w:cs="Times New Roman"/>
          <w:bCs/>
          <w:sz w:val="34"/>
          <w:szCs w:val="34"/>
        </w:rPr>
      </w:pPr>
      <w:r>
        <w:rPr>
          <w:rFonts w:hint="eastAsia" w:ascii="仿宋_GB2312" w:hAnsi="Times New Roman" w:eastAsia="仿宋_GB2312" w:cs="Times New Roman"/>
          <w:bCs/>
          <w:sz w:val="34"/>
          <w:szCs w:val="34"/>
        </w:rPr>
        <w:t>（11）语音对讲功能</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机器人本体应携带语音对讲模块，工作人员在后台可以通过语音对讲开关和现场进行实时对话，现场工作人员无需进行多余操作，在机器人旁边即可实时回应。</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（12）异常检测功能</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通过图像及算法技术，可对超大煤块检测识别，撒煤识别，皮带撕裂、毛边、起皮检测识别，发现异常可实时预警。</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（13）自清洁功能</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机器人装备清洁刷，可在煤尘环境中对轨道进行实时清洁，减少人工维护成本。在充电屋内安装机器人本体清洁装置，可满足机器人巡检任务完成后回到充电桩充电时对机器人本地进行清洁，满足机器人长时间、高效的完成巡检任务，并减少维护成本。</w:t>
      </w:r>
    </w:p>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5.2</w:t>
      </w:r>
      <w:bookmarkStart w:id="6" w:name="_Toc2386"/>
      <w:bookmarkStart w:id="7" w:name="_Toc30320"/>
      <w:bookmarkStart w:id="8" w:name="_Toc21922"/>
      <w:bookmarkStart w:id="9" w:name="_Toc12208"/>
      <w:bookmarkStart w:id="10" w:name="_Toc23000"/>
      <w:bookmarkStart w:id="11" w:name="_Toc15819"/>
      <w:bookmarkStart w:id="12" w:name="_Toc6646"/>
      <w:bookmarkStart w:id="13" w:name="_Toc28859"/>
      <w:r>
        <w:rPr>
          <w:rFonts w:hint="eastAsia" w:ascii="黑体" w:hAnsi="黑体" w:eastAsia="黑体" w:cs="Times New Roman"/>
          <w:b w:val="0"/>
          <w:sz w:val="34"/>
          <w:szCs w:val="34"/>
        </w:rPr>
        <w:t>固定式皮带撕裂检测装置</w:t>
      </w:r>
      <w:bookmarkEnd w:id="6"/>
      <w:bookmarkEnd w:id="7"/>
      <w:bookmarkEnd w:id="8"/>
      <w:bookmarkEnd w:id="9"/>
      <w:bookmarkEnd w:id="10"/>
      <w:bookmarkEnd w:id="11"/>
      <w:bookmarkEnd w:id="12"/>
      <w:bookmarkEnd w:id="13"/>
      <w:r>
        <w:rPr>
          <w:rFonts w:hint="eastAsia" w:ascii="黑体" w:hAnsi="黑体" w:eastAsia="黑体" w:cs="Times New Roman"/>
          <w:b w:val="0"/>
          <w:sz w:val="34"/>
          <w:szCs w:val="34"/>
        </w:rPr>
        <w:t>技术要求</w:t>
      </w:r>
    </w:p>
    <w:p>
      <w:pPr>
        <w:snapToGrid w:val="0"/>
        <w:spacing w:line="600" w:lineRule="exact"/>
        <w:ind w:firstLine="680" w:firstLineChars="200"/>
        <w:rPr>
          <w:rFonts w:ascii="仿宋_GB2312" w:hAnsi="Times New Roman" w:eastAsia="仿宋_GB2312" w:cs="Times New Roman"/>
          <w:kern w:val="0"/>
          <w:sz w:val="34"/>
          <w:szCs w:val="34"/>
        </w:rPr>
      </w:pPr>
      <w:r>
        <w:rPr>
          <w:rFonts w:hint="eastAsia" w:ascii="仿宋_GB2312" w:hAnsi="Times New Roman" w:eastAsia="仿宋_GB2312" w:cs="Times New Roman"/>
          <w:kern w:val="0"/>
          <w:sz w:val="34"/>
          <w:szCs w:val="34"/>
        </w:rPr>
        <w:t>（1）对皮带机皮带进行特定区域监控，3条输煤皮带机，安装共计6台固定式高帧率摄像机，每条皮带机头部、尾部各一台，需带自清洁功能。摄像机结合机器视觉算法对皮带撕裂、撕边等情况进行监测，达到提前预判、辅助人工决策的效果。全程图像和视频数据实时回传至主控室，实时报警信息及时提醒主控室人员采取相应措施。</w:t>
      </w:r>
    </w:p>
    <w:p>
      <w:pPr>
        <w:snapToGrid w:val="0"/>
        <w:spacing w:line="600" w:lineRule="exact"/>
        <w:ind w:firstLine="680" w:firstLineChars="200"/>
        <w:rPr>
          <w:rFonts w:hint="eastAsia" w:ascii="仿宋_GB2312" w:hAnsi="Times New Roman" w:eastAsia="仿宋_GB2312" w:cs="Times New Roman"/>
          <w:kern w:val="0"/>
          <w:sz w:val="34"/>
          <w:szCs w:val="34"/>
        </w:rPr>
      </w:pPr>
      <w:r>
        <w:rPr>
          <w:rFonts w:hint="eastAsia" w:ascii="仿宋_GB2312" w:hAnsi="Times New Roman" w:eastAsia="仿宋_GB2312" w:cs="Times New Roman"/>
          <w:kern w:val="0"/>
          <w:sz w:val="34"/>
          <w:szCs w:val="34"/>
        </w:rPr>
        <w:t>（2）固定式摄像机采用有线供电方式，防爆等级不低于Ex d ⅡC T4就近取电，布线需满足防爆施工规范要求，电源接入点招标方指定。</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外观：防爆一体化云台；</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角度范围：水平360°；俯仰±90°；</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精度：PT值回传角度控制，重复定位精度≤0.1°；</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热成像参数</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像素：384×288；</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热成像焦距：9.7mm；</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热成像视场角：37.5°× 28.5°；</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热成像近摄距：1.5m；</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有效测量距离：≤9m；</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测温范围：-20℃～+550℃；</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测温误差：Max（±2℃，±2%）；</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可见光参数</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最大分辨率：1920×1080；</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可见光像素：200万；</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最低照度：0.05Lux（彩色模式）；0.01Lux（黑白模式）；</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数字变倍：12倍</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可见光焦距：32倍光学变倍；</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补光类型：LED灯；</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最大补光距离：≥30m；</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其它参数</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工作温度：-40℃~60℃；</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工作湿度：＜=95%；</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防护等级：IP66</w:t>
      </w:r>
    </w:p>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5.3通讯交互单元技术要求</w:t>
      </w:r>
    </w:p>
    <w:p>
      <w:pPr>
        <w:snapToGrid w:val="0"/>
        <w:spacing w:line="600" w:lineRule="exact"/>
        <w:ind w:firstLine="680" w:firstLineChars="200"/>
        <w:rPr>
          <w:rFonts w:ascii="仿宋_GB2312" w:hAnsi="Times New Roman" w:eastAsia="仿宋_GB2312" w:cs="Times New Roman"/>
          <w:kern w:val="0"/>
          <w:sz w:val="34"/>
          <w:szCs w:val="34"/>
        </w:rPr>
      </w:pPr>
      <w:r>
        <w:rPr>
          <w:rFonts w:hint="eastAsia" w:ascii="仿宋_GB2312" w:hAnsi="Times New Roman" w:eastAsia="仿宋_GB2312" w:cs="Times New Roman"/>
          <w:kern w:val="0"/>
          <w:sz w:val="34"/>
          <w:szCs w:val="34"/>
        </w:rPr>
        <w:t>（1）机器人应能与集控平台进行双向信息交互，信息交互内容包括检测数据和机器人本体状态数据。</w:t>
      </w:r>
    </w:p>
    <w:p>
      <w:pPr>
        <w:snapToGrid w:val="0"/>
        <w:spacing w:line="600" w:lineRule="exact"/>
        <w:ind w:firstLine="680" w:firstLineChars="200"/>
        <w:rPr>
          <w:rFonts w:ascii="仿宋_GB2312" w:hAnsi="Times New Roman" w:eastAsia="仿宋_GB2312" w:cs="Times New Roman"/>
          <w:kern w:val="0"/>
          <w:sz w:val="34"/>
          <w:szCs w:val="34"/>
        </w:rPr>
      </w:pPr>
      <w:r>
        <w:rPr>
          <w:rFonts w:hint="eastAsia" w:ascii="仿宋_GB2312" w:hAnsi="Times New Roman" w:eastAsia="仿宋_GB2312" w:cs="Times New Roman"/>
          <w:kern w:val="0"/>
          <w:sz w:val="34"/>
          <w:szCs w:val="34"/>
        </w:rPr>
        <w:t>（2）通讯系统应具有良好的移动接入能力，保证高清视频和数据传输不会中断、卡顿。</w:t>
      </w:r>
    </w:p>
    <w:p>
      <w:pPr>
        <w:snapToGrid w:val="0"/>
        <w:spacing w:line="600" w:lineRule="exact"/>
        <w:ind w:firstLine="680" w:firstLineChars="200"/>
        <w:rPr>
          <w:rFonts w:ascii="仿宋_GB2312" w:hAnsi="Times New Roman" w:eastAsia="仿宋_GB2312" w:cs="Times New Roman"/>
          <w:kern w:val="0"/>
          <w:sz w:val="34"/>
          <w:szCs w:val="34"/>
        </w:rPr>
      </w:pPr>
      <w:r>
        <w:rPr>
          <w:rFonts w:hint="eastAsia" w:ascii="仿宋_GB2312" w:hAnsi="Times New Roman" w:eastAsia="仿宋_GB2312" w:cs="Times New Roman"/>
          <w:kern w:val="0"/>
          <w:sz w:val="34"/>
          <w:szCs w:val="34"/>
        </w:rPr>
        <w:t>（3）智能巡检机器人所有的控制信号、视频数据、音频数据、现场传感器采集数据及报警信息等均通过无线网络传输。</w:t>
      </w:r>
    </w:p>
    <w:p>
      <w:pPr>
        <w:snapToGrid w:val="0"/>
        <w:spacing w:line="600" w:lineRule="exact"/>
        <w:ind w:firstLine="680" w:firstLineChars="200"/>
        <w:rPr>
          <w:rFonts w:ascii="仿宋_GB2312" w:hAnsi="Times New Roman" w:eastAsia="仿宋_GB2312" w:cs="Times New Roman"/>
          <w:kern w:val="0"/>
          <w:sz w:val="34"/>
          <w:szCs w:val="34"/>
        </w:rPr>
      </w:pPr>
      <w:r>
        <w:rPr>
          <w:rFonts w:hint="eastAsia" w:ascii="仿宋_GB2312" w:hAnsi="Times New Roman" w:eastAsia="仿宋_GB2312" w:cs="Times New Roman"/>
          <w:kern w:val="0"/>
          <w:sz w:val="34"/>
          <w:szCs w:val="34"/>
        </w:rPr>
        <w:t>（4）系统应具备通信告警功能，在通信中断、接收的报文内容异常等情况下，上送告警信息。</w:t>
      </w:r>
    </w:p>
    <w:p>
      <w:pPr>
        <w:snapToGrid w:val="0"/>
        <w:spacing w:line="600" w:lineRule="exact"/>
        <w:ind w:firstLine="680" w:firstLineChars="200"/>
        <w:rPr>
          <w:rFonts w:ascii="仿宋_GB2312" w:hAnsi="Times New Roman" w:eastAsia="仿宋_GB2312" w:cs="Times New Roman"/>
          <w:kern w:val="0"/>
          <w:sz w:val="34"/>
          <w:szCs w:val="34"/>
        </w:rPr>
      </w:pPr>
      <w:r>
        <w:rPr>
          <w:rFonts w:hint="eastAsia" w:ascii="仿宋_GB2312" w:hAnsi="Times New Roman" w:eastAsia="仿宋_GB2312" w:cs="Times New Roman"/>
          <w:kern w:val="0"/>
          <w:sz w:val="34"/>
          <w:szCs w:val="34"/>
        </w:rPr>
        <w:t>（5）各传感单元采用模块化独立设计，多样化计算机通信接口，兼容性好。</w:t>
      </w:r>
    </w:p>
    <w:p>
      <w:pPr>
        <w:spacing w:line="600" w:lineRule="exact"/>
        <w:ind w:firstLine="200"/>
        <w:rPr>
          <w:rFonts w:ascii="仿宋_GB2312" w:hAnsi="Times New Roman" w:eastAsia="仿宋_GB2312" w:cs="Times New Roman"/>
          <w:kern w:val="0"/>
          <w:sz w:val="34"/>
          <w:szCs w:val="34"/>
        </w:rPr>
      </w:pPr>
      <w:r>
        <w:rPr>
          <w:rFonts w:hint="eastAsia" w:ascii="仿宋_GB2312" w:eastAsia="仿宋_GB2312"/>
          <w:sz w:val="34"/>
          <w:szCs w:val="34"/>
        </w:rPr>
        <w:t xml:space="preserve">  ★</w:t>
      </w:r>
      <w:r>
        <w:rPr>
          <w:rFonts w:hint="eastAsia" w:ascii="仿宋_GB2312" w:hAnsi="Times New Roman" w:eastAsia="仿宋_GB2312" w:cs="Times New Roman"/>
          <w:kern w:val="0"/>
          <w:sz w:val="34"/>
          <w:szCs w:val="34"/>
        </w:rPr>
        <w:t>（6）使用的防爆无线AP防爆等级不低于</w:t>
      </w:r>
      <w:r>
        <w:rPr>
          <w:rFonts w:hint="eastAsia" w:ascii="仿宋_GB2312" w:eastAsia="仿宋_GB2312"/>
          <w:sz w:val="34"/>
          <w:szCs w:val="34"/>
        </w:rPr>
        <w:t>Ex d ⅡC T4 Gb</w:t>
      </w:r>
      <w:r>
        <w:rPr>
          <w:rFonts w:hint="eastAsia" w:ascii="仿宋_GB2312" w:hAnsi="Times New Roman" w:eastAsia="仿宋_GB2312" w:cs="Times New Roman"/>
          <w:kern w:val="0"/>
          <w:sz w:val="34"/>
          <w:szCs w:val="34"/>
        </w:rPr>
        <w:t>。（</w:t>
      </w:r>
      <w:r>
        <w:rPr>
          <w:rFonts w:hint="eastAsia" w:ascii="仿宋_GB2312" w:hAnsi="Times New Roman" w:eastAsia="仿宋_GB2312" w:cs="Times New Roman"/>
          <w:sz w:val="34"/>
          <w:szCs w:val="34"/>
        </w:rPr>
        <w:t>提供投标人本单位的防爆合格证</w:t>
      </w:r>
      <w:r>
        <w:rPr>
          <w:rFonts w:hint="eastAsia" w:ascii="仿宋_GB2312" w:hAnsi="Times New Roman" w:eastAsia="仿宋_GB2312" w:cs="Times New Roman"/>
          <w:kern w:val="0"/>
          <w:sz w:val="34"/>
          <w:szCs w:val="34"/>
        </w:rPr>
        <w:t>）</w:t>
      </w:r>
    </w:p>
    <w:p>
      <w:pPr>
        <w:pStyle w:val="9"/>
        <w:spacing w:line="600" w:lineRule="exact"/>
        <w:ind w:firstLine="200"/>
        <w:rPr>
          <w:rFonts w:ascii="仿宋_GB2312" w:eastAsia="仿宋_GB2312"/>
          <w:sz w:val="34"/>
          <w:szCs w:val="34"/>
        </w:rPr>
      </w:pPr>
      <w:r>
        <w:rPr>
          <w:rFonts w:hint="eastAsia" w:ascii="仿宋_GB2312" w:hAnsi="Times New Roman" w:eastAsia="仿宋_GB2312" w:cs="Times New Roman"/>
          <w:kern w:val="0"/>
          <w:sz w:val="34"/>
          <w:szCs w:val="34"/>
        </w:rPr>
        <w:t xml:space="preserve">   （7）使用WLAN和5G模块进行通讯。</w:t>
      </w:r>
    </w:p>
    <w:bookmarkEnd w:id="1"/>
    <w:bookmarkEnd w:id="2"/>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5.4智能巡检管控平台技术要求</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color w:val="000000"/>
          <w:kern w:val="0"/>
          <w:sz w:val="34"/>
          <w:szCs w:val="34"/>
        </w:rPr>
        <w:t>巡检</w:t>
      </w:r>
      <w:r>
        <w:rPr>
          <w:rFonts w:hint="eastAsia" w:ascii="仿宋_GB2312" w:hAnsi="Times New Roman" w:eastAsia="仿宋_GB2312" w:cs="Times New Roman"/>
          <w:sz w:val="34"/>
          <w:szCs w:val="34"/>
        </w:rPr>
        <w:t>管控平台系统架构为基于B/S模式的WEB数据浏览与运行平台构成，利用网络技术把机器人系统集成为一个整体。</w:t>
      </w:r>
    </w:p>
    <w:p>
      <w:pPr>
        <w:adjustRightInd w:val="0"/>
        <w:snapToGrid w:val="0"/>
        <w:spacing w:line="600" w:lineRule="exact"/>
        <w:ind w:firstLine="680" w:firstLineChars="200"/>
        <w:rPr>
          <w:rFonts w:ascii="仿宋_GB2312" w:hAnsi="Times New Roman" w:eastAsia="仿宋_GB2312" w:cs="Times New Roman"/>
          <w:color w:val="000000"/>
          <w:kern w:val="0"/>
          <w:sz w:val="34"/>
          <w:szCs w:val="34"/>
        </w:rPr>
      </w:pPr>
      <w:r>
        <w:rPr>
          <w:rFonts w:hint="eastAsia" w:ascii="仿宋_GB2312" w:hAnsi="Times New Roman" w:eastAsia="仿宋_GB2312" w:cs="Times New Roman"/>
          <w:color w:val="000000"/>
          <w:kern w:val="0"/>
          <w:sz w:val="34"/>
          <w:szCs w:val="34"/>
        </w:rPr>
        <w:t>巡检</w:t>
      </w:r>
      <w:r>
        <w:rPr>
          <w:rFonts w:hint="eastAsia" w:ascii="仿宋_GB2312" w:hAnsi="Times New Roman" w:eastAsia="仿宋_GB2312" w:cs="Times New Roman"/>
          <w:sz w:val="34"/>
          <w:szCs w:val="34"/>
        </w:rPr>
        <w:t>管控平台可对机器人、充电系统、通讯系统的基础数据、视频、音频等进行采集，也可对机器人、充电系统、通讯系统的数据、音频等进行下发</w:t>
      </w:r>
      <w:r>
        <w:rPr>
          <w:rFonts w:hint="eastAsia" w:ascii="仿宋_GB2312" w:hAnsi="Times New Roman" w:eastAsia="仿宋_GB2312" w:cs="Times New Roman"/>
          <w:bCs/>
          <w:sz w:val="34"/>
          <w:szCs w:val="34"/>
        </w:rPr>
        <w:t>。</w:t>
      </w:r>
    </w:p>
    <w:p>
      <w:pPr>
        <w:adjustRightInd w:val="0"/>
        <w:snapToGrid w:val="0"/>
        <w:spacing w:line="600" w:lineRule="exact"/>
        <w:ind w:firstLine="680" w:firstLineChars="200"/>
        <w:rPr>
          <w:rFonts w:ascii="仿宋_GB2312" w:hAnsi="Times New Roman" w:eastAsia="仿宋_GB2312" w:cs="Times New Roman"/>
          <w:color w:val="000000"/>
          <w:kern w:val="0"/>
          <w:sz w:val="34"/>
          <w:szCs w:val="34"/>
        </w:rPr>
      </w:pPr>
      <w:r>
        <w:rPr>
          <w:rFonts w:hint="eastAsia" w:ascii="仿宋_GB2312" w:hAnsi="Times New Roman" w:eastAsia="仿宋_GB2312" w:cs="Times New Roman"/>
          <w:color w:val="000000"/>
          <w:kern w:val="0"/>
          <w:sz w:val="34"/>
          <w:szCs w:val="34"/>
        </w:rPr>
        <w:t>巡检</w:t>
      </w:r>
      <w:r>
        <w:rPr>
          <w:rFonts w:hint="eastAsia" w:ascii="仿宋_GB2312" w:hAnsi="Times New Roman" w:eastAsia="仿宋_GB2312" w:cs="Times New Roman"/>
          <w:sz w:val="34"/>
          <w:szCs w:val="34"/>
        </w:rPr>
        <w:t>管控</w:t>
      </w:r>
      <w:r>
        <w:rPr>
          <w:rFonts w:hint="eastAsia" w:ascii="仿宋_GB2312" w:hAnsi="Times New Roman" w:eastAsia="仿宋_GB2312" w:cs="Times New Roman"/>
          <w:color w:val="000000"/>
          <w:kern w:val="0"/>
          <w:sz w:val="34"/>
          <w:szCs w:val="34"/>
        </w:rPr>
        <w:t>平台具备一定扩展接口、可提供与其他系统等对接接口，平台内配置巡检模块实现对机器人的远程控制，系统提供WEB页面，可以方便的集成到生产管理系统中，在浏览器内输入地址，即可进入监控界面。在此操控界面中可以实现视频查看、设备控制、运动控制、数据采集、巡检模式切换等功能。</w:t>
      </w:r>
    </w:p>
    <w:p>
      <w:pPr>
        <w:adjustRightInd w:val="0"/>
        <w:snapToGrid w:val="0"/>
        <w:spacing w:line="600" w:lineRule="exact"/>
        <w:ind w:firstLine="680" w:firstLineChars="200"/>
        <w:rPr>
          <w:rFonts w:ascii="仿宋_GB2312" w:hAnsi="Times New Roman" w:eastAsia="仿宋_GB2312" w:cs="Times New Roman"/>
          <w:color w:val="000000"/>
          <w:kern w:val="0"/>
          <w:sz w:val="34"/>
          <w:szCs w:val="34"/>
        </w:rPr>
      </w:pPr>
      <w:r>
        <w:rPr>
          <w:rFonts w:hint="eastAsia" w:ascii="仿宋_GB2312" w:hAnsi="Times New Roman" w:eastAsia="仿宋_GB2312" w:cs="Times New Roman"/>
          <w:color w:val="000000"/>
          <w:kern w:val="0"/>
          <w:sz w:val="34"/>
          <w:szCs w:val="34"/>
        </w:rPr>
        <w:t>巡检</w:t>
      </w:r>
      <w:r>
        <w:rPr>
          <w:rFonts w:hint="eastAsia" w:ascii="仿宋_GB2312" w:hAnsi="Times New Roman" w:eastAsia="仿宋_GB2312" w:cs="Times New Roman"/>
          <w:sz w:val="34"/>
          <w:szCs w:val="34"/>
        </w:rPr>
        <w:t>管控</w:t>
      </w:r>
      <w:r>
        <w:rPr>
          <w:rFonts w:hint="eastAsia" w:ascii="仿宋_GB2312" w:hAnsi="Times New Roman" w:eastAsia="仿宋_GB2312" w:cs="Times New Roman"/>
          <w:color w:val="000000"/>
          <w:kern w:val="0"/>
          <w:sz w:val="34"/>
          <w:szCs w:val="34"/>
        </w:rPr>
        <w:t>平台具备提供巡检时采集、存储可见光和红外视频的功能，并支持视频的播放、停止、全屏显示等功能。</w:t>
      </w:r>
    </w:p>
    <w:p>
      <w:pPr>
        <w:adjustRightInd w:val="0"/>
        <w:snapToGrid w:val="0"/>
        <w:spacing w:line="600" w:lineRule="exact"/>
        <w:ind w:firstLine="680" w:firstLineChars="200"/>
        <w:rPr>
          <w:rFonts w:ascii="仿宋_GB2312" w:hAnsi="Times New Roman" w:eastAsia="仿宋_GB2312" w:cs="Times New Roman"/>
          <w:color w:val="000000"/>
          <w:kern w:val="0"/>
          <w:sz w:val="34"/>
          <w:szCs w:val="34"/>
        </w:rPr>
      </w:pPr>
      <w:r>
        <w:rPr>
          <w:rFonts w:hint="eastAsia" w:ascii="仿宋_GB2312" w:hAnsi="Times New Roman" w:eastAsia="仿宋_GB2312" w:cs="Times New Roman"/>
          <w:color w:val="000000"/>
          <w:kern w:val="0"/>
          <w:sz w:val="34"/>
          <w:szCs w:val="34"/>
        </w:rPr>
        <w:t>巡检信息可通过网络传输到集控室，方便集控人员对现场作业场景进行实时视频监视；系统能实时记录、下传并在本地监控后台上在厂、在线的所有智能巡检（巡操）机器人的工作状态等信息。</w:t>
      </w:r>
    </w:p>
    <w:p>
      <w:pPr>
        <w:adjustRightInd w:val="0"/>
        <w:snapToGrid w:val="0"/>
        <w:spacing w:line="600" w:lineRule="exact"/>
        <w:ind w:firstLine="680" w:firstLineChars="200"/>
        <w:rPr>
          <w:rFonts w:ascii="仿宋_GB2312" w:hAnsi="Times New Roman" w:eastAsia="仿宋_GB2312" w:cs="Times New Roman"/>
          <w:color w:val="000000"/>
          <w:kern w:val="0"/>
          <w:sz w:val="34"/>
          <w:szCs w:val="34"/>
        </w:rPr>
      </w:pPr>
      <w:r>
        <w:rPr>
          <w:rFonts w:hint="eastAsia" w:ascii="仿宋_GB2312" w:hAnsi="Times New Roman" w:eastAsia="仿宋_GB2312" w:cs="Times New Roman"/>
          <w:color w:val="000000"/>
          <w:kern w:val="0"/>
          <w:sz w:val="34"/>
          <w:szCs w:val="34"/>
        </w:rPr>
        <w:t>巡检</w:t>
      </w:r>
      <w:r>
        <w:rPr>
          <w:rFonts w:hint="eastAsia" w:ascii="仿宋_GB2312" w:hAnsi="Times New Roman" w:eastAsia="仿宋_GB2312" w:cs="Times New Roman"/>
          <w:sz w:val="34"/>
          <w:szCs w:val="34"/>
        </w:rPr>
        <w:t>管控</w:t>
      </w:r>
      <w:r>
        <w:rPr>
          <w:rFonts w:hint="eastAsia" w:ascii="仿宋_GB2312" w:hAnsi="Times New Roman" w:eastAsia="仿宋_GB2312" w:cs="Times New Roman"/>
          <w:color w:val="000000"/>
          <w:kern w:val="0"/>
          <w:sz w:val="34"/>
          <w:szCs w:val="34"/>
        </w:rPr>
        <w:t>平台具备可提供巡检点上采集、存储的红外热图功能，并能够从红外热图中提取温度信息。</w:t>
      </w:r>
    </w:p>
    <w:p>
      <w:pPr>
        <w:adjustRightInd w:val="0"/>
        <w:snapToGrid w:val="0"/>
        <w:spacing w:line="600" w:lineRule="exact"/>
        <w:ind w:firstLine="680" w:firstLineChars="200"/>
        <w:rPr>
          <w:rFonts w:ascii="仿宋_GB2312" w:hAnsi="Times New Roman" w:eastAsia="仿宋_GB2312" w:cs="Times New Roman"/>
          <w:color w:val="000000"/>
          <w:kern w:val="0"/>
          <w:sz w:val="34"/>
          <w:szCs w:val="34"/>
        </w:rPr>
      </w:pPr>
      <w:r>
        <w:rPr>
          <w:rFonts w:hint="eastAsia" w:ascii="仿宋_GB2312" w:hAnsi="Times New Roman" w:eastAsia="仿宋_GB2312" w:cs="Times New Roman"/>
          <w:color w:val="000000"/>
          <w:kern w:val="0"/>
          <w:sz w:val="34"/>
          <w:szCs w:val="34"/>
        </w:rPr>
        <w:t>巡检</w:t>
      </w:r>
      <w:r>
        <w:rPr>
          <w:rFonts w:hint="eastAsia" w:ascii="仿宋_GB2312" w:hAnsi="Times New Roman" w:eastAsia="仿宋_GB2312" w:cs="Times New Roman"/>
          <w:sz w:val="34"/>
          <w:szCs w:val="34"/>
        </w:rPr>
        <w:t>管控</w:t>
      </w:r>
      <w:r>
        <w:rPr>
          <w:rFonts w:hint="eastAsia" w:ascii="仿宋_GB2312" w:hAnsi="Times New Roman" w:eastAsia="仿宋_GB2312" w:cs="Times New Roman"/>
          <w:color w:val="000000"/>
          <w:kern w:val="0"/>
          <w:sz w:val="34"/>
          <w:szCs w:val="34"/>
        </w:rPr>
        <w:t>平台具备</w:t>
      </w:r>
      <w:r>
        <w:rPr>
          <w:rFonts w:hint="eastAsia" w:ascii="仿宋_GB2312" w:hAnsi="Times New Roman" w:eastAsia="仿宋_GB2312" w:cs="Times New Roman"/>
          <w:sz w:val="34"/>
          <w:szCs w:val="34"/>
        </w:rPr>
        <w:t>机器人操控功能，对机器人进行实时遥控，功能具体包括机器人运动控制，机器人云台控制，机器人云台可见光摄像头或运动前置摄像头视频展示，机器人各种模式切换等。</w:t>
      </w:r>
    </w:p>
    <w:p>
      <w:pPr>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color w:val="000000"/>
          <w:kern w:val="0"/>
          <w:sz w:val="34"/>
          <w:szCs w:val="34"/>
        </w:rPr>
        <w:t>巡检</w:t>
      </w:r>
      <w:r>
        <w:rPr>
          <w:rFonts w:hint="eastAsia" w:ascii="仿宋_GB2312" w:hAnsi="Times New Roman" w:eastAsia="仿宋_GB2312" w:cs="Times New Roman"/>
          <w:sz w:val="34"/>
          <w:szCs w:val="34"/>
        </w:rPr>
        <w:t>管控</w:t>
      </w:r>
      <w:r>
        <w:rPr>
          <w:rFonts w:hint="eastAsia" w:ascii="仿宋_GB2312" w:hAnsi="Times New Roman" w:eastAsia="仿宋_GB2312" w:cs="Times New Roman"/>
          <w:color w:val="000000"/>
          <w:kern w:val="0"/>
          <w:sz w:val="34"/>
          <w:szCs w:val="34"/>
        </w:rPr>
        <w:t>平台</w:t>
      </w:r>
      <w:r>
        <w:rPr>
          <w:rFonts w:hint="eastAsia" w:ascii="仿宋_GB2312" w:hAnsi="Times New Roman" w:eastAsia="仿宋_GB2312" w:cs="Times New Roman"/>
          <w:sz w:val="34"/>
          <w:szCs w:val="34"/>
        </w:rPr>
        <w:t>人机交互界面应简单便捷，管理和展示应分开。</w:t>
      </w:r>
    </w:p>
    <w:p>
      <w:pPr>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color w:val="000000"/>
          <w:kern w:val="0"/>
          <w:sz w:val="34"/>
          <w:szCs w:val="34"/>
        </w:rPr>
        <w:t>巡检</w:t>
      </w:r>
      <w:r>
        <w:rPr>
          <w:rFonts w:hint="eastAsia" w:ascii="仿宋_GB2312" w:hAnsi="Times New Roman" w:eastAsia="仿宋_GB2312" w:cs="Times New Roman"/>
          <w:sz w:val="34"/>
          <w:szCs w:val="34"/>
        </w:rPr>
        <w:t>管控</w:t>
      </w:r>
      <w:r>
        <w:rPr>
          <w:rFonts w:hint="eastAsia" w:ascii="仿宋_GB2312" w:hAnsi="Times New Roman" w:eastAsia="仿宋_GB2312" w:cs="Times New Roman"/>
          <w:color w:val="000000"/>
          <w:kern w:val="0"/>
          <w:sz w:val="34"/>
          <w:szCs w:val="34"/>
        </w:rPr>
        <w:t>平台功能</w:t>
      </w:r>
      <w:r>
        <w:rPr>
          <w:rFonts w:hint="eastAsia" w:ascii="仿宋_GB2312" w:hAnsi="Times New Roman" w:eastAsia="仿宋_GB2312" w:cs="Times New Roman"/>
          <w:sz w:val="34"/>
          <w:szCs w:val="34"/>
        </w:rPr>
        <w:t>包括导航管理（建图、采点、路线规划、定点导航）、系统管理（权限管理、控制操作、台账管理、地图管理、巡检任务管理、策略管理、巡检结果管理、告警管理、机器人设备管理）等。</w:t>
      </w:r>
    </w:p>
    <w:p>
      <w:pPr>
        <w:snapToGrid w:val="0"/>
        <w:spacing w:line="600" w:lineRule="exact"/>
        <w:ind w:firstLine="680" w:firstLineChars="200"/>
        <w:rPr>
          <w:rFonts w:ascii="仿宋_GB2312" w:hAnsi="Times New Roman" w:eastAsia="仿宋_GB2312" w:cs="Times New Roman"/>
          <w:sz w:val="34"/>
          <w:szCs w:val="34"/>
        </w:rPr>
      </w:pPr>
      <w:r>
        <w:rPr>
          <w:rFonts w:hint="eastAsia" w:ascii="仿宋_GB2312" w:hAnsi="Segoe UI Symbol" w:eastAsia="仿宋_GB2312" w:cs="Segoe UI Symbol"/>
          <w:color w:val="000000" w:themeColor="text1"/>
          <w:kern w:val="0"/>
          <w:sz w:val="34"/>
          <w:szCs w:val="34"/>
        </w:rPr>
        <w:t>★</w:t>
      </w:r>
      <w:r>
        <w:rPr>
          <w:rFonts w:hint="eastAsia" w:ascii="仿宋_GB2312" w:hAnsi="Times New Roman" w:eastAsia="仿宋_GB2312" w:cs="Times New Roman"/>
          <w:color w:val="000000"/>
          <w:kern w:val="0"/>
          <w:sz w:val="34"/>
          <w:szCs w:val="34"/>
        </w:rPr>
        <w:t>巡检</w:t>
      </w:r>
      <w:r>
        <w:rPr>
          <w:rFonts w:hint="eastAsia" w:ascii="仿宋_GB2312" w:hAnsi="Times New Roman" w:eastAsia="仿宋_GB2312" w:cs="Times New Roman"/>
          <w:sz w:val="34"/>
          <w:szCs w:val="34"/>
        </w:rPr>
        <w:t>管控</w:t>
      </w:r>
      <w:r>
        <w:rPr>
          <w:rFonts w:hint="eastAsia" w:ascii="仿宋_GB2312" w:hAnsi="Times New Roman" w:eastAsia="仿宋_GB2312" w:cs="Times New Roman"/>
          <w:color w:val="000000"/>
          <w:kern w:val="0"/>
          <w:sz w:val="34"/>
          <w:szCs w:val="34"/>
        </w:rPr>
        <w:t>平台具备</w:t>
      </w:r>
      <w:r>
        <w:rPr>
          <w:rFonts w:hint="eastAsia" w:ascii="仿宋_GB2312" w:hAnsi="Times New Roman" w:eastAsia="仿宋_GB2312" w:cs="Times New Roman"/>
          <w:sz w:val="34"/>
          <w:szCs w:val="34"/>
        </w:rPr>
        <w:t>报警弹窗功能，PC端提供实时报警的信息提示，分级显示包括报警来源、报警级别等信息；报警确认后被确认的报警条消失音。（提供人机交互界面截图及展示视频截图）</w:t>
      </w:r>
    </w:p>
    <w:p>
      <w:pPr>
        <w:snapToGrid w:val="0"/>
        <w:spacing w:line="600" w:lineRule="exact"/>
        <w:ind w:firstLine="680" w:firstLineChars="200"/>
        <w:rPr>
          <w:rFonts w:ascii="仿宋_GB2312" w:hAnsi="Times New Roman" w:eastAsia="仿宋_GB2312" w:cs="Times New Roman"/>
          <w:sz w:val="34"/>
          <w:szCs w:val="34"/>
        </w:rPr>
      </w:pPr>
      <w:r>
        <w:rPr>
          <w:rFonts w:hint="eastAsia" w:ascii="仿宋_GB2312" w:hAnsi="Segoe UI Symbol" w:eastAsia="仿宋_GB2312" w:cs="Segoe UI Symbol"/>
          <w:color w:val="000000" w:themeColor="text1"/>
          <w:kern w:val="0"/>
          <w:sz w:val="34"/>
          <w:szCs w:val="34"/>
        </w:rPr>
        <w:t>★</w:t>
      </w:r>
      <w:r>
        <w:rPr>
          <w:rFonts w:hint="eastAsia" w:ascii="仿宋_GB2312" w:hAnsi="Times New Roman" w:eastAsia="仿宋_GB2312" w:cs="Times New Roman"/>
          <w:color w:val="000000"/>
          <w:kern w:val="0"/>
          <w:sz w:val="34"/>
          <w:szCs w:val="34"/>
        </w:rPr>
        <w:t>巡检</w:t>
      </w:r>
      <w:r>
        <w:rPr>
          <w:rFonts w:hint="eastAsia" w:ascii="仿宋_GB2312" w:hAnsi="Times New Roman" w:eastAsia="仿宋_GB2312" w:cs="Times New Roman"/>
          <w:sz w:val="34"/>
          <w:szCs w:val="34"/>
        </w:rPr>
        <w:t>管控</w:t>
      </w:r>
      <w:r>
        <w:rPr>
          <w:rFonts w:hint="eastAsia" w:ascii="仿宋_GB2312" w:hAnsi="Times New Roman" w:eastAsia="仿宋_GB2312" w:cs="Times New Roman"/>
          <w:color w:val="000000"/>
          <w:kern w:val="0"/>
          <w:sz w:val="34"/>
          <w:szCs w:val="34"/>
        </w:rPr>
        <w:t>平台具备</w:t>
      </w:r>
      <w:r>
        <w:rPr>
          <w:rFonts w:hint="eastAsia" w:ascii="仿宋_GB2312" w:hAnsi="Times New Roman" w:eastAsia="仿宋_GB2312" w:cs="Times New Roman"/>
          <w:sz w:val="34"/>
          <w:szCs w:val="34"/>
        </w:rPr>
        <w:t>趋势图看板功能，PC端提供集中图形展示机器人巡检结果的历史数据，横坐标为可变的时间段、纵坐标为选件的数据对象的百分数值，支持放大或缩小展示。（提供人机交互界面截图及展示视频截图）</w:t>
      </w:r>
    </w:p>
    <w:p>
      <w:pPr>
        <w:snapToGrid w:val="0"/>
        <w:spacing w:line="600" w:lineRule="exact"/>
        <w:ind w:firstLine="680" w:firstLineChars="200"/>
        <w:rPr>
          <w:rFonts w:ascii="仿宋_GB2312" w:hAnsi="Times New Roman" w:eastAsia="仿宋_GB2312" w:cs="Times New Roman"/>
          <w:sz w:val="34"/>
          <w:szCs w:val="34"/>
        </w:rPr>
      </w:pPr>
      <w:r>
        <w:rPr>
          <w:rFonts w:hint="eastAsia" w:ascii="仿宋_GB2312" w:hAnsi="Segoe UI Symbol" w:eastAsia="仿宋_GB2312" w:cs="Segoe UI Symbol"/>
          <w:color w:val="000000" w:themeColor="text1"/>
          <w:kern w:val="0"/>
          <w:sz w:val="34"/>
          <w:szCs w:val="34"/>
        </w:rPr>
        <w:t>★</w:t>
      </w:r>
      <w:r>
        <w:rPr>
          <w:rFonts w:hint="eastAsia" w:ascii="仿宋_GB2312" w:hAnsi="Times New Roman" w:eastAsia="仿宋_GB2312" w:cs="Times New Roman"/>
          <w:color w:val="000000"/>
          <w:kern w:val="0"/>
          <w:sz w:val="34"/>
          <w:szCs w:val="34"/>
        </w:rPr>
        <w:t>巡检</w:t>
      </w:r>
      <w:r>
        <w:rPr>
          <w:rFonts w:hint="eastAsia" w:ascii="仿宋_GB2312" w:hAnsi="Times New Roman" w:eastAsia="仿宋_GB2312" w:cs="Times New Roman"/>
          <w:sz w:val="34"/>
          <w:szCs w:val="34"/>
        </w:rPr>
        <w:t>管控</w:t>
      </w:r>
      <w:r>
        <w:rPr>
          <w:rFonts w:hint="eastAsia" w:ascii="仿宋_GB2312" w:hAnsi="Times New Roman" w:eastAsia="仿宋_GB2312" w:cs="Times New Roman"/>
          <w:color w:val="000000"/>
          <w:kern w:val="0"/>
          <w:sz w:val="34"/>
          <w:szCs w:val="34"/>
        </w:rPr>
        <w:t>平台具备</w:t>
      </w:r>
      <w:r>
        <w:rPr>
          <w:rFonts w:hint="eastAsia" w:ascii="仿宋_GB2312" w:hAnsi="Times New Roman" w:eastAsia="仿宋_GB2312" w:cs="Times New Roman"/>
          <w:sz w:val="34"/>
          <w:szCs w:val="34"/>
        </w:rPr>
        <w:t>异常报警复检功能，至少提供三种确认报警信息的模式。当选择复检后，机器人会暂停当前任务，进行复检任务，复检完成后，继续执行当前任务。（提供人机交互界面截图及展示视频截图）</w:t>
      </w:r>
    </w:p>
    <w:p>
      <w:pPr>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color w:val="000000"/>
          <w:kern w:val="0"/>
          <w:sz w:val="34"/>
          <w:szCs w:val="34"/>
        </w:rPr>
        <w:t>巡检</w:t>
      </w:r>
      <w:r>
        <w:rPr>
          <w:rFonts w:hint="eastAsia" w:ascii="仿宋_GB2312" w:hAnsi="Times New Roman" w:eastAsia="仿宋_GB2312" w:cs="Times New Roman"/>
          <w:sz w:val="34"/>
          <w:szCs w:val="34"/>
        </w:rPr>
        <w:t>管控</w:t>
      </w:r>
      <w:r>
        <w:rPr>
          <w:rFonts w:hint="eastAsia" w:ascii="仿宋_GB2312" w:hAnsi="Times New Roman" w:eastAsia="仿宋_GB2312" w:cs="Times New Roman"/>
          <w:color w:val="000000"/>
          <w:kern w:val="0"/>
          <w:sz w:val="34"/>
          <w:szCs w:val="34"/>
        </w:rPr>
        <w:t>平台</w:t>
      </w:r>
      <w:r>
        <w:rPr>
          <w:rFonts w:hint="eastAsia" w:ascii="仿宋_GB2312" w:hAnsi="Times New Roman" w:eastAsia="仿宋_GB2312" w:cs="Times New Roman"/>
          <w:sz w:val="34"/>
          <w:szCs w:val="34"/>
        </w:rPr>
        <w:t>支持将内部系统相关状态数据传输至外部系统；支持将内部系统相关视频流传输至外部系统；能从外部系统获取设备实时数据，也可向外部系统上报设备状态及分析结果等信息。</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平台数据传输时采用必要的信息安全措施。</w:t>
      </w:r>
    </w:p>
    <w:p>
      <w:pPr>
        <w:pStyle w:val="4"/>
        <w:keepNext w:val="0"/>
        <w:keepLines w:val="0"/>
        <w:spacing w:before="0" w:after="0" w:line="600" w:lineRule="exact"/>
        <w:rPr>
          <w:rFonts w:ascii="黑体" w:hAnsi="黑体" w:eastAsia="黑体" w:cs="Times New Roman"/>
          <w:b w:val="0"/>
          <w:sz w:val="34"/>
          <w:szCs w:val="34"/>
        </w:rPr>
      </w:pPr>
      <w:bookmarkStart w:id="14" w:name="_Toc74301870"/>
      <w:bookmarkStart w:id="15" w:name="_Toc79055034"/>
      <w:r>
        <w:rPr>
          <w:rFonts w:hint="eastAsia" w:ascii="黑体" w:hAnsi="黑体" w:eastAsia="黑体" w:cs="Times New Roman"/>
          <w:b w:val="0"/>
          <w:sz w:val="34"/>
          <w:szCs w:val="34"/>
        </w:rPr>
        <w:t>6．质量保证</w:t>
      </w:r>
      <w:bookmarkEnd w:id="14"/>
      <w:bookmarkEnd w:id="15"/>
    </w:p>
    <w:p>
      <w:pPr>
        <w:adjustRightInd w:val="0"/>
        <w:snapToGrid w:val="0"/>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6.1投标人应保证制造过程中的所有工艺、材料等（包括投标人的外购件在内）均应符合技术规范的规定。若招标人根据运行经验指定投标人提供某种外购零部件，投标人应积极配合。</w:t>
      </w:r>
    </w:p>
    <w:p>
      <w:pPr>
        <w:adjustRightInd w:val="0"/>
        <w:snapToGrid w:val="0"/>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6.2投标人应遵守本技术规范中各条款和工作项目的ISO9001GB/T1900质量保证体系，该质量保证体系经过国家认证和正常运转。</w:t>
      </w:r>
    </w:p>
    <w:p>
      <w:pPr>
        <w:tabs>
          <w:tab w:val="left" w:pos="480"/>
        </w:tabs>
        <w:adjustRightInd w:val="0"/>
        <w:snapToGrid w:val="0"/>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6.3 在正常使用工作环境</w:t>
      </w:r>
      <w:r>
        <w:rPr>
          <w:rFonts w:hint="eastAsia" w:ascii="仿宋_GB2312" w:hAnsi="Times New Roman" w:eastAsia="仿宋_GB2312" w:cs="Times New Roman"/>
          <w:sz w:val="34"/>
          <w:szCs w:val="34"/>
        </w:rPr>
        <w:t>下，机器人本体壳体、内部电器件和轮轴、轨道使用寿命不小于2年。</w:t>
      </w:r>
    </w:p>
    <w:p>
      <w:pPr>
        <w:tabs>
          <w:tab w:val="left" w:pos="480"/>
        </w:tabs>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color w:val="000000" w:themeColor="text1"/>
          <w:sz w:val="34"/>
          <w:szCs w:val="34"/>
        </w:rPr>
        <w:t>6.4 投标人所供设备质保期从设备通过验收之日起算，质保2年。在质保期内，非人为因素造成的设备损坏，应由投标人</w:t>
      </w:r>
      <w:r>
        <w:rPr>
          <w:rFonts w:hint="eastAsia" w:ascii="仿宋_GB2312" w:hAnsi="Times New Roman" w:eastAsia="仿宋_GB2312" w:cs="Times New Roman"/>
          <w:sz w:val="34"/>
          <w:szCs w:val="34"/>
        </w:rPr>
        <w:t>48小时内免费</w:t>
      </w:r>
      <w:r>
        <w:rPr>
          <w:rFonts w:hint="eastAsia" w:ascii="仿宋_GB2312" w:hAnsi="Times New Roman" w:eastAsia="仿宋_GB2312" w:cs="Times New Roman"/>
          <w:color w:val="000000" w:themeColor="text1"/>
          <w:sz w:val="34"/>
          <w:szCs w:val="34"/>
        </w:rPr>
        <w:t>更换，</w:t>
      </w:r>
      <w:r>
        <w:rPr>
          <w:rFonts w:hint="eastAsia" w:ascii="仿宋_GB2312" w:hAnsi="Times New Roman" w:eastAsia="仿宋_GB2312" w:cs="Times New Roman"/>
          <w:sz w:val="34"/>
          <w:szCs w:val="34"/>
        </w:rPr>
        <w:t>涉及的服务与备件均由投标人负责。</w:t>
      </w:r>
    </w:p>
    <w:p>
      <w:pPr>
        <w:adjustRightInd w:val="0"/>
        <w:spacing w:line="600" w:lineRule="exact"/>
        <w:ind w:firstLine="680" w:firstLineChars="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sz w:val="34"/>
          <w:szCs w:val="34"/>
        </w:rPr>
        <w:t>6</w:t>
      </w:r>
      <w:r>
        <w:rPr>
          <w:rFonts w:hint="eastAsia" w:ascii="仿宋_GB2312" w:hAnsi="Times New Roman" w:eastAsia="仿宋_GB2312" w:cs="Times New Roman"/>
          <w:color w:val="000000" w:themeColor="text1"/>
          <w:kern w:val="0"/>
          <w:sz w:val="34"/>
          <w:szCs w:val="34"/>
        </w:rPr>
        <w:t>.5</w:t>
      </w:r>
      <w:r>
        <w:rPr>
          <w:rFonts w:hint="eastAsia" w:ascii="仿宋_GB2312" w:hAnsi="Times New Roman" w:eastAsia="仿宋_GB2312" w:cs="Times New Roman"/>
          <w:kern w:val="0"/>
          <w:sz w:val="34"/>
          <w:szCs w:val="34"/>
        </w:rPr>
        <w:t>施工过程中无任何费用增加，因遗漏需增加所供设备种类及数量，投标人应在24小时内满足现场要求，不影响施工进度。</w:t>
      </w:r>
    </w:p>
    <w:p>
      <w:pPr>
        <w:pStyle w:val="4"/>
        <w:keepNext w:val="0"/>
        <w:keepLines w:val="0"/>
        <w:spacing w:before="0" w:after="0" w:line="600" w:lineRule="exact"/>
        <w:rPr>
          <w:rFonts w:ascii="黑体" w:hAnsi="黑体" w:eastAsia="黑体" w:cs="Times New Roman"/>
          <w:b w:val="0"/>
          <w:sz w:val="34"/>
          <w:szCs w:val="34"/>
        </w:rPr>
      </w:pPr>
      <w:bookmarkStart w:id="16" w:name="_Toc79055035"/>
      <w:r>
        <w:rPr>
          <w:rFonts w:hint="eastAsia" w:ascii="黑体" w:hAnsi="黑体" w:eastAsia="黑体" w:cs="Times New Roman"/>
          <w:b w:val="0"/>
          <w:sz w:val="34"/>
          <w:szCs w:val="34"/>
        </w:rPr>
        <w:t>7．标准与规范</w:t>
      </w:r>
      <w:bookmarkEnd w:id="16"/>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下述标准和规范仅规定了最低要求，只要投标人认为有必要且经招标人认可，即可超越这些标准，采用更好、更经济的设计和材料，以便投标人的设备持续稳定地运行。</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GB 4208外    壳防护等级（IP代码）</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GB/T 2423    电工电子产品环境试验</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GB 2887</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电子计算机场地通用规范</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GB 9813</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微型数字电子计算机通用技术条件</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GB50063</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电力装置的电测量仪表装置设计规范</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GB/T 13730</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地区电网数据采集与监控系统通用技术条件</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IEC61000-4-2    静电放电抗扰度</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IEC61000-4-3</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辐射电磁场抗扰度</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IEC61000-4-4</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快速瞬变电脉冲抗扰度</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IEC61000-4-5</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冲击（浪涌）抗扰度</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IEC61000-4-6</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电磁场感应的传导骚扰的抗扰度</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IEC61000-4-8</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工频磁场的抗扰度</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IEC61000-4-9</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脉冲磁场的抗扰度</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IEC61000-4-10</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阻尼振荡磁场的抗扰度</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IEC61000-4-11</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电压暂降、电压短时中断和电压变化的抗扰度</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IEC61000-4-12</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振荡波的抗扰度</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IEC61000-2-5</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电磁场环境分类</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IEC801          工业过程测量和控制设备的电磁兼容</w:t>
      </w:r>
    </w:p>
    <w:p>
      <w:pPr>
        <w:pStyle w:val="2"/>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GB/T 36276-2018    电力储能用锂离子电池</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国家电网生（2012）352号   国家电网公司十八项电网重大反事故措施</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国安能源【2015】36号  电力监控系统安全防护总体方案</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国家发展和改革委员会令2014年第14号  电力监控系统安全防护规定</w:t>
      </w:r>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国能安全【2014】161号  防止电力生产事故的二十五项重点要求</w:t>
      </w:r>
    </w:p>
    <w:p>
      <w:pPr>
        <w:pStyle w:val="4"/>
        <w:keepNext w:val="0"/>
        <w:keepLines w:val="0"/>
        <w:spacing w:before="0" w:after="0" w:line="600" w:lineRule="exact"/>
        <w:rPr>
          <w:rFonts w:ascii="黑体" w:hAnsi="黑体" w:eastAsia="黑体" w:cs="Times New Roman"/>
          <w:b w:val="0"/>
          <w:sz w:val="34"/>
          <w:szCs w:val="34"/>
        </w:rPr>
      </w:pPr>
      <w:bookmarkStart w:id="17" w:name="_Toc79055036"/>
      <w:r>
        <w:rPr>
          <w:rFonts w:hint="eastAsia" w:ascii="黑体" w:hAnsi="黑体" w:eastAsia="黑体" w:cs="Times New Roman"/>
          <w:b w:val="0"/>
          <w:sz w:val="34"/>
          <w:szCs w:val="34"/>
        </w:rPr>
        <w:t>8．供货范围</w:t>
      </w:r>
      <w:bookmarkEnd w:id="17"/>
    </w:p>
    <w:p>
      <w:pPr>
        <w:pStyle w:val="4"/>
        <w:keepNext w:val="0"/>
        <w:keepLines w:val="0"/>
        <w:spacing w:before="0" w:after="0" w:line="600" w:lineRule="exact"/>
        <w:rPr>
          <w:rFonts w:ascii="黑体" w:hAnsi="黑体" w:eastAsia="黑体" w:cs="Times New Roman"/>
          <w:b w:val="0"/>
          <w:sz w:val="34"/>
          <w:szCs w:val="34"/>
        </w:rPr>
      </w:pPr>
      <w:bookmarkStart w:id="18" w:name="_Toc79055037"/>
      <w:r>
        <w:rPr>
          <w:rFonts w:hint="eastAsia" w:ascii="黑体" w:hAnsi="黑体" w:eastAsia="黑体" w:cs="Times New Roman"/>
          <w:b w:val="0"/>
          <w:sz w:val="34"/>
          <w:szCs w:val="34"/>
        </w:rPr>
        <w:t>8.1一般要求</w:t>
      </w:r>
      <w:bookmarkEnd w:id="18"/>
    </w:p>
    <w:p>
      <w:pPr>
        <w:spacing w:line="600" w:lineRule="exact"/>
        <w:ind w:firstLine="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8.1.1 本附件规定了合同设备的供货范围，投标人保证提供设备为全新的、先进的、成熟的、完整的和安全可靠的，且设备的技术经济性能符合要求。</w:t>
      </w:r>
    </w:p>
    <w:p>
      <w:pPr>
        <w:spacing w:line="600" w:lineRule="exact"/>
        <w:ind w:firstLine="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8.1.2 投标人应提供详细供货清单，清单中依次说明型号、数量、产地、生产厂家等内容。对于属于整套设备运行和施工所必需的部件，即使本合同附件未列出和或数目不足，投标人仍须在执行的同时补足。</w:t>
      </w:r>
    </w:p>
    <w:p>
      <w:pPr>
        <w:spacing w:line="600" w:lineRule="exact"/>
        <w:ind w:firstLine="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8.1.3 除有特别注明外，所列数量均为本工程所需。</w:t>
      </w:r>
    </w:p>
    <w:p>
      <w:pPr>
        <w:spacing w:line="600" w:lineRule="exact"/>
        <w:ind w:firstLine="200"/>
        <w:rPr>
          <w:rFonts w:ascii="仿宋_GB2312" w:hAnsi="Times New Roman" w:eastAsia="仿宋_GB2312" w:cs="Times New Roman"/>
          <w:color w:val="FF0000"/>
          <w:sz w:val="34"/>
          <w:szCs w:val="34"/>
        </w:rPr>
      </w:pPr>
      <w:r>
        <w:rPr>
          <w:rFonts w:hint="eastAsia" w:ascii="仿宋_GB2312" w:hAnsi="Times New Roman" w:eastAsia="仿宋_GB2312" w:cs="Times New Roman"/>
          <w:color w:val="000000"/>
          <w:sz w:val="34"/>
          <w:szCs w:val="34"/>
        </w:rPr>
        <w:t xml:space="preserve">8.1.4 </w:t>
      </w:r>
      <w:r>
        <w:rPr>
          <w:rFonts w:hint="eastAsia" w:ascii="仿宋_GB2312" w:hAnsi="Times New Roman" w:eastAsia="仿宋_GB2312" w:cs="Times New Roman"/>
          <w:sz w:val="34"/>
          <w:szCs w:val="34"/>
        </w:rPr>
        <w:t>投标时需提供易损件清单、更换周期及单价。该清单作为综合评标依据，以5年使用期限计算。</w:t>
      </w:r>
    </w:p>
    <w:p>
      <w:pPr>
        <w:spacing w:line="600" w:lineRule="exact"/>
        <w:ind w:firstLine="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8.1.5所有施工由投标方完成。</w:t>
      </w:r>
    </w:p>
    <w:p>
      <w:pPr>
        <w:pStyle w:val="9"/>
        <w:spacing w:line="600" w:lineRule="exact"/>
        <w:ind w:firstLine="200"/>
      </w:pPr>
      <w:r>
        <w:rPr>
          <w:rFonts w:hint="eastAsia" w:ascii="仿宋_GB2312" w:hAnsi="Times New Roman" w:eastAsia="仿宋_GB2312" w:cs="Times New Roman"/>
          <w:color w:val="000000"/>
          <w:sz w:val="34"/>
          <w:szCs w:val="34"/>
        </w:rPr>
        <w:t>8.1.6通讯网络物理链路部分由索普自建。</w:t>
      </w:r>
    </w:p>
    <w:p>
      <w:pPr>
        <w:pStyle w:val="4"/>
        <w:keepNext w:val="0"/>
        <w:keepLines w:val="0"/>
        <w:spacing w:before="0" w:after="0" w:line="600" w:lineRule="exact"/>
        <w:rPr>
          <w:rFonts w:ascii="黑体" w:hAnsi="黑体" w:eastAsia="黑体" w:cs="Times New Roman"/>
          <w:b w:val="0"/>
          <w:sz w:val="34"/>
          <w:szCs w:val="34"/>
        </w:rPr>
      </w:pPr>
      <w:bookmarkStart w:id="19" w:name="_Toc74301874"/>
      <w:bookmarkStart w:id="20" w:name="_Toc79055038"/>
      <w:r>
        <w:rPr>
          <w:rFonts w:hint="eastAsia" w:ascii="黑体" w:hAnsi="黑体" w:eastAsia="黑体" w:cs="Times New Roman"/>
          <w:b w:val="0"/>
          <w:sz w:val="34"/>
          <w:szCs w:val="34"/>
        </w:rPr>
        <w:t>8.2供货清单</w:t>
      </w:r>
      <w:bookmarkEnd w:id="19"/>
      <w:bookmarkEnd w:id="20"/>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投标人应确保供货范围完整，能满足安装、运行、检修要求为原则，在技术规范中涉及的供货要求也作为本供货范围的补充，若在安装、调试、运行中发现缺项(属投标人供货范围)由投标人补充。</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供货清单（包括但不限于以下内容）：</w:t>
      </w:r>
    </w:p>
    <w:tbl>
      <w:tblPr>
        <w:tblStyle w:val="15"/>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48"/>
        <w:gridCol w:w="4001"/>
        <w:gridCol w:w="1028"/>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59" w:type="dxa"/>
            <w:vAlign w:val="center"/>
          </w:tcPr>
          <w:p>
            <w:pPr>
              <w:pStyle w:val="25"/>
              <w:rPr>
                <w:rFonts w:ascii="仿宋_GB2312" w:eastAsia="仿宋_GB2312"/>
                <w:sz w:val="24"/>
                <w:szCs w:val="24"/>
              </w:rPr>
            </w:pPr>
            <w:r>
              <w:rPr>
                <w:rFonts w:hint="eastAsia" w:ascii="仿宋_GB2312" w:eastAsia="仿宋_GB2312"/>
                <w:sz w:val="24"/>
                <w:szCs w:val="24"/>
              </w:rPr>
              <w:t>序号</w:t>
            </w:r>
          </w:p>
        </w:tc>
        <w:tc>
          <w:tcPr>
            <w:tcW w:w="1948" w:type="dxa"/>
            <w:vAlign w:val="center"/>
          </w:tcPr>
          <w:p>
            <w:pPr>
              <w:pStyle w:val="25"/>
              <w:rPr>
                <w:rFonts w:ascii="仿宋_GB2312" w:eastAsia="仿宋_GB2312"/>
                <w:sz w:val="24"/>
                <w:szCs w:val="24"/>
              </w:rPr>
            </w:pPr>
            <w:r>
              <w:rPr>
                <w:rFonts w:hint="eastAsia" w:ascii="仿宋_GB2312" w:eastAsia="仿宋_GB2312"/>
                <w:sz w:val="24"/>
                <w:szCs w:val="24"/>
              </w:rPr>
              <w:t>项目</w:t>
            </w:r>
          </w:p>
        </w:tc>
        <w:tc>
          <w:tcPr>
            <w:tcW w:w="4001" w:type="dxa"/>
            <w:vAlign w:val="center"/>
          </w:tcPr>
          <w:p>
            <w:pPr>
              <w:pStyle w:val="25"/>
              <w:rPr>
                <w:rFonts w:ascii="仿宋_GB2312" w:eastAsia="仿宋_GB2312"/>
                <w:sz w:val="24"/>
                <w:szCs w:val="24"/>
              </w:rPr>
            </w:pPr>
            <w:r>
              <w:rPr>
                <w:rFonts w:hint="eastAsia" w:ascii="仿宋_GB2312" w:eastAsia="仿宋_GB2312"/>
                <w:sz w:val="24"/>
                <w:szCs w:val="24"/>
              </w:rPr>
              <w:t>参数指标</w:t>
            </w:r>
          </w:p>
        </w:tc>
        <w:tc>
          <w:tcPr>
            <w:tcW w:w="1028" w:type="dxa"/>
            <w:vAlign w:val="center"/>
          </w:tcPr>
          <w:p>
            <w:pPr>
              <w:pStyle w:val="25"/>
              <w:rPr>
                <w:rFonts w:ascii="仿宋_GB2312" w:eastAsia="仿宋_GB2312"/>
                <w:sz w:val="24"/>
                <w:szCs w:val="24"/>
              </w:rPr>
            </w:pPr>
            <w:r>
              <w:rPr>
                <w:rFonts w:hint="eastAsia" w:ascii="仿宋_GB2312" w:eastAsia="仿宋_GB2312"/>
                <w:sz w:val="24"/>
                <w:szCs w:val="24"/>
              </w:rPr>
              <w:t>单位</w:t>
            </w:r>
          </w:p>
        </w:tc>
        <w:tc>
          <w:tcPr>
            <w:tcW w:w="1000" w:type="dxa"/>
            <w:vAlign w:val="center"/>
          </w:tcPr>
          <w:p>
            <w:pPr>
              <w:pStyle w:val="25"/>
              <w:rPr>
                <w:rFonts w:ascii="仿宋_GB2312" w:eastAsia="仿宋_GB2312"/>
                <w:sz w:val="24"/>
                <w:szCs w:val="24"/>
              </w:rPr>
            </w:pPr>
            <w:r>
              <w:rPr>
                <w:rFonts w:hint="eastAsia" w:ascii="仿宋_GB2312" w:eastAsia="仿宋_GB2312"/>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936" w:type="dxa"/>
            <w:gridSpan w:val="5"/>
            <w:vAlign w:val="center"/>
          </w:tcPr>
          <w:p>
            <w:pPr>
              <w:pStyle w:val="25"/>
              <w:rPr>
                <w:rFonts w:ascii="仿宋_GB2312" w:eastAsia="仿宋_GB2312"/>
                <w:sz w:val="24"/>
                <w:szCs w:val="24"/>
              </w:rPr>
            </w:pPr>
            <w:r>
              <w:rPr>
                <w:rFonts w:hint="eastAsia" w:ascii="仿宋_GB2312" w:eastAsia="仿宋_GB2312"/>
                <w:sz w:val="24"/>
                <w:szCs w:val="24"/>
              </w:rPr>
              <w:t>防爆挂轨智能巡检机器人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59" w:type="dxa"/>
            <w:vAlign w:val="center"/>
          </w:tcPr>
          <w:p>
            <w:pPr>
              <w:pStyle w:val="25"/>
              <w:rPr>
                <w:rFonts w:ascii="仿宋_GB2312" w:eastAsia="仿宋_GB2312"/>
                <w:sz w:val="24"/>
                <w:szCs w:val="24"/>
              </w:rPr>
            </w:pPr>
            <w:r>
              <w:rPr>
                <w:rFonts w:hint="eastAsia" w:ascii="仿宋_GB2312" w:eastAsia="仿宋_GB2312"/>
                <w:sz w:val="24"/>
                <w:szCs w:val="24"/>
              </w:rPr>
              <w:t>1</w:t>
            </w:r>
          </w:p>
        </w:tc>
        <w:tc>
          <w:tcPr>
            <w:tcW w:w="1948" w:type="dxa"/>
            <w:vAlign w:val="center"/>
          </w:tcPr>
          <w:p>
            <w:pPr>
              <w:pStyle w:val="25"/>
              <w:rPr>
                <w:rFonts w:ascii="仿宋_GB2312" w:eastAsia="仿宋_GB2312"/>
                <w:sz w:val="24"/>
                <w:szCs w:val="24"/>
              </w:rPr>
            </w:pPr>
            <w:r>
              <w:rPr>
                <w:rFonts w:hint="eastAsia" w:ascii="仿宋_GB2312" w:eastAsia="仿宋_GB2312"/>
                <w:sz w:val="24"/>
                <w:szCs w:val="24"/>
              </w:rPr>
              <w:t>防爆挂轨智能巡检机器人</w:t>
            </w:r>
          </w:p>
        </w:tc>
        <w:tc>
          <w:tcPr>
            <w:tcW w:w="4001" w:type="dxa"/>
            <w:vAlign w:val="center"/>
          </w:tcPr>
          <w:p>
            <w:pPr>
              <w:pStyle w:val="25"/>
              <w:rPr>
                <w:rFonts w:ascii="仿宋_GB2312" w:eastAsia="仿宋_GB2312"/>
                <w:sz w:val="24"/>
                <w:szCs w:val="24"/>
              </w:rPr>
            </w:pPr>
            <w:r>
              <w:rPr>
                <w:rFonts w:hint="eastAsia" w:ascii="仿宋_GB2312" w:eastAsia="仿宋_GB2312"/>
                <w:sz w:val="24"/>
                <w:szCs w:val="24"/>
              </w:rPr>
              <w:t>1、巡检机器人本体（EX d IIC T4 GB）含：运动控制、主控模块、电源模块、防护模块、云台模块；</w:t>
            </w:r>
          </w:p>
          <w:p>
            <w:pPr>
              <w:pStyle w:val="25"/>
              <w:rPr>
                <w:rFonts w:ascii="仿宋_GB2312" w:eastAsia="仿宋_GB2312"/>
                <w:sz w:val="24"/>
                <w:szCs w:val="24"/>
              </w:rPr>
            </w:pPr>
            <w:r>
              <w:rPr>
                <w:rFonts w:hint="eastAsia" w:ascii="仿宋_GB2312" w:eastAsia="仿宋_GB2312"/>
                <w:sz w:val="24"/>
                <w:szCs w:val="24"/>
              </w:rPr>
              <w:t>2、图像识别模块；</w:t>
            </w:r>
          </w:p>
          <w:p>
            <w:pPr>
              <w:pStyle w:val="25"/>
              <w:rPr>
                <w:rFonts w:ascii="仿宋_GB2312" w:eastAsia="仿宋_GB2312"/>
                <w:sz w:val="24"/>
                <w:szCs w:val="24"/>
              </w:rPr>
            </w:pPr>
            <w:r>
              <w:rPr>
                <w:rFonts w:hint="eastAsia" w:ascii="仿宋_GB2312" w:eastAsia="仿宋_GB2312"/>
                <w:sz w:val="24"/>
                <w:szCs w:val="24"/>
              </w:rPr>
              <w:t>3、红外测温模块；</w:t>
            </w:r>
          </w:p>
          <w:p>
            <w:pPr>
              <w:pStyle w:val="25"/>
              <w:rPr>
                <w:rFonts w:ascii="仿宋_GB2312" w:eastAsia="仿宋_GB2312"/>
                <w:sz w:val="24"/>
                <w:szCs w:val="24"/>
              </w:rPr>
            </w:pPr>
            <w:r>
              <w:rPr>
                <w:rFonts w:hint="eastAsia" w:ascii="仿宋_GB2312" w:eastAsia="仿宋_GB2312"/>
                <w:sz w:val="24"/>
                <w:szCs w:val="24"/>
              </w:rPr>
              <w:t>4、声音采集模块；</w:t>
            </w:r>
          </w:p>
          <w:p>
            <w:pPr>
              <w:pStyle w:val="25"/>
              <w:rPr>
                <w:rFonts w:ascii="仿宋_GB2312" w:eastAsia="仿宋_GB2312"/>
                <w:sz w:val="24"/>
                <w:szCs w:val="24"/>
              </w:rPr>
            </w:pPr>
            <w:r>
              <w:rPr>
                <w:rFonts w:hint="eastAsia" w:ascii="仿宋_GB2312" w:eastAsia="仿宋_GB2312"/>
                <w:sz w:val="24"/>
                <w:szCs w:val="24"/>
              </w:rPr>
              <w:t>5、远程对讲模块；</w:t>
            </w:r>
          </w:p>
          <w:p>
            <w:pPr>
              <w:pStyle w:val="25"/>
              <w:rPr>
                <w:rFonts w:ascii="仿宋_GB2312" w:eastAsia="仿宋_GB2312"/>
                <w:sz w:val="24"/>
                <w:szCs w:val="24"/>
              </w:rPr>
            </w:pPr>
            <w:r>
              <w:rPr>
                <w:rFonts w:hint="eastAsia" w:ascii="仿宋_GB2312" w:eastAsia="仿宋_GB2312"/>
                <w:sz w:val="24"/>
                <w:szCs w:val="24"/>
              </w:rPr>
              <w:t>6、自主避障模块；</w:t>
            </w:r>
          </w:p>
          <w:p>
            <w:pPr>
              <w:pStyle w:val="25"/>
              <w:rPr>
                <w:rFonts w:ascii="仿宋_GB2312" w:eastAsia="仿宋_GB2312"/>
                <w:sz w:val="24"/>
                <w:szCs w:val="24"/>
              </w:rPr>
            </w:pPr>
            <w:r>
              <w:rPr>
                <w:rFonts w:hint="eastAsia" w:ascii="仿宋_GB2312" w:eastAsia="仿宋_GB2312"/>
                <w:sz w:val="24"/>
                <w:szCs w:val="24"/>
              </w:rPr>
              <w:t>7、粉尘浓度检测模块；</w:t>
            </w:r>
          </w:p>
          <w:p>
            <w:pPr>
              <w:pStyle w:val="25"/>
              <w:rPr>
                <w:rFonts w:ascii="仿宋_GB2312" w:eastAsia="仿宋_GB2312"/>
                <w:sz w:val="24"/>
                <w:szCs w:val="24"/>
              </w:rPr>
            </w:pPr>
            <w:r>
              <w:rPr>
                <w:rFonts w:hint="eastAsia" w:ascii="仿宋_GB2312" w:eastAsia="仿宋_GB2312"/>
                <w:sz w:val="24"/>
                <w:szCs w:val="24"/>
              </w:rPr>
              <w:t>8、声光报警模块；</w:t>
            </w:r>
          </w:p>
          <w:p>
            <w:pPr>
              <w:pStyle w:val="25"/>
              <w:rPr>
                <w:rFonts w:ascii="仿宋_GB2312" w:eastAsia="仿宋_GB2312"/>
                <w:sz w:val="24"/>
                <w:szCs w:val="24"/>
              </w:rPr>
            </w:pPr>
            <w:r>
              <w:rPr>
                <w:rFonts w:hint="eastAsia" w:ascii="仿宋_GB2312" w:eastAsia="仿宋_GB2312"/>
                <w:sz w:val="24"/>
                <w:szCs w:val="24"/>
              </w:rPr>
              <w:t>9、机器人软件系统。</w:t>
            </w:r>
          </w:p>
        </w:tc>
        <w:tc>
          <w:tcPr>
            <w:tcW w:w="1028" w:type="dxa"/>
            <w:vAlign w:val="center"/>
          </w:tcPr>
          <w:p>
            <w:pPr>
              <w:pStyle w:val="25"/>
              <w:rPr>
                <w:rFonts w:ascii="仿宋_GB2312" w:eastAsia="仿宋_GB2312"/>
                <w:sz w:val="24"/>
                <w:szCs w:val="24"/>
              </w:rPr>
            </w:pPr>
            <w:r>
              <w:rPr>
                <w:rFonts w:hint="eastAsia" w:ascii="仿宋_GB2312" w:eastAsia="仿宋_GB2312"/>
                <w:sz w:val="24"/>
                <w:szCs w:val="24"/>
              </w:rPr>
              <w:t>台</w:t>
            </w:r>
          </w:p>
        </w:tc>
        <w:tc>
          <w:tcPr>
            <w:tcW w:w="1000" w:type="dxa"/>
            <w:vAlign w:val="center"/>
          </w:tcPr>
          <w:p>
            <w:pPr>
              <w:pStyle w:val="25"/>
              <w:rPr>
                <w:rFonts w:ascii="仿宋_GB2312" w:eastAsia="仿宋_GB2312"/>
                <w:sz w:val="24"/>
                <w:szCs w:val="24"/>
              </w:rPr>
            </w:pPr>
            <w:r>
              <w:rPr>
                <w:rFonts w:hint="eastAsia" w:ascii="仿宋_GB2312" w:eastAsia="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59" w:type="dxa"/>
            <w:vAlign w:val="center"/>
          </w:tcPr>
          <w:p>
            <w:pPr>
              <w:pStyle w:val="25"/>
              <w:rPr>
                <w:rFonts w:ascii="仿宋_GB2312" w:eastAsia="仿宋_GB2312"/>
                <w:sz w:val="24"/>
                <w:szCs w:val="24"/>
              </w:rPr>
            </w:pPr>
            <w:r>
              <w:rPr>
                <w:rFonts w:hint="eastAsia" w:ascii="仿宋_GB2312" w:eastAsia="仿宋_GB2312"/>
                <w:sz w:val="24"/>
                <w:szCs w:val="24"/>
              </w:rPr>
              <w:t>2</w:t>
            </w:r>
          </w:p>
        </w:tc>
        <w:tc>
          <w:tcPr>
            <w:tcW w:w="1948" w:type="dxa"/>
            <w:vAlign w:val="center"/>
          </w:tcPr>
          <w:p>
            <w:pPr>
              <w:pStyle w:val="25"/>
              <w:rPr>
                <w:rFonts w:ascii="仿宋_GB2312" w:eastAsia="仿宋_GB2312"/>
                <w:sz w:val="24"/>
                <w:szCs w:val="24"/>
              </w:rPr>
            </w:pPr>
            <w:r>
              <w:rPr>
                <w:rFonts w:hint="eastAsia" w:ascii="仿宋_GB2312" w:eastAsia="仿宋_GB2312"/>
                <w:sz w:val="24"/>
                <w:szCs w:val="24"/>
              </w:rPr>
              <w:t>检测系统</w:t>
            </w:r>
          </w:p>
        </w:tc>
        <w:tc>
          <w:tcPr>
            <w:tcW w:w="4001" w:type="dxa"/>
            <w:vAlign w:val="center"/>
          </w:tcPr>
          <w:p>
            <w:pPr>
              <w:pStyle w:val="25"/>
              <w:rPr>
                <w:rFonts w:ascii="仿宋_GB2312" w:eastAsia="仿宋_GB2312"/>
                <w:sz w:val="24"/>
                <w:szCs w:val="24"/>
              </w:rPr>
            </w:pPr>
            <w:r>
              <w:rPr>
                <w:rFonts w:hint="eastAsia" w:ascii="仿宋_GB2312" w:eastAsia="仿宋_GB2312"/>
                <w:sz w:val="24"/>
                <w:szCs w:val="24"/>
              </w:rPr>
              <w:t>固定式皮带撕裂检测装置，每个皮带机头端、尾端各安装一台，共3台皮带机，共装6台。</w:t>
            </w:r>
          </w:p>
        </w:tc>
        <w:tc>
          <w:tcPr>
            <w:tcW w:w="1028" w:type="dxa"/>
            <w:vAlign w:val="center"/>
          </w:tcPr>
          <w:p>
            <w:pPr>
              <w:pStyle w:val="25"/>
              <w:rPr>
                <w:rFonts w:ascii="仿宋_GB2312" w:eastAsia="仿宋_GB2312"/>
                <w:sz w:val="24"/>
                <w:szCs w:val="24"/>
              </w:rPr>
            </w:pPr>
            <w:r>
              <w:rPr>
                <w:rFonts w:hint="eastAsia" w:ascii="仿宋_GB2312" w:eastAsia="仿宋_GB2312"/>
                <w:sz w:val="24"/>
                <w:szCs w:val="24"/>
              </w:rPr>
              <w:t>套</w:t>
            </w:r>
          </w:p>
        </w:tc>
        <w:tc>
          <w:tcPr>
            <w:tcW w:w="1000" w:type="dxa"/>
            <w:vAlign w:val="center"/>
          </w:tcPr>
          <w:p>
            <w:pPr>
              <w:pStyle w:val="25"/>
              <w:rPr>
                <w:rFonts w:ascii="仿宋_GB2312" w:eastAsia="仿宋_GB2312"/>
                <w:sz w:val="24"/>
                <w:szCs w:val="24"/>
              </w:rPr>
            </w:pPr>
            <w:r>
              <w:rPr>
                <w:rFonts w:hint="eastAsia" w:ascii="仿宋_GB2312" w:eastAsia="仿宋_GB2312"/>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59" w:type="dxa"/>
            <w:vAlign w:val="center"/>
          </w:tcPr>
          <w:p>
            <w:pPr>
              <w:pStyle w:val="25"/>
              <w:rPr>
                <w:rFonts w:ascii="仿宋_GB2312" w:eastAsia="仿宋_GB2312"/>
                <w:sz w:val="24"/>
                <w:szCs w:val="24"/>
              </w:rPr>
            </w:pPr>
            <w:r>
              <w:rPr>
                <w:rFonts w:hint="eastAsia" w:ascii="仿宋_GB2312" w:eastAsia="仿宋_GB2312"/>
                <w:sz w:val="24"/>
                <w:szCs w:val="24"/>
              </w:rPr>
              <w:t>3</w:t>
            </w:r>
          </w:p>
        </w:tc>
        <w:tc>
          <w:tcPr>
            <w:tcW w:w="1948" w:type="dxa"/>
            <w:vAlign w:val="center"/>
          </w:tcPr>
          <w:p>
            <w:pPr>
              <w:pStyle w:val="25"/>
              <w:rPr>
                <w:rFonts w:ascii="仿宋_GB2312" w:eastAsia="仿宋_GB2312"/>
                <w:sz w:val="24"/>
                <w:szCs w:val="24"/>
              </w:rPr>
            </w:pPr>
            <w:r>
              <w:rPr>
                <w:rFonts w:hint="eastAsia" w:ascii="仿宋_GB2312" w:eastAsia="仿宋_GB2312"/>
                <w:sz w:val="24"/>
                <w:szCs w:val="24"/>
              </w:rPr>
              <w:t>机器人轨道及安装</w:t>
            </w:r>
          </w:p>
        </w:tc>
        <w:tc>
          <w:tcPr>
            <w:tcW w:w="4001" w:type="dxa"/>
            <w:vAlign w:val="center"/>
          </w:tcPr>
          <w:p>
            <w:pPr>
              <w:pStyle w:val="25"/>
              <w:rPr>
                <w:rFonts w:ascii="仿宋_GB2312" w:eastAsia="仿宋_GB2312"/>
                <w:sz w:val="24"/>
                <w:szCs w:val="24"/>
              </w:rPr>
            </w:pPr>
            <w:r>
              <w:rPr>
                <w:rFonts w:hint="eastAsia" w:ascii="仿宋_GB2312" w:eastAsia="仿宋_GB2312"/>
                <w:sz w:val="24"/>
                <w:szCs w:val="24"/>
              </w:rPr>
              <w:t>轨道采用重量轻强度高的合金材料制成 ，一体化成型，具有强度高、重量轻、耐腐蚀等特点，驱动轮接 触面喷砂工艺处理，同时具备减震、防滑功能。</w:t>
            </w:r>
          </w:p>
        </w:tc>
        <w:tc>
          <w:tcPr>
            <w:tcW w:w="1028" w:type="dxa"/>
            <w:vAlign w:val="center"/>
          </w:tcPr>
          <w:p>
            <w:pPr>
              <w:pStyle w:val="25"/>
              <w:rPr>
                <w:rFonts w:ascii="仿宋_GB2312" w:eastAsia="仿宋_GB2312"/>
                <w:sz w:val="24"/>
                <w:szCs w:val="24"/>
              </w:rPr>
            </w:pPr>
            <w:r>
              <w:rPr>
                <w:rFonts w:hint="eastAsia" w:ascii="仿宋_GB2312" w:eastAsia="仿宋_GB2312"/>
                <w:sz w:val="24"/>
                <w:szCs w:val="24"/>
              </w:rPr>
              <w:t>米</w:t>
            </w:r>
          </w:p>
        </w:tc>
        <w:tc>
          <w:tcPr>
            <w:tcW w:w="1000" w:type="dxa"/>
            <w:vAlign w:val="center"/>
          </w:tcPr>
          <w:p>
            <w:pPr>
              <w:pStyle w:val="25"/>
              <w:rPr>
                <w:rFonts w:ascii="仿宋_GB2312" w:eastAsia="仿宋_GB2312"/>
                <w:sz w:val="24"/>
                <w:szCs w:val="24"/>
              </w:rPr>
            </w:pPr>
            <w:r>
              <w:rPr>
                <w:rFonts w:hint="eastAsia" w:ascii="仿宋_GB2312" w:eastAsia="仿宋_GB2312"/>
                <w:sz w:val="24"/>
                <w:szCs w:val="24"/>
              </w:rPr>
              <w:t>按实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59" w:type="dxa"/>
            <w:vAlign w:val="center"/>
          </w:tcPr>
          <w:p>
            <w:pPr>
              <w:pStyle w:val="25"/>
              <w:rPr>
                <w:rFonts w:ascii="仿宋_GB2312" w:eastAsia="仿宋_GB2312"/>
                <w:sz w:val="24"/>
                <w:szCs w:val="24"/>
              </w:rPr>
            </w:pPr>
            <w:r>
              <w:rPr>
                <w:rFonts w:hint="eastAsia" w:ascii="仿宋_GB2312" w:eastAsia="仿宋_GB2312"/>
                <w:sz w:val="24"/>
                <w:szCs w:val="24"/>
              </w:rPr>
              <w:t>6</w:t>
            </w:r>
          </w:p>
        </w:tc>
        <w:tc>
          <w:tcPr>
            <w:tcW w:w="1948" w:type="dxa"/>
            <w:vAlign w:val="center"/>
          </w:tcPr>
          <w:p>
            <w:pPr>
              <w:pStyle w:val="25"/>
              <w:rPr>
                <w:rFonts w:ascii="仿宋_GB2312" w:eastAsia="仿宋_GB2312"/>
                <w:sz w:val="24"/>
                <w:szCs w:val="24"/>
              </w:rPr>
            </w:pPr>
            <w:r>
              <w:rPr>
                <w:rFonts w:hint="eastAsia" w:ascii="仿宋_GB2312" w:eastAsia="仿宋_GB2312"/>
                <w:sz w:val="24"/>
                <w:szCs w:val="24"/>
              </w:rPr>
              <w:t>RFID标签+支架</w:t>
            </w:r>
          </w:p>
        </w:tc>
        <w:tc>
          <w:tcPr>
            <w:tcW w:w="4001" w:type="dxa"/>
            <w:vAlign w:val="center"/>
          </w:tcPr>
          <w:p>
            <w:pPr>
              <w:pStyle w:val="25"/>
              <w:rPr>
                <w:rFonts w:ascii="仿宋_GB2312" w:eastAsia="仿宋_GB2312"/>
                <w:sz w:val="24"/>
                <w:szCs w:val="24"/>
              </w:rPr>
            </w:pPr>
            <w:r>
              <w:rPr>
                <w:rFonts w:hint="eastAsia" w:ascii="仿宋_GB2312" w:eastAsia="仿宋_GB2312"/>
                <w:sz w:val="24"/>
                <w:szCs w:val="24"/>
              </w:rPr>
              <w:t>RFID标签+支架</w:t>
            </w:r>
          </w:p>
        </w:tc>
        <w:tc>
          <w:tcPr>
            <w:tcW w:w="1028" w:type="dxa"/>
            <w:vAlign w:val="center"/>
          </w:tcPr>
          <w:p>
            <w:pPr>
              <w:pStyle w:val="25"/>
              <w:rPr>
                <w:rFonts w:ascii="仿宋_GB2312" w:eastAsia="仿宋_GB2312"/>
                <w:sz w:val="24"/>
                <w:szCs w:val="24"/>
              </w:rPr>
            </w:pPr>
            <w:r>
              <w:rPr>
                <w:rFonts w:hint="eastAsia" w:ascii="仿宋_GB2312" w:eastAsia="仿宋_GB2312"/>
                <w:sz w:val="24"/>
                <w:szCs w:val="24"/>
              </w:rPr>
              <w:t>套</w:t>
            </w:r>
          </w:p>
        </w:tc>
        <w:tc>
          <w:tcPr>
            <w:tcW w:w="1000" w:type="dxa"/>
            <w:vAlign w:val="center"/>
          </w:tcPr>
          <w:p>
            <w:pPr>
              <w:jc w:val="center"/>
              <w:rPr>
                <w:rFonts w:ascii="仿宋_GB2312" w:eastAsia="仿宋_GB2312"/>
                <w:sz w:val="24"/>
                <w:szCs w:val="24"/>
              </w:rPr>
            </w:pPr>
            <w:r>
              <w:rPr>
                <w:rFonts w:hint="eastAsia" w:ascii="仿宋_GB2312" w:eastAsia="仿宋_GB2312"/>
                <w:sz w:val="24"/>
                <w:szCs w:val="24"/>
              </w:rPr>
              <w:t>按实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59" w:type="dxa"/>
            <w:vAlign w:val="center"/>
          </w:tcPr>
          <w:p>
            <w:pPr>
              <w:pStyle w:val="25"/>
              <w:rPr>
                <w:rFonts w:ascii="仿宋_GB2312" w:eastAsia="仿宋_GB2312"/>
                <w:sz w:val="24"/>
                <w:szCs w:val="24"/>
              </w:rPr>
            </w:pPr>
            <w:r>
              <w:rPr>
                <w:rFonts w:hint="eastAsia" w:ascii="仿宋_GB2312" w:eastAsia="仿宋_GB2312"/>
                <w:sz w:val="24"/>
                <w:szCs w:val="24"/>
              </w:rPr>
              <w:t>7</w:t>
            </w:r>
          </w:p>
        </w:tc>
        <w:tc>
          <w:tcPr>
            <w:tcW w:w="1948" w:type="dxa"/>
            <w:vAlign w:val="center"/>
          </w:tcPr>
          <w:p>
            <w:pPr>
              <w:pStyle w:val="25"/>
              <w:rPr>
                <w:rFonts w:ascii="仿宋_GB2312" w:eastAsia="仿宋_GB2312"/>
                <w:sz w:val="24"/>
                <w:szCs w:val="24"/>
              </w:rPr>
            </w:pPr>
            <w:r>
              <w:rPr>
                <w:rFonts w:hint="eastAsia" w:ascii="仿宋_GB2312" w:eastAsia="仿宋_GB2312"/>
                <w:sz w:val="24"/>
                <w:szCs w:val="24"/>
              </w:rPr>
              <w:t>轨道雨棚</w:t>
            </w:r>
          </w:p>
        </w:tc>
        <w:tc>
          <w:tcPr>
            <w:tcW w:w="4001" w:type="dxa"/>
            <w:vAlign w:val="center"/>
          </w:tcPr>
          <w:p>
            <w:pPr>
              <w:pStyle w:val="25"/>
              <w:rPr>
                <w:rFonts w:ascii="仿宋_GB2312" w:eastAsia="仿宋_GB2312"/>
                <w:sz w:val="24"/>
                <w:szCs w:val="24"/>
              </w:rPr>
            </w:pPr>
            <w:r>
              <w:rPr>
                <w:rFonts w:hint="eastAsia" w:ascii="仿宋_GB2312" w:eastAsia="仿宋_GB2312"/>
                <w:sz w:val="24"/>
                <w:szCs w:val="24"/>
              </w:rPr>
              <w:t>钢结构彩钢板雨棚</w:t>
            </w:r>
          </w:p>
        </w:tc>
        <w:tc>
          <w:tcPr>
            <w:tcW w:w="1028" w:type="dxa"/>
            <w:vAlign w:val="center"/>
          </w:tcPr>
          <w:p>
            <w:pPr>
              <w:pStyle w:val="25"/>
              <w:rPr>
                <w:rFonts w:ascii="仿宋_GB2312" w:eastAsia="仿宋_GB2312"/>
                <w:sz w:val="24"/>
                <w:szCs w:val="24"/>
              </w:rPr>
            </w:pPr>
            <w:r>
              <w:rPr>
                <w:rFonts w:hint="eastAsia" w:ascii="仿宋_GB2312" w:eastAsia="仿宋_GB2312"/>
                <w:sz w:val="24"/>
                <w:szCs w:val="24"/>
              </w:rPr>
              <w:t>米</w:t>
            </w:r>
          </w:p>
        </w:tc>
        <w:tc>
          <w:tcPr>
            <w:tcW w:w="1000" w:type="dxa"/>
            <w:vAlign w:val="center"/>
          </w:tcPr>
          <w:p>
            <w:pPr>
              <w:jc w:val="center"/>
              <w:rPr>
                <w:rFonts w:ascii="仿宋_GB2312" w:eastAsia="仿宋_GB2312"/>
                <w:sz w:val="24"/>
                <w:szCs w:val="24"/>
              </w:rPr>
            </w:pPr>
            <w:r>
              <w:rPr>
                <w:rFonts w:hint="eastAsia" w:ascii="仿宋_GB2312" w:eastAsia="仿宋_GB2312"/>
                <w:sz w:val="24"/>
                <w:szCs w:val="24"/>
              </w:rPr>
              <w:t>按实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936" w:type="dxa"/>
            <w:gridSpan w:val="5"/>
            <w:vAlign w:val="center"/>
          </w:tcPr>
          <w:p>
            <w:pPr>
              <w:pStyle w:val="25"/>
              <w:rPr>
                <w:rFonts w:ascii="仿宋_GB2312" w:eastAsia="仿宋_GB2312"/>
                <w:sz w:val="24"/>
                <w:szCs w:val="24"/>
              </w:rPr>
            </w:pPr>
            <w:r>
              <w:rPr>
                <w:rFonts w:hint="eastAsia" w:ascii="仿宋_GB2312" w:eastAsia="仿宋_GB2312"/>
                <w:sz w:val="24"/>
                <w:szCs w:val="24"/>
              </w:rPr>
              <w:t>辅助配套设备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59" w:type="dxa"/>
            <w:vAlign w:val="center"/>
          </w:tcPr>
          <w:p>
            <w:pPr>
              <w:pStyle w:val="25"/>
              <w:rPr>
                <w:rFonts w:ascii="仿宋_GB2312" w:eastAsia="仿宋_GB2312"/>
                <w:sz w:val="24"/>
                <w:szCs w:val="24"/>
              </w:rPr>
            </w:pPr>
            <w:r>
              <w:rPr>
                <w:rFonts w:hint="eastAsia" w:ascii="仿宋_GB2312" w:eastAsia="仿宋_GB2312"/>
                <w:sz w:val="24"/>
                <w:szCs w:val="24"/>
              </w:rPr>
              <w:t>1</w:t>
            </w:r>
          </w:p>
        </w:tc>
        <w:tc>
          <w:tcPr>
            <w:tcW w:w="1948" w:type="dxa"/>
            <w:vAlign w:val="center"/>
          </w:tcPr>
          <w:p>
            <w:pPr>
              <w:pStyle w:val="25"/>
              <w:rPr>
                <w:rFonts w:ascii="仿宋_GB2312" w:eastAsia="仿宋_GB2312"/>
                <w:sz w:val="24"/>
                <w:szCs w:val="24"/>
              </w:rPr>
            </w:pPr>
            <w:r>
              <w:rPr>
                <w:rFonts w:hint="eastAsia" w:ascii="仿宋_GB2312" w:eastAsia="仿宋_GB2312"/>
                <w:sz w:val="24"/>
                <w:szCs w:val="24"/>
              </w:rPr>
              <w:t>充电坞</w:t>
            </w:r>
          </w:p>
        </w:tc>
        <w:tc>
          <w:tcPr>
            <w:tcW w:w="4001" w:type="dxa"/>
            <w:vAlign w:val="center"/>
          </w:tcPr>
          <w:p>
            <w:pPr>
              <w:pStyle w:val="25"/>
              <w:rPr>
                <w:rFonts w:ascii="仿宋_GB2312" w:eastAsia="仿宋_GB2312"/>
                <w:sz w:val="24"/>
                <w:szCs w:val="24"/>
              </w:rPr>
            </w:pPr>
            <w:r>
              <w:rPr>
                <w:rFonts w:hint="eastAsia" w:ascii="仿宋_GB2312" w:eastAsia="仿宋_GB2312"/>
                <w:sz w:val="24"/>
                <w:szCs w:val="24"/>
              </w:rPr>
              <w:t>含机器人自清洁功能。</w:t>
            </w:r>
          </w:p>
        </w:tc>
        <w:tc>
          <w:tcPr>
            <w:tcW w:w="1028" w:type="dxa"/>
            <w:vAlign w:val="center"/>
          </w:tcPr>
          <w:p>
            <w:pPr>
              <w:pStyle w:val="25"/>
              <w:rPr>
                <w:rFonts w:ascii="仿宋_GB2312" w:eastAsia="仿宋_GB2312"/>
                <w:sz w:val="24"/>
                <w:szCs w:val="24"/>
              </w:rPr>
            </w:pPr>
            <w:r>
              <w:rPr>
                <w:rFonts w:hint="eastAsia" w:ascii="仿宋_GB2312" w:eastAsia="仿宋_GB2312"/>
                <w:sz w:val="24"/>
                <w:szCs w:val="24"/>
              </w:rPr>
              <w:t>套</w:t>
            </w:r>
          </w:p>
        </w:tc>
        <w:tc>
          <w:tcPr>
            <w:tcW w:w="1000" w:type="dxa"/>
            <w:vAlign w:val="center"/>
          </w:tcPr>
          <w:p>
            <w:pPr>
              <w:pStyle w:val="25"/>
              <w:rPr>
                <w:rFonts w:ascii="仿宋_GB2312" w:eastAsia="仿宋_GB2312"/>
                <w:sz w:val="24"/>
                <w:szCs w:val="24"/>
              </w:rPr>
            </w:pPr>
            <w:r>
              <w:rPr>
                <w:rFonts w:hint="eastAsia" w:ascii="仿宋_GB2312" w:eastAsia="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59" w:type="dxa"/>
            <w:vAlign w:val="center"/>
          </w:tcPr>
          <w:p>
            <w:pPr>
              <w:pStyle w:val="25"/>
              <w:rPr>
                <w:rFonts w:ascii="仿宋_GB2312" w:eastAsia="仿宋_GB2312"/>
                <w:sz w:val="24"/>
                <w:szCs w:val="24"/>
              </w:rPr>
            </w:pPr>
            <w:r>
              <w:rPr>
                <w:rFonts w:hint="eastAsia" w:ascii="仿宋_GB2312" w:eastAsia="仿宋_GB2312"/>
                <w:sz w:val="24"/>
                <w:szCs w:val="24"/>
              </w:rPr>
              <w:t>2</w:t>
            </w:r>
          </w:p>
        </w:tc>
        <w:tc>
          <w:tcPr>
            <w:tcW w:w="1948" w:type="dxa"/>
            <w:vAlign w:val="center"/>
          </w:tcPr>
          <w:p>
            <w:pPr>
              <w:pStyle w:val="25"/>
              <w:rPr>
                <w:rFonts w:ascii="仿宋_GB2312" w:eastAsia="仿宋_GB2312"/>
                <w:sz w:val="24"/>
                <w:szCs w:val="24"/>
              </w:rPr>
            </w:pPr>
            <w:r>
              <w:rPr>
                <w:rFonts w:hint="eastAsia" w:ascii="仿宋_GB2312" w:eastAsia="仿宋_GB2312"/>
                <w:sz w:val="24"/>
                <w:szCs w:val="24"/>
              </w:rPr>
              <w:t>防爆充电桩</w:t>
            </w:r>
          </w:p>
        </w:tc>
        <w:tc>
          <w:tcPr>
            <w:tcW w:w="4001" w:type="dxa"/>
            <w:vAlign w:val="center"/>
          </w:tcPr>
          <w:p>
            <w:pPr>
              <w:pStyle w:val="25"/>
              <w:rPr>
                <w:rFonts w:ascii="仿宋_GB2312" w:eastAsia="仿宋_GB2312"/>
                <w:sz w:val="24"/>
                <w:szCs w:val="24"/>
              </w:rPr>
            </w:pPr>
            <w:r>
              <w:rPr>
                <w:rFonts w:hint="eastAsia" w:ascii="仿宋_GB2312" w:eastAsia="仿宋_GB2312"/>
                <w:sz w:val="24"/>
                <w:szCs w:val="24"/>
              </w:rPr>
              <w:t>含防爆充电桩、控制箱、供电设备等。</w:t>
            </w:r>
          </w:p>
        </w:tc>
        <w:tc>
          <w:tcPr>
            <w:tcW w:w="1028" w:type="dxa"/>
            <w:vAlign w:val="center"/>
          </w:tcPr>
          <w:p>
            <w:pPr>
              <w:pStyle w:val="25"/>
              <w:rPr>
                <w:rFonts w:ascii="仿宋_GB2312" w:eastAsia="仿宋_GB2312"/>
                <w:sz w:val="24"/>
                <w:szCs w:val="24"/>
              </w:rPr>
            </w:pPr>
            <w:r>
              <w:rPr>
                <w:rFonts w:hint="eastAsia" w:ascii="仿宋_GB2312" w:eastAsia="仿宋_GB2312"/>
                <w:sz w:val="24"/>
                <w:szCs w:val="24"/>
              </w:rPr>
              <w:t>套</w:t>
            </w:r>
          </w:p>
        </w:tc>
        <w:tc>
          <w:tcPr>
            <w:tcW w:w="1000" w:type="dxa"/>
            <w:vAlign w:val="center"/>
          </w:tcPr>
          <w:p>
            <w:pPr>
              <w:pStyle w:val="25"/>
              <w:rPr>
                <w:rFonts w:ascii="仿宋_GB2312" w:eastAsia="仿宋_GB2312"/>
                <w:sz w:val="24"/>
                <w:szCs w:val="24"/>
              </w:rPr>
            </w:pPr>
            <w:r>
              <w:rPr>
                <w:rFonts w:hint="eastAsia" w:ascii="仿宋_GB2312" w:eastAsia="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59" w:type="dxa"/>
            <w:vAlign w:val="center"/>
          </w:tcPr>
          <w:p>
            <w:pPr>
              <w:pStyle w:val="25"/>
              <w:rPr>
                <w:rFonts w:ascii="仿宋_GB2312" w:eastAsia="仿宋_GB2312"/>
                <w:sz w:val="24"/>
                <w:szCs w:val="24"/>
              </w:rPr>
            </w:pPr>
            <w:r>
              <w:rPr>
                <w:rFonts w:hint="eastAsia" w:ascii="仿宋_GB2312" w:eastAsia="仿宋_GB2312"/>
                <w:sz w:val="24"/>
                <w:szCs w:val="24"/>
              </w:rPr>
              <w:t>3</w:t>
            </w:r>
          </w:p>
        </w:tc>
        <w:tc>
          <w:tcPr>
            <w:tcW w:w="1948" w:type="dxa"/>
            <w:vAlign w:val="center"/>
          </w:tcPr>
          <w:p>
            <w:pPr>
              <w:pStyle w:val="25"/>
              <w:rPr>
                <w:rFonts w:ascii="仿宋_GB2312" w:eastAsia="仿宋_GB2312"/>
                <w:sz w:val="24"/>
                <w:szCs w:val="24"/>
              </w:rPr>
            </w:pPr>
            <w:r>
              <w:rPr>
                <w:rFonts w:hint="eastAsia" w:ascii="仿宋_GB2312" w:eastAsia="仿宋_GB2312"/>
                <w:sz w:val="24"/>
                <w:szCs w:val="24"/>
              </w:rPr>
              <w:t>防爆无线AP</w:t>
            </w:r>
          </w:p>
        </w:tc>
        <w:tc>
          <w:tcPr>
            <w:tcW w:w="4001" w:type="dxa"/>
            <w:vAlign w:val="center"/>
          </w:tcPr>
          <w:p>
            <w:pPr>
              <w:pStyle w:val="25"/>
              <w:rPr>
                <w:rFonts w:ascii="仿宋_GB2312" w:eastAsia="仿宋_GB2312"/>
                <w:sz w:val="24"/>
                <w:szCs w:val="24"/>
              </w:rPr>
            </w:pPr>
            <w:r>
              <w:rPr>
                <w:rFonts w:hint="eastAsia" w:ascii="仿宋_GB2312" w:eastAsia="仿宋_GB2312"/>
                <w:sz w:val="24"/>
                <w:szCs w:val="24"/>
              </w:rPr>
              <w:t>含防爆AP、安装支架等。</w:t>
            </w:r>
          </w:p>
        </w:tc>
        <w:tc>
          <w:tcPr>
            <w:tcW w:w="1028" w:type="dxa"/>
            <w:vAlign w:val="center"/>
          </w:tcPr>
          <w:p>
            <w:pPr>
              <w:pStyle w:val="25"/>
              <w:rPr>
                <w:rFonts w:ascii="仿宋_GB2312" w:eastAsia="仿宋_GB2312"/>
                <w:sz w:val="24"/>
                <w:szCs w:val="24"/>
              </w:rPr>
            </w:pPr>
            <w:r>
              <w:rPr>
                <w:rFonts w:hint="eastAsia" w:ascii="仿宋_GB2312" w:eastAsia="仿宋_GB2312"/>
                <w:sz w:val="24"/>
                <w:szCs w:val="24"/>
              </w:rPr>
              <w:t>套</w:t>
            </w:r>
          </w:p>
        </w:tc>
        <w:tc>
          <w:tcPr>
            <w:tcW w:w="1000" w:type="dxa"/>
            <w:vAlign w:val="center"/>
          </w:tcPr>
          <w:p>
            <w:pPr>
              <w:pStyle w:val="25"/>
              <w:rPr>
                <w:rFonts w:ascii="仿宋_GB2312" w:eastAsia="仿宋_GB2312"/>
                <w:sz w:val="24"/>
                <w:szCs w:val="24"/>
              </w:rPr>
            </w:pPr>
            <w:r>
              <w:rPr>
                <w:rFonts w:hint="eastAsia" w:ascii="仿宋_GB2312" w:eastAsia="仿宋_GB2312"/>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59" w:type="dxa"/>
            <w:vAlign w:val="center"/>
          </w:tcPr>
          <w:p>
            <w:pPr>
              <w:pStyle w:val="25"/>
              <w:rPr>
                <w:rFonts w:ascii="仿宋_GB2312" w:eastAsia="仿宋_GB2312"/>
                <w:sz w:val="24"/>
                <w:szCs w:val="24"/>
              </w:rPr>
            </w:pPr>
            <w:r>
              <w:rPr>
                <w:rFonts w:hint="eastAsia" w:ascii="仿宋_GB2312" w:eastAsia="仿宋_GB2312"/>
                <w:sz w:val="24"/>
                <w:szCs w:val="24"/>
              </w:rPr>
              <w:t>4</w:t>
            </w:r>
          </w:p>
        </w:tc>
        <w:tc>
          <w:tcPr>
            <w:tcW w:w="1948" w:type="dxa"/>
            <w:vAlign w:val="center"/>
          </w:tcPr>
          <w:p>
            <w:pPr>
              <w:pStyle w:val="25"/>
              <w:rPr>
                <w:rFonts w:ascii="仿宋_GB2312" w:eastAsia="仿宋_GB2312"/>
                <w:sz w:val="24"/>
                <w:szCs w:val="24"/>
              </w:rPr>
            </w:pPr>
            <w:r>
              <w:rPr>
                <w:rFonts w:hint="eastAsia" w:ascii="仿宋_GB2312" w:eastAsia="仿宋_GB2312"/>
                <w:sz w:val="24"/>
                <w:szCs w:val="24"/>
              </w:rPr>
              <w:t>防爆通讯控制箱</w:t>
            </w:r>
          </w:p>
        </w:tc>
        <w:tc>
          <w:tcPr>
            <w:tcW w:w="4001" w:type="dxa"/>
            <w:vAlign w:val="center"/>
          </w:tcPr>
          <w:p>
            <w:pPr>
              <w:pStyle w:val="25"/>
              <w:rPr>
                <w:rFonts w:ascii="仿宋_GB2312" w:eastAsia="仿宋_GB2312"/>
                <w:sz w:val="24"/>
                <w:szCs w:val="24"/>
              </w:rPr>
            </w:pPr>
            <w:r>
              <w:rPr>
                <w:rFonts w:hint="eastAsia" w:ascii="仿宋_GB2312" w:eastAsia="仿宋_GB2312"/>
                <w:sz w:val="24"/>
                <w:szCs w:val="24"/>
              </w:rPr>
              <w:t>含光电转换设备、光缆终端盒。</w:t>
            </w:r>
          </w:p>
        </w:tc>
        <w:tc>
          <w:tcPr>
            <w:tcW w:w="1028" w:type="dxa"/>
            <w:vAlign w:val="center"/>
          </w:tcPr>
          <w:p>
            <w:pPr>
              <w:pStyle w:val="25"/>
              <w:rPr>
                <w:rFonts w:ascii="仿宋_GB2312" w:eastAsia="仿宋_GB2312"/>
                <w:sz w:val="24"/>
                <w:szCs w:val="24"/>
              </w:rPr>
            </w:pPr>
            <w:r>
              <w:rPr>
                <w:rFonts w:hint="eastAsia" w:ascii="仿宋_GB2312" w:eastAsia="仿宋_GB2312"/>
                <w:sz w:val="24"/>
                <w:szCs w:val="24"/>
              </w:rPr>
              <w:t>套</w:t>
            </w:r>
          </w:p>
        </w:tc>
        <w:tc>
          <w:tcPr>
            <w:tcW w:w="1000" w:type="dxa"/>
            <w:vAlign w:val="center"/>
          </w:tcPr>
          <w:p>
            <w:pPr>
              <w:pStyle w:val="25"/>
              <w:rPr>
                <w:rFonts w:ascii="仿宋_GB2312" w:eastAsia="仿宋_GB2312"/>
                <w:sz w:val="24"/>
                <w:szCs w:val="24"/>
              </w:rPr>
            </w:pPr>
            <w:r>
              <w:rPr>
                <w:rFonts w:hint="eastAsia" w:ascii="仿宋_GB2312" w:eastAsia="仿宋_GB2312"/>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59" w:type="dxa"/>
            <w:vAlign w:val="center"/>
          </w:tcPr>
          <w:p>
            <w:pPr>
              <w:pStyle w:val="25"/>
              <w:rPr>
                <w:rFonts w:ascii="仿宋_GB2312" w:eastAsia="仿宋_GB2312"/>
                <w:sz w:val="24"/>
                <w:szCs w:val="24"/>
              </w:rPr>
            </w:pPr>
            <w:r>
              <w:rPr>
                <w:rFonts w:hint="eastAsia" w:ascii="仿宋_GB2312" w:eastAsia="仿宋_GB2312"/>
                <w:sz w:val="24"/>
                <w:szCs w:val="24"/>
              </w:rPr>
              <w:t>5</w:t>
            </w:r>
          </w:p>
        </w:tc>
        <w:tc>
          <w:tcPr>
            <w:tcW w:w="1948" w:type="dxa"/>
            <w:vAlign w:val="center"/>
          </w:tcPr>
          <w:p>
            <w:pPr>
              <w:pStyle w:val="25"/>
              <w:rPr>
                <w:rFonts w:ascii="仿宋_GB2312" w:eastAsia="仿宋_GB2312"/>
                <w:sz w:val="24"/>
                <w:szCs w:val="24"/>
              </w:rPr>
            </w:pPr>
            <w:r>
              <w:rPr>
                <w:rFonts w:hint="eastAsia" w:ascii="仿宋_GB2312" w:eastAsia="仿宋_GB2312"/>
                <w:sz w:val="24"/>
                <w:szCs w:val="24"/>
              </w:rPr>
              <w:t>轨道清洁装置</w:t>
            </w:r>
          </w:p>
        </w:tc>
        <w:tc>
          <w:tcPr>
            <w:tcW w:w="4001" w:type="dxa"/>
            <w:vAlign w:val="center"/>
          </w:tcPr>
          <w:p>
            <w:pPr>
              <w:pStyle w:val="25"/>
              <w:rPr>
                <w:rFonts w:ascii="仿宋_GB2312" w:eastAsia="仿宋_GB2312"/>
                <w:sz w:val="24"/>
                <w:szCs w:val="24"/>
              </w:rPr>
            </w:pPr>
            <w:r>
              <w:rPr>
                <w:rFonts w:hint="eastAsia" w:ascii="仿宋_GB2312" w:eastAsia="仿宋_GB2312"/>
                <w:sz w:val="24"/>
                <w:szCs w:val="24"/>
              </w:rPr>
              <w:t>用于清洁轨道。</w:t>
            </w:r>
          </w:p>
        </w:tc>
        <w:tc>
          <w:tcPr>
            <w:tcW w:w="1028" w:type="dxa"/>
            <w:vAlign w:val="center"/>
          </w:tcPr>
          <w:p>
            <w:pPr>
              <w:pStyle w:val="25"/>
              <w:rPr>
                <w:rFonts w:ascii="仿宋_GB2312" w:eastAsia="仿宋_GB2312"/>
                <w:sz w:val="24"/>
                <w:szCs w:val="24"/>
              </w:rPr>
            </w:pPr>
            <w:r>
              <w:rPr>
                <w:rFonts w:hint="eastAsia" w:ascii="仿宋_GB2312" w:eastAsia="仿宋_GB2312"/>
                <w:sz w:val="24"/>
                <w:szCs w:val="24"/>
              </w:rPr>
              <w:t>套</w:t>
            </w:r>
          </w:p>
        </w:tc>
        <w:tc>
          <w:tcPr>
            <w:tcW w:w="1000" w:type="dxa"/>
            <w:vAlign w:val="center"/>
          </w:tcPr>
          <w:p>
            <w:pPr>
              <w:pStyle w:val="25"/>
              <w:rPr>
                <w:rFonts w:ascii="仿宋_GB2312" w:eastAsia="仿宋_GB2312"/>
                <w:sz w:val="24"/>
                <w:szCs w:val="24"/>
              </w:rPr>
            </w:pPr>
            <w:r>
              <w:rPr>
                <w:rFonts w:hint="eastAsia" w:ascii="仿宋_GB2312" w:eastAsia="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59" w:type="dxa"/>
            <w:vAlign w:val="center"/>
          </w:tcPr>
          <w:p>
            <w:pPr>
              <w:pStyle w:val="25"/>
              <w:rPr>
                <w:rFonts w:ascii="仿宋_GB2312" w:eastAsia="仿宋_GB2312"/>
                <w:sz w:val="24"/>
                <w:szCs w:val="24"/>
              </w:rPr>
            </w:pPr>
            <w:r>
              <w:rPr>
                <w:rFonts w:hint="eastAsia" w:ascii="仿宋_GB2312" w:eastAsia="仿宋_GB2312"/>
                <w:sz w:val="24"/>
                <w:szCs w:val="24"/>
              </w:rPr>
              <w:t>6</w:t>
            </w:r>
          </w:p>
        </w:tc>
        <w:tc>
          <w:tcPr>
            <w:tcW w:w="1948" w:type="dxa"/>
            <w:vAlign w:val="center"/>
          </w:tcPr>
          <w:p>
            <w:pPr>
              <w:pStyle w:val="25"/>
              <w:rPr>
                <w:rFonts w:ascii="仿宋_GB2312" w:eastAsia="仿宋_GB2312"/>
                <w:sz w:val="24"/>
                <w:szCs w:val="24"/>
              </w:rPr>
            </w:pPr>
            <w:r>
              <w:rPr>
                <w:rFonts w:hint="eastAsia" w:ascii="仿宋_GB2312" w:eastAsia="仿宋_GB2312"/>
                <w:sz w:val="24"/>
                <w:szCs w:val="24"/>
              </w:rPr>
              <w:t>后台服务器</w:t>
            </w:r>
          </w:p>
        </w:tc>
        <w:tc>
          <w:tcPr>
            <w:tcW w:w="4001" w:type="dxa"/>
            <w:shd w:val="clear" w:color="auto" w:fill="auto"/>
            <w:vAlign w:val="center"/>
          </w:tcPr>
          <w:p>
            <w:pPr>
              <w:pStyle w:val="25"/>
              <w:rPr>
                <w:rFonts w:ascii="仿宋_GB2312" w:eastAsia="仿宋_GB2312"/>
                <w:sz w:val="24"/>
                <w:szCs w:val="24"/>
              </w:rPr>
            </w:pPr>
            <w:r>
              <w:rPr>
                <w:rFonts w:hint="eastAsia" w:ascii="仿宋_GB2312" w:eastAsia="仿宋_GB2312"/>
                <w:sz w:val="24"/>
                <w:szCs w:val="24"/>
              </w:rPr>
              <w:t>SR660V2/2*4314（单个CPU 16核 2.4GHZ）/128G/2*960G SAS SSD+3*2.4T(10K) SAS/R5350-8i/双电源/双口千兆以太网卡/A6000(48g) 显卡</w:t>
            </w:r>
          </w:p>
        </w:tc>
        <w:tc>
          <w:tcPr>
            <w:tcW w:w="1028" w:type="dxa"/>
            <w:vAlign w:val="center"/>
          </w:tcPr>
          <w:p>
            <w:pPr>
              <w:pStyle w:val="25"/>
              <w:rPr>
                <w:rFonts w:ascii="仿宋_GB2312" w:eastAsia="仿宋_GB2312"/>
                <w:sz w:val="24"/>
                <w:szCs w:val="24"/>
              </w:rPr>
            </w:pPr>
            <w:r>
              <w:rPr>
                <w:rFonts w:hint="eastAsia" w:ascii="仿宋_GB2312" w:eastAsia="仿宋_GB2312"/>
                <w:sz w:val="24"/>
                <w:szCs w:val="24"/>
              </w:rPr>
              <w:t>套</w:t>
            </w:r>
          </w:p>
        </w:tc>
        <w:tc>
          <w:tcPr>
            <w:tcW w:w="1000" w:type="dxa"/>
            <w:vAlign w:val="center"/>
          </w:tcPr>
          <w:p>
            <w:pPr>
              <w:pStyle w:val="25"/>
              <w:rPr>
                <w:rFonts w:ascii="仿宋_GB2312" w:eastAsia="仿宋_GB2312"/>
                <w:sz w:val="24"/>
                <w:szCs w:val="24"/>
              </w:rPr>
            </w:pPr>
            <w:r>
              <w:rPr>
                <w:rFonts w:hint="eastAsia" w:ascii="仿宋_GB2312"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959" w:type="dxa"/>
            <w:vAlign w:val="center"/>
          </w:tcPr>
          <w:p>
            <w:pPr>
              <w:pStyle w:val="25"/>
              <w:rPr>
                <w:rFonts w:ascii="仿宋_GB2312" w:eastAsia="仿宋_GB2312"/>
                <w:sz w:val="24"/>
                <w:szCs w:val="24"/>
              </w:rPr>
            </w:pPr>
            <w:r>
              <w:rPr>
                <w:rFonts w:hint="eastAsia" w:ascii="仿宋_GB2312" w:eastAsia="仿宋_GB2312"/>
                <w:sz w:val="24"/>
                <w:szCs w:val="24"/>
              </w:rPr>
              <w:t>7</w:t>
            </w:r>
          </w:p>
        </w:tc>
        <w:tc>
          <w:tcPr>
            <w:tcW w:w="1948" w:type="dxa"/>
            <w:vAlign w:val="center"/>
          </w:tcPr>
          <w:p>
            <w:pPr>
              <w:pStyle w:val="25"/>
              <w:rPr>
                <w:rFonts w:ascii="仿宋_GB2312" w:eastAsia="仿宋_GB2312"/>
                <w:sz w:val="24"/>
                <w:szCs w:val="24"/>
              </w:rPr>
            </w:pPr>
            <w:r>
              <w:rPr>
                <w:rFonts w:hint="eastAsia" w:ascii="仿宋_GB2312" w:eastAsia="仿宋_GB2312"/>
                <w:sz w:val="24"/>
                <w:szCs w:val="24"/>
              </w:rPr>
              <w:t>实施辅材级安装</w:t>
            </w:r>
          </w:p>
        </w:tc>
        <w:tc>
          <w:tcPr>
            <w:tcW w:w="4001" w:type="dxa"/>
            <w:vAlign w:val="center"/>
          </w:tcPr>
          <w:p>
            <w:pPr>
              <w:pStyle w:val="25"/>
              <w:rPr>
                <w:rFonts w:ascii="仿宋_GB2312" w:eastAsia="仿宋_GB2312"/>
                <w:sz w:val="24"/>
                <w:szCs w:val="24"/>
              </w:rPr>
            </w:pPr>
            <w:r>
              <w:rPr>
                <w:rFonts w:hint="eastAsia" w:ascii="仿宋_GB2312" w:eastAsia="仿宋_GB2312"/>
                <w:sz w:val="24"/>
                <w:szCs w:val="24"/>
              </w:rPr>
              <w:t>可能用到的路由器、交换机、插线板、网线、电缆、光纤、水晶头、微型漏电断路器、插座式电源电涌保护转换器、工业级电源转换器。</w:t>
            </w:r>
          </w:p>
        </w:tc>
        <w:tc>
          <w:tcPr>
            <w:tcW w:w="1028" w:type="dxa"/>
            <w:vAlign w:val="center"/>
          </w:tcPr>
          <w:p>
            <w:pPr>
              <w:pStyle w:val="25"/>
              <w:rPr>
                <w:rFonts w:ascii="仿宋_GB2312" w:eastAsia="仿宋_GB2312"/>
                <w:sz w:val="24"/>
                <w:szCs w:val="24"/>
              </w:rPr>
            </w:pPr>
            <w:r>
              <w:rPr>
                <w:rFonts w:hint="eastAsia" w:ascii="仿宋_GB2312" w:eastAsia="仿宋_GB2312"/>
                <w:sz w:val="24"/>
                <w:szCs w:val="24"/>
              </w:rPr>
              <w:t>套</w:t>
            </w:r>
          </w:p>
        </w:tc>
        <w:tc>
          <w:tcPr>
            <w:tcW w:w="1000" w:type="dxa"/>
            <w:vAlign w:val="center"/>
          </w:tcPr>
          <w:p>
            <w:pPr>
              <w:pStyle w:val="25"/>
              <w:rPr>
                <w:rFonts w:ascii="仿宋_GB2312" w:eastAsia="仿宋_GB2312"/>
                <w:sz w:val="24"/>
                <w:szCs w:val="24"/>
              </w:rPr>
            </w:pPr>
            <w:r>
              <w:rPr>
                <w:rFonts w:hint="eastAsia" w:ascii="仿宋_GB2312" w:eastAsia="仿宋_GB2312"/>
                <w:sz w:val="24"/>
                <w:szCs w:val="24"/>
              </w:rPr>
              <w:t>1</w:t>
            </w:r>
          </w:p>
        </w:tc>
      </w:tr>
    </w:tbl>
    <w:p>
      <w:pPr>
        <w:pStyle w:val="9"/>
        <w:spacing w:line="600" w:lineRule="exact"/>
        <w:ind w:firstLine="200"/>
        <w:rPr>
          <w:rFonts w:ascii="仿宋_GB2312" w:eastAsia="仿宋_GB2312"/>
          <w:sz w:val="34"/>
          <w:szCs w:val="34"/>
        </w:rPr>
      </w:pPr>
      <w:r>
        <w:rPr>
          <w:rFonts w:hint="eastAsia" w:ascii="仿宋_GB2312" w:eastAsia="仿宋_GB2312"/>
          <w:sz w:val="34"/>
          <w:szCs w:val="34"/>
        </w:rPr>
        <w:t>备注：需与气化厂服务器做服务器集群部署，实现双机热备功能。</w:t>
      </w:r>
    </w:p>
    <w:p>
      <w:pPr>
        <w:spacing w:line="600" w:lineRule="exact"/>
        <w:ind w:firstLine="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易损件（备品备件）清单(投标人填写)</w:t>
      </w:r>
    </w:p>
    <w:tbl>
      <w:tblPr>
        <w:tblStyle w:val="14"/>
        <w:tblW w:w="85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6"/>
        <w:gridCol w:w="1880"/>
        <w:gridCol w:w="1479"/>
        <w:gridCol w:w="747"/>
        <w:gridCol w:w="1304"/>
        <w:gridCol w:w="1485"/>
        <w:gridCol w:w="10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666" w:type="dxa"/>
            <w:vAlign w:val="center"/>
          </w:tcPr>
          <w:p>
            <w:pPr>
              <w:pStyle w:val="25"/>
              <w:rPr>
                <w:rFonts w:ascii="仿宋_GB2312" w:eastAsia="仿宋_GB2312"/>
                <w:sz w:val="24"/>
                <w:szCs w:val="24"/>
              </w:rPr>
            </w:pPr>
            <w:r>
              <w:rPr>
                <w:rFonts w:hint="eastAsia" w:ascii="仿宋_GB2312" w:eastAsia="仿宋_GB2312"/>
                <w:sz w:val="24"/>
                <w:szCs w:val="24"/>
              </w:rPr>
              <w:t>序号</w:t>
            </w:r>
          </w:p>
        </w:tc>
        <w:tc>
          <w:tcPr>
            <w:tcW w:w="1880" w:type="dxa"/>
            <w:vAlign w:val="center"/>
          </w:tcPr>
          <w:p>
            <w:pPr>
              <w:pStyle w:val="25"/>
              <w:rPr>
                <w:rFonts w:ascii="仿宋_GB2312" w:eastAsia="仿宋_GB2312"/>
                <w:sz w:val="24"/>
                <w:szCs w:val="24"/>
              </w:rPr>
            </w:pPr>
            <w:r>
              <w:rPr>
                <w:rFonts w:hint="eastAsia" w:ascii="仿宋_GB2312" w:eastAsia="仿宋_GB2312"/>
                <w:sz w:val="24"/>
                <w:szCs w:val="24"/>
              </w:rPr>
              <w:t>名称</w:t>
            </w:r>
          </w:p>
        </w:tc>
        <w:tc>
          <w:tcPr>
            <w:tcW w:w="1479" w:type="dxa"/>
            <w:vAlign w:val="center"/>
          </w:tcPr>
          <w:p>
            <w:pPr>
              <w:pStyle w:val="25"/>
              <w:rPr>
                <w:rFonts w:ascii="仿宋_GB2312" w:eastAsia="仿宋_GB2312"/>
                <w:sz w:val="24"/>
                <w:szCs w:val="24"/>
              </w:rPr>
            </w:pPr>
            <w:r>
              <w:rPr>
                <w:rFonts w:hint="eastAsia" w:ascii="仿宋_GB2312" w:eastAsia="仿宋_GB2312"/>
                <w:sz w:val="24"/>
                <w:szCs w:val="24"/>
              </w:rPr>
              <w:t>规格和型号</w:t>
            </w:r>
          </w:p>
        </w:tc>
        <w:tc>
          <w:tcPr>
            <w:tcW w:w="747" w:type="dxa"/>
            <w:vAlign w:val="center"/>
          </w:tcPr>
          <w:p>
            <w:pPr>
              <w:pStyle w:val="25"/>
              <w:rPr>
                <w:rFonts w:ascii="仿宋_GB2312" w:eastAsia="仿宋_GB2312"/>
                <w:sz w:val="24"/>
                <w:szCs w:val="24"/>
              </w:rPr>
            </w:pPr>
            <w:r>
              <w:rPr>
                <w:rFonts w:hint="eastAsia" w:ascii="仿宋_GB2312" w:eastAsia="仿宋_GB2312"/>
                <w:sz w:val="24"/>
                <w:szCs w:val="24"/>
              </w:rPr>
              <w:t>单位</w:t>
            </w:r>
          </w:p>
        </w:tc>
        <w:tc>
          <w:tcPr>
            <w:tcW w:w="1304" w:type="dxa"/>
            <w:vAlign w:val="center"/>
          </w:tcPr>
          <w:p>
            <w:pPr>
              <w:pStyle w:val="25"/>
              <w:rPr>
                <w:rFonts w:ascii="仿宋_GB2312" w:eastAsia="仿宋_GB2312"/>
                <w:sz w:val="24"/>
                <w:szCs w:val="24"/>
              </w:rPr>
            </w:pPr>
            <w:r>
              <w:rPr>
                <w:rFonts w:hint="eastAsia" w:ascii="仿宋_GB2312" w:eastAsia="仿宋_GB2312"/>
                <w:sz w:val="24"/>
                <w:szCs w:val="24"/>
              </w:rPr>
              <w:t>数量</w:t>
            </w:r>
          </w:p>
        </w:tc>
        <w:tc>
          <w:tcPr>
            <w:tcW w:w="1485" w:type="dxa"/>
            <w:vAlign w:val="center"/>
          </w:tcPr>
          <w:p>
            <w:pPr>
              <w:pStyle w:val="25"/>
              <w:rPr>
                <w:rFonts w:ascii="仿宋_GB2312" w:eastAsia="仿宋_GB2312"/>
                <w:sz w:val="24"/>
                <w:szCs w:val="24"/>
              </w:rPr>
            </w:pPr>
            <w:r>
              <w:rPr>
                <w:rFonts w:hint="eastAsia" w:ascii="仿宋_GB2312" w:eastAsia="仿宋_GB2312"/>
                <w:sz w:val="24"/>
                <w:szCs w:val="24"/>
              </w:rPr>
              <w:t>更换周期</w:t>
            </w:r>
          </w:p>
        </w:tc>
        <w:tc>
          <w:tcPr>
            <w:tcW w:w="1035" w:type="dxa"/>
            <w:vAlign w:val="center"/>
          </w:tcPr>
          <w:p>
            <w:pPr>
              <w:pStyle w:val="25"/>
              <w:rPr>
                <w:rFonts w:ascii="仿宋_GB2312" w:eastAsia="仿宋_GB2312"/>
                <w:sz w:val="24"/>
                <w:szCs w:val="24"/>
              </w:rPr>
            </w:pPr>
            <w:r>
              <w:rPr>
                <w:rFonts w:hint="eastAsia" w:ascii="仿宋_GB2312" w:eastAsia="仿宋_GB2312"/>
                <w:sz w:val="24"/>
                <w:szCs w:val="24"/>
              </w:rPr>
              <w:t>单价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6" w:type="dxa"/>
          </w:tcPr>
          <w:p>
            <w:pPr>
              <w:pStyle w:val="25"/>
              <w:rPr>
                <w:rFonts w:ascii="仿宋_GB2312" w:eastAsia="仿宋_GB2312"/>
                <w:sz w:val="24"/>
                <w:szCs w:val="24"/>
              </w:rPr>
            </w:pPr>
            <w:r>
              <w:rPr>
                <w:rFonts w:hint="eastAsia" w:ascii="仿宋_GB2312" w:eastAsia="仿宋_GB2312"/>
                <w:sz w:val="24"/>
                <w:szCs w:val="24"/>
              </w:rPr>
              <w:t>1</w:t>
            </w:r>
          </w:p>
        </w:tc>
        <w:tc>
          <w:tcPr>
            <w:tcW w:w="1880" w:type="dxa"/>
          </w:tcPr>
          <w:p>
            <w:pPr>
              <w:pStyle w:val="25"/>
              <w:rPr>
                <w:rFonts w:ascii="仿宋_GB2312" w:eastAsia="仿宋_GB2312"/>
                <w:sz w:val="24"/>
                <w:szCs w:val="24"/>
              </w:rPr>
            </w:pPr>
          </w:p>
        </w:tc>
        <w:tc>
          <w:tcPr>
            <w:tcW w:w="1479" w:type="dxa"/>
          </w:tcPr>
          <w:p>
            <w:pPr>
              <w:pStyle w:val="25"/>
              <w:rPr>
                <w:rFonts w:ascii="仿宋_GB2312" w:eastAsia="仿宋_GB2312"/>
                <w:sz w:val="24"/>
                <w:szCs w:val="24"/>
              </w:rPr>
            </w:pPr>
          </w:p>
        </w:tc>
        <w:tc>
          <w:tcPr>
            <w:tcW w:w="747" w:type="dxa"/>
          </w:tcPr>
          <w:p>
            <w:pPr>
              <w:pStyle w:val="25"/>
              <w:rPr>
                <w:rFonts w:ascii="仿宋_GB2312" w:eastAsia="仿宋_GB2312"/>
                <w:sz w:val="24"/>
                <w:szCs w:val="24"/>
              </w:rPr>
            </w:pPr>
          </w:p>
        </w:tc>
        <w:tc>
          <w:tcPr>
            <w:tcW w:w="1304" w:type="dxa"/>
          </w:tcPr>
          <w:p>
            <w:pPr>
              <w:pStyle w:val="25"/>
              <w:rPr>
                <w:rFonts w:ascii="仿宋_GB2312" w:eastAsia="仿宋_GB2312"/>
                <w:sz w:val="24"/>
                <w:szCs w:val="24"/>
              </w:rPr>
            </w:pPr>
            <w:r>
              <w:rPr>
                <w:rFonts w:hint="eastAsia" w:ascii="仿宋_GB2312" w:eastAsia="仿宋_GB2312"/>
                <w:sz w:val="24"/>
                <w:szCs w:val="24"/>
              </w:rPr>
              <w:t>1</w:t>
            </w:r>
          </w:p>
        </w:tc>
        <w:tc>
          <w:tcPr>
            <w:tcW w:w="1485" w:type="dxa"/>
          </w:tcPr>
          <w:p>
            <w:pPr>
              <w:pStyle w:val="25"/>
              <w:rPr>
                <w:rFonts w:ascii="仿宋_GB2312" w:eastAsia="仿宋_GB2312"/>
                <w:sz w:val="24"/>
                <w:szCs w:val="24"/>
              </w:rPr>
            </w:pPr>
          </w:p>
        </w:tc>
        <w:tc>
          <w:tcPr>
            <w:tcW w:w="1035" w:type="dxa"/>
          </w:tcPr>
          <w:p>
            <w:pPr>
              <w:pStyle w:val="25"/>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6" w:type="dxa"/>
          </w:tcPr>
          <w:p>
            <w:pPr>
              <w:pStyle w:val="25"/>
              <w:rPr>
                <w:rFonts w:ascii="仿宋_GB2312" w:eastAsia="仿宋_GB2312"/>
                <w:sz w:val="24"/>
                <w:szCs w:val="24"/>
              </w:rPr>
            </w:pPr>
            <w:r>
              <w:rPr>
                <w:rFonts w:hint="eastAsia" w:ascii="仿宋_GB2312" w:eastAsia="仿宋_GB2312"/>
                <w:sz w:val="24"/>
                <w:szCs w:val="24"/>
              </w:rPr>
              <w:t>2</w:t>
            </w:r>
          </w:p>
        </w:tc>
        <w:tc>
          <w:tcPr>
            <w:tcW w:w="1880" w:type="dxa"/>
          </w:tcPr>
          <w:p>
            <w:pPr>
              <w:pStyle w:val="25"/>
              <w:rPr>
                <w:rFonts w:ascii="仿宋_GB2312" w:eastAsia="仿宋_GB2312"/>
                <w:sz w:val="24"/>
                <w:szCs w:val="24"/>
              </w:rPr>
            </w:pPr>
          </w:p>
        </w:tc>
        <w:tc>
          <w:tcPr>
            <w:tcW w:w="1479" w:type="dxa"/>
          </w:tcPr>
          <w:p>
            <w:pPr>
              <w:pStyle w:val="25"/>
              <w:rPr>
                <w:rFonts w:ascii="仿宋_GB2312" w:eastAsia="仿宋_GB2312"/>
                <w:sz w:val="24"/>
                <w:szCs w:val="24"/>
              </w:rPr>
            </w:pPr>
          </w:p>
        </w:tc>
        <w:tc>
          <w:tcPr>
            <w:tcW w:w="747" w:type="dxa"/>
          </w:tcPr>
          <w:p>
            <w:pPr>
              <w:pStyle w:val="25"/>
              <w:rPr>
                <w:rFonts w:ascii="仿宋_GB2312" w:eastAsia="仿宋_GB2312"/>
                <w:sz w:val="24"/>
                <w:szCs w:val="24"/>
              </w:rPr>
            </w:pPr>
          </w:p>
        </w:tc>
        <w:tc>
          <w:tcPr>
            <w:tcW w:w="1304" w:type="dxa"/>
          </w:tcPr>
          <w:p>
            <w:pPr>
              <w:pStyle w:val="25"/>
              <w:rPr>
                <w:rFonts w:ascii="仿宋_GB2312" w:eastAsia="仿宋_GB2312"/>
                <w:sz w:val="24"/>
                <w:szCs w:val="24"/>
              </w:rPr>
            </w:pPr>
            <w:r>
              <w:rPr>
                <w:rFonts w:hint="eastAsia" w:ascii="仿宋_GB2312" w:eastAsia="仿宋_GB2312"/>
                <w:sz w:val="24"/>
                <w:szCs w:val="24"/>
              </w:rPr>
              <w:t>1</w:t>
            </w:r>
          </w:p>
        </w:tc>
        <w:tc>
          <w:tcPr>
            <w:tcW w:w="1485" w:type="dxa"/>
          </w:tcPr>
          <w:p>
            <w:pPr>
              <w:pStyle w:val="25"/>
              <w:rPr>
                <w:rFonts w:ascii="仿宋_GB2312" w:eastAsia="仿宋_GB2312"/>
                <w:sz w:val="24"/>
                <w:szCs w:val="24"/>
              </w:rPr>
            </w:pPr>
          </w:p>
        </w:tc>
        <w:tc>
          <w:tcPr>
            <w:tcW w:w="1035" w:type="dxa"/>
          </w:tcPr>
          <w:p>
            <w:pPr>
              <w:pStyle w:val="25"/>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6" w:type="dxa"/>
          </w:tcPr>
          <w:p>
            <w:pPr>
              <w:pStyle w:val="25"/>
              <w:rPr>
                <w:rFonts w:ascii="仿宋_GB2312" w:eastAsia="仿宋_GB2312"/>
                <w:sz w:val="24"/>
                <w:szCs w:val="24"/>
              </w:rPr>
            </w:pPr>
            <w:r>
              <w:rPr>
                <w:rFonts w:hint="eastAsia" w:ascii="仿宋_GB2312" w:eastAsia="仿宋_GB2312"/>
                <w:sz w:val="24"/>
                <w:szCs w:val="24"/>
              </w:rPr>
              <w:t>3</w:t>
            </w:r>
          </w:p>
        </w:tc>
        <w:tc>
          <w:tcPr>
            <w:tcW w:w="1880" w:type="dxa"/>
          </w:tcPr>
          <w:p>
            <w:pPr>
              <w:pStyle w:val="25"/>
              <w:rPr>
                <w:rFonts w:ascii="仿宋_GB2312" w:eastAsia="仿宋_GB2312"/>
                <w:sz w:val="24"/>
                <w:szCs w:val="24"/>
              </w:rPr>
            </w:pPr>
          </w:p>
        </w:tc>
        <w:tc>
          <w:tcPr>
            <w:tcW w:w="1479" w:type="dxa"/>
          </w:tcPr>
          <w:p>
            <w:pPr>
              <w:pStyle w:val="25"/>
              <w:rPr>
                <w:rFonts w:ascii="仿宋_GB2312" w:eastAsia="仿宋_GB2312"/>
                <w:sz w:val="24"/>
                <w:szCs w:val="24"/>
              </w:rPr>
            </w:pPr>
          </w:p>
        </w:tc>
        <w:tc>
          <w:tcPr>
            <w:tcW w:w="747" w:type="dxa"/>
          </w:tcPr>
          <w:p>
            <w:pPr>
              <w:pStyle w:val="25"/>
              <w:rPr>
                <w:rFonts w:ascii="仿宋_GB2312" w:eastAsia="仿宋_GB2312"/>
                <w:sz w:val="24"/>
                <w:szCs w:val="24"/>
              </w:rPr>
            </w:pPr>
          </w:p>
        </w:tc>
        <w:tc>
          <w:tcPr>
            <w:tcW w:w="1304" w:type="dxa"/>
          </w:tcPr>
          <w:p>
            <w:pPr>
              <w:pStyle w:val="25"/>
              <w:rPr>
                <w:rFonts w:ascii="仿宋_GB2312" w:eastAsia="仿宋_GB2312"/>
                <w:sz w:val="24"/>
                <w:szCs w:val="24"/>
              </w:rPr>
            </w:pPr>
            <w:r>
              <w:rPr>
                <w:rFonts w:hint="eastAsia" w:ascii="仿宋_GB2312" w:eastAsia="仿宋_GB2312"/>
                <w:sz w:val="24"/>
                <w:szCs w:val="24"/>
              </w:rPr>
              <w:t>1</w:t>
            </w:r>
          </w:p>
        </w:tc>
        <w:tc>
          <w:tcPr>
            <w:tcW w:w="1485" w:type="dxa"/>
          </w:tcPr>
          <w:p>
            <w:pPr>
              <w:pStyle w:val="25"/>
              <w:rPr>
                <w:rFonts w:ascii="仿宋_GB2312" w:eastAsia="仿宋_GB2312"/>
                <w:sz w:val="24"/>
                <w:szCs w:val="24"/>
              </w:rPr>
            </w:pPr>
          </w:p>
        </w:tc>
        <w:tc>
          <w:tcPr>
            <w:tcW w:w="1035" w:type="dxa"/>
          </w:tcPr>
          <w:p>
            <w:pPr>
              <w:pStyle w:val="25"/>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6" w:type="dxa"/>
          </w:tcPr>
          <w:p>
            <w:pPr>
              <w:pStyle w:val="25"/>
              <w:rPr>
                <w:rFonts w:ascii="仿宋_GB2312" w:eastAsia="仿宋_GB2312"/>
                <w:sz w:val="24"/>
                <w:szCs w:val="24"/>
              </w:rPr>
            </w:pPr>
            <w:r>
              <w:rPr>
                <w:rFonts w:hint="eastAsia" w:ascii="仿宋_GB2312" w:eastAsia="仿宋_GB2312"/>
                <w:sz w:val="24"/>
                <w:szCs w:val="24"/>
              </w:rPr>
              <w:t>4</w:t>
            </w:r>
          </w:p>
        </w:tc>
        <w:tc>
          <w:tcPr>
            <w:tcW w:w="1880" w:type="dxa"/>
          </w:tcPr>
          <w:p>
            <w:pPr>
              <w:pStyle w:val="25"/>
              <w:rPr>
                <w:rFonts w:ascii="仿宋_GB2312" w:eastAsia="仿宋_GB2312"/>
                <w:sz w:val="24"/>
                <w:szCs w:val="24"/>
              </w:rPr>
            </w:pPr>
          </w:p>
        </w:tc>
        <w:tc>
          <w:tcPr>
            <w:tcW w:w="1479" w:type="dxa"/>
          </w:tcPr>
          <w:p>
            <w:pPr>
              <w:pStyle w:val="25"/>
              <w:rPr>
                <w:rFonts w:ascii="仿宋_GB2312" w:eastAsia="仿宋_GB2312"/>
                <w:sz w:val="24"/>
                <w:szCs w:val="24"/>
              </w:rPr>
            </w:pPr>
          </w:p>
        </w:tc>
        <w:tc>
          <w:tcPr>
            <w:tcW w:w="747" w:type="dxa"/>
          </w:tcPr>
          <w:p>
            <w:pPr>
              <w:pStyle w:val="25"/>
              <w:rPr>
                <w:rFonts w:ascii="仿宋_GB2312" w:eastAsia="仿宋_GB2312"/>
                <w:sz w:val="24"/>
                <w:szCs w:val="24"/>
              </w:rPr>
            </w:pPr>
          </w:p>
        </w:tc>
        <w:tc>
          <w:tcPr>
            <w:tcW w:w="1304" w:type="dxa"/>
          </w:tcPr>
          <w:p>
            <w:pPr>
              <w:pStyle w:val="25"/>
              <w:rPr>
                <w:rFonts w:ascii="仿宋_GB2312" w:eastAsia="仿宋_GB2312"/>
                <w:sz w:val="24"/>
                <w:szCs w:val="24"/>
              </w:rPr>
            </w:pPr>
          </w:p>
        </w:tc>
        <w:tc>
          <w:tcPr>
            <w:tcW w:w="1485" w:type="dxa"/>
          </w:tcPr>
          <w:p>
            <w:pPr>
              <w:pStyle w:val="25"/>
              <w:rPr>
                <w:rFonts w:ascii="仿宋_GB2312" w:eastAsia="仿宋_GB2312"/>
                <w:sz w:val="24"/>
                <w:szCs w:val="24"/>
              </w:rPr>
            </w:pPr>
          </w:p>
        </w:tc>
        <w:tc>
          <w:tcPr>
            <w:tcW w:w="1035" w:type="dxa"/>
          </w:tcPr>
          <w:p>
            <w:pPr>
              <w:pStyle w:val="25"/>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6" w:type="dxa"/>
          </w:tcPr>
          <w:p>
            <w:pPr>
              <w:pStyle w:val="25"/>
              <w:rPr>
                <w:rFonts w:ascii="仿宋_GB2312" w:eastAsia="仿宋_GB2312"/>
                <w:sz w:val="24"/>
                <w:szCs w:val="24"/>
              </w:rPr>
            </w:pPr>
            <w:r>
              <w:rPr>
                <w:rFonts w:hint="eastAsia" w:ascii="仿宋_GB2312" w:eastAsia="仿宋_GB2312"/>
                <w:sz w:val="24"/>
                <w:szCs w:val="24"/>
              </w:rPr>
              <w:t>5</w:t>
            </w:r>
          </w:p>
        </w:tc>
        <w:tc>
          <w:tcPr>
            <w:tcW w:w="1880" w:type="dxa"/>
          </w:tcPr>
          <w:p>
            <w:pPr>
              <w:pStyle w:val="25"/>
              <w:rPr>
                <w:rFonts w:ascii="仿宋_GB2312" w:eastAsia="仿宋_GB2312"/>
                <w:sz w:val="24"/>
                <w:szCs w:val="24"/>
              </w:rPr>
            </w:pPr>
          </w:p>
        </w:tc>
        <w:tc>
          <w:tcPr>
            <w:tcW w:w="1479" w:type="dxa"/>
          </w:tcPr>
          <w:p>
            <w:pPr>
              <w:pStyle w:val="25"/>
              <w:rPr>
                <w:rFonts w:ascii="仿宋_GB2312" w:eastAsia="仿宋_GB2312"/>
                <w:sz w:val="24"/>
                <w:szCs w:val="24"/>
              </w:rPr>
            </w:pPr>
          </w:p>
        </w:tc>
        <w:tc>
          <w:tcPr>
            <w:tcW w:w="747" w:type="dxa"/>
          </w:tcPr>
          <w:p>
            <w:pPr>
              <w:pStyle w:val="25"/>
              <w:rPr>
                <w:rFonts w:ascii="仿宋_GB2312" w:eastAsia="仿宋_GB2312"/>
                <w:sz w:val="24"/>
                <w:szCs w:val="24"/>
              </w:rPr>
            </w:pPr>
          </w:p>
        </w:tc>
        <w:tc>
          <w:tcPr>
            <w:tcW w:w="1304" w:type="dxa"/>
          </w:tcPr>
          <w:p>
            <w:pPr>
              <w:pStyle w:val="25"/>
              <w:rPr>
                <w:rFonts w:ascii="仿宋_GB2312" w:eastAsia="仿宋_GB2312"/>
                <w:sz w:val="24"/>
                <w:szCs w:val="24"/>
              </w:rPr>
            </w:pPr>
          </w:p>
        </w:tc>
        <w:tc>
          <w:tcPr>
            <w:tcW w:w="1485" w:type="dxa"/>
          </w:tcPr>
          <w:p>
            <w:pPr>
              <w:pStyle w:val="25"/>
              <w:rPr>
                <w:rFonts w:ascii="仿宋_GB2312" w:eastAsia="仿宋_GB2312"/>
                <w:sz w:val="24"/>
                <w:szCs w:val="24"/>
              </w:rPr>
            </w:pPr>
          </w:p>
        </w:tc>
        <w:tc>
          <w:tcPr>
            <w:tcW w:w="1035" w:type="dxa"/>
          </w:tcPr>
          <w:p>
            <w:pPr>
              <w:pStyle w:val="25"/>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6" w:type="dxa"/>
          </w:tcPr>
          <w:p>
            <w:pPr>
              <w:pStyle w:val="25"/>
              <w:rPr>
                <w:rFonts w:ascii="仿宋_GB2312" w:eastAsia="仿宋_GB2312"/>
                <w:sz w:val="24"/>
                <w:szCs w:val="24"/>
              </w:rPr>
            </w:pPr>
            <w:r>
              <w:rPr>
                <w:rFonts w:hint="eastAsia" w:ascii="仿宋_GB2312" w:eastAsia="仿宋_GB2312"/>
                <w:sz w:val="24"/>
                <w:szCs w:val="24"/>
              </w:rPr>
              <w:t>6</w:t>
            </w:r>
          </w:p>
        </w:tc>
        <w:tc>
          <w:tcPr>
            <w:tcW w:w="1880" w:type="dxa"/>
          </w:tcPr>
          <w:p>
            <w:pPr>
              <w:pStyle w:val="25"/>
              <w:rPr>
                <w:rFonts w:ascii="仿宋_GB2312" w:eastAsia="仿宋_GB2312"/>
                <w:sz w:val="24"/>
                <w:szCs w:val="24"/>
              </w:rPr>
            </w:pPr>
          </w:p>
        </w:tc>
        <w:tc>
          <w:tcPr>
            <w:tcW w:w="1479" w:type="dxa"/>
          </w:tcPr>
          <w:p>
            <w:pPr>
              <w:pStyle w:val="25"/>
              <w:rPr>
                <w:rFonts w:ascii="仿宋_GB2312" w:eastAsia="仿宋_GB2312"/>
                <w:sz w:val="24"/>
                <w:szCs w:val="24"/>
              </w:rPr>
            </w:pPr>
          </w:p>
        </w:tc>
        <w:tc>
          <w:tcPr>
            <w:tcW w:w="747" w:type="dxa"/>
          </w:tcPr>
          <w:p>
            <w:pPr>
              <w:pStyle w:val="25"/>
              <w:rPr>
                <w:rFonts w:ascii="仿宋_GB2312" w:eastAsia="仿宋_GB2312"/>
                <w:sz w:val="24"/>
                <w:szCs w:val="24"/>
              </w:rPr>
            </w:pPr>
          </w:p>
        </w:tc>
        <w:tc>
          <w:tcPr>
            <w:tcW w:w="1304" w:type="dxa"/>
          </w:tcPr>
          <w:p>
            <w:pPr>
              <w:pStyle w:val="25"/>
              <w:rPr>
                <w:rFonts w:ascii="仿宋_GB2312" w:eastAsia="仿宋_GB2312"/>
                <w:sz w:val="24"/>
                <w:szCs w:val="24"/>
              </w:rPr>
            </w:pPr>
          </w:p>
        </w:tc>
        <w:tc>
          <w:tcPr>
            <w:tcW w:w="1485" w:type="dxa"/>
          </w:tcPr>
          <w:p>
            <w:pPr>
              <w:pStyle w:val="25"/>
              <w:rPr>
                <w:rFonts w:ascii="仿宋_GB2312" w:eastAsia="仿宋_GB2312"/>
                <w:sz w:val="24"/>
                <w:szCs w:val="24"/>
              </w:rPr>
            </w:pPr>
          </w:p>
        </w:tc>
        <w:tc>
          <w:tcPr>
            <w:tcW w:w="1035" w:type="dxa"/>
          </w:tcPr>
          <w:p>
            <w:pPr>
              <w:pStyle w:val="25"/>
              <w:rPr>
                <w:rFonts w:ascii="仿宋_GB2312" w:eastAsia="仿宋_GB2312"/>
                <w:sz w:val="24"/>
                <w:szCs w:val="24"/>
              </w:rPr>
            </w:pPr>
          </w:p>
        </w:tc>
      </w:tr>
    </w:tbl>
    <w:p>
      <w:pPr>
        <w:snapToGrid w:val="0"/>
        <w:spacing w:line="600" w:lineRule="exact"/>
        <w:ind w:firstLine="200"/>
        <w:rPr>
          <w:rFonts w:ascii="仿宋_GB2312" w:hAnsi="Times New Roman" w:eastAsia="仿宋_GB2312" w:cs="Times New Roman"/>
          <w:strike/>
          <w:color w:val="FF0000"/>
          <w:sz w:val="34"/>
          <w:szCs w:val="34"/>
        </w:rPr>
      </w:pPr>
      <w:r>
        <w:rPr>
          <w:rFonts w:hint="eastAsia" w:ascii="仿宋_GB2312" w:hAnsi="Times New Roman" w:eastAsia="仿宋_GB2312" w:cs="Times New Roman"/>
          <w:color w:val="000000"/>
          <w:sz w:val="34"/>
          <w:szCs w:val="34"/>
        </w:rPr>
        <w:t>注：投标人应根据本技术规范的要求提供满足设备安装、调试及质保期内所必需的备用部件，如在执行合同过程中发现有任何漏项和短缺，且应为对设备的性能保证要求所必须的，应由投标人负责将所缺的备品备件补上，发生的费用由投标人承担。</w:t>
      </w:r>
    </w:p>
    <w:p>
      <w:pPr>
        <w:pStyle w:val="4"/>
        <w:keepNext w:val="0"/>
        <w:keepLines w:val="0"/>
        <w:spacing w:before="0" w:after="0" w:line="600" w:lineRule="exact"/>
        <w:rPr>
          <w:rFonts w:ascii="黑体" w:hAnsi="黑体" w:eastAsia="黑体" w:cs="Times New Roman"/>
          <w:b w:val="0"/>
          <w:sz w:val="34"/>
          <w:szCs w:val="34"/>
        </w:rPr>
      </w:pPr>
      <w:bookmarkStart w:id="21" w:name="_Toc79055039"/>
      <w:r>
        <w:rPr>
          <w:rFonts w:hint="eastAsia" w:ascii="黑体" w:hAnsi="黑体" w:eastAsia="黑体" w:cs="Times New Roman"/>
          <w:b w:val="0"/>
          <w:sz w:val="34"/>
          <w:szCs w:val="34"/>
        </w:rPr>
        <w:t>9．技术服务及要求</w:t>
      </w:r>
      <w:bookmarkEnd w:id="21"/>
    </w:p>
    <w:p>
      <w:pPr>
        <w:pStyle w:val="4"/>
        <w:keepNext w:val="0"/>
        <w:keepLines w:val="0"/>
        <w:spacing w:before="0" w:after="0" w:line="600" w:lineRule="exact"/>
        <w:rPr>
          <w:rFonts w:ascii="黑体" w:hAnsi="黑体" w:eastAsia="黑体" w:cs="Times New Roman"/>
          <w:b w:val="0"/>
          <w:sz w:val="34"/>
          <w:szCs w:val="34"/>
        </w:rPr>
      </w:pPr>
      <w:bookmarkStart w:id="22" w:name="_Toc79055040"/>
      <w:bookmarkStart w:id="23" w:name="_Toc73488162"/>
      <w:bookmarkStart w:id="24" w:name="_Toc74301885"/>
      <w:r>
        <w:rPr>
          <w:rFonts w:hint="eastAsia" w:ascii="黑体" w:hAnsi="黑体" w:eastAsia="黑体" w:cs="Times New Roman"/>
          <w:b w:val="0"/>
          <w:sz w:val="34"/>
          <w:szCs w:val="34"/>
        </w:rPr>
        <w:t>9.1投标人现场技术服务</w:t>
      </w:r>
      <w:bookmarkEnd w:id="22"/>
      <w:bookmarkEnd w:id="23"/>
      <w:bookmarkEnd w:id="24"/>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9.1.1 投标人现场服务人员的目的是使所供设备安全、正常投运。投标人要派合格的现场服务人员。</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9.1.2 当投标人收到招标人的通知后，应派有经验和资质的人员到现场安装调试，提供现场技术服务。设备安装调试完成之前，投标方人员应全程在现场提供技术服务。主要安装调试工作量包括以下内容：</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A、 采购货物的整体施工与调试；</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B、 对招标方操作人员培训，培训内容包括采购货物的使用及养护。</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9.1.3投标人参加设备调试及验收人员应遵守我国的法律，遵守各项规章制度，应负责向招标方人员解释与合同有关的技术问题及回答招标方人员提出的与合同设备相关的其他问题。</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9.1.4设备安装调试后24个月内为产品质量保证期。在此期间投标人应对确属质量问题的设备实行“三包”并提供技术支持。</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9.1.5设备出现问题，投标人应保证在接到客户书面传真或电话并确认问题后,24小时内答复反馈，服务人员根据实际情况到现场处理问题。当设备出现故障或不能满足招标人要求时，投标人应按招标人要求排除故障，直到招标人满意为止。</w:t>
      </w:r>
    </w:p>
    <w:p>
      <w:pPr>
        <w:pStyle w:val="4"/>
        <w:keepNext w:val="0"/>
        <w:keepLines w:val="0"/>
        <w:spacing w:before="0" w:after="0" w:line="600" w:lineRule="exact"/>
        <w:rPr>
          <w:rFonts w:ascii="黑体" w:hAnsi="黑体" w:eastAsia="黑体" w:cs="Times New Roman"/>
          <w:b w:val="0"/>
          <w:sz w:val="34"/>
          <w:szCs w:val="34"/>
        </w:rPr>
      </w:pPr>
      <w:bookmarkStart w:id="25" w:name="_Toc74301886"/>
      <w:bookmarkStart w:id="26" w:name="_Toc79055041"/>
      <w:bookmarkStart w:id="27" w:name="_Toc73488163"/>
      <w:r>
        <w:rPr>
          <w:rFonts w:hint="eastAsia" w:ascii="黑体" w:hAnsi="黑体" w:eastAsia="黑体" w:cs="Times New Roman"/>
          <w:b w:val="0"/>
          <w:sz w:val="34"/>
          <w:szCs w:val="34"/>
        </w:rPr>
        <w:t>9.2培训</w:t>
      </w:r>
      <w:bookmarkEnd w:id="25"/>
      <w:bookmarkEnd w:id="26"/>
      <w:bookmarkEnd w:id="27"/>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9.2.1 为使合同设备能正常安装和运行，投标人有责任提供相应的技术培训。培训内容应与工程进度相一致。</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培训计划和内容由投标人在报价文件中列出（投标人填写）</w:t>
      </w:r>
    </w:p>
    <w:tbl>
      <w:tblPr>
        <w:tblStyle w:val="14"/>
        <w:tblW w:w="83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59"/>
        <w:gridCol w:w="1403"/>
        <w:gridCol w:w="1835"/>
        <w:gridCol w:w="1082"/>
        <w:gridCol w:w="1084"/>
        <w:gridCol w:w="1082"/>
        <w:gridCol w:w="11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59" w:type="dxa"/>
            <w:vMerge w:val="restart"/>
            <w:vAlign w:val="center"/>
          </w:tcPr>
          <w:p>
            <w:pPr>
              <w:pStyle w:val="25"/>
              <w:rPr>
                <w:rFonts w:ascii="仿宋_GB2312" w:eastAsia="仿宋_GB2312"/>
                <w:sz w:val="24"/>
                <w:szCs w:val="24"/>
              </w:rPr>
            </w:pPr>
            <w:r>
              <w:rPr>
                <w:rFonts w:hint="eastAsia" w:ascii="仿宋_GB2312" w:eastAsia="仿宋_GB2312"/>
                <w:sz w:val="24"/>
                <w:szCs w:val="24"/>
              </w:rPr>
              <w:t>序号</w:t>
            </w:r>
          </w:p>
        </w:tc>
        <w:tc>
          <w:tcPr>
            <w:tcW w:w="1403" w:type="dxa"/>
            <w:vMerge w:val="restart"/>
            <w:vAlign w:val="center"/>
          </w:tcPr>
          <w:p>
            <w:pPr>
              <w:pStyle w:val="25"/>
              <w:rPr>
                <w:rFonts w:ascii="仿宋_GB2312" w:eastAsia="仿宋_GB2312"/>
                <w:sz w:val="24"/>
                <w:szCs w:val="24"/>
              </w:rPr>
            </w:pPr>
            <w:r>
              <w:rPr>
                <w:rFonts w:hint="eastAsia" w:ascii="仿宋_GB2312" w:eastAsia="仿宋_GB2312"/>
                <w:sz w:val="24"/>
                <w:szCs w:val="24"/>
              </w:rPr>
              <w:t>培训内容</w:t>
            </w:r>
          </w:p>
        </w:tc>
        <w:tc>
          <w:tcPr>
            <w:tcW w:w="1835" w:type="dxa"/>
            <w:vMerge w:val="restart"/>
            <w:vAlign w:val="center"/>
          </w:tcPr>
          <w:p>
            <w:pPr>
              <w:pStyle w:val="25"/>
              <w:rPr>
                <w:rFonts w:ascii="仿宋_GB2312" w:eastAsia="仿宋_GB2312"/>
                <w:sz w:val="24"/>
                <w:szCs w:val="24"/>
              </w:rPr>
            </w:pPr>
            <w:r>
              <w:rPr>
                <w:rFonts w:hint="eastAsia" w:ascii="仿宋_GB2312" w:eastAsia="仿宋_GB2312"/>
                <w:sz w:val="24"/>
                <w:szCs w:val="24"/>
              </w:rPr>
              <w:t>计划人月数</w:t>
            </w:r>
          </w:p>
        </w:tc>
        <w:tc>
          <w:tcPr>
            <w:tcW w:w="2166" w:type="dxa"/>
            <w:gridSpan w:val="2"/>
            <w:vAlign w:val="center"/>
          </w:tcPr>
          <w:p>
            <w:pPr>
              <w:pStyle w:val="25"/>
              <w:rPr>
                <w:rFonts w:ascii="仿宋_GB2312" w:eastAsia="仿宋_GB2312"/>
                <w:sz w:val="24"/>
                <w:szCs w:val="24"/>
              </w:rPr>
            </w:pPr>
            <w:r>
              <w:rPr>
                <w:rFonts w:hint="eastAsia" w:ascii="仿宋_GB2312" w:eastAsia="仿宋_GB2312"/>
                <w:sz w:val="24"/>
                <w:szCs w:val="24"/>
              </w:rPr>
              <w:t>培训教师构成</w:t>
            </w:r>
          </w:p>
        </w:tc>
        <w:tc>
          <w:tcPr>
            <w:tcW w:w="1082" w:type="dxa"/>
            <w:vMerge w:val="restart"/>
            <w:vAlign w:val="center"/>
          </w:tcPr>
          <w:p>
            <w:pPr>
              <w:pStyle w:val="25"/>
              <w:rPr>
                <w:rFonts w:ascii="仿宋_GB2312" w:eastAsia="仿宋_GB2312"/>
                <w:sz w:val="24"/>
                <w:szCs w:val="24"/>
              </w:rPr>
            </w:pPr>
            <w:r>
              <w:rPr>
                <w:rFonts w:hint="eastAsia" w:ascii="仿宋_GB2312" w:eastAsia="仿宋_GB2312"/>
                <w:sz w:val="24"/>
                <w:szCs w:val="24"/>
              </w:rPr>
              <w:t>地点</w:t>
            </w:r>
          </w:p>
        </w:tc>
        <w:tc>
          <w:tcPr>
            <w:tcW w:w="1117" w:type="dxa"/>
            <w:vMerge w:val="restart"/>
            <w:vAlign w:val="center"/>
          </w:tcPr>
          <w:p>
            <w:pPr>
              <w:pStyle w:val="25"/>
              <w:rPr>
                <w:rFonts w:ascii="仿宋_GB2312" w:eastAsia="仿宋_GB2312"/>
                <w:sz w:val="24"/>
                <w:szCs w:val="24"/>
              </w:rPr>
            </w:pPr>
            <w:r>
              <w:rPr>
                <w:rFonts w:hint="eastAsia" w:ascii="仿宋_GB2312" w:eastAsia="仿宋_GB231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59" w:type="dxa"/>
            <w:vMerge w:val="continue"/>
            <w:vAlign w:val="center"/>
          </w:tcPr>
          <w:p>
            <w:pPr>
              <w:pStyle w:val="25"/>
              <w:rPr>
                <w:rFonts w:ascii="仿宋_GB2312" w:eastAsia="仿宋_GB2312"/>
                <w:sz w:val="24"/>
                <w:szCs w:val="24"/>
              </w:rPr>
            </w:pPr>
          </w:p>
        </w:tc>
        <w:tc>
          <w:tcPr>
            <w:tcW w:w="1403" w:type="dxa"/>
            <w:vMerge w:val="continue"/>
            <w:vAlign w:val="center"/>
          </w:tcPr>
          <w:p>
            <w:pPr>
              <w:pStyle w:val="25"/>
              <w:rPr>
                <w:rFonts w:ascii="仿宋_GB2312" w:eastAsia="仿宋_GB2312"/>
                <w:sz w:val="24"/>
                <w:szCs w:val="24"/>
              </w:rPr>
            </w:pPr>
          </w:p>
        </w:tc>
        <w:tc>
          <w:tcPr>
            <w:tcW w:w="1835" w:type="dxa"/>
            <w:vMerge w:val="continue"/>
            <w:vAlign w:val="center"/>
          </w:tcPr>
          <w:p>
            <w:pPr>
              <w:pStyle w:val="25"/>
              <w:rPr>
                <w:rFonts w:ascii="仿宋_GB2312" w:eastAsia="仿宋_GB2312"/>
                <w:sz w:val="24"/>
                <w:szCs w:val="24"/>
              </w:rPr>
            </w:pPr>
          </w:p>
        </w:tc>
        <w:tc>
          <w:tcPr>
            <w:tcW w:w="1082" w:type="dxa"/>
            <w:vAlign w:val="center"/>
          </w:tcPr>
          <w:p>
            <w:pPr>
              <w:pStyle w:val="25"/>
              <w:rPr>
                <w:rFonts w:ascii="仿宋_GB2312" w:eastAsia="仿宋_GB2312"/>
                <w:sz w:val="24"/>
                <w:szCs w:val="24"/>
              </w:rPr>
            </w:pPr>
            <w:r>
              <w:rPr>
                <w:rFonts w:hint="eastAsia" w:ascii="仿宋_GB2312" w:eastAsia="仿宋_GB2312"/>
                <w:sz w:val="24"/>
                <w:szCs w:val="24"/>
              </w:rPr>
              <w:t>职称</w:t>
            </w:r>
          </w:p>
        </w:tc>
        <w:tc>
          <w:tcPr>
            <w:tcW w:w="1084" w:type="dxa"/>
            <w:vAlign w:val="center"/>
          </w:tcPr>
          <w:p>
            <w:pPr>
              <w:pStyle w:val="25"/>
              <w:rPr>
                <w:rFonts w:ascii="仿宋_GB2312" w:eastAsia="仿宋_GB2312"/>
                <w:sz w:val="24"/>
                <w:szCs w:val="24"/>
              </w:rPr>
            </w:pPr>
            <w:r>
              <w:rPr>
                <w:rFonts w:hint="eastAsia" w:ascii="仿宋_GB2312" w:eastAsia="仿宋_GB2312"/>
                <w:sz w:val="24"/>
                <w:szCs w:val="24"/>
              </w:rPr>
              <w:t>人数</w:t>
            </w:r>
          </w:p>
        </w:tc>
        <w:tc>
          <w:tcPr>
            <w:tcW w:w="1082" w:type="dxa"/>
            <w:vMerge w:val="continue"/>
            <w:vAlign w:val="center"/>
          </w:tcPr>
          <w:p>
            <w:pPr>
              <w:pStyle w:val="25"/>
              <w:rPr>
                <w:rFonts w:ascii="仿宋_GB2312" w:eastAsia="仿宋_GB2312"/>
                <w:sz w:val="24"/>
                <w:szCs w:val="24"/>
              </w:rPr>
            </w:pPr>
          </w:p>
        </w:tc>
        <w:tc>
          <w:tcPr>
            <w:tcW w:w="1117" w:type="dxa"/>
            <w:vMerge w:val="continue"/>
            <w:vAlign w:val="center"/>
          </w:tcPr>
          <w:p>
            <w:pPr>
              <w:pStyle w:val="25"/>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59" w:type="dxa"/>
            <w:vAlign w:val="center"/>
          </w:tcPr>
          <w:p>
            <w:pPr>
              <w:pStyle w:val="25"/>
              <w:rPr>
                <w:rFonts w:ascii="仿宋_GB2312" w:eastAsia="仿宋_GB2312"/>
                <w:sz w:val="24"/>
                <w:szCs w:val="24"/>
              </w:rPr>
            </w:pPr>
          </w:p>
        </w:tc>
        <w:tc>
          <w:tcPr>
            <w:tcW w:w="1403" w:type="dxa"/>
            <w:vAlign w:val="center"/>
          </w:tcPr>
          <w:p>
            <w:pPr>
              <w:pStyle w:val="25"/>
              <w:rPr>
                <w:rFonts w:ascii="仿宋_GB2312" w:eastAsia="仿宋_GB2312"/>
                <w:sz w:val="24"/>
                <w:szCs w:val="24"/>
              </w:rPr>
            </w:pPr>
          </w:p>
        </w:tc>
        <w:tc>
          <w:tcPr>
            <w:tcW w:w="1835" w:type="dxa"/>
            <w:vAlign w:val="center"/>
          </w:tcPr>
          <w:p>
            <w:pPr>
              <w:pStyle w:val="25"/>
              <w:rPr>
                <w:rFonts w:ascii="仿宋_GB2312" w:eastAsia="仿宋_GB2312"/>
                <w:sz w:val="24"/>
                <w:szCs w:val="24"/>
              </w:rPr>
            </w:pPr>
          </w:p>
        </w:tc>
        <w:tc>
          <w:tcPr>
            <w:tcW w:w="1082" w:type="dxa"/>
            <w:vAlign w:val="center"/>
          </w:tcPr>
          <w:p>
            <w:pPr>
              <w:pStyle w:val="25"/>
              <w:rPr>
                <w:rFonts w:ascii="仿宋_GB2312" w:eastAsia="仿宋_GB2312"/>
                <w:sz w:val="24"/>
                <w:szCs w:val="24"/>
              </w:rPr>
            </w:pPr>
          </w:p>
        </w:tc>
        <w:tc>
          <w:tcPr>
            <w:tcW w:w="1084" w:type="dxa"/>
            <w:vAlign w:val="center"/>
          </w:tcPr>
          <w:p>
            <w:pPr>
              <w:pStyle w:val="25"/>
              <w:rPr>
                <w:rFonts w:ascii="仿宋_GB2312" w:eastAsia="仿宋_GB2312"/>
                <w:sz w:val="24"/>
                <w:szCs w:val="24"/>
              </w:rPr>
            </w:pPr>
          </w:p>
        </w:tc>
        <w:tc>
          <w:tcPr>
            <w:tcW w:w="1082" w:type="dxa"/>
            <w:vAlign w:val="center"/>
          </w:tcPr>
          <w:p>
            <w:pPr>
              <w:pStyle w:val="25"/>
              <w:rPr>
                <w:rFonts w:ascii="仿宋_GB2312" w:eastAsia="仿宋_GB2312"/>
                <w:sz w:val="24"/>
                <w:szCs w:val="24"/>
              </w:rPr>
            </w:pPr>
          </w:p>
        </w:tc>
        <w:tc>
          <w:tcPr>
            <w:tcW w:w="1117" w:type="dxa"/>
            <w:vAlign w:val="center"/>
          </w:tcPr>
          <w:p>
            <w:pPr>
              <w:pStyle w:val="25"/>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59" w:type="dxa"/>
            <w:vAlign w:val="center"/>
          </w:tcPr>
          <w:p>
            <w:pPr>
              <w:pStyle w:val="25"/>
              <w:rPr>
                <w:rFonts w:ascii="仿宋_GB2312" w:eastAsia="仿宋_GB2312"/>
                <w:sz w:val="24"/>
                <w:szCs w:val="24"/>
              </w:rPr>
            </w:pPr>
          </w:p>
        </w:tc>
        <w:tc>
          <w:tcPr>
            <w:tcW w:w="1403" w:type="dxa"/>
            <w:vAlign w:val="center"/>
          </w:tcPr>
          <w:p>
            <w:pPr>
              <w:pStyle w:val="25"/>
              <w:rPr>
                <w:rFonts w:ascii="仿宋_GB2312" w:eastAsia="仿宋_GB2312"/>
                <w:sz w:val="24"/>
                <w:szCs w:val="24"/>
              </w:rPr>
            </w:pPr>
          </w:p>
        </w:tc>
        <w:tc>
          <w:tcPr>
            <w:tcW w:w="1835" w:type="dxa"/>
            <w:vAlign w:val="center"/>
          </w:tcPr>
          <w:p>
            <w:pPr>
              <w:pStyle w:val="25"/>
              <w:rPr>
                <w:rFonts w:ascii="仿宋_GB2312" w:eastAsia="仿宋_GB2312"/>
                <w:sz w:val="24"/>
                <w:szCs w:val="24"/>
              </w:rPr>
            </w:pPr>
          </w:p>
        </w:tc>
        <w:tc>
          <w:tcPr>
            <w:tcW w:w="1082" w:type="dxa"/>
            <w:vAlign w:val="center"/>
          </w:tcPr>
          <w:p>
            <w:pPr>
              <w:pStyle w:val="25"/>
              <w:rPr>
                <w:rFonts w:ascii="仿宋_GB2312" w:eastAsia="仿宋_GB2312"/>
                <w:sz w:val="24"/>
                <w:szCs w:val="24"/>
              </w:rPr>
            </w:pPr>
          </w:p>
        </w:tc>
        <w:tc>
          <w:tcPr>
            <w:tcW w:w="1084" w:type="dxa"/>
            <w:vAlign w:val="center"/>
          </w:tcPr>
          <w:p>
            <w:pPr>
              <w:pStyle w:val="25"/>
              <w:rPr>
                <w:rFonts w:ascii="仿宋_GB2312" w:eastAsia="仿宋_GB2312"/>
                <w:sz w:val="24"/>
                <w:szCs w:val="24"/>
              </w:rPr>
            </w:pPr>
          </w:p>
        </w:tc>
        <w:tc>
          <w:tcPr>
            <w:tcW w:w="1082" w:type="dxa"/>
            <w:vAlign w:val="center"/>
          </w:tcPr>
          <w:p>
            <w:pPr>
              <w:pStyle w:val="25"/>
              <w:rPr>
                <w:rFonts w:ascii="仿宋_GB2312" w:eastAsia="仿宋_GB2312"/>
                <w:sz w:val="24"/>
                <w:szCs w:val="24"/>
              </w:rPr>
            </w:pPr>
          </w:p>
        </w:tc>
        <w:tc>
          <w:tcPr>
            <w:tcW w:w="1117" w:type="dxa"/>
            <w:vAlign w:val="center"/>
          </w:tcPr>
          <w:p>
            <w:pPr>
              <w:pStyle w:val="25"/>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59" w:type="dxa"/>
            <w:vAlign w:val="center"/>
          </w:tcPr>
          <w:p>
            <w:pPr>
              <w:pStyle w:val="25"/>
              <w:rPr>
                <w:rFonts w:ascii="仿宋_GB2312" w:eastAsia="仿宋_GB2312"/>
                <w:sz w:val="24"/>
                <w:szCs w:val="24"/>
              </w:rPr>
            </w:pPr>
          </w:p>
        </w:tc>
        <w:tc>
          <w:tcPr>
            <w:tcW w:w="1403" w:type="dxa"/>
            <w:vAlign w:val="center"/>
          </w:tcPr>
          <w:p>
            <w:pPr>
              <w:pStyle w:val="25"/>
              <w:rPr>
                <w:rFonts w:ascii="仿宋_GB2312" w:eastAsia="仿宋_GB2312"/>
                <w:sz w:val="24"/>
                <w:szCs w:val="24"/>
              </w:rPr>
            </w:pPr>
          </w:p>
        </w:tc>
        <w:tc>
          <w:tcPr>
            <w:tcW w:w="1835" w:type="dxa"/>
            <w:vAlign w:val="center"/>
          </w:tcPr>
          <w:p>
            <w:pPr>
              <w:pStyle w:val="25"/>
              <w:rPr>
                <w:rFonts w:ascii="仿宋_GB2312" w:eastAsia="仿宋_GB2312"/>
                <w:sz w:val="24"/>
                <w:szCs w:val="24"/>
              </w:rPr>
            </w:pPr>
          </w:p>
        </w:tc>
        <w:tc>
          <w:tcPr>
            <w:tcW w:w="1082" w:type="dxa"/>
            <w:vAlign w:val="center"/>
          </w:tcPr>
          <w:p>
            <w:pPr>
              <w:pStyle w:val="25"/>
              <w:rPr>
                <w:rFonts w:ascii="仿宋_GB2312" w:eastAsia="仿宋_GB2312"/>
                <w:sz w:val="24"/>
                <w:szCs w:val="24"/>
              </w:rPr>
            </w:pPr>
          </w:p>
        </w:tc>
        <w:tc>
          <w:tcPr>
            <w:tcW w:w="1084" w:type="dxa"/>
            <w:vAlign w:val="center"/>
          </w:tcPr>
          <w:p>
            <w:pPr>
              <w:pStyle w:val="25"/>
              <w:rPr>
                <w:rFonts w:ascii="仿宋_GB2312" w:eastAsia="仿宋_GB2312"/>
                <w:sz w:val="24"/>
                <w:szCs w:val="24"/>
              </w:rPr>
            </w:pPr>
          </w:p>
        </w:tc>
        <w:tc>
          <w:tcPr>
            <w:tcW w:w="1082" w:type="dxa"/>
            <w:vAlign w:val="center"/>
          </w:tcPr>
          <w:p>
            <w:pPr>
              <w:pStyle w:val="25"/>
              <w:rPr>
                <w:rFonts w:ascii="仿宋_GB2312" w:eastAsia="仿宋_GB2312"/>
                <w:sz w:val="24"/>
                <w:szCs w:val="24"/>
              </w:rPr>
            </w:pPr>
          </w:p>
        </w:tc>
        <w:tc>
          <w:tcPr>
            <w:tcW w:w="1117" w:type="dxa"/>
            <w:vAlign w:val="center"/>
          </w:tcPr>
          <w:p>
            <w:pPr>
              <w:pStyle w:val="25"/>
              <w:rPr>
                <w:rFonts w:ascii="仿宋_GB2312" w:eastAsia="仿宋_GB2312"/>
                <w:sz w:val="24"/>
                <w:szCs w:val="24"/>
              </w:rPr>
            </w:pPr>
          </w:p>
        </w:tc>
      </w:tr>
    </w:tbl>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9.2.2 培训的时间、人数、地点等具体内容由招标人和投标人双方商定。</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9.2.3 投标人为招标人培训人员提供设备、场地、资料等培训条件，并提供食宿和交通、通信方便。</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9.2.4现场、工厂培训费用包含在合同总价中，如因工程实际的需要，招标人需培训人数和次数的增加均不影响合同总价。</w:t>
      </w:r>
    </w:p>
    <w:p>
      <w:pPr>
        <w:pStyle w:val="4"/>
        <w:keepNext w:val="0"/>
        <w:keepLines w:val="0"/>
        <w:spacing w:before="0" w:after="0" w:line="600" w:lineRule="exact"/>
        <w:rPr>
          <w:rFonts w:ascii="黑体" w:hAnsi="黑体" w:eastAsia="黑体" w:cs="Times New Roman"/>
          <w:b w:val="0"/>
          <w:sz w:val="34"/>
          <w:szCs w:val="34"/>
        </w:rPr>
      </w:pPr>
      <w:bookmarkStart w:id="28" w:name="_Toc79055051"/>
      <w:r>
        <w:rPr>
          <w:rFonts w:hint="eastAsia" w:ascii="黑体" w:hAnsi="黑体" w:eastAsia="黑体" w:cs="Times New Roman"/>
          <w:b w:val="0"/>
          <w:sz w:val="34"/>
          <w:szCs w:val="34"/>
        </w:rPr>
        <w:t>9.3售后服务体系</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投标人有完善的技术及售后服务体系和措施，提供完善的售后组织架构、工作程序、应急措施、售后服务方案等。</w:t>
      </w:r>
    </w:p>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10．技术资料和交付进度</w:t>
      </w:r>
      <w:bookmarkEnd w:id="28"/>
    </w:p>
    <w:p>
      <w:pPr>
        <w:pStyle w:val="4"/>
        <w:keepNext w:val="0"/>
        <w:keepLines w:val="0"/>
        <w:spacing w:before="0" w:after="0" w:line="600" w:lineRule="exact"/>
        <w:rPr>
          <w:rFonts w:ascii="黑体" w:hAnsi="黑体" w:eastAsia="黑体" w:cs="Times New Roman"/>
          <w:b w:val="0"/>
          <w:sz w:val="34"/>
          <w:szCs w:val="34"/>
        </w:rPr>
      </w:pPr>
      <w:bookmarkStart w:id="29" w:name="_Toc79055052"/>
      <w:bookmarkStart w:id="30" w:name="_Toc74301877"/>
      <w:r>
        <w:rPr>
          <w:rFonts w:hint="eastAsia" w:ascii="黑体" w:hAnsi="黑体" w:eastAsia="黑体" w:cs="Times New Roman"/>
          <w:b w:val="0"/>
          <w:sz w:val="34"/>
          <w:szCs w:val="34"/>
        </w:rPr>
        <w:t>10.1一般要求</w:t>
      </w:r>
      <w:bookmarkEnd w:id="29"/>
      <w:bookmarkEnd w:id="30"/>
    </w:p>
    <w:p>
      <w:pPr>
        <w:spacing w:line="600" w:lineRule="exact"/>
        <w:ind w:firstLine="200"/>
        <w:rPr>
          <w:rFonts w:ascii="仿宋_GB2312" w:hAnsi="Times New Roman" w:eastAsia="仿宋_GB2312" w:cs="Times New Roman"/>
          <w:color w:val="000000"/>
          <w:sz w:val="34"/>
          <w:szCs w:val="34"/>
        </w:rPr>
      </w:pPr>
      <w:bookmarkStart w:id="31" w:name="OLE_LINK2"/>
      <w:r>
        <w:rPr>
          <w:rFonts w:hint="eastAsia" w:ascii="仿宋_GB2312" w:hAnsi="Times New Roman" w:eastAsia="仿宋_GB2312" w:cs="Times New Roman"/>
          <w:color w:val="000000"/>
          <w:sz w:val="34"/>
          <w:szCs w:val="34"/>
        </w:rPr>
        <w:t>10.1.1投标人提供的资料应使用国家法定单位制 (语言为中文) 。</w:t>
      </w:r>
    </w:p>
    <w:p>
      <w:pPr>
        <w:spacing w:line="600" w:lineRule="exact"/>
        <w:ind w:firstLine="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10.1.2资料的组织结构清晰、逻辑性强。资料内容正确、准确、一致、清晰完整，满足工程要求。</w:t>
      </w:r>
    </w:p>
    <w:p>
      <w:pPr>
        <w:spacing w:line="600" w:lineRule="exact"/>
        <w:ind w:firstLine="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10.1.3投标人提供的资料应全面、清晰和完整，并对资料的可靠性负全责。应在提供设备的同时，提供装箱清单，每台随箱提供说明书及其它相关文件。</w:t>
      </w:r>
    </w:p>
    <w:p>
      <w:pPr>
        <w:spacing w:line="600" w:lineRule="exact"/>
        <w:ind w:firstLine="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10.1.4由于投标人没有按合同执行而导致的所有变更由投标人承担。</w:t>
      </w:r>
    </w:p>
    <w:p>
      <w:pPr>
        <w:spacing w:line="600" w:lineRule="exact"/>
        <w:ind w:firstLine="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10.1.5在设备装运前2周，投标人应将说明书等相关文件发送给招标人有关单位。</w:t>
      </w:r>
      <w:bookmarkEnd w:id="31"/>
    </w:p>
    <w:p>
      <w:pPr>
        <w:pStyle w:val="4"/>
        <w:keepNext w:val="0"/>
        <w:keepLines w:val="0"/>
        <w:spacing w:before="0" w:after="0" w:line="600" w:lineRule="exact"/>
        <w:rPr>
          <w:rFonts w:ascii="黑体" w:hAnsi="黑体" w:eastAsia="黑体" w:cs="Times New Roman"/>
          <w:b w:val="0"/>
          <w:sz w:val="34"/>
          <w:szCs w:val="34"/>
        </w:rPr>
      </w:pPr>
      <w:bookmarkStart w:id="32" w:name="_Toc74301879"/>
      <w:bookmarkStart w:id="33" w:name="_Toc79055054"/>
      <w:bookmarkStart w:id="34" w:name="_Toc50098954"/>
      <w:bookmarkStart w:id="35" w:name="_Toc49880259"/>
      <w:bookmarkStart w:id="36" w:name="_Toc49880208"/>
      <w:r>
        <w:rPr>
          <w:rFonts w:hint="eastAsia" w:ascii="黑体" w:hAnsi="黑体" w:eastAsia="黑体" w:cs="Times New Roman"/>
          <w:b w:val="0"/>
          <w:sz w:val="34"/>
          <w:szCs w:val="34"/>
        </w:rPr>
        <w:t>11．</w:t>
      </w:r>
      <w:bookmarkEnd w:id="32"/>
      <w:bookmarkEnd w:id="33"/>
      <w:bookmarkEnd w:id="34"/>
      <w:bookmarkEnd w:id="35"/>
      <w:bookmarkEnd w:id="36"/>
      <w:bookmarkStart w:id="37" w:name="_Toc14213"/>
      <w:bookmarkStart w:id="38" w:name="_Toc97035544"/>
      <w:bookmarkStart w:id="39" w:name="_Toc5600"/>
      <w:bookmarkStart w:id="40" w:name="_Toc32380"/>
      <w:bookmarkStart w:id="41" w:name="_Toc25243"/>
      <w:bookmarkStart w:id="42" w:name="_Toc19549"/>
      <w:bookmarkStart w:id="43" w:name="_Toc5821"/>
      <w:bookmarkStart w:id="44" w:name="_Toc11184"/>
      <w:bookmarkStart w:id="45" w:name="_Toc20474"/>
      <w:bookmarkStart w:id="46" w:name="_Toc27448"/>
      <w:bookmarkStart w:id="47" w:name="_Toc13587"/>
      <w:bookmarkStart w:id="48" w:name="_Toc318"/>
      <w:r>
        <w:rPr>
          <w:rFonts w:hint="eastAsia" w:ascii="黑体" w:hAnsi="黑体" w:eastAsia="黑体" w:cs="Times New Roman"/>
          <w:b w:val="0"/>
          <w:sz w:val="34"/>
          <w:szCs w:val="34"/>
        </w:rPr>
        <w:t>包装、运输和贮存</w:t>
      </w:r>
      <w:bookmarkEnd w:id="37"/>
      <w:bookmarkEnd w:id="38"/>
      <w:bookmarkEnd w:id="39"/>
      <w:bookmarkEnd w:id="40"/>
      <w:bookmarkEnd w:id="41"/>
      <w:bookmarkEnd w:id="42"/>
      <w:bookmarkEnd w:id="43"/>
      <w:bookmarkEnd w:id="44"/>
      <w:bookmarkEnd w:id="45"/>
      <w:bookmarkEnd w:id="46"/>
      <w:bookmarkEnd w:id="47"/>
      <w:bookmarkEnd w:id="48"/>
    </w:p>
    <w:p>
      <w:pPr>
        <w:pStyle w:val="4"/>
        <w:keepNext w:val="0"/>
        <w:keepLines w:val="0"/>
        <w:spacing w:before="0" w:after="0" w:line="600" w:lineRule="exact"/>
        <w:rPr>
          <w:rFonts w:ascii="黑体" w:hAnsi="黑体" w:eastAsia="黑体" w:cs="Times New Roman"/>
          <w:b w:val="0"/>
          <w:sz w:val="34"/>
          <w:szCs w:val="34"/>
        </w:rPr>
      </w:pPr>
      <w:bookmarkStart w:id="49" w:name="_Toc28519"/>
      <w:bookmarkStart w:id="50" w:name="_Toc29700"/>
      <w:bookmarkStart w:id="51" w:name="_Toc9590"/>
      <w:bookmarkStart w:id="52" w:name="_Toc8989"/>
      <w:bookmarkStart w:id="53" w:name="_Toc13395"/>
      <w:bookmarkStart w:id="54" w:name="_Toc14434"/>
      <w:bookmarkStart w:id="55" w:name="_Toc18585"/>
      <w:bookmarkStart w:id="56" w:name="_Toc97035546"/>
      <w:bookmarkStart w:id="57" w:name="_Toc12543"/>
      <w:bookmarkStart w:id="58" w:name="_Toc2057"/>
      <w:bookmarkStart w:id="59" w:name="_Toc31553"/>
      <w:r>
        <w:rPr>
          <w:rFonts w:hint="eastAsia" w:ascii="黑体" w:hAnsi="黑体" w:eastAsia="黑体" w:cs="Times New Roman"/>
          <w:b w:val="0"/>
          <w:sz w:val="34"/>
          <w:szCs w:val="34"/>
        </w:rPr>
        <w:t>11.1包装</w:t>
      </w:r>
      <w:bookmarkEnd w:id="49"/>
      <w:bookmarkEnd w:id="50"/>
      <w:bookmarkEnd w:id="51"/>
      <w:bookmarkEnd w:id="52"/>
      <w:bookmarkEnd w:id="53"/>
      <w:bookmarkEnd w:id="54"/>
      <w:bookmarkEnd w:id="55"/>
      <w:bookmarkEnd w:id="56"/>
      <w:bookmarkEnd w:id="57"/>
      <w:bookmarkEnd w:id="58"/>
      <w:bookmarkEnd w:id="59"/>
    </w:p>
    <w:p>
      <w:pPr>
        <w:spacing w:line="600" w:lineRule="exact"/>
        <w:ind w:firstLine="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产品包装应符合《机电产品包装通用技术条件》(GB/T 13384-2008)的有关规定。</w:t>
      </w:r>
    </w:p>
    <w:p>
      <w:pPr>
        <w:pStyle w:val="4"/>
        <w:keepNext w:val="0"/>
        <w:keepLines w:val="0"/>
        <w:spacing w:before="0" w:after="0" w:line="600" w:lineRule="exact"/>
        <w:rPr>
          <w:rFonts w:ascii="黑体" w:hAnsi="黑体" w:eastAsia="黑体" w:cs="Times New Roman"/>
          <w:b w:val="0"/>
          <w:sz w:val="34"/>
          <w:szCs w:val="34"/>
        </w:rPr>
      </w:pPr>
      <w:bookmarkStart w:id="60" w:name="_Toc97035547"/>
      <w:bookmarkStart w:id="61" w:name="_Toc31901"/>
      <w:bookmarkStart w:id="62" w:name="_Toc13092"/>
      <w:bookmarkStart w:id="63" w:name="_Toc25473"/>
      <w:bookmarkStart w:id="64" w:name="_Toc9114"/>
      <w:bookmarkStart w:id="65" w:name="_Toc5486"/>
      <w:bookmarkStart w:id="66" w:name="_Toc11913"/>
      <w:bookmarkStart w:id="67" w:name="_Toc24216"/>
      <w:bookmarkStart w:id="68" w:name="_Toc28889"/>
      <w:bookmarkStart w:id="69" w:name="_Toc22689"/>
      <w:bookmarkStart w:id="70" w:name="_Toc31298"/>
      <w:r>
        <w:rPr>
          <w:rFonts w:hint="eastAsia" w:ascii="黑体" w:hAnsi="黑体" w:eastAsia="黑体" w:cs="Times New Roman"/>
          <w:b w:val="0"/>
          <w:sz w:val="34"/>
          <w:szCs w:val="34"/>
        </w:rPr>
        <w:t>11.2运输</w:t>
      </w:r>
      <w:bookmarkEnd w:id="60"/>
      <w:bookmarkEnd w:id="61"/>
      <w:bookmarkEnd w:id="62"/>
      <w:bookmarkEnd w:id="63"/>
      <w:bookmarkEnd w:id="64"/>
      <w:bookmarkEnd w:id="65"/>
      <w:bookmarkEnd w:id="66"/>
      <w:bookmarkEnd w:id="67"/>
      <w:bookmarkEnd w:id="68"/>
      <w:bookmarkEnd w:id="69"/>
      <w:bookmarkEnd w:id="70"/>
    </w:p>
    <w:p>
      <w:pPr>
        <w:spacing w:line="600" w:lineRule="exact"/>
        <w:ind w:firstLine="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采购货物的运输,需选用有遮蔽的运输工具。</w:t>
      </w:r>
    </w:p>
    <w:p>
      <w:pPr>
        <w:pStyle w:val="4"/>
        <w:keepNext w:val="0"/>
        <w:keepLines w:val="0"/>
        <w:spacing w:before="0" w:after="0" w:line="600" w:lineRule="exact"/>
        <w:rPr>
          <w:rFonts w:ascii="黑体" w:hAnsi="黑体" w:eastAsia="黑体" w:cs="Times New Roman"/>
          <w:b w:val="0"/>
          <w:sz w:val="34"/>
          <w:szCs w:val="34"/>
        </w:rPr>
      </w:pPr>
      <w:bookmarkStart w:id="71" w:name="_Toc14220"/>
      <w:bookmarkStart w:id="72" w:name="_Toc28043"/>
      <w:bookmarkStart w:id="73" w:name="_Toc12980"/>
      <w:bookmarkStart w:id="74" w:name="_Toc8660"/>
      <w:bookmarkStart w:id="75" w:name="_Toc21149"/>
      <w:bookmarkStart w:id="76" w:name="_Toc30462"/>
      <w:bookmarkStart w:id="77" w:name="_Toc31040"/>
      <w:bookmarkStart w:id="78" w:name="_Toc27846"/>
      <w:bookmarkStart w:id="79" w:name="_Toc25641"/>
      <w:bookmarkStart w:id="80" w:name="_Toc97035548"/>
      <w:bookmarkStart w:id="81" w:name="_Toc20133"/>
      <w:r>
        <w:rPr>
          <w:rFonts w:hint="eastAsia" w:ascii="黑体" w:hAnsi="黑体" w:eastAsia="黑体" w:cs="Times New Roman"/>
          <w:b w:val="0"/>
          <w:sz w:val="34"/>
          <w:szCs w:val="34"/>
        </w:rPr>
        <w:t>11.3贮存</w:t>
      </w:r>
      <w:bookmarkEnd w:id="71"/>
      <w:bookmarkEnd w:id="72"/>
      <w:bookmarkEnd w:id="73"/>
      <w:bookmarkEnd w:id="74"/>
      <w:bookmarkEnd w:id="75"/>
      <w:bookmarkEnd w:id="76"/>
      <w:bookmarkEnd w:id="77"/>
      <w:bookmarkEnd w:id="78"/>
      <w:bookmarkEnd w:id="79"/>
      <w:bookmarkEnd w:id="80"/>
      <w:bookmarkEnd w:id="81"/>
    </w:p>
    <w:p>
      <w:pPr>
        <w:pStyle w:val="4"/>
        <w:keepNext w:val="0"/>
        <w:keepLines w:val="0"/>
        <w:spacing w:before="0" w:after="0" w:line="600" w:lineRule="exact"/>
        <w:rPr>
          <w:rFonts w:ascii="黑体" w:hAnsi="黑体" w:eastAsia="黑体" w:cs="Times New Roman"/>
          <w:b w:val="0"/>
          <w:sz w:val="34"/>
          <w:szCs w:val="34"/>
        </w:rPr>
      </w:pPr>
      <w:r>
        <w:rPr>
          <w:rFonts w:hint="eastAsia" w:ascii="仿宋_GB2312" w:hAnsi="Times New Roman" w:eastAsia="仿宋_GB2312" w:cs="Times New Roman"/>
          <w:color w:val="000000"/>
          <w:sz w:val="34"/>
          <w:szCs w:val="34"/>
        </w:rPr>
        <w:t>设备贮存期间，应存放于通风良好、干燥、无腐蚀性介质、避风雪、防暴晒、有消防设施的场所，周围无酸性</w:t>
      </w:r>
      <w:r>
        <w:rPr>
          <w:rFonts w:hint="eastAsia" w:ascii="黑体" w:hAnsi="黑体" w:eastAsia="黑体" w:cs="Times New Roman"/>
          <w:b w:val="0"/>
          <w:sz w:val="34"/>
          <w:szCs w:val="34"/>
        </w:rPr>
        <w:t>气体、碱或其他有害物质。</w:t>
      </w:r>
    </w:p>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12.到货时间及施工完成时间</w:t>
      </w:r>
    </w:p>
    <w:p>
      <w:pPr>
        <w:rPr>
          <w:rFonts w:ascii="黑体" w:hAnsi="黑体" w:eastAsia="黑体" w:cs="Times New Roman"/>
          <w:bCs/>
          <w:kern w:val="44"/>
          <w:sz w:val="34"/>
          <w:szCs w:val="34"/>
        </w:rPr>
      </w:pPr>
      <w:r>
        <w:rPr>
          <w:rFonts w:hint="eastAsia" w:ascii="黑体" w:hAnsi="黑体" w:eastAsia="黑体" w:cs="Times New Roman"/>
          <w:bCs/>
          <w:kern w:val="44"/>
          <w:sz w:val="34"/>
          <w:szCs w:val="34"/>
        </w:rPr>
        <w:t>12.1到货时间</w:t>
      </w:r>
    </w:p>
    <w:p>
      <w:pPr>
        <w:ind w:firstLine="680" w:firstLineChars="200"/>
        <w:rPr>
          <w:rFonts w:ascii="黑体" w:hAnsi="黑体" w:eastAsia="黑体" w:cs="Times New Roman"/>
          <w:bCs/>
          <w:kern w:val="44"/>
          <w:sz w:val="34"/>
          <w:szCs w:val="34"/>
        </w:rPr>
      </w:pPr>
      <w:r>
        <w:rPr>
          <w:rFonts w:hint="eastAsia" w:ascii="黑体" w:hAnsi="黑体" w:eastAsia="黑体" w:cs="Times New Roman"/>
          <w:bCs/>
          <w:kern w:val="44"/>
          <w:sz w:val="34"/>
          <w:szCs w:val="34"/>
        </w:rPr>
        <w:t>到货时间为2024年6月25号。</w:t>
      </w:r>
    </w:p>
    <w:p>
      <w:pPr>
        <w:rPr>
          <w:rFonts w:ascii="黑体" w:hAnsi="黑体" w:eastAsia="黑体" w:cs="Times New Roman"/>
          <w:bCs/>
          <w:kern w:val="44"/>
          <w:sz w:val="34"/>
          <w:szCs w:val="34"/>
        </w:rPr>
      </w:pPr>
      <w:r>
        <w:rPr>
          <w:rFonts w:hint="eastAsia" w:ascii="黑体" w:hAnsi="黑体" w:eastAsia="黑体" w:cs="Times New Roman"/>
          <w:bCs/>
          <w:kern w:val="44"/>
          <w:sz w:val="34"/>
          <w:szCs w:val="34"/>
        </w:rPr>
        <w:t>12.2施工完成时间</w:t>
      </w:r>
    </w:p>
    <w:p>
      <w:pPr>
        <w:ind w:firstLine="680" w:firstLineChars="200"/>
        <w:rPr>
          <w:rFonts w:ascii="黑体" w:hAnsi="黑体" w:eastAsia="黑体" w:cs="Times New Roman"/>
          <w:bCs/>
          <w:kern w:val="44"/>
          <w:sz w:val="34"/>
          <w:szCs w:val="34"/>
        </w:rPr>
      </w:pPr>
      <w:r>
        <w:rPr>
          <w:rFonts w:hint="eastAsia" w:ascii="黑体" w:hAnsi="黑体" w:eastAsia="黑体" w:cs="Times New Roman"/>
          <w:bCs/>
          <w:kern w:val="44"/>
          <w:sz w:val="34"/>
          <w:szCs w:val="34"/>
        </w:rPr>
        <w:t>施工完成时间为2024年8月20日</w:t>
      </w:r>
    </w:p>
    <w:p>
      <w:pPr>
        <w:spacing w:line="600" w:lineRule="exact"/>
        <w:ind w:firstLine="200"/>
        <w:outlineLvl w:val="0"/>
        <w:rPr>
          <w:rFonts w:ascii="仿宋_GB2312" w:hAnsi="Times New Roman" w:eastAsia="仿宋_GB2312" w:cs="Times New Roman"/>
          <w:b/>
          <w:bCs/>
          <w:kern w:val="44"/>
          <w:sz w:val="34"/>
          <w:szCs w:val="3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7FA94"/>
    <w:multiLevelType w:val="singleLevel"/>
    <w:tmpl w:val="5A57FA94"/>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Y4MjRkYzNhODZlYjg3OGY4YWJmMDQ5MDdhY2FiZGQifQ=="/>
    <w:docVar w:name="KSO_WPS_MARK_KEY" w:val="3f4b7cba-7596-440d-8cd2-8d279459c95c"/>
  </w:docVars>
  <w:rsids>
    <w:rsidRoot w:val="00CB0407"/>
    <w:rsid w:val="0006282D"/>
    <w:rsid w:val="000719F2"/>
    <w:rsid w:val="000B1157"/>
    <w:rsid w:val="000B68E8"/>
    <w:rsid w:val="000D37BF"/>
    <w:rsid w:val="00100C4B"/>
    <w:rsid w:val="001E2405"/>
    <w:rsid w:val="001F05AD"/>
    <w:rsid w:val="0031526E"/>
    <w:rsid w:val="00390C64"/>
    <w:rsid w:val="003B0025"/>
    <w:rsid w:val="00455933"/>
    <w:rsid w:val="00460E60"/>
    <w:rsid w:val="00464147"/>
    <w:rsid w:val="004A4FDC"/>
    <w:rsid w:val="004B4B92"/>
    <w:rsid w:val="004E77F9"/>
    <w:rsid w:val="007051BF"/>
    <w:rsid w:val="00752A6D"/>
    <w:rsid w:val="007621AD"/>
    <w:rsid w:val="00781DBD"/>
    <w:rsid w:val="007B76B2"/>
    <w:rsid w:val="007E406F"/>
    <w:rsid w:val="00823FC3"/>
    <w:rsid w:val="00833E4D"/>
    <w:rsid w:val="00837BD7"/>
    <w:rsid w:val="008463DB"/>
    <w:rsid w:val="008976CD"/>
    <w:rsid w:val="008D46DF"/>
    <w:rsid w:val="009067C5"/>
    <w:rsid w:val="00931414"/>
    <w:rsid w:val="00967BB8"/>
    <w:rsid w:val="00A108E7"/>
    <w:rsid w:val="00A52CAB"/>
    <w:rsid w:val="00AB0378"/>
    <w:rsid w:val="00AD5989"/>
    <w:rsid w:val="00B10C68"/>
    <w:rsid w:val="00B836E3"/>
    <w:rsid w:val="00BC75C4"/>
    <w:rsid w:val="00BE36EC"/>
    <w:rsid w:val="00C55594"/>
    <w:rsid w:val="00CB0407"/>
    <w:rsid w:val="00CB2E83"/>
    <w:rsid w:val="00CF31F9"/>
    <w:rsid w:val="00CF5FE1"/>
    <w:rsid w:val="00D20AE2"/>
    <w:rsid w:val="00D63790"/>
    <w:rsid w:val="00D902D6"/>
    <w:rsid w:val="00DE1EF3"/>
    <w:rsid w:val="00E078F2"/>
    <w:rsid w:val="00E20E28"/>
    <w:rsid w:val="00E84203"/>
    <w:rsid w:val="00F15CF7"/>
    <w:rsid w:val="00F924CC"/>
    <w:rsid w:val="00FB401B"/>
    <w:rsid w:val="010611C8"/>
    <w:rsid w:val="014966C8"/>
    <w:rsid w:val="01A92ADB"/>
    <w:rsid w:val="01B36A99"/>
    <w:rsid w:val="01B879F4"/>
    <w:rsid w:val="02755689"/>
    <w:rsid w:val="029D518A"/>
    <w:rsid w:val="03231B33"/>
    <w:rsid w:val="03754774"/>
    <w:rsid w:val="04096F7B"/>
    <w:rsid w:val="041D055F"/>
    <w:rsid w:val="04247911"/>
    <w:rsid w:val="04762137"/>
    <w:rsid w:val="0563090D"/>
    <w:rsid w:val="05E6792C"/>
    <w:rsid w:val="060C2D53"/>
    <w:rsid w:val="06783F44"/>
    <w:rsid w:val="068C79F0"/>
    <w:rsid w:val="071F0864"/>
    <w:rsid w:val="07B13BB2"/>
    <w:rsid w:val="07C221C2"/>
    <w:rsid w:val="07CF5DE6"/>
    <w:rsid w:val="080106B7"/>
    <w:rsid w:val="087846CF"/>
    <w:rsid w:val="089A2898"/>
    <w:rsid w:val="09000221"/>
    <w:rsid w:val="09373214"/>
    <w:rsid w:val="098E3C83"/>
    <w:rsid w:val="0A14667A"/>
    <w:rsid w:val="0ADF27E4"/>
    <w:rsid w:val="0B980BE5"/>
    <w:rsid w:val="0BB04180"/>
    <w:rsid w:val="0C6B5E27"/>
    <w:rsid w:val="0D0504FC"/>
    <w:rsid w:val="0D156991"/>
    <w:rsid w:val="0D26294C"/>
    <w:rsid w:val="0DF75186"/>
    <w:rsid w:val="0E286250"/>
    <w:rsid w:val="0E6C0832"/>
    <w:rsid w:val="0FA82289"/>
    <w:rsid w:val="10765B07"/>
    <w:rsid w:val="11A622AD"/>
    <w:rsid w:val="1202325C"/>
    <w:rsid w:val="128D521B"/>
    <w:rsid w:val="12905368"/>
    <w:rsid w:val="12E110C3"/>
    <w:rsid w:val="13806E42"/>
    <w:rsid w:val="13D36C5E"/>
    <w:rsid w:val="1497412F"/>
    <w:rsid w:val="15BB5C93"/>
    <w:rsid w:val="162B0FD3"/>
    <w:rsid w:val="16311FAF"/>
    <w:rsid w:val="17423805"/>
    <w:rsid w:val="17FF2717"/>
    <w:rsid w:val="18090EA0"/>
    <w:rsid w:val="19186967"/>
    <w:rsid w:val="19A90B8D"/>
    <w:rsid w:val="1A2C1900"/>
    <w:rsid w:val="1A78055F"/>
    <w:rsid w:val="1A7B0ABD"/>
    <w:rsid w:val="1AA420B1"/>
    <w:rsid w:val="1AA650CC"/>
    <w:rsid w:val="1ABF618E"/>
    <w:rsid w:val="1B4548E5"/>
    <w:rsid w:val="1B4641B9"/>
    <w:rsid w:val="1BC40611"/>
    <w:rsid w:val="1BD82EA7"/>
    <w:rsid w:val="1BDB5DC2"/>
    <w:rsid w:val="1BFB31F6"/>
    <w:rsid w:val="1CA7512B"/>
    <w:rsid w:val="1CBF4223"/>
    <w:rsid w:val="1D19735C"/>
    <w:rsid w:val="1D295B40"/>
    <w:rsid w:val="1D9C27B6"/>
    <w:rsid w:val="1E984D2C"/>
    <w:rsid w:val="22370D00"/>
    <w:rsid w:val="226E40D8"/>
    <w:rsid w:val="2281305A"/>
    <w:rsid w:val="228963AA"/>
    <w:rsid w:val="22AC6FF8"/>
    <w:rsid w:val="231D7EF5"/>
    <w:rsid w:val="232A616E"/>
    <w:rsid w:val="23356FED"/>
    <w:rsid w:val="2355241A"/>
    <w:rsid w:val="250637EA"/>
    <w:rsid w:val="257832C4"/>
    <w:rsid w:val="25BD0719"/>
    <w:rsid w:val="261C0B11"/>
    <w:rsid w:val="26323CB8"/>
    <w:rsid w:val="26AA1AA0"/>
    <w:rsid w:val="2729330D"/>
    <w:rsid w:val="27606603"/>
    <w:rsid w:val="27983FEE"/>
    <w:rsid w:val="27FA25B3"/>
    <w:rsid w:val="27FAD5B4"/>
    <w:rsid w:val="289A3F9C"/>
    <w:rsid w:val="29447BC9"/>
    <w:rsid w:val="2A314286"/>
    <w:rsid w:val="2A385615"/>
    <w:rsid w:val="2A992557"/>
    <w:rsid w:val="2B77216D"/>
    <w:rsid w:val="2C2960C4"/>
    <w:rsid w:val="2CE33F5E"/>
    <w:rsid w:val="2CFA3055"/>
    <w:rsid w:val="2DFA0C10"/>
    <w:rsid w:val="2E8B09CD"/>
    <w:rsid w:val="2E8B21B7"/>
    <w:rsid w:val="2EFF36B1"/>
    <w:rsid w:val="2F3445FD"/>
    <w:rsid w:val="2F464330"/>
    <w:rsid w:val="2FBC2844"/>
    <w:rsid w:val="2FCD67FF"/>
    <w:rsid w:val="2FE853E7"/>
    <w:rsid w:val="30073ABF"/>
    <w:rsid w:val="301D4BD0"/>
    <w:rsid w:val="305B5FE3"/>
    <w:rsid w:val="30B4367E"/>
    <w:rsid w:val="30D616E4"/>
    <w:rsid w:val="314E7BFC"/>
    <w:rsid w:val="324F44D1"/>
    <w:rsid w:val="329B4993"/>
    <w:rsid w:val="32CC7242"/>
    <w:rsid w:val="32D54349"/>
    <w:rsid w:val="33197C18"/>
    <w:rsid w:val="35234FE0"/>
    <w:rsid w:val="35AD6EB7"/>
    <w:rsid w:val="35B14F84"/>
    <w:rsid w:val="36F86858"/>
    <w:rsid w:val="36FF3742"/>
    <w:rsid w:val="3730586C"/>
    <w:rsid w:val="37413C94"/>
    <w:rsid w:val="379132C4"/>
    <w:rsid w:val="37C8447C"/>
    <w:rsid w:val="380A6843"/>
    <w:rsid w:val="389E51DD"/>
    <w:rsid w:val="38DD7AB3"/>
    <w:rsid w:val="3A43428E"/>
    <w:rsid w:val="3A836438"/>
    <w:rsid w:val="3B5A363D"/>
    <w:rsid w:val="3B7442DC"/>
    <w:rsid w:val="3BAA3FB1"/>
    <w:rsid w:val="3BDF52B4"/>
    <w:rsid w:val="3BF47B16"/>
    <w:rsid w:val="3C470BB5"/>
    <w:rsid w:val="3CA64660"/>
    <w:rsid w:val="3DCF679E"/>
    <w:rsid w:val="3E7C7D6E"/>
    <w:rsid w:val="3F372042"/>
    <w:rsid w:val="3F6A5E19"/>
    <w:rsid w:val="3FA330D9"/>
    <w:rsid w:val="3FFA2B2C"/>
    <w:rsid w:val="408A49C4"/>
    <w:rsid w:val="41272213"/>
    <w:rsid w:val="42F8373B"/>
    <w:rsid w:val="436F1C50"/>
    <w:rsid w:val="4407632C"/>
    <w:rsid w:val="454071DD"/>
    <w:rsid w:val="455E1F7C"/>
    <w:rsid w:val="46492C2C"/>
    <w:rsid w:val="4654337F"/>
    <w:rsid w:val="467557CF"/>
    <w:rsid w:val="46A95479"/>
    <w:rsid w:val="46F22495"/>
    <w:rsid w:val="4779309D"/>
    <w:rsid w:val="4804343B"/>
    <w:rsid w:val="487321E2"/>
    <w:rsid w:val="489E48D3"/>
    <w:rsid w:val="489F2FD7"/>
    <w:rsid w:val="48BA171C"/>
    <w:rsid w:val="48F826E7"/>
    <w:rsid w:val="4968130F"/>
    <w:rsid w:val="49AF0FF8"/>
    <w:rsid w:val="49D67550"/>
    <w:rsid w:val="4A5B4CDC"/>
    <w:rsid w:val="4A646F15"/>
    <w:rsid w:val="4A8E6E5F"/>
    <w:rsid w:val="4B1855CB"/>
    <w:rsid w:val="4B280619"/>
    <w:rsid w:val="4B473BC9"/>
    <w:rsid w:val="4BA42B0E"/>
    <w:rsid w:val="4BC0573E"/>
    <w:rsid w:val="4C1C049B"/>
    <w:rsid w:val="4C2B6930"/>
    <w:rsid w:val="4C883D82"/>
    <w:rsid w:val="4D27359B"/>
    <w:rsid w:val="4DB36BDD"/>
    <w:rsid w:val="4EA078C1"/>
    <w:rsid w:val="4F0C2A48"/>
    <w:rsid w:val="4F1E452A"/>
    <w:rsid w:val="4F69246C"/>
    <w:rsid w:val="4FBBF26B"/>
    <w:rsid w:val="4FD366FD"/>
    <w:rsid w:val="4FF572BC"/>
    <w:rsid w:val="509947B0"/>
    <w:rsid w:val="50C23A89"/>
    <w:rsid w:val="50C3182D"/>
    <w:rsid w:val="516E79EA"/>
    <w:rsid w:val="522E2306"/>
    <w:rsid w:val="530A3743"/>
    <w:rsid w:val="53424C8B"/>
    <w:rsid w:val="53932317"/>
    <w:rsid w:val="53E126F6"/>
    <w:rsid w:val="544B5DC1"/>
    <w:rsid w:val="548656D1"/>
    <w:rsid w:val="54900046"/>
    <w:rsid w:val="54BF230B"/>
    <w:rsid w:val="55867E9D"/>
    <w:rsid w:val="55992B5C"/>
    <w:rsid w:val="55FD621F"/>
    <w:rsid w:val="5627460C"/>
    <w:rsid w:val="56980903"/>
    <w:rsid w:val="569A68B2"/>
    <w:rsid w:val="56C63BB9"/>
    <w:rsid w:val="57454D4A"/>
    <w:rsid w:val="57A567BF"/>
    <w:rsid w:val="57C2639A"/>
    <w:rsid w:val="58C3659F"/>
    <w:rsid w:val="58EE3E4C"/>
    <w:rsid w:val="58F55565"/>
    <w:rsid w:val="59541B67"/>
    <w:rsid w:val="595E025E"/>
    <w:rsid w:val="5BB63D28"/>
    <w:rsid w:val="5BBF7B10"/>
    <w:rsid w:val="5BD41F3D"/>
    <w:rsid w:val="5BD743DE"/>
    <w:rsid w:val="5BE03293"/>
    <w:rsid w:val="5BF364A2"/>
    <w:rsid w:val="5C1D683D"/>
    <w:rsid w:val="5C3EF02F"/>
    <w:rsid w:val="5C53284C"/>
    <w:rsid w:val="5C593045"/>
    <w:rsid w:val="5C5B6A86"/>
    <w:rsid w:val="5C675E56"/>
    <w:rsid w:val="5D415FB3"/>
    <w:rsid w:val="5D861C18"/>
    <w:rsid w:val="5DCA7D57"/>
    <w:rsid w:val="5E015742"/>
    <w:rsid w:val="5E261498"/>
    <w:rsid w:val="5E334E9B"/>
    <w:rsid w:val="5E4E6BDA"/>
    <w:rsid w:val="5ECF06C3"/>
    <w:rsid w:val="5F1119B5"/>
    <w:rsid w:val="5F1514A5"/>
    <w:rsid w:val="5F3C1128"/>
    <w:rsid w:val="60A46F85"/>
    <w:rsid w:val="60D40EEC"/>
    <w:rsid w:val="60E470B2"/>
    <w:rsid w:val="611F7498"/>
    <w:rsid w:val="630B716B"/>
    <w:rsid w:val="6347009B"/>
    <w:rsid w:val="64813139"/>
    <w:rsid w:val="652F2648"/>
    <w:rsid w:val="658729D1"/>
    <w:rsid w:val="65E73470"/>
    <w:rsid w:val="65EE0CA2"/>
    <w:rsid w:val="67024A05"/>
    <w:rsid w:val="670E33AA"/>
    <w:rsid w:val="671D183F"/>
    <w:rsid w:val="673E5311"/>
    <w:rsid w:val="67EF5EBE"/>
    <w:rsid w:val="683C7AA3"/>
    <w:rsid w:val="6881195A"/>
    <w:rsid w:val="69F10325"/>
    <w:rsid w:val="6A2D7FEB"/>
    <w:rsid w:val="6A8B6AC0"/>
    <w:rsid w:val="6B234F4A"/>
    <w:rsid w:val="6B256F14"/>
    <w:rsid w:val="6BE648F5"/>
    <w:rsid w:val="6C20148A"/>
    <w:rsid w:val="6C692E30"/>
    <w:rsid w:val="6C6972D4"/>
    <w:rsid w:val="6CEA2CC5"/>
    <w:rsid w:val="6DCF4F15"/>
    <w:rsid w:val="6DE334E2"/>
    <w:rsid w:val="6EAD542B"/>
    <w:rsid w:val="6EC17332"/>
    <w:rsid w:val="6EFC61DE"/>
    <w:rsid w:val="6F26325B"/>
    <w:rsid w:val="6F5B73A8"/>
    <w:rsid w:val="6FE0340A"/>
    <w:rsid w:val="70104AD7"/>
    <w:rsid w:val="70264102"/>
    <w:rsid w:val="70D6480D"/>
    <w:rsid w:val="70EB02B8"/>
    <w:rsid w:val="70EE1B56"/>
    <w:rsid w:val="71597917"/>
    <w:rsid w:val="7161057A"/>
    <w:rsid w:val="71FFA755"/>
    <w:rsid w:val="720D425E"/>
    <w:rsid w:val="732E0930"/>
    <w:rsid w:val="734B5ADD"/>
    <w:rsid w:val="73AB01D2"/>
    <w:rsid w:val="73DC0F4B"/>
    <w:rsid w:val="74302D05"/>
    <w:rsid w:val="759C7DD3"/>
    <w:rsid w:val="764E6BCF"/>
    <w:rsid w:val="768F1F0A"/>
    <w:rsid w:val="77766529"/>
    <w:rsid w:val="78827754"/>
    <w:rsid w:val="79B853F7"/>
    <w:rsid w:val="79D24E6B"/>
    <w:rsid w:val="79D97847"/>
    <w:rsid w:val="79DE34E6"/>
    <w:rsid w:val="7A41719B"/>
    <w:rsid w:val="7A9B4AFD"/>
    <w:rsid w:val="7AAC6D0A"/>
    <w:rsid w:val="7AAD389B"/>
    <w:rsid w:val="7AC1208A"/>
    <w:rsid w:val="7B2965AD"/>
    <w:rsid w:val="7B310FBD"/>
    <w:rsid w:val="7B672C31"/>
    <w:rsid w:val="7C1F350C"/>
    <w:rsid w:val="7C5B0A71"/>
    <w:rsid w:val="7D2F1A52"/>
    <w:rsid w:val="7D3426D0"/>
    <w:rsid w:val="7D480840"/>
    <w:rsid w:val="7D545437"/>
    <w:rsid w:val="7DD56578"/>
    <w:rsid w:val="7EBB576E"/>
    <w:rsid w:val="7F0569E9"/>
    <w:rsid w:val="7F192494"/>
    <w:rsid w:val="7FF54CAF"/>
    <w:rsid w:val="D6BE13EB"/>
    <w:rsid w:val="DDB28A89"/>
    <w:rsid w:val="F537302B"/>
    <w:rsid w:val="F5F8750B"/>
    <w:rsid w:val="FBBF2416"/>
    <w:rsid w:val="FFFB0E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9"/>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0"/>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1"/>
    <w:autoRedefine/>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22"/>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210"/>
    </w:pPr>
    <w:rPr>
      <w:szCs w:val="20"/>
    </w:rPr>
  </w:style>
  <w:style w:type="paragraph" w:styleId="3">
    <w:name w:val="Body Text Indent"/>
    <w:basedOn w:val="1"/>
    <w:next w:val="2"/>
    <w:autoRedefine/>
    <w:qFormat/>
    <w:uiPriority w:val="0"/>
    <w:pPr>
      <w:ind w:firstLine="555"/>
    </w:pPr>
  </w:style>
  <w:style w:type="paragraph" w:styleId="8">
    <w:name w:val="annotation text"/>
    <w:basedOn w:val="1"/>
    <w:autoRedefine/>
    <w:unhideWhenUsed/>
    <w:qFormat/>
    <w:uiPriority w:val="99"/>
    <w:pPr>
      <w:jc w:val="left"/>
    </w:pPr>
  </w:style>
  <w:style w:type="paragraph" w:styleId="9">
    <w:name w:val="Body Text"/>
    <w:basedOn w:val="1"/>
    <w:next w:val="10"/>
    <w:autoRedefine/>
    <w:qFormat/>
    <w:uiPriority w:val="1"/>
    <w:rPr>
      <w:szCs w:val="24"/>
    </w:rPr>
  </w:style>
  <w:style w:type="paragraph" w:styleId="10">
    <w:name w:val="Plain Text"/>
    <w:basedOn w:val="1"/>
    <w:autoRedefine/>
    <w:qFormat/>
    <w:uiPriority w:val="0"/>
    <w:rPr>
      <w:rFonts w:hAnsi="Courier New"/>
      <w:sz w:val="20"/>
      <w:szCs w:val="21"/>
    </w:rPr>
  </w:style>
  <w:style w:type="paragraph" w:styleId="11">
    <w:name w:val="Date"/>
    <w:basedOn w:val="1"/>
    <w:next w:val="1"/>
    <w:autoRedefine/>
    <w:qFormat/>
    <w:uiPriority w:val="0"/>
    <w:rPr>
      <w:rFonts w:ascii="Times New Roman" w:hAnsi="Times New Roman" w:cs="Times New Roman"/>
      <w:szCs w:val="20"/>
    </w:rPr>
  </w:style>
  <w:style w:type="paragraph" w:styleId="12">
    <w:name w:val="footer"/>
    <w:basedOn w:val="1"/>
    <w:link w:val="24"/>
    <w:autoRedefine/>
    <w:unhideWhenUsed/>
    <w:qFormat/>
    <w:uiPriority w:val="99"/>
    <w:pPr>
      <w:tabs>
        <w:tab w:val="center" w:pos="4153"/>
        <w:tab w:val="right" w:pos="8306"/>
      </w:tabs>
      <w:snapToGrid w:val="0"/>
      <w:jc w:val="left"/>
    </w:pPr>
    <w:rPr>
      <w:sz w:val="18"/>
      <w:szCs w:val="18"/>
    </w:rPr>
  </w:style>
  <w:style w:type="paragraph" w:styleId="13">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Emphasis"/>
    <w:basedOn w:val="16"/>
    <w:autoRedefine/>
    <w:qFormat/>
    <w:uiPriority w:val="20"/>
    <w:rPr>
      <w:i/>
    </w:rPr>
  </w:style>
  <w:style w:type="paragraph" w:customStyle="1" w:styleId="18">
    <w:name w:val="四级标题"/>
    <w:basedOn w:val="11"/>
    <w:autoRedefine/>
    <w:qFormat/>
    <w:uiPriority w:val="0"/>
    <w:pPr>
      <w:tabs>
        <w:tab w:val="left" w:pos="1418"/>
      </w:tabs>
      <w:spacing w:line="312" w:lineRule="auto"/>
      <w:ind w:left="1418"/>
    </w:pPr>
    <w:rPr>
      <w:sz w:val="20"/>
      <w:lang w:val="zh-CN"/>
    </w:rPr>
  </w:style>
  <w:style w:type="character" w:customStyle="1" w:styleId="19">
    <w:name w:val="标题 1 Char"/>
    <w:basedOn w:val="16"/>
    <w:link w:val="4"/>
    <w:autoRedefine/>
    <w:qFormat/>
    <w:uiPriority w:val="9"/>
    <w:rPr>
      <w:b/>
      <w:bCs/>
      <w:kern w:val="44"/>
      <w:sz w:val="44"/>
      <w:szCs w:val="44"/>
    </w:rPr>
  </w:style>
  <w:style w:type="character" w:customStyle="1" w:styleId="20">
    <w:name w:val="标题 2 Char"/>
    <w:basedOn w:val="16"/>
    <w:link w:val="5"/>
    <w:autoRedefine/>
    <w:qFormat/>
    <w:uiPriority w:val="9"/>
    <w:rPr>
      <w:rFonts w:asciiTheme="majorHAnsi" w:hAnsiTheme="majorHAnsi" w:eastAsiaTheme="majorEastAsia" w:cstheme="majorBidi"/>
      <w:b/>
      <w:bCs/>
      <w:sz w:val="32"/>
      <w:szCs w:val="32"/>
    </w:rPr>
  </w:style>
  <w:style w:type="character" w:customStyle="1" w:styleId="21">
    <w:name w:val="标题 3 Char"/>
    <w:basedOn w:val="16"/>
    <w:link w:val="6"/>
    <w:autoRedefine/>
    <w:qFormat/>
    <w:uiPriority w:val="9"/>
    <w:rPr>
      <w:b/>
      <w:bCs/>
      <w:sz w:val="32"/>
      <w:szCs w:val="32"/>
    </w:rPr>
  </w:style>
  <w:style w:type="character" w:customStyle="1" w:styleId="22">
    <w:name w:val="标题 4 Char"/>
    <w:basedOn w:val="16"/>
    <w:link w:val="7"/>
    <w:autoRedefine/>
    <w:qFormat/>
    <w:uiPriority w:val="9"/>
    <w:rPr>
      <w:rFonts w:asciiTheme="majorHAnsi" w:hAnsiTheme="majorHAnsi" w:eastAsiaTheme="majorEastAsia" w:cstheme="majorBidi"/>
      <w:b/>
      <w:bCs/>
      <w:sz w:val="28"/>
      <w:szCs w:val="28"/>
    </w:rPr>
  </w:style>
  <w:style w:type="character" w:customStyle="1" w:styleId="23">
    <w:name w:val="页眉 Char"/>
    <w:basedOn w:val="16"/>
    <w:link w:val="13"/>
    <w:autoRedefine/>
    <w:qFormat/>
    <w:uiPriority w:val="99"/>
    <w:rPr>
      <w:sz w:val="18"/>
      <w:szCs w:val="18"/>
    </w:rPr>
  </w:style>
  <w:style w:type="character" w:customStyle="1" w:styleId="24">
    <w:name w:val="页脚 Char"/>
    <w:basedOn w:val="16"/>
    <w:link w:val="12"/>
    <w:autoRedefine/>
    <w:qFormat/>
    <w:uiPriority w:val="99"/>
    <w:rPr>
      <w:sz w:val="18"/>
      <w:szCs w:val="18"/>
    </w:rPr>
  </w:style>
  <w:style w:type="paragraph" w:customStyle="1" w:styleId="25">
    <w:name w:val="表格内文字"/>
    <w:basedOn w:val="1"/>
    <w:link w:val="26"/>
    <w:autoRedefine/>
    <w:qFormat/>
    <w:uiPriority w:val="0"/>
    <w:pPr>
      <w:adjustRightInd w:val="0"/>
      <w:jc w:val="center"/>
      <w:textAlignment w:val="baseline"/>
    </w:pPr>
    <w:rPr>
      <w:rFonts w:ascii="宋体" w:hAnsi="宋体" w:eastAsia="宋体" w:cs="Times New Roman"/>
      <w:bCs/>
      <w:kern w:val="0"/>
      <w:szCs w:val="20"/>
    </w:rPr>
  </w:style>
  <w:style w:type="character" w:customStyle="1" w:styleId="26">
    <w:name w:val="表格内文字 Char"/>
    <w:link w:val="25"/>
    <w:autoRedefine/>
    <w:qFormat/>
    <w:uiPriority w:val="0"/>
    <w:rPr>
      <w:rFonts w:ascii="宋体" w:hAnsi="宋体" w:eastAsia="宋体" w:cs="Times New Roman"/>
      <w:bCs/>
      <w:kern w:val="0"/>
      <w:szCs w:val="20"/>
    </w:rPr>
  </w:style>
  <w:style w:type="paragraph" w:customStyle="1" w:styleId="27">
    <w:name w:val="表格"/>
    <w:next w:val="1"/>
    <w:link w:val="28"/>
    <w:autoRedefine/>
    <w:qFormat/>
    <w:uiPriority w:val="0"/>
    <w:pPr>
      <w:topLinePunct/>
      <w:jc w:val="center"/>
    </w:pPr>
    <w:rPr>
      <w:rFonts w:ascii="Times New Roman" w:eastAsia="宋体" w:cs="Times New Roman" w:hAnsiTheme="minorEastAsia"/>
      <w:kern w:val="2"/>
      <w:sz w:val="21"/>
      <w:szCs w:val="28"/>
      <w:lang w:val="en-US" w:eastAsia="zh-CN" w:bidi="ar-SA"/>
    </w:rPr>
  </w:style>
  <w:style w:type="character" w:customStyle="1" w:styleId="28">
    <w:name w:val="表格 Char"/>
    <w:basedOn w:val="16"/>
    <w:link w:val="27"/>
    <w:autoRedefine/>
    <w:qFormat/>
    <w:uiPriority w:val="0"/>
    <w:rPr>
      <w:rFonts w:ascii="Times New Roman" w:eastAsia="宋体" w:cs="Times New Roman" w:hAnsiTheme="minorEastAsia"/>
      <w:szCs w:val="28"/>
    </w:rPr>
  </w:style>
  <w:style w:type="paragraph" w:customStyle="1" w:styleId="29">
    <w:name w:val="List Paragraph1"/>
    <w:basedOn w:val="1"/>
    <w:autoRedefine/>
    <w:qFormat/>
    <w:uiPriority w:val="0"/>
    <w:pPr>
      <w:ind w:firstLine="420" w:firstLineChars="200"/>
    </w:pPr>
    <w:rPr>
      <w:rFonts w:ascii="等线" w:hAnsi="等线" w:eastAsia="等线" w:cs="Times New Roman"/>
      <w:szCs w:val="21"/>
    </w:rPr>
  </w:style>
  <w:style w:type="paragraph" w:customStyle="1" w:styleId="30">
    <w:name w:val="列出段落1"/>
    <w:basedOn w:val="1"/>
    <w:autoRedefine/>
    <w:qFormat/>
    <w:uiPriority w:val="34"/>
    <w:pPr>
      <w:ind w:firstLine="420" w:firstLineChars="200"/>
    </w:pPr>
  </w:style>
  <w:style w:type="character" w:customStyle="1" w:styleId="31">
    <w:name w:val="font21"/>
    <w:basedOn w:val="16"/>
    <w:qFormat/>
    <w:uiPriority w:val="0"/>
    <w:rPr>
      <w:rFonts w:hint="default" w:ascii="Calibri" w:hAnsi="Calibri" w:cs="Calibri"/>
      <w:color w:val="000000"/>
      <w:sz w:val="28"/>
      <w:szCs w:val="28"/>
      <w:u w:val="none"/>
    </w:rPr>
  </w:style>
  <w:style w:type="character" w:customStyle="1" w:styleId="32">
    <w:name w:val="font31"/>
    <w:basedOn w:val="16"/>
    <w:qFormat/>
    <w:uiPriority w:val="0"/>
    <w:rPr>
      <w:rFonts w:hint="eastAsia" w:ascii="仿宋" w:hAnsi="仿宋" w:eastAsia="仿宋"/>
      <w:color w:val="000000"/>
      <w:sz w:val="28"/>
      <w:szCs w:val="28"/>
      <w:u w:val="none"/>
    </w:rPr>
  </w:style>
  <w:style w:type="character" w:customStyle="1" w:styleId="33">
    <w:name w:val="font41"/>
    <w:basedOn w:val="16"/>
    <w:autoRedefine/>
    <w:qFormat/>
    <w:uiPriority w:val="0"/>
    <w:rPr>
      <w:rFonts w:hint="eastAsia" w:ascii="仿宋" w:hAnsi="仿宋" w:eastAsia="仿宋"/>
      <w:color w:val="FF0000"/>
      <w:sz w:val="28"/>
      <w:szCs w:val="28"/>
      <w:u w:val="none"/>
    </w:rPr>
  </w:style>
  <w:style w:type="character" w:customStyle="1" w:styleId="34">
    <w:name w:val="font01"/>
    <w:basedOn w:val="16"/>
    <w:autoRedefine/>
    <w:qFormat/>
    <w:uiPriority w:val="0"/>
    <w:rPr>
      <w:rFonts w:hint="default" w:ascii="Calibri" w:hAnsi="Calibri" w:cs="Calibri"/>
      <w:color w:val="FF0000"/>
      <w:sz w:val="28"/>
      <w:szCs w:val="28"/>
      <w:u w:val="none"/>
    </w:rPr>
  </w:style>
  <w:style w:type="character" w:customStyle="1" w:styleId="35">
    <w:name w:val="font11"/>
    <w:basedOn w:val="16"/>
    <w:autoRedefine/>
    <w:qFormat/>
    <w:uiPriority w:val="0"/>
    <w:rPr>
      <w:rFonts w:hint="default" w:ascii="Calibri" w:hAnsi="Calibri" w:cs="Calibri"/>
      <w:color w:val="000000"/>
      <w:sz w:val="28"/>
      <w:szCs w:val="28"/>
      <w:u w:val="none"/>
    </w:rPr>
  </w:style>
  <w:style w:type="character" w:customStyle="1" w:styleId="36">
    <w:name w:val="NormalCharacter"/>
    <w:autoRedefine/>
    <w:qFormat/>
    <w:uiPriority w:val="0"/>
  </w:style>
  <w:style w:type="paragraph" w:customStyle="1" w:styleId="37">
    <w:name w:val="Normal_7"/>
    <w:autoRedefine/>
    <w:qFormat/>
    <w:uiPriority w:val="0"/>
    <w:pPr>
      <w:widowControl w:val="0"/>
      <w:spacing w:after="200" w:line="276" w:lineRule="auto"/>
    </w:pPr>
    <w:rPr>
      <w:rFonts w:ascii="宋体" w:hAnsi="宋体" w:eastAsia="宋体" w:cs="宋体"/>
      <w:sz w:val="22"/>
      <w:szCs w:val="22"/>
      <w:lang w:val="en-US" w:eastAsia="en-US" w:bidi="ar-SA"/>
    </w:rPr>
  </w:style>
  <w:style w:type="paragraph" w:customStyle="1" w:styleId="38">
    <w:name w:val="正文 首行缩进:  2 字符 SL CON"/>
    <w:basedOn w:val="1"/>
    <w:autoRedefine/>
    <w:qFormat/>
    <w:uiPriority w:val="0"/>
    <w:pPr>
      <w:tabs>
        <w:tab w:val="left" w:pos="377"/>
      </w:tabs>
      <w:ind w:firstLine="200" w:firstLineChars="200"/>
    </w:pPr>
    <w:rPr>
      <w:sz w:val="28"/>
    </w:rPr>
  </w:style>
  <w:style w:type="paragraph" w:customStyle="1" w:styleId="39">
    <w:name w:val="中文正文、"/>
    <w:basedOn w:val="1"/>
    <w:autoRedefine/>
    <w:qFormat/>
    <w:uiPriority w:val="0"/>
    <w:pPr>
      <w:tabs>
        <w:tab w:val="left" w:pos="377"/>
      </w:tabs>
      <w:ind w:firstLine="420"/>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Alibaba</Company>
  <Pages>27</Pages>
  <Words>1675</Words>
  <Characters>9552</Characters>
  <Lines>79</Lines>
  <Paragraphs>22</Paragraphs>
  <TotalTime>68</TotalTime>
  <ScaleCrop>false</ScaleCrop>
  <LinksUpToDate>false</LinksUpToDate>
  <CharactersWithSpaces>11205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2023-01-08T04:01:00Z</dcterms:created>
  <dc:creator>程硕</dc:creator>
  <cp:lastModifiedBy>Administrator</cp:lastModifiedBy>
  <cp:lastPrinted>2024-04-11T06:20:21Z</cp:lastPrinted>
  <dcterms:modified xsi:type="dcterms:W3CDTF">2024-04-11T06:40:13Z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F09CF234864E4D7B8C2F68952CF4C7D9_13</vt:lpwstr>
  </property>
</Properties>
</file>