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62" w:rsidRDefault="004C6407">
      <w:pPr>
        <w:spacing w:line="6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江苏索普化工股份有限公司UPS技术协议</w:t>
      </w:r>
    </w:p>
    <w:p w:rsidR="000A1662" w:rsidRDefault="000A1662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0A1662" w:rsidRDefault="004C6407">
      <w:pPr>
        <w:spacing w:line="600" w:lineRule="exact"/>
        <w:rPr>
          <w:rFonts w:ascii="黑体" w:eastAsia="黑体" w:hAnsi="黑体" w:cs="仿宋_GB2312"/>
          <w:sz w:val="34"/>
          <w:szCs w:val="34"/>
        </w:rPr>
      </w:pPr>
      <w:r>
        <w:rPr>
          <w:rFonts w:ascii="黑体" w:eastAsia="黑体" w:hAnsi="黑体" w:cs="仿宋_GB2312" w:hint="eastAsia"/>
          <w:sz w:val="34"/>
          <w:szCs w:val="34"/>
        </w:rPr>
        <w:t>一、总则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本技术规格书适用于江苏索普化工股份有限公司</w:t>
      </w:r>
      <w:r w:rsidR="00787250">
        <w:rPr>
          <w:rFonts w:ascii="仿宋_GB2312" w:eastAsia="仿宋_GB2312" w:hAnsi="仿宋" w:cs="仿宋_GB2312" w:hint="eastAsia"/>
          <w:sz w:val="34"/>
          <w:szCs w:val="34"/>
        </w:rPr>
        <w:t>万吨污水降SS除硅</w:t>
      </w:r>
      <w:r>
        <w:rPr>
          <w:rFonts w:ascii="仿宋_GB2312" w:eastAsia="仿宋_GB2312" w:hAnsi="仿宋" w:cs="仿宋_GB2312" w:hint="eastAsia"/>
          <w:sz w:val="34"/>
          <w:szCs w:val="34"/>
        </w:rPr>
        <w:t>机柜间不间断电源（以下简称UPS）的设计、制造、采购和验收。本技术规格书提出的是最低限度的技术要求，并未对一切技术细节</w:t>
      </w:r>
      <w:proofErr w:type="gramStart"/>
      <w:r>
        <w:rPr>
          <w:rFonts w:ascii="仿宋_GB2312" w:eastAsia="仿宋_GB2312" w:hAnsi="仿宋" w:cs="仿宋_GB2312" w:hint="eastAsia"/>
          <w:sz w:val="34"/>
          <w:szCs w:val="34"/>
        </w:rPr>
        <w:t>作出</w:t>
      </w:r>
      <w:proofErr w:type="gramEnd"/>
      <w:r>
        <w:rPr>
          <w:rFonts w:ascii="仿宋_GB2312" w:eastAsia="仿宋_GB2312" w:hAnsi="仿宋" w:cs="仿宋_GB2312" w:hint="eastAsia"/>
          <w:sz w:val="34"/>
          <w:szCs w:val="34"/>
        </w:rPr>
        <w:t>规定，也未充分引述有关标准和规范的条文。投标人应保证提供符合本技术规格书和有关国际标准、国家标准的高性能的优质产品。</w:t>
      </w:r>
      <w:bookmarkStart w:id="0" w:name="_GoBack"/>
      <w:bookmarkEnd w:id="0"/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bookmarkStart w:id="1" w:name="_Toc137190318"/>
      <w:bookmarkStart w:id="2" w:name="_Toc137188124"/>
      <w:bookmarkStart w:id="3" w:name="_Toc137187752"/>
      <w:bookmarkStart w:id="4" w:name="_Toc137193788"/>
      <w:r>
        <w:rPr>
          <w:rFonts w:ascii="仿宋_GB2312" w:eastAsia="仿宋_GB2312" w:hAnsi="仿宋" w:cs="仿宋_GB2312" w:hint="eastAsia"/>
          <w:sz w:val="34"/>
          <w:szCs w:val="34"/>
        </w:rPr>
        <w:t>投标人应对本技术规格书中所列明的各项内容和要求逐项</w:t>
      </w:r>
      <w:proofErr w:type="gramStart"/>
      <w:r>
        <w:rPr>
          <w:rFonts w:ascii="仿宋_GB2312" w:eastAsia="仿宋_GB2312" w:hAnsi="仿宋" w:cs="仿宋_GB2312" w:hint="eastAsia"/>
          <w:sz w:val="34"/>
          <w:szCs w:val="34"/>
        </w:rPr>
        <w:t>作出</w:t>
      </w:r>
      <w:proofErr w:type="gramEnd"/>
      <w:r>
        <w:rPr>
          <w:rFonts w:ascii="仿宋_GB2312" w:eastAsia="仿宋_GB2312" w:hAnsi="仿宋" w:cs="仿宋_GB2312" w:hint="eastAsia"/>
          <w:sz w:val="34"/>
          <w:szCs w:val="34"/>
        </w:rPr>
        <w:t>明确的响应，不能简单地应答满足或不满足。如不按本技术规格书的要求做出应答或所提供的资料不能满足要求，将承担被废标的风险。</w:t>
      </w:r>
      <w:bookmarkEnd w:id="1"/>
      <w:bookmarkEnd w:id="2"/>
      <w:bookmarkEnd w:id="3"/>
      <w:bookmarkEnd w:id="4"/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bookmarkStart w:id="5" w:name="_Toc137188125"/>
      <w:bookmarkStart w:id="6" w:name="_Toc137190319"/>
      <w:bookmarkStart w:id="7" w:name="_Toc137187753"/>
      <w:bookmarkStart w:id="8" w:name="_Toc137193789"/>
      <w:r>
        <w:rPr>
          <w:rFonts w:ascii="仿宋_GB2312" w:eastAsia="仿宋_GB2312" w:hAnsi="仿宋" w:cs="仿宋_GB2312" w:hint="eastAsia"/>
          <w:sz w:val="34"/>
          <w:szCs w:val="34"/>
        </w:rPr>
        <w:t>如果投标产品的技术性能、指标低于或不符合本技术规格书所提出的要求，应在投标文件的《技术规格偏离表》中</w:t>
      </w:r>
      <w:proofErr w:type="gramStart"/>
      <w:r>
        <w:rPr>
          <w:rFonts w:ascii="仿宋_GB2312" w:eastAsia="仿宋_GB2312" w:hAnsi="仿宋" w:cs="仿宋_GB2312" w:hint="eastAsia"/>
          <w:sz w:val="34"/>
          <w:szCs w:val="34"/>
        </w:rPr>
        <w:t>作出</w:t>
      </w:r>
      <w:proofErr w:type="gramEnd"/>
      <w:r>
        <w:rPr>
          <w:rFonts w:ascii="仿宋_GB2312" w:eastAsia="仿宋_GB2312" w:hAnsi="仿宋" w:cs="仿宋_GB2312" w:hint="eastAsia"/>
          <w:sz w:val="34"/>
          <w:szCs w:val="34"/>
        </w:rPr>
        <w:t>明确的和详细的说明。</w:t>
      </w:r>
      <w:bookmarkEnd w:id="5"/>
      <w:bookmarkEnd w:id="6"/>
      <w:bookmarkEnd w:id="7"/>
      <w:bookmarkEnd w:id="8"/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bookmarkStart w:id="9" w:name="_Toc137187754"/>
      <w:bookmarkStart w:id="10" w:name="_Toc137188126"/>
      <w:bookmarkStart w:id="11" w:name="_Toc137193790"/>
      <w:bookmarkStart w:id="12" w:name="_Toc137190320"/>
      <w:r>
        <w:rPr>
          <w:rFonts w:ascii="仿宋_GB2312" w:eastAsia="仿宋_GB2312" w:hAnsi="仿宋" w:cs="仿宋_GB2312" w:hint="eastAsia"/>
          <w:sz w:val="34"/>
          <w:szCs w:val="34"/>
        </w:rPr>
        <w:t>如果投标人没有以书面形式对本技术规格书的条文提出异议，则意味着投标人提供的产品和服务完全符合本技术规格书的要求。如果招标方发现投标人对本技术规格书的响应不真实，投标人将</w:t>
      </w:r>
      <w:bookmarkEnd w:id="9"/>
      <w:bookmarkEnd w:id="10"/>
      <w:bookmarkEnd w:id="11"/>
      <w:bookmarkEnd w:id="12"/>
      <w:r>
        <w:rPr>
          <w:rFonts w:ascii="仿宋_GB2312" w:eastAsia="仿宋_GB2312" w:hAnsi="仿宋" w:cs="仿宋_GB2312" w:hint="eastAsia"/>
          <w:sz w:val="34"/>
          <w:szCs w:val="34"/>
        </w:rPr>
        <w:t>被废标或被取消中标资格，承担退货和赔偿招标方经济损失。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bookmarkStart w:id="13" w:name="_Toc137190321"/>
      <w:bookmarkStart w:id="14" w:name="_Toc137193791"/>
      <w:bookmarkStart w:id="15" w:name="_Toc137187755"/>
      <w:bookmarkStart w:id="16" w:name="_Toc137188127"/>
      <w:r>
        <w:rPr>
          <w:rFonts w:ascii="仿宋_GB2312" w:eastAsia="仿宋_GB2312" w:hAnsi="仿宋" w:cs="仿宋_GB2312" w:hint="eastAsia"/>
          <w:sz w:val="34"/>
          <w:szCs w:val="34"/>
        </w:rPr>
        <w:t>投标人提供的技术文件中必须包括推荐产品的样本</w:t>
      </w:r>
      <w:r>
        <w:rPr>
          <w:rFonts w:ascii="仿宋_GB2312" w:eastAsia="仿宋_GB2312" w:hAnsi="仿宋" w:cs="仿宋_GB2312" w:hint="eastAsia"/>
          <w:sz w:val="34"/>
          <w:szCs w:val="34"/>
        </w:rPr>
        <w:lastRenderedPageBreak/>
        <w:t>和UPS主机、蓄电池等主要产品的国家级测试报告。</w:t>
      </w:r>
      <w:bookmarkEnd w:id="13"/>
      <w:bookmarkEnd w:id="14"/>
      <w:bookmarkEnd w:id="15"/>
      <w:bookmarkEnd w:id="16"/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bookmarkStart w:id="17" w:name="_Toc137187756"/>
      <w:bookmarkStart w:id="18" w:name="_Toc137188128"/>
      <w:bookmarkStart w:id="19" w:name="_Toc137190322"/>
      <w:bookmarkStart w:id="20" w:name="_Toc137193792"/>
      <w:r>
        <w:rPr>
          <w:rFonts w:ascii="仿宋_GB2312" w:eastAsia="仿宋_GB2312" w:hAnsi="仿宋" w:cs="仿宋_GB2312" w:hint="eastAsia"/>
          <w:sz w:val="34"/>
          <w:szCs w:val="34"/>
        </w:rPr>
        <w:t>本技术规格书所引用的标准如与投标人所执行的标准发生矛盾时，应按较高的标准执行。</w:t>
      </w:r>
      <w:bookmarkEnd w:id="17"/>
      <w:bookmarkEnd w:id="18"/>
      <w:bookmarkEnd w:id="19"/>
      <w:bookmarkEnd w:id="20"/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bookmarkStart w:id="21" w:name="_Toc137188129"/>
      <w:bookmarkStart w:id="22" w:name="_Toc137187757"/>
      <w:bookmarkStart w:id="23" w:name="_Toc137193793"/>
      <w:bookmarkStart w:id="24" w:name="_Toc137190323"/>
      <w:r>
        <w:rPr>
          <w:rFonts w:ascii="仿宋_GB2312" w:eastAsia="仿宋_GB2312" w:hAnsi="仿宋" w:cs="仿宋_GB2312" w:hint="eastAsia"/>
          <w:sz w:val="34"/>
          <w:szCs w:val="34"/>
        </w:rPr>
        <w:t>投标人提供的一切文件资料均以中文叙述为准。</w:t>
      </w:r>
      <w:bookmarkEnd w:id="21"/>
      <w:bookmarkEnd w:id="22"/>
      <w:bookmarkEnd w:id="23"/>
      <w:bookmarkEnd w:id="24"/>
    </w:p>
    <w:p w:rsidR="000A1662" w:rsidRDefault="004C6407">
      <w:pPr>
        <w:spacing w:line="600" w:lineRule="exact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二、适用的技术标准与规范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投标产品应该满足下列最新版本的标准和规范的要求。</w:t>
      </w:r>
      <w:bookmarkStart w:id="25" w:name="_Toc137187763"/>
      <w:bookmarkStart w:id="26" w:name="_Toc137190329"/>
      <w:bookmarkStart w:id="27" w:name="_Toc137188135"/>
      <w:bookmarkStart w:id="28" w:name="_Toc137193799"/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GB/T2423.1--1989 电工电子产品基本环境试验规程 试验A：低温试验方法</w:t>
      </w:r>
      <w:bookmarkEnd w:id="25"/>
      <w:bookmarkEnd w:id="26"/>
      <w:bookmarkEnd w:id="27"/>
      <w:bookmarkEnd w:id="28"/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bookmarkStart w:id="29" w:name="_Toc137193800"/>
      <w:bookmarkStart w:id="30" w:name="_Toc137188136"/>
      <w:bookmarkStart w:id="31" w:name="_Toc137187764"/>
      <w:bookmarkStart w:id="32" w:name="_Toc137190330"/>
      <w:r>
        <w:rPr>
          <w:rFonts w:ascii="仿宋_GB2312" w:eastAsia="仿宋_GB2312" w:hAnsi="仿宋" w:cs="仿宋_GB2312" w:hint="eastAsia"/>
          <w:sz w:val="34"/>
          <w:szCs w:val="34"/>
        </w:rPr>
        <w:t>GB/T2423.2--1989 电工电子产品基本环境试验规程 试验B：高温试验方法</w:t>
      </w:r>
      <w:bookmarkEnd w:id="29"/>
      <w:bookmarkEnd w:id="30"/>
      <w:bookmarkEnd w:id="31"/>
      <w:bookmarkEnd w:id="32"/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bookmarkStart w:id="33" w:name="_Toc137187765"/>
      <w:bookmarkStart w:id="34" w:name="_Toc137190331"/>
      <w:bookmarkStart w:id="35" w:name="_Toc137193801"/>
      <w:bookmarkStart w:id="36" w:name="_Toc137188137"/>
      <w:r>
        <w:rPr>
          <w:rFonts w:ascii="仿宋_GB2312" w:eastAsia="仿宋_GB2312" w:hAnsi="仿宋" w:cs="仿宋_GB2312" w:hint="eastAsia"/>
          <w:sz w:val="34"/>
          <w:szCs w:val="34"/>
        </w:rPr>
        <w:t>GB/T2423.9--1989 电工电子产品基本环境试验规程 试验</w:t>
      </w:r>
      <w:proofErr w:type="spellStart"/>
      <w:r>
        <w:rPr>
          <w:rFonts w:ascii="仿宋_GB2312" w:eastAsia="仿宋_GB2312" w:hAnsi="仿宋" w:cs="仿宋_GB2312" w:hint="eastAsia"/>
          <w:sz w:val="34"/>
          <w:szCs w:val="34"/>
        </w:rPr>
        <w:t>Cb</w:t>
      </w:r>
      <w:proofErr w:type="spellEnd"/>
      <w:r>
        <w:rPr>
          <w:rFonts w:ascii="仿宋_GB2312" w:eastAsia="仿宋_GB2312" w:hAnsi="仿宋" w:cs="仿宋_GB2312" w:hint="eastAsia"/>
          <w:sz w:val="34"/>
          <w:szCs w:val="34"/>
        </w:rPr>
        <w:t>：设备用恒定湿热试验方法</w:t>
      </w:r>
      <w:bookmarkEnd w:id="33"/>
      <w:bookmarkEnd w:id="34"/>
      <w:bookmarkEnd w:id="35"/>
      <w:bookmarkEnd w:id="36"/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bookmarkStart w:id="37" w:name="_Toc137190332"/>
      <w:bookmarkStart w:id="38" w:name="_Toc137188138"/>
      <w:bookmarkStart w:id="39" w:name="_Toc137193802"/>
      <w:bookmarkStart w:id="40" w:name="_Toc137187766"/>
      <w:r>
        <w:rPr>
          <w:rFonts w:ascii="仿宋_GB2312" w:eastAsia="仿宋_GB2312" w:hAnsi="仿宋" w:cs="仿宋_GB2312" w:hint="eastAsia"/>
          <w:sz w:val="34"/>
          <w:szCs w:val="34"/>
        </w:rPr>
        <w:t>GB/T3859.2--1993 半导体变流器应用导则</w:t>
      </w:r>
      <w:bookmarkEnd w:id="37"/>
      <w:bookmarkEnd w:id="38"/>
      <w:bookmarkEnd w:id="39"/>
      <w:bookmarkEnd w:id="40"/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bookmarkStart w:id="41" w:name="_Toc137187767"/>
      <w:bookmarkStart w:id="42" w:name="_Toc137188139"/>
      <w:bookmarkStart w:id="43" w:name="_Toc137190333"/>
      <w:bookmarkStart w:id="44" w:name="_Toc137193803"/>
      <w:r>
        <w:rPr>
          <w:rFonts w:ascii="仿宋_GB2312" w:eastAsia="仿宋_GB2312" w:hAnsi="仿宋" w:cs="仿宋_GB2312" w:hint="eastAsia"/>
          <w:sz w:val="34"/>
          <w:szCs w:val="34"/>
        </w:rPr>
        <w:t>EN50091-1-1、 EN50091-2和ENV50091-3</w:t>
      </w:r>
      <w:bookmarkEnd w:id="41"/>
      <w:bookmarkEnd w:id="42"/>
      <w:bookmarkEnd w:id="43"/>
      <w:bookmarkEnd w:id="44"/>
      <w:r>
        <w:rPr>
          <w:rFonts w:ascii="仿宋_GB2312" w:eastAsia="仿宋_GB2312" w:hAnsi="仿宋" w:cs="仿宋_GB2312" w:hint="eastAsia"/>
          <w:sz w:val="34"/>
          <w:szCs w:val="34"/>
        </w:rPr>
        <w:t>标准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bookmarkStart w:id="45" w:name="_Toc137190334"/>
      <w:bookmarkStart w:id="46" w:name="_Toc137187768"/>
      <w:bookmarkStart w:id="47" w:name="_Toc137193804"/>
      <w:bookmarkStart w:id="48" w:name="_Toc137188140"/>
      <w:r>
        <w:rPr>
          <w:rFonts w:ascii="仿宋_GB2312" w:eastAsia="仿宋_GB2312" w:hAnsi="仿宋" w:cs="仿宋_GB2312" w:hint="eastAsia"/>
          <w:sz w:val="34"/>
          <w:szCs w:val="34"/>
        </w:rPr>
        <w:t>IEC801-2,3,4,5</w:t>
      </w:r>
      <w:bookmarkEnd w:id="45"/>
      <w:bookmarkEnd w:id="46"/>
      <w:bookmarkEnd w:id="47"/>
      <w:bookmarkEnd w:id="48"/>
      <w:r>
        <w:rPr>
          <w:rFonts w:ascii="仿宋_GB2312" w:eastAsia="仿宋_GB2312" w:hAnsi="仿宋" w:cs="仿宋_GB2312" w:hint="eastAsia"/>
          <w:sz w:val="34"/>
          <w:szCs w:val="34"/>
        </w:rPr>
        <w:t>标准等</w:t>
      </w:r>
    </w:p>
    <w:p w:rsidR="000A1662" w:rsidRDefault="004C6407">
      <w:pPr>
        <w:spacing w:line="600" w:lineRule="exact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三、环境条件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环境温度：  -5℃～+40℃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相对湿度：≤95%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海拔高度：＜1000m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地震烈度：7度</w:t>
      </w:r>
    </w:p>
    <w:p w:rsidR="000A1662" w:rsidRDefault="004C6407">
      <w:pPr>
        <w:spacing w:line="600" w:lineRule="exact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四、供货范围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UPS采用工业级设计，主机采用可控硅整流器，主机</w:t>
      </w:r>
      <w:r>
        <w:rPr>
          <w:rFonts w:ascii="仿宋_GB2312" w:eastAsia="仿宋_GB2312" w:hAnsi="仿宋" w:cs="仿宋_GB2312" w:hint="eastAsia"/>
          <w:sz w:val="34"/>
          <w:szCs w:val="34"/>
        </w:rPr>
        <w:lastRenderedPageBreak/>
        <w:t>内部标配输入隔离变压器和输出隔离变压器；主路旁路双双静态转换开关。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1台UPS主机（</w:t>
      </w:r>
      <w:r w:rsidR="00787250">
        <w:rPr>
          <w:rFonts w:ascii="仿宋_GB2312" w:eastAsia="仿宋_GB2312" w:hAnsi="仿宋" w:cs="仿宋_GB2312" w:hint="eastAsia"/>
          <w:sz w:val="34"/>
          <w:szCs w:val="34"/>
        </w:rPr>
        <w:t>2</w:t>
      </w:r>
      <w:r>
        <w:rPr>
          <w:rFonts w:ascii="仿宋_GB2312" w:eastAsia="仿宋_GB2312" w:hAnsi="仿宋" w:cs="仿宋_GB2312" w:hint="eastAsia"/>
          <w:sz w:val="34"/>
          <w:szCs w:val="34"/>
        </w:rPr>
        <w:t>0</w:t>
      </w:r>
      <w:r>
        <w:rPr>
          <w:rFonts w:ascii="仿宋_GB2312" w:eastAsia="仿宋_GB2312" w:hAnsi="仿宋" w:cs="仿宋_GB2312"/>
          <w:sz w:val="34"/>
          <w:szCs w:val="34"/>
        </w:rPr>
        <w:t>k</w:t>
      </w:r>
      <w:r>
        <w:rPr>
          <w:rFonts w:ascii="仿宋_GB2312" w:eastAsia="仿宋_GB2312" w:hAnsi="仿宋" w:cs="仿宋_GB2312" w:hint="eastAsia"/>
          <w:sz w:val="34"/>
          <w:szCs w:val="34"/>
        </w:rPr>
        <w:t>VA）单机后备1小时电池组、电池柜及智能电池管理系统（具体参数见附件）。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供货为成套供货的，买方在UPS现场提供两路独立的供电电源及电源电缆，其他所有材料和附件均由卖方提供，卖方应负责现场设备的安装、调试工作和其他现场配合工作。</w:t>
      </w:r>
    </w:p>
    <w:p w:rsidR="000A1662" w:rsidRDefault="004C6407">
      <w:pPr>
        <w:spacing w:line="600" w:lineRule="exact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五、UPS系统基本技术要求</w:t>
      </w:r>
    </w:p>
    <w:p w:rsidR="000A1662" w:rsidRDefault="004C6407">
      <w:pPr>
        <w:spacing w:line="600" w:lineRule="exact"/>
        <w:rPr>
          <w:rFonts w:ascii="楷体_GB2312" w:eastAsia="楷体_GB2312" w:hAnsi="仿宋" w:cs="仿宋_GB2312"/>
          <w:sz w:val="34"/>
          <w:szCs w:val="34"/>
        </w:rPr>
      </w:pPr>
      <w:r>
        <w:rPr>
          <w:rFonts w:ascii="楷体_GB2312" w:eastAsia="楷体_GB2312" w:hAnsi="仿宋" w:cs="仿宋_GB2312" w:hint="eastAsia"/>
          <w:sz w:val="34"/>
          <w:szCs w:val="34"/>
        </w:rPr>
        <w:t>1.UPS主机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品牌：必须是国际知名品牌，在石化行业有较多应用业绩,提供相关资质认证及近3年内石油石化系统的应用业绩，采用选用以下产品：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维</w:t>
      </w:r>
      <w:proofErr w:type="gramStart"/>
      <w:r>
        <w:rPr>
          <w:rFonts w:ascii="仿宋_GB2312" w:eastAsia="仿宋_GB2312" w:hAnsi="仿宋" w:cs="仿宋_GB2312" w:hint="eastAsia"/>
          <w:sz w:val="34"/>
          <w:szCs w:val="34"/>
        </w:rPr>
        <w:t>谛</w:t>
      </w:r>
      <w:proofErr w:type="gramEnd"/>
      <w:r>
        <w:rPr>
          <w:rFonts w:ascii="仿宋_GB2312" w:eastAsia="仿宋_GB2312" w:hAnsi="仿宋" w:cs="仿宋_GB2312" w:hint="eastAsia"/>
          <w:sz w:val="34"/>
          <w:szCs w:val="34"/>
        </w:rPr>
        <w:t>技术有限公司（</w:t>
      </w:r>
      <w:proofErr w:type="spellStart"/>
      <w:r>
        <w:rPr>
          <w:rFonts w:ascii="仿宋_GB2312" w:eastAsia="仿宋_GB2312" w:hAnsi="仿宋" w:cs="仿宋_GB2312" w:hint="eastAsia"/>
          <w:sz w:val="34"/>
          <w:szCs w:val="34"/>
        </w:rPr>
        <w:t>Vertiv</w:t>
      </w:r>
      <w:proofErr w:type="spellEnd"/>
      <w:r>
        <w:rPr>
          <w:rFonts w:ascii="仿宋_GB2312" w:eastAsia="仿宋_GB2312" w:hAnsi="仿宋" w:cs="仿宋_GB2312" w:hint="eastAsia"/>
          <w:sz w:val="34"/>
          <w:szCs w:val="34"/>
        </w:rPr>
        <w:t xml:space="preserve"> Tech Co.，Ltd.)</w:t>
      </w:r>
    </w:p>
    <w:p w:rsidR="000A1662" w:rsidRDefault="004C6407">
      <w:pPr>
        <w:spacing w:line="600" w:lineRule="exact"/>
        <w:rPr>
          <w:rFonts w:ascii="仿宋_GB2312" w:eastAsia="仿宋_GB2312" w:hAnsi="仿宋" w:cs="仿宋_GB2312"/>
          <w:sz w:val="34"/>
          <w:szCs w:val="34"/>
        </w:rPr>
      </w:pPr>
      <w:proofErr w:type="gramStart"/>
      <w:r>
        <w:rPr>
          <w:rFonts w:ascii="仿宋_GB2312" w:eastAsia="仿宋_GB2312" w:hAnsi="仿宋" w:cs="仿宋_GB2312" w:hint="eastAsia"/>
          <w:sz w:val="34"/>
          <w:szCs w:val="34"/>
        </w:rPr>
        <w:t xml:space="preserve">industry  </w:t>
      </w:r>
      <w:r>
        <w:rPr>
          <w:rFonts w:ascii="仿宋_GB2312" w:eastAsia="仿宋_GB2312" w:hAnsi="仿宋" w:cs="仿宋_GB2312"/>
          <w:sz w:val="34"/>
          <w:szCs w:val="34"/>
        </w:rPr>
        <w:t>31</w:t>
      </w:r>
      <w:proofErr w:type="gramEnd"/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瑞士固特电子有限公司（GUTOR ELECTRIC LIMITED)  pxw3</w:t>
      </w:r>
      <w:r>
        <w:rPr>
          <w:rFonts w:ascii="仿宋_GB2312" w:eastAsia="仿宋_GB2312" w:hAnsi="仿宋" w:cs="仿宋_GB2312"/>
          <w:sz w:val="34"/>
          <w:szCs w:val="34"/>
        </w:rPr>
        <w:t>1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 xml:space="preserve">安奕极（北京）电源系统有限公司（AEG power solutions </w:t>
      </w:r>
      <w:proofErr w:type="spellStart"/>
      <w:r>
        <w:rPr>
          <w:rFonts w:ascii="仿宋_GB2312" w:eastAsia="仿宋_GB2312" w:hAnsi="仿宋" w:cs="仿宋_GB2312" w:hint="eastAsia"/>
          <w:sz w:val="34"/>
          <w:szCs w:val="34"/>
        </w:rPr>
        <w:t>Co.</w:t>
      </w:r>
      <w:proofErr w:type="gramStart"/>
      <w:r>
        <w:rPr>
          <w:rFonts w:ascii="仿宋_GB2312" w:eastAsia="仿宋_GB2312" w:hAnsi="仿宋" w:cs="仿宋_GB2312" w:hint="eastAsia"/>
          <w:sz w:val="34"/>
          <w:szCs w:val="34"/>
        </w:rPr>
        <w:t>,Ltd</w:t>
      </w:r>
      <w:proofErr w:type="spellEnd"/>
      <w:proofErr w:type="gramEnd"/>
      <w:r>
        <w:rPr>
          <w:rFonts w:ascii="仿宋_GB2312" w:eastAsia="仿宋_GB2312" w:hAnsi="仿宋" w:cs="仿宋_GB2312" w:hint="eastAsia"/>
          <w:sz w:val="34"/>
          <w:szCs w:val="34"/>
        </w:rPr>
        <w:t>)   Protect 8.3</w:t>
      </w:r>
      <w:r>
        <w:rPr>
          <w:rFonts w:ascii="仿宋_GB2312" w:eastAsia="仿宋_GB2312" w:hAnsi="仿宋" w:cs="仿宋_GB2312"/>
          <w:sz w:val="34"/>
          <w:szCs w:val="34"/>
        </w:rPr>
        <w:t>1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UPS采用三相输入单相输出（输入电压范围为AC380V±20%），输入频率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范围为50Hz±10%，额定输出电压AC</w:t>
      </w:r>
      <w:r>
        <w:rPr>
          <w:rFonts w:ascii="仿宋_GB2312" w:eastAsia="仿宋_GB2312" w:hAnsi="仿宋" w:cs="仿宋_GB2312"/>
          <w:sz w:val="34"/>
          <w:szCs w:val="34"/>
        </w:rPr>
        <w:t>22</w:t>
      </w:r>
      <w:r>
        <w:rPr>
          <w:rFonts w:ascii="仿宋_GB2312" w:eastAsia="仿宋_GB2312" w:hAnsi="仿宋" w:cs="仿宋_GB2312" w:hint="eastAsia"/>
          <w:sz w:val="34"/>
          <w:szCs w:val="34"/>
        </w:rPr>
        <w:t>0V±1%。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工作制式：双变换在线式，其市电和蓄电池组之间</w:t>
      </w:r>
      <w:r>
        <w:rPr>
          <w:rFonts w:ascii="仿宋_GB2312" w:eastAsia="仿宋_GB2312" w:hAnsi="仿宋" w:cs="仿宋_GB2312" w:hint="eastAsia"/>
          <w:sz w:val="34"/>
          <w:szCs w:val="34"/>
        </w:rPr>
        <w:lastRenderedPageBreak/>
        <w:t>的切换时间为零秒，逆变停止到自动旁路投入工作的切换时间也为零秒。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类型：工业型，具备防雷击抗浪涌抑制，抗静电放电功能；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输入输出隔离：UPS必须具有内置输入输出隔离变压器；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整流器为高可靠性的可控硅整流器，不可使用高频I</w:t>
      </w:r>
      <w:r>
        <w:rPr>
          <w:rFonts w:ascii="仿宋_GB2312" w:eastAsia="仿宋_GB2312" w:hAnsi="仿宋" w:cs="仿宋_GB2312"/>
          <w:sz w:val="34"/>
          <w:szCs w:val="34"/>
        </w:rPr>
        <w:t>GBT</w:t>
      </w:r>
      <w:r>
        <w:rPr>
          <w:rFonts w:ascii="仿宋_GB2312" w:eastAsia="仿宋_GB2312" w:hAnsi="仿宋" w:cs="仿宋_GB2312" w:hint="eastAsia"/>
          <w:sz w:val="34"/>
          <w:szCs w:val="34"/>
        </w:rPr>
        <w:t>整流器；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逆变器采用IGBT功率模块；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必须具有“过压、短路、过载、超温”等报警功能及事故、故障自诊断功能。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UPS旁路电路应由自动旁路和手动检修旁路两部分组成，而UPS自动旁路电路应由空气开关和静态开关组成，采用施耐德断路器。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UPS的电路板，逆变器等重要器件应进行</w:t>
      </w:r>
      <w:r w:rsidRPr="001B469E">
        <w:rPr>
          <w:rFonts w:ascii="仿宋_GB2312" w:eastAsia="仿宋_GB2312" w:hAnsi="仿宋" w:cs="仿宋_GB2312" w:hint="eastAsia"/>
          <w:sz w:val="34"/>
          <w:szCs w:val="34"/>
        </w:rPr>
        <w:t>防腐蚀、酸碱性气体处理，</w:t>
      </w:r>
      <w:r>
        <w:rPr>
          <w:rFonts w:ascii="仿宋_GB2312" w:eastAsia="仿宋_GB2312" w:hAnsi="仿宋" w:cs="仿宋_GB2312" w:hint="eastAsia"/>
          <w:sz w:val="34"/>
          <w:szCs w:val="34"/>
        </w:rPr>
        <w:t>提高电路板等器件的抗腐蚀性。</w:t>
      </w:r>
    </w:p>
    <w:p w:rsidR="000A1662" w:rsidRDefault="004C6407">
      <w:pPr>
        <w:spacing w:line="600" w:lineRule="exact"/>
        <w:rPr>
          <w:rFonts w:ascii="楷体_GB2312" w:eastAsia="楷体_GB2312" w:hAnsi="仿宋" w:cs="仿宋_GB2312"/>
          <w:sz w:val="34"/>
          <w:szCs w:val="34"/>
        </w:rPr>
      </w:pPr>
      <w:r>
        <w:rPr>
          <w:rFonts w:ascii="楷体_GB2312" w:eastAsia="楷体_GB2312" w:hAnsi="仿宋" w:cs="仿宋_GB2312" w:hint="eastAsia"/>
          <w:sz w:val="34"/>
          <w:szCs w:val="34"/>
        </w:rPr>
        <w:t>2.UPS的通信方式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2.1干接点通信方式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提供6对隔离的继电器无源接点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干接点的容量为250伏5安，它可用于触发指示灯或蜂鸣器，提示用户UPS和电池的运行状态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提供下列不少于6个UPS运行状态信息：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——UPS逆变器供电；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lastRenderedPageBreak/>
        <w:t>——电池供电；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——旁路供电（维修位置）；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——电池低电压预报警；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——综合报警；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——完全关机。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2.2选用RS485或232通信接口</w:t>
      </w:r>
      <w:proofErr w:type="gramStart"/>
      <w:r>
        <w:rPr>
          <w:rFonts w:ascii="仿宋_GB2312" w:eastAsia="仿宋_GB2312" w:hAnsi="仿宋" w:cs="仿宋_GB2312" w:hint="eastAsia"/>
          <w:sz w:val="34"/>
          <w:szCs w:val="34"/>
        </w:rPr>
        <w:t>板满足</w:t>
      </w:r>
      <w:proofErr w:type="spellStart"/>
      <w:proofErr w:type="gramEnd"/>
      <w:r>
        <w:rPr>
          <w:rFonts w:ascii="仿宋_GB2312" w:eastAsia="仿宋_GB2312" w:hAnsi="仿宋" w:cs="仿宋_GB2312"/>
          <w:sz w:val="34"/>
          <w:szCs w:val="34"/>
        </w:rPr>
        <w:t>ModBus</w:t>
      </w:r>
      <w:proofErr w:type="spellEnd"/>
      <w:r>
        <w:rPr>
          <w:rFonts w:ascii="仿宋_GB2312" w:eastAsia="仿宋_GB2312" w:hAnsi="仿宋" w:cs="仿宋_GB2312" w:hint="eastAsia"/>
          <w:sz w:val="34"/>
          <w:szCs w:val="34"/>
        </w:rPr>
        <w:t>/JBUS</w:t>
      </w:r>
      <w:r>
        <w:rPr>
          <w:rFonts w:ascii="仿宋_GB2312" w:eastAsia="仿宋_GB2312" w:hAnsi="仿宋" w:cs="仿宋_GB2312"/>
          <w:sz w:val="34"/>
          <w:szCs w:val="34"/>
        </w:rPr>
        <w:t>通讯规约</w:t>
      </w:r>
      <w:r>
        <w:rPr>
          <w:rFonts w:ascii="仿宋_GB2312" w:eastAsia="仿宋_GB2312" w:hAnsi="仿宋" w:cs="仿宋_GB2312" w:hint="eastAsia"/>
          <w:sz w:val="34"/>
          <w:szCs w:val="34"/>
        </w:rPr>
        <w:t>，利用此板，操作人员可用</w:t>
      </w:r>
      <w:proofErr w:type="spellStart"/>
      <w:r>
        <w:rPr>
          <w:rFonts w:ascii="仿宋_GB2312" w:eastAsia="仿宋_GB2312" w:hAnsi="仿宋" w:cs="仿宋_GB2312"/>
          <w:sz w:val="34"/>
          <w:szCs w:val="34"/>
        </w:rPr>
        <w:t>ModBus</w:t>
      </w:r>
      <w:proofErr w:type="spellEnd"/>
      <w:r>
        <w:rPr>
          <w:rFonts w:ascii="仿宋_GB2312" w:eastAsia="仿宋_GB2312" w:hAnsi="仿宋" w:cs="仿宋_GB2312" w:hint="eastAsia"/>
          <w:sz w:val="34"/>
          <w:szCs w:val="34"/>
        </w:rPr>
        <w:t>/JBUS</w:t>
      </w:r>
      <w:r>
        <w:rPr>
          <w:rFonts w:ascii="仿宋_GB2312" w:eastAsia="仿宋_GB2312" w:hAnsi="仿宋" w:cs="仿宋_GB2312"/>
          <w:sz w:val="34"/>
          <w:szCs w:val="34"/>
        </w:rPr>
        <w:t>通讯</w:t>
      </w:r>
      <w:r>
        <w:rPr>
          <w:rFonts w:ascii="仿宋_GB2312" w:eastAsia="仿宋_GB2312" w:hAnsi="仿宋" w:cs="仿宋_GB2312" w:hint="eastAsia"/>
          <w:sz w:val="34"/>
          <w:szCs w:val="34"/>
        </w:rPr>
        <w:t>协议提供的TCP/IP地址和数据表，对应用参数进行设置，通过网络将UPS连接到一个集中管理系统。</w:t>
      </w:r>
    </w:p>
    <w:p w:rsidR="000A1662" w:rsidRDefault="004C6407">
      <w:pPr>
        <w:spacing w:line="600" w:lineRule="exact"/>
        <w:rPr>
          <w:rFonts w:ascii="楷体_GB2312" w:eastAsia="楷体_GB2312" w:hAnsi="仿宋" w:cs="仿宋_GB2312"/>
          <w:sz w:val="34"/>
          <w:szCs w:val="34"/>
        </w:rPr>
      </w:pPr>
      <w:r>
        <w:rPr>
          <w:rFonts w:ascii="楷体_GB2312" w:eastAsia="楷体_GB2312" w:hAnsi="仿宋" w:cs="仿宋_GB2312" w:hint="eastAsia"/>
          <w:sz w:val="34"/>
          <w:szCs w:val="34"/>
        </w:rPr>
        <w:t>3</w:t>
      </w:r>
      <w:r>
        <w:rPr>
          <w:rFonts w:ascii="楷体_GB2312" w:eastAsia="楷体_GB2312" w:hAnsi="仿宋" w:cs="仿宋_GB2312"/>
          <w:sz w:val="34"/>
          <w:szCs w:val="34"/>
        </w:rPr>
        <w:t>.</w:t>
      </w:r>
      <w:r>
        <w:rPr>
          <w:rFonts w:ascii="楷体_GB2312" w:eastAsia="楷体_GB2312" w:hAnsi="仿宋" w:cs="仿宋_GB2312" w:hint="eastAsia"/>
          <w:sz w:val="34"/>
          <w:szCs w:val="34"/>
        </w:rPr>
        <w:t>UPS的主要技术性能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3.1 UPS应采用先进的谐波全面控制技术、UPS的电压谐波失真度应符合下列技术指标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带100%线性负载时，电压总谐波失真度＜2%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带100%非线性负载时，电压总谐波失真度＜3%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3.2  UPS应具有良好的动态响应特性，在0-100%负载突变时，UPS输出电压变化应小于±2%，且在20ms内恢复到±1%。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3.3  UPS应具有频率高速跟踪能力，频率跟踪速度要求达到1Hz/s</w:t>
      </w:r>
    </w:p>
    <w:p w:rsidR="000A1662" w:rsidRDefault="004C6407">
      <w:pPr>
        <w:spacing w:line="600" w:lineRule="exact"/>
        <w:rPr>
          <w:rFonts w:ascii="楷体_GB2312" w:eastAsia="楷体_GB2312" w:hAnsi="仿宋" w:cs="仿宋_GB2312"/>
          <w:sz w:val="34"/>
          <w:szCs w:val="34"/>
        </w:rPr>
      </w:pPr>
      <w:r>
        <w:rPr>
          <w:rFonts w:ascii="楷体_GB2312" w:eastAsia="楷体_GB2312" w:hAnsi="仿宋" w:cs="仿宋_GB2312" w:hint="eastAsia"/>
          <w:sz w:val="34"/>
          <w:szCs w:val="34"/>
        </w:rPr>
        <w:t>4</w:t>
      </w:r>
      <w:r>
        <w:rPr>
          <w:rFonts w:ascii="楷体_GB2312" w:eastAsia="楷体_GB2312" w:hAnsi="仿宋" w:cs="仿宋_GB2312"/>
          <w:sz w:val="34"/>
          <w:szCs w:val="34"/>
        </w:rPr>
        <w:t>.</w:t>
      </w:r>
      <w:r>
        <w:rPr>
          <w:rFonts w:ascii="楷体_GB2312" w:eastAsia="楷体_GB2312" w:hAnsi="仿宋" w:cs="仿宋_GB2312" w:hint="eastAsia"/>
          <w:sz w:val="34"/>
          <w:szCs w:val="34"/>
        </w:rPr>
        <w:t>UPS应具有下列基本功能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4</w:t>
      </w:r>
      <w:r>
        <w:rPr>
          <w:rFonts w:ascii="仿宋_GB2312" w:eastAsia="仿宋_GB2312" w:hAnsi="仿宋" w:cs="仿宋_GB2312"/>
          <w:sz w:val="34"/>
          <w:szCs w:val="34"/>
        </w:rPr>
        <w:t>.1</w:t>
      </w:r>
      <w:r>
        <w:rPr>
          <w:rFonts w:ascii="仿宋_GB2312" w:eastAsia="仿宋_GB2312" w:hAnsi="仿宋" w:cs="仿宋_GB2312" w:hint="eastAsia"/>
          <w:sz w:val="34"/>
          <w:szCs w:val="34"/>
        </w:rPr>
        <w:t>对电池的自动检测功能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蓄电池剩余后备时间的计算和预报，并在显示屏上实时显示。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 w:rsidRPr="00B35B3C">
        <w:rPr>
          <w:rFonts w:ascii="仿宋_GB2312" w:eastAsia="仿宋_GB2312" w:hAnsi="仿宋" w:cs="仿宋_GB2312" w:hint="eastAsia"/>
          <w:sz w:val="34"/>
          <w:szCs w:val="34"/>
        </w:rPr>
        <w:lastRenderedPageBreak/>
        <w:t>电池的在线检测应包括：电池电路测试、电池性能测试等。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4</w:t>
      </w:r>
      <w:r>
        <w:rPr>
          <w:rFonts w:ascii="仿宋_GB2312" w:eastAsia="仿宋_GB2312" w:hAnsi="仿宋" w:cs="仿宋_GB2312"/>
          <w:sz w:val="34"/>
          <w:szCs w:val="34"/>
        </w:rPr>
        <w:t>.2</w:t>
      </w:r>
      <w:r>
        <w:rPr>
          <w:rFonts w:ascii="仿宋_GB2312" w:eastAsia="仿宋_GB2312" w:hAnsi="仿宋" w:cs="仿宋_GB2312" w:hint="eastAsia"/>
          <w:sz w:val="34"/>
          <w:szCs w:val="34"/>
        </w:rPr>
        <w:t>对电池的保护功能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具有电池的温度保护功能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当环境温度升高时，电池充电电压应下降；当环境温度降低时，电池充电电压应升高。以保持电池内部化学反应的平衡，延长电池的使用寿命。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电池类型和老化的补偿：根据电池品牌、类型和老化程度的不同而选取不同的充电电压,以保证电池使用在最佳状态。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具有电池的活化保养功能，即UPS应具有定期的电池深</w:t>
      </w:r>
      <w:proofErr w:type="gramStart"/>
      <w:r>
        <w:rPr>
          <w:rFonts w:ascii="仿宋_GB2312" w:eastAsia="仿宋_GB2312" w:hAnsi="仿宋" w:cs="仿宋_GB2312" w:hint="eastAsia"/>
          <w:sz w:val="34"/>
          <w:szCs w:val="34"/>
        </w:rPr>
        <w:t>放深充</w:t>
      </w:r>
      <w:proofErr w:type="gramEnd"/>
      <w:r>
        <w:rPr>
          <w:rFonts w:ascii="仿宋_GB2312" w:eastAsia="仿宋_GB2312" w:hAnsi="仿宋" w:cs="仿宋_GB2312" w:hint="eastAsia"/>
          <w:sz w:val="34"/>
          <w:szCs w:val="34"/>
        </w:rPr>
        <w:t>功能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具有电池过放保护功能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具有电池小电流慢放保护功能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冷启动：在市电停电时也能启动UPS。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软启动：UPS应具有</w:t>
      </w:r>
      <w:proofErr w:type="gramStart"/>
      <w:r>
        <w:rPr>
          <w:rFonts w:ascii="仿宋_GB2312" w:eastAsia="仿宋_GB2312" w:hAnsi="仿宋" w:cs="仿宋_GB2312" w:hint="eastAsia"/>
          <w:sz w:val="34"/>
          <w:szCs w:val="34"/>
        </w:rPr>
        <w:t>软启动</w:t>
      </w:r>
      <w:proofErr w:type="gramEnd"/>
      <w:r>
        <w:rPr>
          <w:rFonts w:ascii="仿宋_GB2312" w:eastAsia="仿宋_GB2312" w:hAnsi="仿宋" w:cs="仿宋_GB2312" w:hint="eastAsia"/>
          <w:sz w:val="34"/>
          <w:szCs w:val="34"/>
        </w:rPr>
        <w:t>功能且工作平稳。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智能化节能运行，其效率应高达98%以上。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丰富的通讯功能：有干接点、远程监控、与PC机连网和遥测遥控四种通讯方式。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大屏幕中、英文显示：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UPS主输入电源的电压、电流和频率参数；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UPS旁路输入电源的电压、电流和频率参数；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UPS输出电源的电压、电流和频率参数；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lastRenderedPageBreak/>
        <w:t>电池电压、电流和充放电状态；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显示各种报警信息；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显示各种状态信息；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显示各种故障信息并提示操作人员如何处理当前故障。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事件日志：能进行</w:t>
      </w:r>
      <w:r>
        <w:rPr>
          <w:rFonts w:ascii="仿宋_GB2312" w:eastAsia="仿宋_GB2312" w:hAnsi="仿宋" w:cs="仿宋_GB2312"/>
          <w:sz w:val="34"/>
          <w:szCs w:val="34"/>
        </w:rPr>
        <w:t>１２８</w:t>
      </w:r>
      <w:r>
        <w:rPr>
          <w:rFonts w:ascii="仿宋_GB2312" w:eastAsia="仿宋_GB2312" w:hAnsi="仿宋" w:cs="仿宋_GB2312" w:hint="eastAsia"/>
          <w:sz w:val="34"/>
          <w:szCs w:val="34"/>
        </w:rPr>
        <w:t>条大时间记录运行过程中发生的事件，为故障分析提供了真实的依据。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UPS内部参数设置功能和准确的故障自诊断功能</w:t>
      </w:r>
    </w:p>
    <w:p w:rsidR="000A1662" w:rsidRDefault="004C6407">
      <w:pPr>
        <w:spacing w:line="600" w:lineRule="exact"/>
        <w:rPr>
          <w:rFonts w:ascii="楷体_GB2312" w:eastAsia="楷体_GB2312" w:hAnsi="仿宋" w:cs="仿宋_GB2312"/>
          <w:sz w:val="34"/>
          <w:szCs w:val="34"/>
        </w:rPr>
      </w:pPr>
      <w:r>
        <w:rPr>
          <w:rFonts w:ascii="楷体_GB2312" w:eastAsia="楷体_GB2312" w:hAnsi="仿宋" w:cs="仿宋_GB2312" w:hint="eastAsia"/>
          <w:sz w:val="34"/>
          <w:szCs w:val="34"/>
        </w:rPr>
        <w:t>5</w:t>
      </w:r>
      <w:r>
        <w:rPr>
          <w:rFonts w:ascii="楷体_GB2312" w:eastAsia="楷体_GB2312" w:hAnsi="仿宋" w:cs="仿宋_GB2312"/>
          <w:sz w:val="34"/>
          <w:szCs w:val="34"/>
        </w:rPr>
        <w:t>.</w:t>
      </w:r>
      <w:r>
        <w:rPr>
          <w:rFonts w:ascii="楷体_GB2312" w:eastAsia="楷体_GB2312" w:hAnsi="仿宋" w:cs="仿宋_GB2312" w:hint="eastAsia"/>
          <w:sz w:val="34"/>
          <w:szCs w:val="34"/>
        </w:rPr>
        <w:t>UPS主机的技术参数</w:t>
      </w:r>
    </w:p>
    <w:tbl>
      <w:tblPr>
        <w:tblW w:w="8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1"/>
        <w:gridCol w:w="2844"/>
        <w:gridCol w:w="4592"/>
      </w:tblGrid>
      <w:tr w:rsidR="000A1662">
        <w:trPr>
          <w:jc w:val="center"/>
        </w:trPr>
        <w:tc>
          <w:tcPr>
            <w:tcW w:w="1021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</w:t>
            </w:r>
          </w:p>
        </w:tc>
        <w:tc>
          <w:tcPr>
            <w:tcW w:w="4592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技术指标</w:t>
            </w:r>
          </w:p>
        </w:tc>
      </w:tr>
      <w:tr w:rsidR="000A1662">
        <w:trPr>
          <w:cantSplit/>
          <w:jc w:val="center"/>
        </w:trPr>
        <w:tc>
          <w:tcPr>
            <w:tcW w:w="1021" w:type="dxa"/>
            <w:vMerge w:val="restart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输入电源电压</w:t>
            </w:r>
          </w:p>
        </w:tc>
        <w:tc>
          <w:tcPr>
            <w:tcW w:w="4592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380V-15%至380V+20%，三相四线</w:t>
            </w:r>
          </w:p>
        </w:tc>
      </w:tr>
      <w:tr w:rsidR="000A1662">
        <w:trPr>
          <w:cantSplit/>
          <w:jc w:val="center"/>
        </w:trPr>
        <w:tc>
          <w:tcPr>
            <w:tcW w:w="1021" w:type="dxa"/>
            <w:vMerge/>
            <w:vAlign w:val="center"/>
          </w:tcPr>
          <w:p w:rsidR="000A1662" w:rsidRDefault="000A1662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功率因数</w:t>
            </w:r>
          </w:p>
        </w:tc>
        <w:tc>
          <w:tcPr>
            <w:tcW w:w="4592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≥0.92</w:t>
            </w:r>
          </w:p>
        </w:tc>
      </w:tr>
      <w:tr w:rsidR="000A1662">
        <w:trPr>
          <w:cantSplit/>
          <w:jc w:val="center"/>
        </w:trPr>
        <w:tc>
          <w:tcPr>
            <w:tcW w:w="1021" w:type="dxa"/>
            <w:vMerge/>
            <w:vAlign w:val="center"/>
          </w:tcPr>
          <w:p w:rsidR="000A1662" w:rsidRDefault="000A1662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频率范围</w:t>
            </w:r>
          </w:p>
        </w:tc>
        <w:tc>
          <w:tcPr>
            <w:tcW w:w="4592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50Hz±10%</w:t>
            </w:r>
          </w:p>
        </w:tc>
      </w:tr>
      <w:tr w:rsidR="000A1662">
        <w:trPr>
          <w:jc w:val="center"/>
        </w:trPr>
        <w:tc>
          <w:tcPr>
            <w:tcW w:w="1021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输出静态电压</w:t>
            </w:r>
          </w:p>
        </w:tc>
        <w:tc>
          <w:tcPr>
            <w:tcW w:w="4592" w:type="dxa"/>
            <w:vAlign w:val="center"/>
          </w:tcPr>
          <w:p w:rsidR="000A1662" w:rsidRDefault="004C6407">
            <w:pPr>
              <w:spacing w:line="6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22</w:t>
            </w:r>
            <w:r>
              <w:rPr>
                <w:rFonts w:ascii="宋体" w:hAnsi="宋体" w:hint="eastAsia"/>
                <w:bCs/>
                <w:sz w:val="24"/>
              </w:rPr>
              <w:t>0V±</w:t>
            </w: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%</w:t>
            </w:r>
          </w:p>
        </w:tc>
      </w:tr>
      <w:tr w:rsidR="000A1662">
        <w:trPr>
          <w:cantSplit/>
          <w:jc w:val="center"/>
        </w:trPr>
        <w:tc>
          <w:tcPr>
            <w:tcW w:w="1021" w:type="dxa"/>
            <w:vAlign w:val="center"/>
          </w:tcPr>
          <w:p w:rsidR="000A1662" w:rsidRDefault="004C6407">
            <w:pPr>
              <w:pStyle w:val="xl174"/>
              <w:widowControl w:val="0"/>
              <w:pBdr>
                <w:left w:val="none" w:sz="0" w:space="0" w:color="auto"/>
              </w:pBdr>
              <w:spacing w:before="0" w:beforeAutospacing="0" w:after="0" w:afterAutospacing="0" w:line="600" w:lineRule="exact"/>
              <w:textAlignment w:val="auto"/>
              <w:rPr>
                <w:rFonts w:cs="Times New Roman" w:hint="default"/>
                <w:b w:val="0"/>
                <w:kern w:val="2"/>
              </w:rPr>
            </w:pPr>
            <w:r>
              <w:rPr>
                <w:rFonts w:cs="Times New Roman"/>
                <w:b w:val="0"/>
                <w:kern w:val="2"/>
              </w:rPr>
              <w:t>3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动态电压</w:t>
            </w:r>
          </w:p>
        </w:tc>
        <w:tc>
          <w:tcPr>
            <w:tcW w:w="4592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由空载到满载，满载到空载，电压变化&lt;±2%，且在20ms内恢复到±1%</w:t>
            </w:r>
          </w:p>
        </w:tc>
      </w:tr>
      <w:tr w:rsidR="000A1662">
        <w:trPr>
          <w:cantSplit/>
          <w:jc w:val="center"/>
        </w:trPr>
        <w:tc>
          <w:tcPr>
            <w:tcW w:w="1021" w:type="dxa"/>
            <w:vMerge w:val="restart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频率跟踪范围</w:t>
            </w:r>
          </w:p>
        </w:tc>
        <w:tc>
          <w:tcPr>
            <w:tcW w:w="4592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0.25～2Hz，步长为0.25Hz</w:t>
            </w:r>
          </w:p>
        </w:tc>
      </w:tr>
      <w:tr w:rsidR="000A1662">
        <w:trPr>
          <w:cantSplit/>
          <w:jc w:val="center"/>
        </w:trPr>
        <w:tc>
          <w:tcPr>
            <w:tcW w:w="1021" w:type="dxa"/>
            <w:vMerge/>
            <w:vAlign w:val="center"/>
          </w:tcPr>
          <w:p w:rsidR="000A1662" w:rsidRDefault="000A1662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频率跟踪速度</w:t>
            </w:r>
          </w:p>
        </w:tc>
        <w:tc>
          <w:tcPr>
            <w:tcW w:w="4592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1Hz/S</w:t>
            </w:r>
          </w:p>
        </w:tc>
      </w:tr>
      <w:tr w:rsidR="000A1662">
        <w:trPr>
          <w:cantSplit/>
          <w:jc w:val="center"/>
        </w:trPr>
        <w:tc>
          <w:tcPr>
            <w:tcW w:w="1021" w:type="dxa"/>
            <w:vMerge/>
            <w:vAlign w:val="center"/>
          </w:tcPr>
          <w:p w:rsidR="000A1662" w:rsidRDefault="000A1662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晶振稳定度</w:t>
            </w:r>
          </w:p>
        </w:tc>
        <w:tc>
          <w:tcPr>
            <w:tcW w:w="4592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50Hz±0.05Hz</w:t>
            </w:r>
          </w:p>
        </w:tc>
      </w:tr>
      <w:tr w:rsidR="000A1662">
        <w:trPr>
          <w:cantSplit/>
          <w:jc w:val="center"/>
        </w:trPr>
        <w:tc>
          <w:tcPr>
            <w:tcW w:w="1021" w:type="dxa"/>
            <w:vMerge w:val="restart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2844" w:type="dxa"/>
            <w:vMerge w:val="restart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线电压总谐波失真度</w:t>
            </w:r>
          </w:p>
        </w:tc>
        <w:tc>
          <w:tcPr>
            <w:tcW w:w="4592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＜2%(带100%线性负载)</w:t>
            </w:r>
          </w:p>
        </w:tc>
      </w:tr>
      <w:tr w:rsidR="000A1662">
        <w:trPr>
          <w:cantSplit/>
          <w:jc w:val="center"/>
        </w:trPr>
        <w:tc>
          <w:tcPr>
            <w:tcW w:w="1021" w:type="dxa"/>
            <w:vMerge/>
            <w:vAlign w:val="center"/>
          </w:tcPr>
          <w:p w:rsidR="000A1662" w:rsidRDefault="000A1662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44" w:type="dxa"/>
            <w:vMerge/>
            <w:vAlign w:val="center"/>
          </w:tcPr>
          <w:p w:rsidR="000A1662" w:rsidRDefault="000A1662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92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＜3%(带100%非线性负载)</w:t>
            </w:r>
          </w:p>
        </w:tc>
      </w:tr>
      <w:tr w:rsidR="000A1662">
        <w:trPr>
          <w:cantSplit/>
          <w:jc w:val="center"/>
        </w:trPr>
        <w:tc>
          <w:tcPr>
            <w:tcW w:w="1021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峰值因数</w:t>
            </w:r>
          </w:p>
        </w:tc>
        <w:tc>
          <w:tcPr>
            <w:tcW w:w="4592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3∶1</w:t>
            </w:r>
          </w:p>
        </w:tc>
      </w:tr>
      <w:tr w:rsidR="000A1662">
        <w:trPr>
          <w:jc w:val="center"/>
        </w:trPr>
        <w:tc>
          <w:tcPr>
            <w:tcW w:w="1021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7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过载能力：</w:t>
            </w:r>
          </w:p>
        </w:tc>
        <w:tc>
          <w:tcPr>
            <w:tcW w:w="4592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125%  10min</w:t>
            </w:r>
          </w:p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150%   1min</w:t>
            </w:r>
          </w:p>
        </w:tc>
      </w:tr>
      <w:tr w:rsidR="000A1662">
        <w:trPr>
          <w:jc w:val="center"/>
        </w:trPr>
        <w:tc>
          <w:tcPr>
            <w:tcW w:w="1021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8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效率</w:t>
            </w:r>
          </w:p>
        </w:tc>
        <w:tc>
          <w:tcPr>
            <w:tcW w:w="4592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＞92% （在线模式）</w:t>
            </w:r>
          </w:p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＞98% （经济模式） 　</w:t>
            </w:r>
            <w:r>
              <w:rPr>
                <w:rFonts w:ascii="宋体" w:hAnsi="宋体" w:hint="eastAsia"/>
                <w:bCs/>
                <w:color w:val="FF000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A1662">
        <w:trPr>
          <w:jc w:val="center"/>
        </w:trPr>
        <w:tc>
          <w:tcPr>
            <w:tcW w:w="1021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9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噪音：</w:t>
            </w:r>
          </w:p>
        </w:tc>
        <w:tc>
          <w:tcPr>
            <w:tcW w:w="4592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&lt;55dBA</w:t>
            </w:r>
          </w:p>
        </w:tc>
      </w:tr>
      <w:tr w:rsidR="000A1662">
        <w:trPr>
          <w:cantSplit/>
          <w:jc w:val="center"/>
        </w:trPr>
        <w:tc>
          <w:tcPr>
            <w:tcW w:w="1021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平均无故障时间MTBF：</w:t>
            </w:r>
          </w:p>
        </w:tc>
        <w:tc>
          <w:tcPr>
            <w:tcW w:w="4592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＞20万小时</w:t>
            </w:r>
          </w:p>
        </w:tc>
      </w:tr>
      <w:tr w:rsidR="000A1662">
        <w:trPr>
          <w:cantSplit/>
          <w:jc w:val="center"/>
        </w:trPr>
        <w:tc>
          <w:tcPr>
            <w:tcW w:w="1021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11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风扇配置</w:t>
            </w:r>
          </w:p>
        </w:tc>
        <w:tc>
          <w:tcPr>
            <w:tcW w:w="4592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50%的冗余配置</w:t>
            </w:r>
          </w:p>
        </w:tc>
      </w:tr>
      <w:tr w:rsidR="000A1662">
        <w:trPr>
          <w:cantSplit/>
          <w:jc w:val="center"/>
        </w:trPr>
        <w:tc>
          <w:tcPr>
            <w:tcW w:w="1021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12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旁路</w:t>
            </w:r>
          </w:p>
        </w:tc>
        <w:tc>
          <w:tcPr>
            <w:tcW w:w="4592" w:type="dxa"/>
            <w:vAlign w:val="center"/>
          </w:tcPr>
          <w:p w:rsidR="000A1662" w:rsidRDefault="004C6407">
            <w:pPr>
              <w:pStyle w:val="xl174"/>
              <w:widowControl w:val="0"/>
              <w:pBdr>
                <w:left w:val="none" w:sz="0" w:space="0" w:color="auto"/>
              </w:pBdr>
              <w:spacing w:before="0" w:beforeAutospacing="0" w:after="0" w:afterAutospacing="0" w:line="600" w:lineRule="exact"/>
              <w:textAlignment w:val="auto"/>
              <w:rPr>
                <w:rFonts w:cs="Times New Roman" w:hint="default"/>
                <w:b w:val="0"/>
                <w:kern w:val="2"/>
              </w:rPr>
            </w:pPr>
            <w:r>
              <w:rPr>
                <w:rFonts w:cs="Times New Roman"/>
                <w:b w:val="0"/>
                <w:kern w:val="2"/>
              </w:rPr>
              <w:t>具有自动静态旁路和手动检修旁路</w:t>
            </w:r>
          </w:p>
        </w:tc>
      </w:tr>
    </w:tbl>
    <w:p w:rsidR="000A1662" w:rsidRDefault="004C6407">
      <w:pPr>
        <w:spacing w:line="600" w:lineRule="exact"/>
        <w:rPr>
          <w:rFonts w:ascii="楷体_GB2312" w:eastAsia="楷体_GB2312" w:hAnsi="仿宋" w:cs="仿宋_GB2312"/>
          <w:sz w:val="34"/>
          <w:szCs w:val="34"/>
        </w:rPr>
      </w:pPr>
      <w:r>
        <w:rPr>
          <w:rFonts w:ascii="楷体_GB2312" w:eastAsia="楷体_GB2312" w:hAnsi="仿宋" w:cs="仿宋_GB2312" w:hint="eastAsia"/>
          <w:sz w:val="34"/>
          <w:szCs w:val="34"/>
        </w:rPr>
        <w:t>6</w:t>
      </w:r>
      <w:r>
        <w:rPr>
          <w:rFonts w:ascii="楷体_GB2312" w:eastAsia="楷体_GB2312" w:hAnsi="仿宋" w:cs="仿宋_GB2312"/>
          <w:sz w:val="34"/>
          <w:szCs w:val="34"/>
        </w:rPr>
        <w:t>.</w:t>
      </w:r>
      <w:r>
        <w:rPr>
          <w:rFonts w:ascii="楷体_GB2312" w:eastAsia="楷体_GB2312" w:hAnsi="仿宋" w:cs="仿宋_GB2312" w:hint="eastAsia"/>
          <w:sz w:val="34"/>
          <w:szCs w:val="34"/>
        </w:rPr>
        <w:t>与UPS配套的蓄电池的技术要求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电池品牌要求：德克</w:t>
      </w:r>
      <w:proofErr w:type="gramStart"/>
      <w:r>
        <w:rPr>
          <w:rFonts w:ascii="仿宋_GB2312" w:eastAsia="仿宋_GB2312" w:hAnsi="仿宋" w:cs="仿宋_GB2312" w:hint="eastAsia"/>
          <w:sz w:val="34"/>
          <w:szCs w:val="34"/>
        </w:rPr>
        <w:t>或荷贝</w:t>
      </w:r>
      <w:proofErr w:type="gramEnd"/>
      <w:r>
        <w:rPr>
          <w:rFonts w:ascii="仿宋_GB2312" w:eastAsia="仿宋_GB2312" w:hAnsi="仿宋" w:cs="仿宋_GB2312" w:hint="eastAsia"/>
          <w:sz w:val="34"/>
          <w:szCs w:val="34"/>
        </w:rPr>
        <w:t>克，投标时须提供原厂证明材料。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蓄电池需编号，正极线</w:t>
      </w:r>
      <w:proofErr w:type="gramStart"/>
      <w:r>
        <w:rPr>
          <w:rFonts w:ascii="仿宋_GB2312" w:eastAsia="仿宋_GB2312" w:hAnsi="仿宋" w:cs="仿宋_GB2312" w:hint="eastAsia"/>
          <w:sz w:val="34"/>
          <w:szCs w:val="34"/>
        </w:rPr>
        <w:t>缆</w:t>
      </w:r>
      <w:proofErr w:type="gramEnd"/>
      <w:r>
        <w:rPr>
          <w:rFonts w:ascii="仿宋_GB2312" w:eastAsia="仿宋_GB2312" w:hAnsi="仿宋" w:cs="仿宋_GB2312" w:hint="eastAsia"/>
          <w:sz w:val="34"/>
          <w:szCs w:val="34"/>
        </w:rPr>
        <w:t>颜色赭色，负极蓝色。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型式：固定型阀控密封式胶体铅酸蓄电池</w:t>
      </w:r>
      <w:r>
        <w:rPr>
          <w:rFonts w:ascii="仿宋_GB2312" w:eastAsia="仿宋_GB2312" w:hAnsi="仿宋" w:cs="仿宋_GB2312"/>
          <w:sz w:val="34"/>
          <w:szCs w:val="34"/>
        </w:rPr>
        <w:t xml:space="preserve">, </w:t>
      </w:r>
      <w:r>
        <w:rPr>
          <w:rFonts w:ascii="仿宋_GB2312" w:eastAsia="仿宋_GB2312" w:hAnsi="仿宋" w:cs="仿宋_GB2312" w:hint="eastAsia"/>
          <w:sz w:val="34"/>
          <w:szCs w:val="34"/>
        </w:rPr>
        <w:t>免维护保养。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后备时间：60min（在额定负载功率情况下的放电时间）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/>
          <w:sz w:val="34"/>
          <w:szCs w:val="34"/>
        </w:rPr>
        <w:t>UPS</w:t>
      </w:r>
      <w:r>
        <w:rPr>
          <w:rFonts w:ascii="仿宋_GB2312" w:eastAsia="仿宋_GB2312" w:hAnsi="仿宋" w:cs="仿宋_GB2312" w:hint="eastAsia"/>
          <w:sz w:val="34"/>
          <w:szCs w:val="34"/>
        </w:rPr>
        <w:t>配</w:t>
      </w:r>
      <w:r>
        <w:rPr>
          <w:rFonts w:ascii="仿宋_GB2312" w:eastAsia="仿宋_GB2312" w:hAnsi="仿宋" w:cs="仿宋_GB2312"/>
          <w:sz w:val="34"/>
          <w:szCs w:val="34"/>
        </w:rPr>
        <w:t>智能电池管理</w:t>
      </w:r>
      <w:r>
        <w:rPr>
          <w:rFonts w:ascii="仿宋_GB2312" w:eastAsia="仿宋_GB2312" w:hAnsi="仿宋" w:cs="仿宋_GB2312" w:hint="eastAsia"/>
          <w:sz w:val="34"/>
          <w:szCs w:val="34"/>
        </w:rPr>
        <w:t>系统</w:t>
      </w:r>
      <w:r>
        <w:rPr>
          <w:rFonts w:ascii="仿宋_GB2312" w:eastAsia="仿宋_GB2312" w:hAnsi="仿宋" w:cs="仿宋_GB2312"/>
          <w:sz w:val="34"/>
          <w:szCs w:val="34"/>
        </w:rPr>
        <w:t xml:space="preserve">, </w:t>
      </w:r>
      <w:r>
        <w:rPr>
          <w:rFonts w:ascii="仿宋_GB2312" w:eastAsia="仿宋_GB2312" w:hAnsi="仿宋" w:cs="仿宋_GB2312" w:hint="eastAsia"/>
          <w:sz w:val="34"/>
          <w:szCs w:val="34"/>
        </w:rPr>
        <w:t>采用珠海</w:t>
      </w:r>
      <w:proofErr w:type="gramStart"/>
      <w:r>
        <w:rPr>
          <w:rFonts w:ascii="仿宋_GB2312" w:eastAsia="仿宋_GB2312" w:hAnsi="仿宋" w:cs="仿宋_GB2312" w:hint="eastAsia"/>
          <w:sz w:val="34"/>
          <w:szCs w:val="34"/>
        </w:rPr>
        <w:t>派诺或</w:t>
      </w:r>
      <w:proofErr w:type="gramEnd"/>
      <w:r>
        <w:rPr>
          <w:rFonts w:ascii="仿宋_GB2312" w:eastAsia="仿宋_GB2312" w:hAnsi="仿宋" w:cs="仿宋_GB2312" w:hint="eastAsia"/>
          <w:sz w:val="34"/>
          <w:szCs w:val="34"/>
        </w:rPr>
        <w:t>南京哈伯</w:t>
      </w:r>
      <w:r>
        <w:rPr>
          <w:rFonts w:ascii="仿宋_GB2312" w:eastAsia="仿宋_GB2312" w:hAnsi="仿宋" w:cs="仿宋_GB2312"/>
          <w:sz w:val="34"/>
          <w:szCs w:val="34"/>
        </w:rPr>
        <w:t>自动在线</w:t>
      </w:r>
      <w:r>
        <w:rPr>
          <w:rFonts w:ascii="仿宋_GB2312" w:eastAsia="仿宋_GB2312" w:hAnsi="仿宋" w:cs="仿宋_GB2312" w:hint="eastAsia"/>
          <w:sz w:val="34"/>
          <w:szCs w:val="34"/>
        </w:rPr>
        <w:t>监控系统</w:t>
      </w:r>
      <w:r>
        <w:rPr>
          <w:rFonts w:ascii="仿宋_GB2312" w:eastAsia="仿宋_GB2312" w:hAnsi="仿宋" w:cs="仿宋_GB2312"/>
          <w:sz w:val="34"/>
          <w:szCs w:val="34"/>
        </w:rPr>
        <w:t>，</w:t>
      </w:r>
      <w:r>
        <w:rPr>
          <w:rFonts w:ascii="仿宋_GB2312" w:eastAsia="仿宋_GB2312" w:hAnsi="仿宋" w:cs="仿宋_GB2312" w:hint="eastAsia"/>
          <w:sz w:val="34"/>
          <w:szCs w:val="34"/>
        </w:rPr>
        <w:t>自动判断UPS蓄电池的在线状态，状态判断包括但不限于充电、放电、浮充等；能显示每节电池内阻、电压，具备通讯功能，能上传到招标方后台监控系统。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能记录每节电池的数据：浮充电压，放电电压，内阻值，充放电电流以及电池温度；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能图像化显示每节电池的各项参数历史曲线、单组</w:t>
      </w:r>
      <w:r>
        <w:rPr>
          <w:rFonts w:ascii="仿宋_GB2312" w:eastAsia="仿宋_GB2312" w:hAnsi="仿宋" w:cs="仿宋_GB2312" w:hint="eastAsia"/>
          <w:sz w:val="34"/>
          <w:szCs w:val="34"/>
        </w:rPr>
        <w:lastRenderedPageBreak/>
        <w:t>所有电池的充、放电曲线图，并以此判断其使用状态与分析；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自动记录所有蓄电池组、蓄电池在每一次充、放电时的电压曲线、电流曲线和温度曲线，以及时间记录；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/>
          <w:sz w:val="34"/>
          <w:szCs w:val="34"/>
        </w:rPr>
        <w:t>第三方接口协议是</w:t>
      </w:r>
      <w:proofErr w:type="spellStart"/>
      <w:r>
        <w:rPr>
          <w:rFonts w:ascii="仿宋_GB2312" w:eastAsia="仿宋_GB2312" w:hAnsi="仿宋" w:cs="仿宋_GB2312" w:hint="eastAsia"/>
          <w:sz w:val="34"/>
          <w:szCs w:val="34"/>
        </w:rPr>
        <w:t>Modbus</w:t>
      </w:r>
      <w:proofErr w:type="spellEnd"/>
      <w:r>
        <w:rPr>
          <w:rFonts w:ascii="仿宋_GB2312" w:eastAsia="仿宋_GB2312" w:hAnsi="仿宋" w:cs="仿宋_GB2312"/>
          <w:sz w:val="34"/>
          <w:szCs w:val="34"/>
        </w:rPr>
        <w:t xml:space="preserve"> </w:t>
      </w:r>
      <w:r>
        <w:rPr>
          <w:rFonts w:ascii="仿宋_GB2312" w:eastAsia="仿宋_GB2312" w:hAnsi="仿宋" w:cs="仿宋_GB2312" w:hint="eastAsia"/>
          <w:sz w:val="34"/>
          <w:szCs w:val="34"/>
        </w:rPr>
        <w:t>TCP和</w:t>
      </w:r>
      <w:proofErr w:type="spellStart"/>
      <w:r>
        <w:rPr>
          <w:rFonts w:ascii="仿宋_GB2312" w:eastAsia="仿宋_GB2312" w:hAnsi="仿宋" w:cs="仿宋_GB2312" w:hint="eastAsia"/>
          <w:sz w:val="34"/>
          <w:szCs w:val="34"/>
        </w:rPr>
        <w:t>Webservice</w:t>
      </w:r>
      <w:proofErr w:type="spellEnd"/>
      <w:r>
        <w:rPr>
          <w:rFonts w:ascii="仿宋_GB2312" w:eastAsia="仿宋_GB2312" w:hAnsi="仿宋" w:cs="仿宋_GB2312" w:hint="eastAsia"/>
          <w:sz w:val="34"/>
          <w:szCs w:val="34"/>
        </w:rPr>
        <w:t>协议接口；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 w:rsidRPr="001B469E">
        <w:rPr>
          <w:rFonts w:ascii="仿宋_GB2312" w:eastAsia="仿宋_GB2312" w:hAnsi="仿宋" w:cs="仿宋_GB2312" w:hint="eastAsia"/>
          <w:sz w:val="34"/>
          <w:szCs w:val="34"/>
        </w:rPr>
        <w:t>容量及数量：</w:t>
      </w:r>
      <w:r>
        <w:rPr>
          <w:rFonts w:ascii="仿宋_GB2312" w:eastAsia="仿宋_GB2312" w:hAnsi="仿宋" w:cs="仿宋_GB2312" w:hint="eastAsia"/>
          <w:sz w:val="34"/>
          <w:szCs w:val="34"/>
        </w:rPr>
        <w:t>根据备用60分钟及UPS相关技术参数进行合理配置，投标人在投标文件中必须提供电池容量计算书（投标人必须采用电池</w:t>
      </w:r>
      <w:proofErr w:type="gramStart"/>
      <w:r>
        <w:rPr>
          <w:rFonts w:ascii="仿宋_GB2312" w:eastAsia="仿宋_GB2312" w:hAnsi="仿宋" w:cs="仿宋_GB2312" w:hint="eastAsia"/>
          <w:sz w:val="34"/>
          <w:szCs w:val="34"/>
        </w:rPr>
        <w:t>恒</w:t>
      </w:r>
      <w:proofErr w:type="gramEnd"/>
      <w:r>
        <w:rPr>
          <w:rFonts w:ascii="仿宋_GB2312" w:eastAsia="仿宋_GB2312" w:hAnsi="仿宋" w:cs="仿宋_GB2312" w:hint="eastAsia"/>
          <w:sz w:val="34"/>
          <w:szCs w:val="34"/>
        </w:rPr>
        <w:t>功率放电表的方法来计算电池容量）和电池放电数据曲线（或表格）。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电池设计寿命：10年，质保5年。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电池柜：高度、深度和颜色必须与UPS主机柜协调一致。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proofErr w:type="gramStart"/>
      <w:r>
        <w:rPr>
          <w:rFonts w:ascii="仿宋_GB2312" w:eastAsia="仿宋_GB2312" w:hAnsi="仿宋" w:cs="仿宋_GB2312" w:hint="eastAsia"/>
          <w:sz w:val="34"/>
          <w:szCs w:val="34"/>
        </w:rPr>
        <w:t>电池柜用</w:t>
      </w:r>
      <w:proofErr w:type="gramEnd"/>
      <w:r>
        <w:rPr>
          <w:rFonts w:ascii="仿宋_GB2312" w:eastAsia="仿宋_GB2312" w:hAnsi="仿宋" w:cs="仿宋_GB2312" w:hint="eastAsia"/>
          <w:sz w:val="34"/>
          <w:szCs w:val="34"/>
        </w:rPr>
        <w:t>2mm厚冷轧钢板制作而成，必须能承受7级地震。电池柜为前后左右开门，电池柜的层高必须大于400mm，以便电池的日常维护。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电池与电池连接电缆线必须采用铜芯阻燃软电缆，电池开关采用施耐德或者A</w:t>
      </w:r>
      <w:r>
        <w:rPr>
          <w:rFonts w:ascii="仿宋_GB2312" w:eastAsia="仿宋_GB2312" w:hAnsi="仿宋" w:cs="仿宋_GB2312"/>
          <w:sz w:val="34"/>
          <w:szCs w:val="34"/>
        </w:rPr>
        <w:t>BB</w:t>
      </w:r>
      <w:r>
        <w:rPr>
          <w:rFonts w:ascii="仿宋_GB2312" w:eastAsia="仿宋_GB2312" w:hAnsi="仿宋" w:cs="仿宋_GB2312" w:hint="eastAsia"/>
          <w:sz w:val="34"/>
          <w:szCs w:val="34"/>
        </w:rPr>
        <w:t>直流断路器。</w:t>
      </w:r>
    </w:p>
    <w:p w:rsidR="000A1662" w:rsidRDefault="004C6407">
      <w:pPr>
        <w:spacing w:line="600" w:lineRule="exact"/>
        <w:rPr>
          <w:rFonts w:ascii="楷体_GB2312" w:eastAsia="楷体_GB2312" w:hAnsi="仿宋" w:cs="仿宋_GB2312"/>
          <w:sz w:val="34"/>
          <w:szCs w:val="34"/>
        </w:rPr>
      </w:pPr>
      <w:r>
        <w:rPr>
          <w:rFonts w:ascii="楷体_GB2312" w:eastAsia="楷体_GB2312" w:hAnsi="仿宋" w:cs="仿宋_GB2312" w:hint="eastAsia"/>
          <w:sz w:val="34"/>
          <w:szCs w:val="34"/>
        </w:rPr>
        <w:t>7</w:t>
      </w:r>
      <w:r>
        <w:rPr>
          <w:rFonts w:ascii="楷体_GB2312" w:eastAsia="楷体_GB2312" w:hAnsi="仿宋" w:cs="仿宋_GB2312"/>
          <w:sz w:val="34"/>
          <w:szCs w:val="34"/>
        </w:rPr>
        <w:t>.</w:t>
      </w:r>
      <w:r>
        <w:rPr>
          <w:rFonts w:ascii="楷体_GB2312" w:eastAsia="楷体_GB2312" w:hAnsi="仿宋" w:cs="仿宋_GB2312" w:hint="eastAsia"/>
          <w:sz w:val="34"/>
          <w:szCs w:val="34"/>
        </w:rPr>
        <w:t>UPS系统中机柜的防护等级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 xml:space="preserve">IP2X </w:t>
      </w:r>
    </w:p>
    <w:p w:rsidR="000A1662" w:rsidRDefault="004C6407">
      <w:pPr>
        <w:spacing w:line="600" w:lineRule="exact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六、技术资料</w:t>
      </w:r>
    </w:p>
    <w:tbl>
      <w:tblPr>
        <w:tblStyle w:val="a8"/>
        <w:tblW w:w="9129" w:type="dxa"/>
        <w:tblInd w:w="-252" w:type="dxa"/>
        <w:tblLayout w:type="fixed"/>
        <w:tblLook w:val="04A0"/>
      </w:tblPr>
      <w:tblGrid>
        <w:gridCol w:w="834"/>
        <w:gridCol w:w="2844"/>
        <w:gridCol w:w="948"/>
        <w:gridCol w:w="1185"/>
        <w:gridCol w:w="2370"/>
        <w:gridCol w:w="948"/>
      </w:tblGrid>
      <w:tr w:rsidR="000A1662">
        <w:tc>
          <w:tcPr>
            <w:tcW w:w="83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技术资料名称</w:t>
            </w:r>
          </w:p>
        </w:tc>
        <w:tc>
          <w:tcPr>
            <w:tcW w:w="948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185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文字</w:t>
            </w:r>
          </w:p>
        </w:tc>
        <w:tc>
          <w:tcPr>
            <w:tcW w:w="2370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提供日期</w:t>
            </w:r>
          </w:p>
        </w:tc>
        <w:tc>
          <w:tcPr>
            <w:tcW w:w="948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0A1662">
        <w:tc>
          <w:tcPr>
            <w:tcW w:w="83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UPS系统电路图</w:t>
            </w:r>
          </w:p>
        </w:tc>
        <w:tc>
          <w:tcPr>
            <w:tcW w:w="948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6份</w:t>
            </w:r>
          </w:p>
        </w:tc>
        <w:tc>
          <w:tcPr>
            <w:tcW w:w="1185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中文</w:t>
            </w:r>
          </w:p>
        </w:tc>
        <w:tc>
          <w:tcPr>
            <w:tcW w:w="2370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签订合同后15天</w:t>
            </w:r>
          </w:p>
        </w:tc>
        <w:tc>
          <w:tcPr>
            <w:tcW w:w="948" w:type="dxa"/>
            <w:vAlign w:val="center"/>
          </w:tcPr>
          <w:p w:rsidR="000A1662" w:rsidRDefault="000A166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A1662">
        <w:tc>
          <w:tcPr>
            <w:tcW w:w="83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机柜外形尺寸及重量</w:t>
            </w:r>
          </w:p>
        </w:tc>
        <w:tc>
          <w:tcPr>
            <w:tcW w:w="948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6份</w:t>
            </w:r>
          </w:p>
        </w:tc>
        <w:tc>
          <w:tcPr>
            <w:tcW w:w="1185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中文</w:t>
            </w:r>
          </w:p>
        </w:tc>
        <w:tc>
          <w:tcPr>
            <w:tcW w:w="2370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签订合同后15天</w:t>
            </w:r>
          </w:p>
        </w:tc>
        <w:tc>
          <w:tcPr>
            <w:tcW w:w="948" w:type="dxa"/>
            <w:vAlign w:val="center"/>
          </w:tcPr>
          <w:p w:rsidR="000A1662" w:rsidRDefault="000A166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A1662">
        <w:tc>
          <w:tcPr>
            <w:tcW w:w="83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平面布置图</w:t>
            </w:r>
          </w:p>
        </w:tc>
        <w:tc>
          <w:tcPr>
            <w:tcW w:w="948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6份</w:t>
            </w:r>
          </w:p>
        </w:tc>
        <w:tc>
          <w:tcPr>
            <w:tcW w:w="1185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中文</w:t>
            </w:r>
          </w:p>
        </w:tc>
        <w:tc>
          <w:tcPr>
            <w:tcW w:w="2370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签订合同后15天</w:t>
            </w:r>
          </w:p>
        </w:tc>
        <w:tc>
          <w:tcPr>
            <w:tcW w:w="948" w:type="dxa"/>
            <w:vAlign w:val="center"/>
          </w:tcPr>
          <w:p w:rsidR="000A1662" w:rsidRDefault="000A166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A1662">
        <w:tc>
          <w:tcPr>
            <w:tcW w:w="83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基础图</w:t>
            </w:r>
          </w:p>
        </w:tc>
        <w:tc>
          <w:tcPr>
            <w:tcW w:w="948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6份</w:t>
            </w:r>
          </w:p>
        </w:tc>
        <w:tc>
          <w:tcPr>
            <w:tcW w:w="1185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中文</w:t>
            </w:r>
          </w:p>
        </w:tc>
        <w:tc>
          <w:tcPr>
            <w:tcW w:w="2370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签订合同后15天</w:t>
            </w:r>
          </w:p>
        </w:tc>
        <w:tc>
          <w:tcPr>
            <w:tcW w:w="948" w:type="dxa"/>
            <w:vAlign w:val="center"/>
          </w:tcPr>
          <w:p w:rsidR="000A1662" w:rsidRDefault="000A166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A1662">
        <w:tc>
          <w:tcPr>
            <w:tcW w:w="83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接线图</w:t>
            </w:r>
          </w:p>
        </w:tc>
        <w:tc>
          <w:tcPr>
            <w:tcW w:w="948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6份</w:t>
            </w:r>
          </w:p>
        </w:tc>
        <w:tc>
          <w:tcPr>
            <w:tcW w:w="1185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中文</w:t>
            </w:r>
          </w:p>
        </w:tc>
        <w:tc>
          <w:tcPr>
            <w:tcW w:w="2370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签订合同后15天</w:t>
            </w:r>
          </w:p>
        </w:tc>
        <w:tc>
          <w:tcPr>
            <w:tcW w:w="948" w:type="dxa"/>
            <w:vAlign w:val="center"/>
          </w:tcPr>
          <w:p w:rsidR="000A1662" w:rsidRDefault="000A166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A1662">
        <w:tc>
          <w:tcPr>
            <w:tcW w:w="83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安装手册</w:t>
            </w:r>
          </w:p>
        </w:tc>
        <w:tc>
          <w:tcPr>
            <w:tcW w:w="948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4份</w:t>
            </w:r>
          </w:p>
        </w:tc>
        <w:tc>
          <w:tcPr>
            <w:tcW w:w="1185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中文</w:t>
            </w:r>
          </w:p>
        </w:tc>
        <w:tc>
          <w:tcPr>
            <w:tcW w:w="2370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随货物一起提供</w:t>
            </w:r>
          </w:p>
        </w:tc>
        <w:tc>
          <w:tcPr>
            <w:tcW w:w="948" w:type="dxa"/>
            <w:vAlign w:val="center"/>
          </w:tcPr>
          <w:p w:rsidR="000A1662" w:rsidRDefault="000A166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A1662">
        <w:tc>
          <w:tcPr>
            <w:tcW w:w="83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用户使用手册</w:t>
            </w:r>
          </w:p>
        </w:tc>
        <w:tc>
          <w:tcPr>
            <w:tcW w:w="948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4份</w:t>
            </w:r>
          </w:p>
        </w:tc>
        <w:tc>
          <w:tcPr>
            <w:tcW w:w="1185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中英文各2份</w:t>
            </w:r>
          </w:p>
        </w:tc>
        <w:tc>
          <w:tcPr>
            <w:tcW w:w="2370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随货物一起提供</w:t>
            </w:r>
          </w:p>
        </w:tc>
        <w:tc>
          <w:tcPr>
            <w:tcW w:w="948" w:type="dxa"/>
            <w:vAlign w:val="center"/>
          </w:tcPr>
          <w:p w:rsidR="000A1662" w:rsidRDefault="000A166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A1662">
        <w:tc>
          <w:tcPr>
            <w:tcW w:w="83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出厂测试报告</w:t>
            </w:r>
          </w:p>
        </w:tc>
        <w:tc>
          <w:tcPr>
            <w:tcW w:w="948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4份</w:t>
            </w:r>
          </w:p>
        </w:tc>
        <w:tc>
          <w:tcPr>
            <w:tcW w:w="1185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中英文各2份</w:t>
            </w:r>
          </w:p>
        </w:tc>
        <w:tc>
          <w:tcPr>
            <w:tcW w:w="2370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随货物一起提供</w:t>
            </w:r>
          </w:p>
        </w:tc>
        <w:tc>
          <w:tcPr>
            <w:tcW w:w="948" w:type="dxa"/>
            <w:vAlign w:val="center"/>
          </w:tcPr>
          <w:p w:rsidR="000A1662" w:rsidRDefault="000A166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A1662">
        <w:tc>
          <w:tcPr>
            <w:tcW w:w="83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调试报告</w:t>
            </w:r>
          </w:p>
        </w:tc>
        <w:tc>
          <w:tcPr>
            <w:tcW w:w="948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4份</w:t>
            </w:r>
          </w:p>
        </w:tc>
        <w:tc>
          <w:tcPr>
            <w:tcW w:w="1185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中文</w:t>
            </w:r>
          </w:p>
        </w:tc>
        <w:tc>
          <w:tcPr>
            <w:tcW w:w="2370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调试完毕后一周内提供</w:t>
            </w:r>
          </w:p>
        </w:tc>
        <w:tc>
          <w:tcPr>
            <w:tcW w:w="948" w:type="dxa"/>
            <w:vAlign w:val="center"/>
          </w:tcPr>
          <w:p w:rsidR="000A1662" w:rsidRDefault="000A166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A1662">
        <w:tc>
          <w:tcPr>
            <w:tcW w:w="83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UPS原产地证明</w:t>
            </w:r>
          </w:p>
        </w:tc>
        <w:tc>
          <w:tcPr>
            <w:tcW w:w="948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1份</w:t>
            </w:r>
          </w:p>
        </w:tc>
        <w:tc>
          <w:tcPr>
            <w:tcW w:w="1185" w:type="dxa"/>
            <w:vAlign w:val="center"/>
          </w:tcPr>
          <w:p w:rsidR="000A1662" w:rsidRDefault="000A166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货物开箱时提供</w:t>
            </w:r>
          </w:p>
        </w:tc>
        <w:tc>
          <w:tcPr>
            <w:tcW w:w="948" w:type="dxa"/>
            <w:vAlign w:val="center"/>
          </w:tcPr>
          <w:p w:rsidR="000A1662" w:rsidRDefault="000A166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A1662">
        <w:tc>
          <w:tcPr>
            <w:tcW w:w="834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844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UPS报关单</w:t>
            </w:r>
          </w:p>
        </w:tc>
        <w:tc>
          <w:tcPr>
            <w:tcW w:w="948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1份</w:t>
            </w:r>
          </w:p>
        </w:tc>
        <w:tc>
          <w:tcPr>
            <w:tcW w:w="1185" w:type="dxa"/>
            <w:vAlign w:val="center"/>
          </w:tcPr>
          <w:p w:rsidR="000A1662" w:rsidRDefault="004C6407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中文</w:t>
            </w:r>
          </w:p>
        </w:tc>
        <w:tc>
          <w:tcPr>
            <w:tcW w:w="2370" w:type="dxa"/>
            <w:vAlign w:val="center"/>
          </w:tcPr>
          <w:p w:rsidR="000A1662" w:rsidRDefault="004C6407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货物开箱时提供</w:t>
            </w:r>
          </w:p>
        </w:tc>
        <w:tc>
          <w:tcPr>
            <w:tcW w:w="948" w:type="dxa"/>
            <w:vAlign w:val="center"/>
          </w:tcPr>
          <w:p w:rsidR="000A1662" w:rsidRDefault="000A166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0A1662" w:rsidRDefault="004C6407">
      <w:pPr>
        <w:spacing w:line="600" w:lineRule="exact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七、培训</w:t>
      </w:r>
    </w:p>
    <w:p w:rsidR="000A1662" w:rsidRDefault="004C6407">
      <w:pPr>
        <w:spacing w:line="600" w:lineRule="exact"/>
        <w:rPr>
          <w:rFonts w:ascii="楷体_GB2312" w:eastAsia="楷体_GB2312" w:hAnsi="仿宋" w:cs="仿宋_GB2312"/>
          <w:sz w:val="34"/>
          <w:szCs w:val="34"/>
        </w:rPr>
      </w:pPr>
      <w:r>
        <w:rPr>
          <w:rFonts w:ascii="楷体_GB2312" w:eastAsia="楷体_GB2312" w:hAnsi="仿宋" w:cs="仿宋_GB2312" w:hint="eastAsia"/>
          <w:sz w:val="34"/>
          <w:szCs w:val="34"/>
        </w:rPr>
        <w:t>1</w:t>
      </w:r>
      <w:r>
        <w:rPr>
          <w:rFonts w:ascii="楷体_GB2312" w:eastAsia="楷体_GB2312" w:hAnsi="仿宋" w:cs="仿宋_GB2312"/>
          <w:sz w:val="34"/>
          <w:szCs w:val="34"/>
        </w:rPr>
        <w:t>.</w:t>
      </w:r>
      <w:r>
        <w:rPr>
          <w:rFonts w:ascii="楷体_GB2312" w:eastAsia="楷体_GB2312" w:hAnsi="仿宋" w:cs="仿宋_GB2312" w:hint="eastAsia"/>
          <w:sz w:val="34"/>
          <w:szCs w:val="34"/>
        </w:rPr>
        <w:t>现场培训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时间：2-4小时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地点：UPS现场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人数：由招标方自定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内容：UPS原理，UPS性能特点，UPS操作步骤，常见故障分析及处理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授课人：必须是UPS制造商派出的工程师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费用：免费</w:t>
      </w:r>
    </w:p>
    <w:p w:rsidR="000A1662" w:rsidRDefault="004C6407">
      <w:pPr>
        <w:spacing w:line="600" w:lineRule="exact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八、技术服务及备件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lastRenderedPageBreak/>
        <w:t>UPS制造商在长三角地区应有技术服务部。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UPS制造商在长三角地区必须有备品备件库，确保服务及时性。</w:t>
      </w:r>
    </w:p>
    <w:p w:rsidR="000A1662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UPS需提供安装调试。</w:t>
      </w:r>
    </w:p>
    <w:p w:rsidR="000A1662" w:rsidRPr="001B469E" w:rsidRDefault="004C6407">
      <w:pPr>
        <w:spacing w:line="600" w:lineRule="exact"/>
        <w:ind w:firstLineChars="200" w:firstLine="680"/>
        <w:rPr>
          <w:rFonts w:ascii="仿宋_GB2312" w:eastAsia="仿宋_GB2312" w:hAnsi="仿宋" w:cs="仿宋_GB2312"/>
          <w:sz w:val="34"/>
          <w:szCs w:val="34"/>
        </w:rPr>
      </w:pPr>
      <w:r>
        <w:rPr>
          <w:rFonts w:ascii="仿宋_GB2312" w:eastAsia="仿宋_GB2312" w:hAnsi="仿宋" w:cs="仿宋_GB2312" w:hint="eastAsia"/>
          <w:sz w:val="34"/>
          <w:szCs w:val="34"/>
        </w:rPr>
        <w:t>质保期：UPS主机质保1年，电池的质保期5年，制造商须向直接用户提供终生技术服务的承诺书，技术服务响应时间：</w:t>
      </w:r>
      <w:r w:rsidRPr="001B469E">
        <w:rPr>
          <w:rFonts w:ascii="仿宋_GB2312" w:eastAsia="仿宋_GB2312" w:hAnsi="仿宋" w:cs="仿宋_GB2312" w:hint="eastAsia"/>
          <w:sz w:val="34"/>
          <w:szCs w:val="34"/>
        </w:rPr>
        <w:t>制造商的技术服务工程师须在12小时内到达UPS现场，24小时内修复并正式投运。</w:t>
      </w:r>
    </w:p>
    <w:tbl>
      <w:tblPr>
        <w:tblpPr w:leftFromText="180" w:rightFromText="180" w:vertAnchor="text" w:horzAnchor="page" w:tblpX="2190" w:tblpY="650"/>
        <w:tblOverlap w:val="never"/>
        <w:tblW w:w="79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1842"/>
        <w:gridCol w:w="1198"/>
        <w:gridCol w:w="937"/>
        <w:gridCol w:w="3450"/>
      </w:tblGrid>
      <w:tr w:rsidR="000A1662">
        <w:trPr>
          <w:trHeight w:val="454"/>
        </w:trPr>
        <w:tc>
          <w:tcPr>
            <w:tcW w:w="568" w:type="dxa"/>
            <w:tcBorders>
              <w:right w:val="single" w:sz="6" w:space="0" w:color="000000"/>
            </w:tcBorders>
          </w:tcPr>
          <w:p w:rsidR="000A1662" w:rsidRDefault="004C6407">
            <w:pPr>
              <w:pStyle w:val="TableParagraph"/>
              <w:spacing w:line="600" w:lineRule="exact"/>
              <w:ind w:right="19"/>
              <w:jc w:val="right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:rsidR="000A1662" w:rsidRDefault="004C6407">
            <w:pPr>
              <w:pStyle w:val="TableParagraph"/>
              <w:tabs>
                <w:tab w:val="left" w:pos="448"/>
              </w:tabs>
              <w:spacing w:line="600" w:lineRule="exact"/>
              <w:ind w:left="-37" w:right="29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名称</w:t>
            </w:r>
          </w:p>
        </w:tc>
        <w:tc>
          <w:tcPr>
            <w:tcW w:w="1198" w:type="dxa"/>
            <w:tcBorders>
              <w:left w:val="single" w:sz="6" w:space="0" w:color="000000"/>
              <w:right w:val="single" w:sz="6" w:space="0" w:color="000000"/>
            </w:tcBorders>
          </w:tcPr>
          <w:p w:rsidR="000A1662" w:rsidRDefault="004C6407">
            <w:pPr>
              <w:pStyle w:val="TableParagraph"/>
              <w:spacing w:line="600" w:lineRule="exact"/>
              <w:ind w:right="387"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937" w:type="dxa"/>
            <w:tcBorders>
              <w:left w:val="single" w:sz="6" w:space="0" w:color="000000"/>
            </w:tcBorders>
          </w:tcPr>
          <w:p w:rsidR="000A1662" w:rsidRDefault="004C6407">
            <w:pPr>
              <w:pStyle w:val="TableParagraph"/>
              <w:spacing w:line="600" w:lineRule="exact"/>
              <w:ind w:left="193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3450" w:type="dxa"/>
            <w:tcBorders>
              <w:left w:val="single" w:sz="6" w:space="0" w:color="000000"/>
            </w:tcBorders>
          </w:tcPr>
          <w:p w:rsidR="000A1662" w:rsidRDefault="004C6407">
            <w:pPr>
              <w:pStyle w:val="TableParagraph"/>
              <w:spacing w:line="600" w:lineRule="exact"/>
              <w:ind w:left="193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0A1662">
        <w:trPr>
          <w:trHeight w:val="453"/>
        </w:trPr>
        <w:tc>
          <w:tcPr>
            <w:tcW w:w="568" w:type="dxa"/>
            <w:tcBorders>
              <w:bottom w:val="single" w:sz="6" w:space="0" w:color="000000"/>
              <w:right w:val="single" w:sz="6" w:space="0" w:color="000000"/>
            </w:tcBorders>
          </w:tcPr>
          <w:p w:rsidR="000A1662" w:rsidRDefault="004C6407">
            <w:pPr>
              <w:pStyle w:val="TableParagraph"/>
              <w:spacing w:before="72" w:line="600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62" w:rsidRDefault="004C6407">
            <w:pPr>
              <w:pStyle w:val="TableParagraph"/>
              <w:spacing w:before="72" w:line="600" w:lineRule="exact"/>
              <w:ind w:left="688"/>
              <w:rPr>
                <w:sz w:val="24"/>
              </w:rPr>
            </w:pPr>
            <w:r>
              <w:rPr>
                <w:sz w:val="24"/>
              </w:rPr>
              <w:t>风机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62" w:rsidRDefault="004C6407">
            <w:pPr>
              <w:pStyle w:val="TableParagraph"/>
              <w:spacing w:before="72" w:line="600" w:lineRule="exact"/>
              <w:ind w:left="1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只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37" w:type="dxa"/>
            <w:tcBorders>
              <w:left w:val="single" w:sz="6" w:space="0" w:color="000000"/>
              <w:bottom w:val="single" w:sz="6" w:space="0" w:color="000000"/>
            </w:tcBorders>
          </w:tcPr>
          <w:p w:rsidR="000A1662" w:rsidRDefault="004C6407">
            <w:pPr>
              <w:pStyle w:val="TableParagraph"/>
              <w:spacing w:before="72" w:line="600" w:lineRule="exact"/>
              <w:ind w:left="433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50" w:type="dxa"/>
            <w:tcBorders>
              <w:left w:val="single" w:sz="6" w:space="0" w:color="000000"/>
              <w:bottom w:val="single" w:sz="6" w:space="0" w:color="000000"/>
            </w:tcBorders>
          </w:tcPr>
          <w:p w:rsidR="000A1662" w:rsidRDefault="004C6407">
            <w:pPr>
              <w:pStyle w:val="TableParagraph"/>
              <w:spacing w:before="72" w:line="600" w:lineRule="exact"/>
              <w:ind w:left="433"/>
              <w:rPr>
                <w:sz w:val="24"/>
              </w:rPr>
            </w:pPr>
            <w:r>
              <w:rPr>
                <w:rFonts w:hint="eastAsia"/>
                <w:sz w:val="24"/>
              </w:rPr>
              <w:t>与供货机器一致</w:t>
            </w:r>
          </w:p>
        </w:tc>
      </w:tr>
      <w:tr w:rsidR="000A1662">
        <w:trPr>
          <w:trHeight w:val="454"/>
        </w:trPr>
        <w:tc>
          <w:tcPr>
            <w:tcW w:w="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62" w:rsidRDefault="004C6407">
            <w:pPr>
              <w:pStyle w:val="TableParagraph"/>
              <w:spacing w:line="600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62" w:rsidRDefault="004C6407">
            <w:pPr>
              <w:pStyle w:val="TableParagraph"/>
              <w:spacing w:line="600" w:lineRule="exact"/>
              <w:ind w:left="688"/>
              <w:rPr>
                <w:sz w:val="24"/>
              </w:rPr>
            </w:pPr>
            <w:r>
              <w:rPr>
                <w:sz w:val="24"/>
              </w:rPr>
              <w:t>保险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62" w:rsidRDefault="004C6407">
            <w:pPr>
              <w:pStyle w:val="TableParagraph"/>
              <w:spacing w:line="600" w:lineRule="exact"/>
              <w:ind w:left="1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662" w:rsidRDefault="004C6407">
            <w:pPr>
              <w:pStyle w:val="TableParagraph"/>
              <w:spacing w:line="600" w:lineRule="exact"/>
              <w:ind w:left="433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662" w:rsidRDefault="004C6407">
            <w:pPr>
              <w:pStyle w:val="TableParagraph"/>
              <w:spacing w:line="600" w:lineRule="exact"/>
              <w:ind w:left="433"/>
              <w:rPr>
                <w:sz w:val="24"/>
              </w:rPr>
            </w:pPr>
            <w:r>
              <w:rPr>
                <w:rFonts w:hint="eastAsia"/>
                <w:sz w:val="24"/>
              </w:rPr>
              <w:t>与供货机器一致</w:t>
            </w:r>
          </w:p>
        </w:tc>
      </w:tr>
      <w:tr w:rsidR="000A1662">
        <w:trPr>
          <w:trHeight w:val="454"/>
        </w:trPr>
        <w:tc>
          <w:tcPr>
            <w:tcW w:w="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62" w:rsidRDefault="000A1662">
            <w:pPr>
              <w:pStyle w:val="TableParagraph"/>
              <w:spacing w:line="600" w:lineRule="exact"/>
              <w:ind w:right="79"/>
              <w:jc w:val="righ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62" w:rsidRDefault="000A1662">
            <w:pPr>
              <w:pStyle w:val="TableParagraph"/>
              <w:spacing w:line="600" w:lineRule="exact"/>
              <w:ind w:right="296"/>
              <w:jc w:val="right"/>
              <w:rPr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62" w:rsidRDefault="000A1662">
            <w:pPr>
              <w:pStyle w:val="TableParagraph"/>
              <w:spacing w:line="600" w:lineRule="exact"/>
              <w:ind w:left="151"/>
              <w:jc w:val="center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662" w:rsidRDefault="000A1662">
            <w:pPr>
              <w:pStyle w:val="TableParagraph"/>
              <w:spacing w:line="600" w:lineRule="exact"/>
              <w:ind w:left="433"/>
              <w:rPr>
                <w:sz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662" w:rsidRDefault="000A1662">
            <w:pPr>
              <w:pStyle w:val="TableParagraph"/>
              <w:spacing w:line="600" w:lineRule="exact"/>
              <w:ind w:left="433"/>
              <w:rPr>
                <w:sz w:val="24"/>
              </w:rPr>
            </w:pPr>
          </w:p>
        </w:tc>
      </w:tr>
    </w:tbl>
    <w:p w:rsidR="000A1662" w:rsidRDefault="004C6407">
      <w:pPr>
        <w:spacing w:line="600" w:lineRule="exact"/>
        <w:ind w:left="5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备品备件</w:t>
      </w:r>
    </w:p>
    <w:p w:rsidR="000A1662" w:rsidRDefault="000A1662">
      <w:pPr>
        <w:spacing w:line="600" w:lineRule="exact"/>
      </w:pPr>
    </w:p>
    <w:p w:rsidR="000A1662" w:rsidRDefault="000A1662">
      <w:pPr>
        <w:spacing w:line="600" w:lineRule="exact"/>
      </w:pPr>
    </w:p>
    <w:p w:rsidR="000A1662" w:rsidRDefault="004C6407">
      <w:pPr>
        <w:spacing w:line="600" w:lineRule="exact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九、供货时间</w:t>
      </w:r>
    </w:p>
    <w:p w:rsidR="000A1662" w:rsidRDefault="004C6407">
      <w:pPr>
        <w:spacing w:line="600" w:lineRule="exact"/>
        <w:ind w:left="540"/>
        <w:rPr>
          <w:rFonts w:ascii="宋体" w:hAnsi="宋体"/>
          <w:sz w:val="34"/>
          <w:szCs w:val="34"/>
        </w:rPr>
      </w:pPr>
      <w:r>
        <w:rPr>
          <w:rFonts w:ascii="宋体" w:hAnsi="宋体" w:hint="eastAsia"/>
          <w:sz w:val="34"/>
          <w:szCs w:val="34"/>
        </w:rPr>
        <w:t>供货时间为</w:t>
      </w:r>
      <w:r w:rsidR="00D85FB7">
        <w:rPr>
          <w:rFonts w:ascii="宋体" w:hAnsi="宋体" w:hint="eastAsia"/>
          <w:sz w:val="34"/>
          <w:szCs w:val="34"/>
        </w:rPr>
        <w:t>3</w:t>
      </w:r>
      <w:r>
        <w:rPr>
          <w:rFonts w:ascii="宋体" w:hAnsi="宋体" w:hint="eastAsia"/>
          <w:sz w:val="34"/>
          <w:szCs w:val="34"/>
        </w:rPr>
        <w:t>月</w:t>
      </w:r>
      <w:r w:rsidR="00D85FB7">
        <w:rPr>
          <w:rFonts w:ascii="宋体" w:hAnsi="宋体" w:hint="eastAsia"/>
          <w:sz w:val="34"/>
          <w:szCs w:val="34"/>
        </w:rPr>
        <w:t>28</w:t>
      </w:r>
      <w:r>
        <w:rPr>
          <w:rFonts w:ascii="宋体" w:hAnsi="宋体" w:hint="eastAsia"/>
          <w:sz w:val="34"/>
          <w:szCs w:val="34"/>
        </w:rPr>
        <w:t>日。</w:t>
      </w:r>
    </w:p>
    <w:p w:rsidR="000A1662" w:rsidRDefault="000A1662">
      <w:pPr>
        <w:spacing w:line="600" w:lineRule="exact"/>
        <w:ind w:left="540"/>
        <w:rPr>
          <w:rFonts w:ascii="宋体" w:hAnsi="宋体"/>
          <w:sz w:val="24"/>
        </w:rPr>
      </w:pPr>
    </w:p>
    <w:sectPr w:rsidR="000A1662" w:rsidSect="000A166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C6E" w:rsidRDefault="00243C6E" w:rsidP="001B469E">
      <w:r>
        <w:separator/>
      </w:r>
    </w:p>
  </w:endnote>
  <w:endnote w:type="continuationSeparator" w:id="0">
    <w:p w:rsidR="00243C6E" w:rsidRDefault="00243C6E" w:rsidP="001B4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长城仿宋">
    <w:altName w:val="宋体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C6E" w:rsidRDefault="00243C6E" w:rsidP="001B469E">
      <w:r>
        <w:separator/>
      </w:r>
    </w:p>
  </w:footnote>
  <w:footnote w:type="continuationSeparator" w:id="0">
    <w:p w:rsidR="00243C6E" w:rsidRDefault="00243C6E" w:rsidP="001B46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20749"/>
    <w:rsid w:val="00020749"/>
    <w:rsid w:val="000405C6"/>
    <w:rsid w:val="000454C4"/>
    <w:rsid w:val="0007613C"/>
    <w:rsid w:val="000826D0"/>
    <w:rsid w:val="000A1662"/>
    <w:rsid w:val="000F65F8"/>
    <w:rsid w:val="001224B5"/>
    <w:rsid w:val="00160710"/>
    <w:rsid w:val="001B469E"/>
    <w:rsid w:val="001E34A0"/>
    <w:rsid w:val="0022133E"/>
    <w:rsid w:val="00243C6E"/>
    <w:rsid w:val="00245576"/>
    <w:rsid w:val="00250B1F"/>
    <w:rsid w:val="00250CE2"/>
    <w:rsid w:val="00257661"/>
    <w:rsid w:val="00263484"/>
    <w:rsid w:val="00280E16"/>
    <w:rsid w:val="00294DD0"/>
    <w:rsid w:val="002E199D"/>
    <w:rsid w:val="00350781"/>
    <w:rsid w:val="003757E0"/>
    <w:rsid w:val="00385D6B"/>
    <w:rsid w:val="00393ACB"/>
    <w:rsid w:val="003B4BFB"/>
    <w:rsid w:val="003C7AE2"/>
    <w:rsid w:val="003D402C"/>
    <w:rsid w:val="0041538F"/>
    <w:rsid w:val="004257F6"/>
    <w:rsid w:val="004922A1"/>
    <w:rsid w:val="004A5432"/>
    <w:rsid w:val="004B425F"/>
    <w:rsid w:val="004C0DDF"/>
    <w:rsid w:val="004C6407"/>
    <w:rsid w:val="004F7940"/>
    <w:rsid w:val="005066EA"/>
    <w:rsid w:val="00521491"/>
    <w:rsid w:val="005258EA"/>
    <w:rsid w:val="005665F5"/>
    <w:rsid w:val="005802A1"/>
    <w:rsid w:val="005835A2"/>
    <w:rsid w:val="005C63BE"/>
    <w:rsid w:val="00622E1F"/>
    <w:rsid w:val="00630AE5"/>
    <w:rsid w:val="00695C61"/>
    <w:rsid w:val="006B4F93"/>
    <w:rsid w:val="006C2607"/>
    <w:rsid w:val="006D0C0F"/>
    <w:rsid w:val="006E2893"/>
    <w:rsid w:val="006F2642"/>
    <w:rsid w:val="00727A29"/>
    <w:rsid w:val="0073731D"/>
    <w:rsid w:val="00771028"/>
    <w:rsid w:val="007841B5"/>
    <w:rsid w:val="00787250"/>
    <w:rsid w:val="00797274"/>
    <w:rsid w:val="007B3F74"/>
    <w:rsid w:val="007B5C69"/>
    <w:rsid w:val="007E4AEC"/>
    <w:rsid w:val="00831732"/>
    <w:rsid w:val="008353F1"/>
    <w:rsid w:val="008902ED"/>
    <w:rsid w:val="008B30E7"/>
    <w:rsid w:val="008F4AF0"/>
    <w:rsid w:val="0092027B"/>
    <w:rsid w:val="00925873"/>
    <w:rsid w:val="00973285"/>
    <w:rsid w:val="00973460"/>
    <w:rsid w:val="009923AA"/>
    <w:rsid w:val="009971EE"/>
    <w:rsid w:val="009A5488"/>
    <w:rsid w:val="009A5693"/>
    <w:rsid w:val="009B1B41"/>
    <w:rsid w:val="00A257FF"/>
    <w:rsid w:val="00A30688"/>
    <w:rsid w:val="00A57074"/>
    <w:rsid w:val="00A573D1"/>
    <w:rsid w:val="00A722ED"/>
    <w:rsid w:val="00A81F1C"/>
    <w:rsid w:val="00A9176F"/>
    <w:rsid w:val="00AA715B"/>
    <w:rsid w:val="00AA7245"/>
    <w:rsid w:val="00AB4FEB"/>
    <w:rsid w:val="00AF0018"/>
    <w:rsid w:val="00B138E9"/>
    <w:rsid w:val="00B2562B"/>
    <w:rsid w:val="00B35B3C"/>
    <w:rsid w:val="00B47FF3"/>
    <w:rsid w:val="00B74FCE"/>
    <w:rsid w:val="00BB4C93"/>
    <w:rsid w:val="00BD01CA"/>
    <w:rsid w:val="00BE6087"/>
    <w:rsid w:val="00BE61D6"/>
    <w:rsid w:val="00C0064D"/>
    <w:rsid w:val="00C245F7"/>
    <w:rsid w:val="00C31ECF"/>
    <w:rsid w:val="00C445AC"/>
    <w:rsid w:val="00C62CEC"/>
    <w:rsid w:val="00CA08FC"/>
    <w:rsid w:val="00CA549D"/>
    <w:rsid w:val="00CC6B7F"/>
    <w:rsid w:val="00CF3706"/>
    <w:rsid w:val="00CF3CA6"/>
    <w:rsid w:val="00CF5A4B"/>
    <w:rsid w:val="00CF6F7E"/>
    <w:rsid w:val="00CF7FF0"/>
    <w:rsid w:val="00D11103"/>
    <w:rsid w:val="00D41D64"/>
    <w:rsid w:val="00D4320A"/>
    <w:rsid w:val="00D85FB7"/>
    <w:rsid w:val="00D9380B"/>
    <w:rsid w:val="00D95992"/>
    <w:rsid w:val="00D97E8E"/>
    <w:rsid w:val="00DA310D"/>
    <w:rsid w:val="00DB21C2"/>
    <w:rsid w:val="00E0066E"/>
    <w:rsid w:val="00E216FD"/>
    <w:rsid w:val="00E257BD"/>
    <w:rsid w:val="00E7097C"/>
    <w:rsid w:val="00E71AFA"/>
    <w:rsid w:val="00E77E3D"/>
    <w:rsid w:val="00E824F3"/>
    <w:rsid w:val="00ED1C4F"/>
    <w:rsid w:val="00ED335B"/>
    <w:rsid w:val="00EE308E"/>
    <w:rsid w:val="00EF678C"/>
    <w:rsid w:val="00F03ACC"/>
    <w:rsid w:val="00F133F3"/>
    <w:rsid w:val="00F51F3A"/>
    <w:rsid w:val="00F74889"/>
    <w:rsid w:val="00F87653"/>
    <w:rsid w:val="00FA07A9"/>
    <w:rsid w:val="00FC0CFC"/>
    <w:rsid w:val="030E4CDF"/>
    <w:rsid w:val="035E47A1"/>
    <w:rsid w:val="072F5D98"/>
    <w:rsid w:val="086B76D3"/>
    <w:rsid w:val="0F2F1AE7"/>
    <w:rsid w:val="1659704F"/>
    <w:rsid w:val="18DA56D8"/>
    <w:rsid w:val="1FA45B7E"/>
    <w:rsid w:val="26635ED6"/>
    <w:rsid w:val="26BA4BF3"/>
    <w:rsid w:val="2855533A"/>
    <w:rsid w:val="34457057"/>
    <w:rsid w:val="35A970FA"/>
    <w:rsid w:val="3BCE3988"/>
    <w:rsid w:val="3C314553"/>
    <w:rsid w:val="40DE2175"/>
    <w:rsid w:val="4183246F"/>
    <w:rsid w:val="423529DD"/>
    <w:rsid w:val="42ED684B"/>
    <w:rsid w:val="475B7CC4"/>
    <w:rsid w:val="50F1593B"/>
    <w:rsid w:val="56FF0A48"/>
    <w:rsid w:val="5AB248C8"/>
    <w:rsid w:val="5F407DEB"/>
    <w:rsid w:val="5FFD2D72"/>
    <w:rsid w:val="63E2369B"/>
    <w:rsid w:val="6E5E0E69"/>
    <w:rsid w:val="766878D1"/>
    <w:rsid w:val="7949798A"/>
    <w:rsid w:val="7C6804E2"/>
    <w:rsid w:val="7F1D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6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A1662"/>
    <w:pPr>
      <w:ind w:left="258"/>
    </w:pPr>
    <w:rPr>
      <w:sz w:val="24"/>
      <w:szCs w:val="24"/>
    </w:rPr>
  </w:style>
  <w:style w:type="paragraph" w:styleId="a4">
    <w:name w:val="Balloon Text"/>
    <w:basedOn w:val="a"/>
    <w:link w:val="Char"/>
    <w:rsid w:val="000A1662"/>
    <w:rPr>
      <w:sz w:val="18"/>
      <w:szCs w:val="18"/>
    </w:rPr>
  </w:style>
  <w:style w:type="paragraph" w:styleId="a5">
    <w:name w:val="footer"/>
    <w:basedOn w:val="a"/>
    <w:link w:val="Char0"/>
    <w:qFormat/>
    <w:rsid w:val="000A1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0A1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qFormat/>
    <w:rsid w:val="000A1662"/>
    <w:rPr>
      <w:color w:val="CC0033"/>
    </w:rPr>
  </w:style>
  <w:style w:type="table" w:styleId="a8">
    <w:name w:val="Table Grid"/>
    <w:basedOn w:val="a1"/>
    <w:qFormat/>
    <w:rsid w:val="000A16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文档正文"/>
    <w:basedOn w:val="a"/>
    <w:qFormat/>
    <w:rsid w:val="000A1662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kern w:val="0"/>
      <w:sz w:val="28"/>
    </w:rPr>
  </w:style>
  <w:style w:type="paragraph" w:customStyle="1" w:styleId="xl174">
    <w:name w:val="xl174"/>
    <w:basedOn w:val="a"/>
    <w:qFormat/>
    <w:rsid w:val="000A166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Arial Unicode MS" w:hint="eastAsia"/>
      <w:b/>
      <w:bCs/>
      <w:kern w:val="0"/>
      <w:sz w:val="24"/>
      <w:szCs w:val="24"/>
    </w:rPr>
  </w:style>
  <w:style w:type="paragraph" w:customStyle="1" w:styleId="1">
    <w:name w:val="列出段落1"/>
    <w:basedOn w:val="a"/>
    <w:uiPriority w:val="99"/>
    <w:unhideWhenUsed/>
    <w:qFormat/>
    <w:rsid w:val="000A1662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0A1662"/>
    <w:pPr>
      <w:spacing w:before="73"/>
    </w:pPr>
  </w:style>
  <w:style w:type="character" w:customStyle="1" w:styleId="Char1">
    <w:name w:val="页眉 Char"/>
    <w:basedOn w:val="a0"/>
    <w:link w:val="a6"/>
    <w:qFormat/>
    <w:rsid w:val="000A1662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0A1662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rsid w:val="000A166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707</Words>
  <Characters>4032</Characters>
  <Application>Microsoft Office Word</Application>
  <DocSecurity>0</DocSecurity>
  <Lines>33</Lines>
  <Paragraphs>9</Paragraphs>
  <ScaleCrop>false</ScaleCrop>
  <Company>Microsoft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江苏索普化工股份有限公司</dc:title>
  <dc:creator>Administrator.BV88XMLU2OSR5FZ</dc:creator>
  <cp:lastModifiedBy>王鑫</cp:lastModifiedBy>
  <cp:revision>5</cp:revision>
  <dcterms:created xsi:type="dcterms:W3CDTF">2022-11-07T03:18:00Z</dcterms:created>
  <dcterms:modified xsi:type="dcterms:W3CDTF">2024-02-01T09:09:00Z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