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eastAsia="仿宋_GB2312" w:cs="仿宋_GB2312"/>
          <w:color w:val="auto"/>
          <w:sz w:val="28"/>
          <w:szCs w:val="28"/>
        </w:rPr>
      </w:pPr>
      <w:r>
        <w:rPr>
          <w:rFonts w:hint="eastAsia"/>
          <w:b/>
          <w:bCs/>
          <w:color w:val="auto"/>
          <w:sz w:val="44"/>
          <w:szCs w:val="44"/>
          <w:lang w:val="en-US" w:eastAsia="zh-CN"/>
        </w:rPr>
        <w:t>脱</w:t>
      </w:r>
      <w:r>
        <w:rPr>
          <w:rFonts w:hint="eastAsia"/>
          <w:b/>
          <w:bCs/>
          <w:color w:val="auto"/>
          <w:sz w:val="44"/>
          <w:szCs w:val="44"/>
        </w:rPr>
        <w:t>盐水药剂及相关</w:t>
      </w:r>
      <w:r>
        <w:rPr>
          <w:rFonts w:hint="eastAsia"/>
          <w:b/>
          <w:bCs/>
          <w:color w:val="auto"/>
          <w:sz w:val="44"/>
          <w:szCs w:val="44"/>
          <w:lang w:val="en-US" w:eastAsia="zh-CN"/>
        </w:rPr>
        <w:t>服务</w:t>
      </w:r>
      <w:r>
        <w:rPr>
          <w:rFonts w:hint="eastAsia"/>
          <w:b/>
          <w:bCs/>
          <w:color w:val="auto"/>
          <w:sz w:val="44"/>
          <w:szCs w:val="44"/>
        </w:rPr>
        <w:t>技术文件</w:t>
      </w:r>
    </w:p>
    <w:p>
      <w:pPr>
        <w:pStyle w:val="3"/>
        <w:spacing w:before="0" w:after="0" w:line="240" w:lineRule="auto"/>
        <w:rPr>
          <w:rFonts w:ascii="仿宋_GB2312" w:hAnsi="仿宋_GB2312" w:eastAsia="仿宋_GB2312" w:cs="仿宋_GB2312"/>
          <w:kern w:val="0"/>
          <w:sz w:val="24"/>
          <w:szCs w:val="24"/>
        </w:rPr>
      </w:pPr>
      <w:bookmarkStart w:id="0" w:name="_Toc467843636"/>
      <w:r>
        <w:rPr>
          <w:rFonts w:hint="eastAsia" w:ascii="仿宋_GB2312" w:hAnsi="仿宋_GB2312" w:eastAsia="仿宋_GB2312" w:cs="仿宋_GB2312"/>
          <w:kern w:val="0"/>
          <w:sz w:val="24"/>
          <w:szCs w:val="24"/>
        </w:rPr>
        <w:t>1.1 总的要求</w:t>
      </w:r>
      <w:bookmarkEnd w:id="0"/>
    </w:p>
    <w:p>
      <w:pPr>
        <w:rPr>
          <w:rFonts w:hint="eastAsia"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1.1.1 本技术规范书适用于江苏索普化工股份有限公司热电厂</w:t>
      </w:r>
      <w:r>
        <w:rPr>
          <w:rFonts w:hint="eastAsia" w:ascii="仿宋_GB2312" w:hAnsi="仿宋_GB2312" w:eastAsia="仿宋_GB2312" w:cs="仿宋_GB2312"/>
          <w:bCs/>
          <w:color w:val="auto"/>
          <w:kern w:val="44"/>
          <w:sz w:val="24"/>
        </w:rPr>
        <w:t>除盐水系统药剂及相关</w:t>
      </w:r>
      <w:r>
        <w:rPr>
          <w:rFonts w:hint="eastAsia" w:ascii="仿宋_GB2312" w:hAnsi="仿宋_GB2312" w:eastAsia="仿宋_GB2312" w:cs="仿宋_GB2312"/>
          <w:bCs/>
          <w:color w:val="auto"/>
          <w:kern w:val="44"/>
          <w:sz w:val="24"/>
          <w:lang w:val="en-US" w:eastAsia="zh-CN"/>
        </w:rPr>
        <w:t>服务</w:t>
      </w:r>
      <w:r>
        <w:rPr>
          <w:rFonts w:hint="eastAsia" w:ascii="仿宋_GB2312" w:hAnsi="仿宋_GB2312" w:eastAsia="仿宋_GB2312" w:cs="仿宋_GB2312"/>
          <w:bCs/>
          <w:color w:val="auto"/>
          <w:kern w:val="44"/>
          <w:sz w:val="24"/>
        </w:rPr>
        <w:t>总包项目对“药剂供货”的质量、标准、检验等方面的技术要求。</w:t>
      </w:r>
    </w:p>
    <w:p>
      <w:pPr>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1.1.2 本技术规范书所提出的是最低限度的技术要求，并未对一切技术细节做出规定，也未充分引述有关标准和规范的条文，投标人应保证提供符合本规范书和现行工业标准的优质产品，有矛盾时，按较高标准执行。</w:t>
      </w:r>
    </w:p>
    <w:p>
      <w:pPr>
        <w:autoSpaceDE w:val="0"/>
        <w:autoSpaceDN w:val="0"/>
        <w:jc w:val="left"/>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1.1.3 投标人所提供的产品如果为原装进口产品，必须出具相关证明文件。</w:t>
      </w:r>
    </w:p>
    <w:p>
      <w:pPr>
        <w:autoSpaceDE w:val="0"/>
        <w:autoSpaceDN w:val="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1.1.4 如果投标人没有以书面方式对本技术规范书的条文提出异议，招标人将认为投标人提出的产品完全符合本技术规范书的要求。偏离（无论多少）必须清楚地表示在投标文件中的“偏离表”中。</w:t>
      </w:r>
    </w:p>
    <w:p>
      <w:pPr>
        <w:autoSpaceDE w:val="0"/>
        <w:autoSpaceDN w:val="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1.1.5</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投标人应有严格的质量保证体系保证提供的产品符合安全、健康、环保标准的强制性要求，能适应项目所在地环境条件。投标人提供的产品应保证符合招标人贯彻安全、健康、环保标准的要求。</w:t>
      </w:r>
    </w:p>
    <w:p>
      <w:pPr>
        <w:pStyle w:val="3"/>
        <w:spacing w:before="0" w:after="0" w:line="240" w:lineRule="auto"/>
        <w:rPr>
          <w:rFonts w:ascii="仿宋_GB2312" w:hAnsi="仿宋_GB2312" w:eastAsia="仿宋_GB2312" w:cs="仿宋_GB2312"/>
          <w:kern w:val="0"/>
          <w:sz w:val="24"/>
          <w:szCs w:val="24"/>
        </w:rPr>
      </w:pPr>
      <w:bookmarkStart w:id="1" w:name="_Toc467843637"/>
      <w:r>
        <w:rPr>
          <w:rFonts w:hint="eastAsia" w:ascii="仿宋_GB2312" w:hAnsi="仿宋_GB2312" w:eastAsia="仿宋_GB2312" w:cs="仿宋_GB2312"/>
          <w:kern w:val="0"/>
          <w:sz w:val="24"/>
          <w:szCs w:val="24"/>
        </w:rPr>
        <w:t>1.2 工程概述</w:t>
      </w:r>
      <w:bookmarkEnd w:id="1"/>
    </w:p>
    <w:p>
      <w:pPr>
        <w:outlineLvl w:val="2"/>
        <w:rPr>
          <w:rFonts w:hint="eastAsia" w:ascii="仿宋_GB2312" w:hAnsi="仿宋_GB2312" w:eastAsia="仿宋_GB2312" w:cs="仿宋_GB2312"/>
          <w:b/>
          <w:bCs/>
          <w:color w:val="auto"/>
          <w:kern w:val="44"/>
          <w:sz w:val="24"/>
        </w:rPr>
      </w:pPr>
      <w:r>
        <w:rPr>
          <w:rFonts w:hint="eastAsia" w:ascii="仿宋_GB2312" w:hAnsi="仿宋_GB2312" w:eastAsia="仿宋_GB2312" w:cs="仿宋_GB2312"/>
          <w:b/>
          <w:bCs/>
          <w:color w:val="auto"/>
          <w:kern w:val="44"/>
          <w:sz w:val="24"/>
        </w:rPr>
        <w:t>1.2.1 工艺流程</w:t>
      </w:r>
    </w:p>
    <w:p>
      <w:pPr>
        <w:ind w:firstLine="482" w:firstLineChars="200"/>
        <w:outlineLvl w:val="2"/>
        <w:rPr>
          <w:rFonts w:hint="default" w:ascii="仿宋_GB2312" w:hAnsi="仿宋_GB2312" w:eastAsia="仿宋_GB2312" w:cs="仿宋_GB2312"/>
          <w:b/>
          <w:bCs/>
          <w:color w:val="auto"/>
          <w:kern w:val="44"/>
          <w:sz w:val="24"/>
          <w:lang w:val="en-US" w:eastAsia="zh-CN"/>
        </w:rPr>
      </w:pPr>
      <w:r>
        <w:rPr>
          <w:rFonts w:hint="eastAsia" w:ascii="仿宋_GB2312" w:hAnsi="仿宋_GB2312" w:eastAsia="仿宋_GB2312" w:cs="仿宋_GB2312"/>
          <w:b/>
          <w:bCs/>
          <w:color w:val="auto"/>
          <w:kern w:val="44"/>
          <w:sz w:val="24"/>
          <w:lang w:val="en-US" w:eastAsia="zh-CN"/>
        </w:rPr>
        <w:t>流程1：</w:t>
      </w:r>
    </w:p>
    <w:p>
      <w:pPr>
        <w:widowControl/>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水箱</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原水泵</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多介质过滤器</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非氧化杀菌剂</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活性炭过滤器</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还原剂、阻垢剂</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lang w:eastAsia="zh-CN"/>
        </w:rPr>
        <w:t>高温</w:t>
      </w:r>
      <w:r>
        <w:rPr>
          <w:rFonts w:hint="eastAsia" w:ascii="仿宋_GB2312" w:hAnsi="仿宋_GB2312" w:eastAsia="仿宋_GB2312" w:cs="仿宋_GB2312"/>
          <w:color w:val="auto"/>
          <w:sz w:val="24"/>
        </w:rPr>
        <w:t>过滤器</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高压泵</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级反渗透装置</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脱碳器</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混床</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除盐水箱</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除盐水泵</w:t>
      </w:r>
      <w:r>
        <w:rPr>
          <w:rFonts w:hint="eastAsia" w:ascii="仿宋_GB2312" w:hAnsi="仿宋_GB2312" w:eastAsia="仿宋_GB2312" w:cs="仿宋_GB2312"/>
          <w:color w:val="auto"/>
          <w:sz w:val="24"/>
          <w:lang w:val="en-US" w:eastAsia="zh-CN"/>
        </w:rPr>
        <w:t>→用户</w:t>
      </w:r>
    </w:p>
    <w:p>
      <w:pPr>
        <w:ind w:firstLine="482" w:firstLineChars="200"/>
        <w:outlineLvl w:val="2"/>
        <w:rPr>
          <w:rFonts w:hint="default" w:ascii="仿宋_GB2312" w:hAnsi="仿宋_GB2312" w:eastAsia="仿宋_GB2312" w:cs="仿宋_GB2312"/>
          <w:b/>
          <w:bCs/>
          <w:color w:val="auto"/>
          <w:kern w:val="44"/>
          <w:sz w:val="24"/>
          <w:lang w:val="en-US" w:eastAsia="zh-CN"/>
        </w:rPr>
      </w:pPr>
      <w:r>
        <w:rPr>
          <w:rFonts w:hint="eastAsia" w:ascii="仿宋_GB2312" w:hAnsi="仿宋_GB2312" w:eastAsia="仿宋_GB2312" w:cs="仿宋_GB2312"/>
          <w:b/>
          <w:bCs/>
          <w:color w:val="auto"/>
          <w:kern w:val="44"/>
          <w:sz w:val="24"/>
          <w:lang w:val="en-US" w:eastAsia="zh-CN"/>
        </w:rPr>
        <w:t>流程2：</w:t>
      </w:r>
    </w:p>
    <w:p>
      <w:pPr>
        <w:widowControl/>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原水→超滤原水箱→超滤原水泵→超滤膜装置→超滤产水罐→一级RO给水泵→保安过滤器→高压泵→一级RO装置→除碳器→一级RO产水池→二级RO给水泵→保安过滤器→二级RO高压泵→二级RO装置→二级RO产水箱→EDI给水泵→除盐水箱→除盐水泵→用户。</w:t>
      </w:r>
    </w:p>
    <w:p>
      <w:pPr>
        <w:outlineLvl w:val="2"/>
        <w:rPr>
          <w:rFonts w:ascii="仿宋_GB2312" w:hAnsi="仿宋_GB2312" w:eastAsia="仿宋_GB2312" w:cs="仿宋_GB2312"/>
          <w:b/>
          <w:bCs/>
          <w:color w:val="auto"/>
          <w:kern w:val="44"/>
          <w:sz w:val="24"/>
        </w:rPr>
      </w:pPr>
      <w:r>
        <w:rPr>
          <w:rFonts w:hint="eastAsia" w:ascii="仿宋_GB2312" w:hAnsi="仿宋_GB2312" w:eastAsia="仿宋_GB2312" w:cs="仿宋_GB2312"/>
          <w:b/>
          <w:bCs/>
          <w:color w:val="auto"/>
          <w:kern w:val="44"/>
          <w:sz w:val="24"/>
        </w:rPr>
        <w:t>1.2.</w:t>
      </w:r>
      <w:r>
        <w:rPr>
          <w:rFonts w:hint="eastAsia" w:ascii="仿宋_GB2312" w:hAnsi="仿宋_GB2312" w:eastAsia="仿宋_GB2312" w:cs="仿宋_GB2312"/>
          <w:b/>
          <w:bCs/>
          <w:color w:val="auto"/>
          <w:kern w:val="44"/>
          <w:sz w:val="24"/>
          <w:lang w:val="en-US" w:eastAsia="zh-CN"/>
        </w:rPr>
        <w:t>2</w:t>
      </w:r>
      <w:r>
        <w:rPr>
          <w:rFonts w:hint="eastAsia" w:ascii="仿宋_GB2312" w:hAnsi="仿宋_GB2312" w:eastAsia="仿宋_GB2312" w:cs="仿宋_GB2312"/>
          <w:b/>
          <w:bCs/>
          <w:color w:val="auto"/>
          <w:kern w:val="44"/>
          <w:sz w:val="24"/>
        </w:rPr>
        <w:t xml:space="preserve"> 原水水质</w:t>
      </w:r>
    </w:p>
    <w:p>
      <w:pPr>
        <w:ind w:firstLine="480" w:firstLineChars="200"/>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投标方自行现场勘查检测。</w:t>
      </w:r>
    </w:p>
    <w:p>
      <w:pPr>
        <w:outlineLvl w:val="2"/>
        <w:rPr>
          <w:rFonts w:ascii="仿宋_GB2312" w:hAnsi="仿宋_GB2312" w:eastAsia="仿宋_GB2312" w:cs="仿宋_GB2312"/>
          <w:b/>
          <w:bCs/>
          <w:color w:val="auto"/>
          <w:kern w:val="44"/>
          <w:sz w:val="24"/>
        </w:rPr>
      </w:pPr>
      <w:bookmarkStart w:id="2" w:name="_Toc467843638"/>
      <w:r>
        <w:rPr>
          <w:rFonts w:hint="eastAsia" w:ascii="仿宋_GB2312" w:hAnsi="仿宋_GB2312" w:eastAsia="仿宋_GB2312" w:cs="仿宋_GB2312"/>
          <w:b/>
          <w:bCs/>
          <w:color w:val="auto"/>
          <w:kern w:val="44"/>
          <w:sz w:val="24"/>
        </w:rPr>
        <w:t>1.2.</w:t>
      </w:r>
      <w:r>
        <w:rPr>
          <w:rFonts w:hint="eastAsia" w:ascii="仿宋_GB2312" w:hAnsi="仿宋_GB2312" w:eastAsia="仿宋_GB2312" w:cs="仿宋_GB2312"/>
          <w:b/>
          <w:bCs/>
          <w:color w:val="auto"/>
          <w:kern w:val="44"/>
          <w:sz w:val="24"/>
          <w:lang w:val="en-US" w:eastAsia="zh-CN"/>
        </w:rPr>
        <w:t>3</w:t>
      </w:r>
      <w:r>
        <w:rPr>
          <w:rFonts w:hint="eastAsia" w:ascii="仿宋_GB2312" w:hAnsi="仿宋_GB2312" w:eastAsia="仿宋_GB2312" w:cs="仿宋_GB2312"/>
          <w:b/>
          <w:bCs/>
          <w:color w:val="auto"/>
          <w:kern w:val="44"/>
          <w:sz w:val="24"/>
        </w:rPr>
        <w:t xml:space="preserve"> </w:t>
      </w:r>
      <w:r>
        <w:rPr>
          <w:rFonts w:hint="eastAsia" w:ascii="仿宋_GB2312" w:hAnsi="仿宋_GB2312" w:eastAsia="仿宋_GB2312" w:cs="仿宋_GB2312"/>
          <w:b/>
          <w:bCs/>
          <w:color w:val="auto"/>
          <w:kern w:val="44"/>
          <w:sz w:val="24"/>
          <w:lang w:val="en-US" w:eastAsia="zh-CN"/>
        </w:rPr>
        <w:t>相关运行</w:t>
      </w:r>
      <w:r>
        <w:rPr>
          <w:rFonts w:hint="eastAsia" w:ascii="仿宋_GB2312" w:hAnsi="仿宋_GB2312" w:eastAsia="仿宋_GB2312" w:cs="仿宋_GB2312"/>
          <w:b/>
          <w:bCs/>
          <w:color w:val="auto"/>
          <w:kern w:val="44"/>
          <w:sz w:val="24"/>
        </w:rPr>
        <w:t>指标</w:t>
      </w:r>
    </w:p>
    <w:tbl>
      <w:tblPr>
        <w:tblStyle w:val="4"/>
        <w:tblW w:w="8123" w:type="dxa"/>
        <w:jc w:val="center"/>
        <w:tblLayout w:type="fixed"/>
        <w:tblCellMar>
          <w:top w:w="0" w:type="dxa"/>
          <w:left w:w="0" w:type="dxa"/>
          <w:bottom w:w="0" w:type="dxa"/>
          <w:right w:w="0" w:type="dxa"/>
        </w:tblCellMar>
      </w:tblPr>
      <w:tblGrid>
        <w:gridCol w:w="978"/>
        <w:gridCol w:w="3737"/>
        <w:gridCol w:w="1425"/>
        <w:gridCol w:w="1983"/>
      </w:tblGrid>
      <w:tr>
        <w:tblPrEx>
          <w:tblCellMar>
            <w:top w:w="0" w:type="dxa"/>
            <w:left w:w="0" w:type="dxa"/>
            <w:bottom w:w="0" w:type="dxa"/>
            <w:right w:w="0" w:type="dxa"/>
          </w:tblCellMar>
        </w:tblPrEx>
        <w:trPr>
          <w:cantSplit/>
          <w:trHeight w:val="23" w:hRule="atLeast"/>
          <w:tblHeader/>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序号</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名  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单位</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标准范围</w:t>
            </w:r>
          </w:p>
        </w:tc>
      </w:tr>
      <w:tr>
        <w:tblPrEx>
          <w:tblCellMar>
            <w:top w:w="0" w:type="dxa"/>
            <w:left w:w="0" w:type="dxa"/>
            <w:bottom w:w="0" w:type="dxa"/>
            <w:right w:w="0" w:type="dxa"/>
          </w:tblCellMar>
        </w:tblPrEx>
        <w:trPr>
          <w:cantSplit/>
          <w:trHeight w:val="23" w:hRule="atLeast"/>
          <w:jc w:val="center"/>
        </w:trPr>
        <w:tc>
          <w:tcPr>
            <w:tcW w:w="81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Ⅰ期：</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1</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活性炭过滤器产水余氯</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mg/L</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≤0.1</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2</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混床产水硅根</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ug/L</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≤20</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3</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混床产水电导率</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μs/cm</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≤0.2</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4</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反渗透产水电导率</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μs/cm</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≤50</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5</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反渗透进水温度</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25～30</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6</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混床产水电导率</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μs/cm</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≤0.2</w:t>
            </w:r>
          </w:p>
        </w:tc>
      </w:tr>
      <w:tr>
        <w:tblPrEx>
          <w:tblCellMar>
            <w:top w:w="0" w:type="dxa"/>
            <w:left w:w="0" w:type="dxa"/>
            <w:bottom w:w="0" w:type="dxa"/>
            <w:right w:w="0" w:type="dxa"/>
          </w:tblCellMar>
        </w:tblPrEx>
        <w:trPr>
          <w:cantSplit/>
          <w:trHeight w:val="23" w:hRule="atLeast"/>
          <w:jc w:val="center"/>
        </w:trPr>
        <w:tc>
          <w:tcPr>
            <w:tcW w:w="81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Ⅱ</w:t>
            </w:r>
            <w:r>
              <w:rPr>
                <w:rFonts w:hint="eastAsia" w:ascii="仿宋_GB2312" w:hAnsi="仿宋_GB2312" w:eastAsia="仿宋_GB2312" w:cs="仿宋_GB2312"/>
                <w:bCs/>
                <w:color w:val="auto"/>
                <w:kern w:val="44"/>
                <w:sz w:val="24"/>
                <w:lang w:val="en-US" w:eastAsia="zh-CN"/>
              </w:rPr>
              <w:t>期：</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1</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超滤运行压差</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MPa</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＜0.1～</w:t>
            </w:r>
            <w:r>
              <w:rPr>
                <w:rFonts w:hint="eastAsia" w:ascii="仿宋_GB2312" w:hAnsi="仿宋_GB2312" w:eastAsia="仿宋_GB2312" w:cs="仿宋_GB2312"/>
                <w:bCs/>
                <w:color w:val="auto"/>
                <w:kern w:val="44"/>
                <w:sz w:val="24"/>
                <w:lang w:val="en-US" w:eastAsia="zh-CN"/>
              </w:rPr>
              <w:t>0.15</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2</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一级反渗透产水电导率</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μs/cm</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w:t>
            </w:r>
            <w:r>
              <w:rPr>
                <w:rFonts w:hint="eastAsia" w:ascii="仿宋_GB2312" w:hAnsi="仿宋_GB2312" w:eastAsia="仿宋_GB2312" w:cs="仿宋_GB2312"/>
                <w:bCs/>
                <w:color w:val="auto"/>
                <w:kern w:val="44"/>
                <w:sz w:val="24"/>
                <w:lang w:val="en-US" w:eastAsia="zh-CN"/>
              </w:rPr>
              <w:t>200</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3</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二级反渗透产水电导率</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μs/cm</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≤50</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4</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EDI产水电导率</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us/cm</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≤0.2</w:t>
            </w:r>
          </w:p>
        </w:tc>
      </w:tr>
      <w:tr>
        <w:tblPrEx>
          <w:tblCellMar>
            <w:top w:w="0" w:type="dxa"/>
            <w:left w:w="0" w:type="dxa"/>
            <w:bottom w:w="0" w:type="dxa"/>
            <w:right w:w="0" w:type="dxa"/>
          </w:tblCellMar>
        </w:tblPrEx>
        <w:trPr>
          <w:cantSplit/>
          <w:trHeight w:val="23"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5</w:t>
            </w:r>
          </w:p>
        </w:tc>
        <w:tc>
          <w:tcPr>
            <w:tcW w:w="3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EDI产水二氧化硅</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ug/</w:t>
            </w:r>
            <w:r>
              <w:rPr>
                <w:rFonts w:hint="eastAsia" w:ascii="仿宋_GB2312" w:hAnsi="仿宋_GB2312" w:eastAsia="仿宋_GB2312" w:cs="仿宋_GB2312"/>
                <w:bCs/>
                <w:color w:val="auto"/>
                <w:kern w:val="44"/>
                <w:sz w:val="24"/>
                <w:lang w:val="en-US" w:eastAsia="zh-CN"/>
              </w:rPr>
              <w:t>L</w:t>
            </w:r>
          </w:p>
        </w:tc>
        <w:tc>
          <w:tcPr>
            <w:tcW w:w="19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bCs/>
                <w:color w:val="auto"/>
                <w:kern w:val="44"/>
                <w:sz w:val="24"/>
                <w:lang w:val="en-US" w:eastAsia="zh-CN"/>
              </w:rPr>
            </w:pPr>
            <w:r>
              <w:rPr>
                <w:rFonts w:hint="eastAsia" w:ascii="仿宋_GB2312" w:hAnsi="仿宋_GB2312" w:eastAsia="仿宋_GB2312" w:cs="仿宋_GB2312"/>
                <w:bCs/>
                <w:color w:val="auto"/>
                <w:kern w:val="44"/>
                <w:sz w:val="24"/>
                <w:lang w:val="en-US" w:eastAsia="zh-CN"/>
              </w:rPr>
              <w:t>≤</w:t>
            </w:r>
            <w:r>
              <w:rPr>
                <w:rFonts w:hint="eastAsia" w:ascii="仿宋_GB2312" w:hAnsi="仿宋_GB2312" w:eastAsia="仿宋_GB2312" w:cs="仿宋_GB2312"/>
                <w:bCs/>
                <w:color w:val="auto"/>
                <w:kern w:val="44"/>
                <w:sz w:val="24"/>
                <w:lang w:val="en-US" w:eastAsia="zh-CN"/>
              </w:rPr>
              <w:t>20</w:t>
            </w:r>
          </w:p>
        </w:tc>
      </w:tr>
    </w:tbl>
    <w:p>
      <w:pPr>
        <w:outlineLvl w:val="2"/>
        <w:rPr>
          <w:rFonts w:ascii="黑体" w:hAnsi="黑体" w:eastAsia="黑体"/>
          <w:b/>
          <w:bCs/>
          <w:color w:val="auto"/>
          <w:kern w:val="44"/>
          <w:sz w:val="22"/>
        </w:rPr>
      </w:pPr>
    </w:p>
    <w:p>
      <w:pPr>
        <w:outlineLvl w:val="2"/>
        <w:rPr>
          <w:rFonts w:ascii="黑体" w:hAnsi="黑体" w:eastAsia="黑体"/>
          <w:b/>
          <w:bCs/>
          <w:color w:val="auto"/>
          <w:kern w:val="44"/>
          <w:sz w:val="22"/>
        </w:rPr>
      </w:pPr>
    </w:p>
    <w:p>
      <w:pPr>
        <w:pStyle w:val="3"/>
        <w:spacing w:before="0" w:after="0" w:line="240"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1.3药剂技术要求</w:t>
      </w:r>
      <w:bookmarkEnd w:id="2"/>
    </w:p>
    <w:p>
      <w:pPr>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1.3.1 投标人按照本技术规范书的要求及国家相应产品规范供货。</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1.3.2投标人所提供的药剂质量必须保持连续稳定，中途有任何变化之前必须得到招标人认可。如果不按此项执行，招标人有权利立即</w:t>
      </w:r>
      <w:r>
        <w:rPr>
          <w:rFonts w:hint="eastAsia" w:ascii="仿宋_GB2312" w:hAnsi="仿宋_GB2312" w:eastAsia="仿宋_GB2312" w:cs="仿宋_GB2312"/>
          <w:color w:val="auto"/>
          <w:sz w:val="24"/>
          <w:lang w:eastAsia="zh-CN"/>
        </w:rPr>
        <w:t>终止</w:t>
      </w:r>
      <w:r>
        <w:rPr>
          <w:rFonts w:hint="eastAsia" w:ascii="仿宋_GB2312" w:hAnsi="仿宋_GB2312" w:eastAsia="仿宋_GB2312" w:cs="仿宋_GB2312"/>
          <w:color w:val="auto"/>
          <w:sz w:val="24"/>
        </w:rPr>
        <w:t>合同并要求投标人进行经济补偿。</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1.3.3投标人所提供的次氯酸钠、柠檬酸、反渗透膜阻垢剂、非氧化杀菌剂、清洗药剂应符合相关的国家标准、行业标准、企业标准。若有新标准、自动替代；为了保证生产系统稳定性，药剂需是正规、知名品牌产品。</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1.3.4 投标人需安排专门技术人员</w:t>
      </w:r>
      <w:r>
        <w:rPr>
          <w:rFonts w:hint="eastAsia" w:ascii="仿宋_GB2312" w:hAnsi="仿宋_GB2312" w:eastAsia="仿宋_GB2312" w:cs="仿宋_GB2312"/>
          <w:color w:val="auto"/>
          <w:sz w:val="24"/>
          <w:lang w:val="en-US" w:eastAsia="zh-CN"/>
        </w:rPr>
        <w:t>驻厂</w:t>
      </w:r>
      <w:r>
        <w:rPr>
          <w:rFonts w:hint="eastAsia" w:ascii="仿宋_GB2312" w:hAnsi="仿宋_GB2312" w:eastAsia="仿宋_GB2312" w:cs="仿宋_GB2312"/>
          <w:color w:val="auto"/>
          <w:sz w:val="24"/>
        </w:rPr>
        <w:t>进行加药，保证系统加药系统不间断，生产装置不受影响。</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1.3.5 投标人所提供的次氯酸钠性能要求：</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1）液体状，有效氯含量1</w:t>
      </w:r>
      <w:r>
        <w:rPr>
          <w:rFonts w:ascii="仿宋_GB2312" w:hAnsi="仿宋_GB2312" w:eastAsia="仿宋_GB2312" w:cs="仿宋_GB2312"/>
          <w:color w:val="auto"/>
          <w:sz w:val="24"/>
        </w:rPr>
        <w:t>0%</w:t>
      </w:r>
      <w:r>
        <w:rPr>
          <w:rFonts w:hint="eastAsia" w:ascii="仿宋_GB2312" w:hAnsi="仿宋_GB2312" w:eastAsia="仿宋_GB2312" w:cs="仿宋_GB2312"/>
          <w:color w:val="auto"/>
          <w:sz w:val="24"/>
        </w:rPr>
        <w:t>；</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r>
        <w:rPr>
          <w:rFonts w:ascii="仿宋_GB2312" w:hAnsi="仿宋_GB2312" w:eastAsia="仿宋_GB2312" w:cs="仿宋_GB2312"/>
          <w:color w:val="auto"/>
          <w:sz w:val="24"/>
        </w:rPr>
        <w:t>6</w:t>
      </w:r>
      <w:r>
        <w:rPr>
          <w:rFonts w:hint="eastAsia" w:ascii="仿宋_GB2312" w:hAnsi="仿宋_GB2312" w:eastAsia="仿宋_GB2312" w:cs="仿宋_GB2312"/>
          <w:color w:val="auto"/>
          <w:sz w:val="24"/>
        </w:rPr>
        <w:t xml:space="preserve"> 投标人所提供的工业级柠檬酸性能要求：</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1）为无色结晶或白色颗粒状；</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2）有效含量为</w:t>
      </w:r>
      <w:r>
        <w:rPr>
          <w:rFonts w:hint="eastAsia" w:ascii="仿宋_GB2312" w:hAnsi="仿宋_GB2312" w:eastAsia="仿宋_GB2312" w:cs="仿宋_GB2312"/>
          <w:color w:val="auto"/>
          <w:sz w:val="24"/>
          <w:lang w:eastAsia="zh-CN"/>
        </w:rPr>
        <w:t>99.5%—100.5%</w:t>
      </w:r>
      <w:r>
        <w:rPr>
          <w:rFonts w:hint="eastAsia" w:ascii="仿宋_GB2312" w:hAnsi="仿宋_GB2312" w:eastAsia="仿宋_GB2312" w:cs="仿宋_GB2312"/>
          <w:color w:val="auto"/>
          <w:sz w:val="24"/>
        </w:rPr>
        <w:t>；</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3</w:t>
      </w:r>
      <w:r>
        <w:rPr>
          <w:rFonts w:hint="eastAsia" w:ascii="仿宋_GB2312" w:hAnsi="仿宋_GB2312" w:eastAsia="仿宋_GB2312" w:cs="仿宋_GB2312"/>
          <w:color w:val="auto"/>
          <w:sz w:val="24"/>
        </w:rPr>
        <w:t>）氯化物含量≤</w:t>
      </w:r>
      <w:r>
        <w:rPr>
          <w:rFonts w:ascii="仿宋_GB2312" w:hAnsi="仿宋_GB2312" w:eastAsia="仿宋_GB2312" w:cs="仿宋_GB2312"/>
          <w:color w:val="auto"/>
          <w:sz w:val="24"/>
        </w:rPr>
        <w:t>0.005%</w:t>
      </w:r>
    </w:p>
    <w:p>
      <w:pPr>
        <w:tabs>
          <w:tab w:val="left" w:pos="2743"/>
        </w:tabs>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4</w:t>
      </w:r>
      <w:r>
        <w:rPr>
          <w:rFonts w:hint="eastAsia" w:ascii="仿宋_GB2312" w:hAnsi="仿宋_GB2312" w:eastAsia="仿宋_GB2312" w:cs="仿宋_GB2312"/>
          <w:color w:val="auto"/>
          <w:sz w:val="24"/>
        </w:rPr>
        <w:t>）水不溶物≤</w:t>
      </w:r>
      <w:r>
        <w:rPr>
          <w:rFonts w:ascii="仿宋_GB2312" w:hAnsi="仿宋_GB2312" w:eastAsia="仿宋_GB2312" w:cs="仿宋_GB2312"/>
          <w:color w:val="auto"/>
          <w:sz w:val="24"/>
        </w:rPr>
        <w:t>0.01%</w:t>
      </w:r>
    </w:p>
    <w:p>
      <w:pPr>
        <w:rPr>
          <w:rFonts w:ascii="仿宋_GB2312" w:hAnsi="仿宋_GB2312" w:eastAsia="仿宋_GB2312" w:cs="仿宋_GB2312"/>
          <w:color w:val="auto"/>
          <w:sz w:val="24"/>
        </w:rPr>
      </w:pPr>
      <w:bookmarkStart w:id="3" w:name="_Hlk134169876"/>
      <w:r>
        <w:rPr>
          <w:rFonts w:hint="eastAsia" w:ascii="仿宋_GB2312" w:hAnsi="仿宋_GB2312" w:eastAsia="仿宋_GB2312" w:cs="仿宋_GB2312"/>
          <w:color w:val="auto"/>
          <w:sz w:val="24"/>
        </w:rPr>
        <w:t>1.3.</w:t>
      </w: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 xml:space="preserve"> 投标人所提供的反渗透膜阻垢剂性能要求：</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1）产品技术先进，性能稳定可靠、低磷；</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2）原液PH小于7，对碳酸钙浓水侧LSI达到+3.0；</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3）浓水侧二氧化硅含量达到250ppm以上；</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4）给水pH在较宽的范围内（5</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10）均有效；</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5）具有良好的兼容性（与原水水质及系统使用的其他药剂、RO膜等）</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6）符合国家卫生部关于安全环保方面的标准要求，并提供第三方检测证明文件；保证浓水排放总磷含量≤0.5mg/l。</w:t>
      </w:r>
    </w:p>
    <w:bookmarkEnd w:id="3"/>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r>
        <w:rPr>
          <w:rFonts w:ascii="仿宋_GB2312" w:hAnsi="仿宋_GB2312" w:eastAsia="仿宋_GB2312" w:cs="仿宋_GB2312"/>
          <w:color w:val="auto"/>
          <w:sz w:val="24"/>
        </w:rPr>
        <w:t>8</w:t>
      </w:r>
      <w:r>
        <w:rPr>
          <w:rFonts w:hint="eastAsia" w:ascii="仿宋_GB2312" w:hAnsi="仿宋_GB2312" w:eastAsia="仿宋_GB2312" w:cs="仿宋_GB2312"/>
          <w:color w:val="auto"/>
          <w:sz w:val="24"/>
        </w:rPr>
        <w:t>投标人所提供的杀菌剂性能要求：</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1）产品技术先进，性能稳定可靠；</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2）确保对反渗透膜无任何不良影响和损伤；</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3）与预处理工艺中投加的化学品及系统设备兼容，无凝聚、结晶、析出等可能造成反渗透膜污堵的情况发生； </w:t>
      </w:r>
    </w:p>
    <w:p>
      <w:pPr>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4）提供投标产品的第三方杀菌性能评价试验报告（包括与次氯酸钠和亚硫酸氢钠的配伍性能试验）；</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投标人所提供的药剂不得对膜及设备造成损害。如发现膜及设备因添加的药剂原因造成损害，招标人有权终止合同并要求</w:t>
      </w:r>
      <w:r>
        <w:rPr>
          <w:rFonts w:hint="eastAsia" w:ascii="仿宋_GB2312" w:hAnsi="仿宋_GB2312" w:eastAsia="仿宋_GB2312" w:cs="仿宋_GB2312"/>
          <w:color w:val="auto"/>
          <w:sz w:val="24"/>
          <w:lang w:eastAsia="zh-CN"/>
        </w:rPr>
        <w:t>作出</w:t>
      </w:r>
      <w:r>
        <w:rPr>
          <w:rFonts w:hint="eastAsia" w:ascii="仿宋_GB2312" w:hAnsi="仿宋_GB2312" w:eastAsia="仿宋_GB2312" w:cs="仿宋_GB2312"/>
          <w:color w:val="auto"/>
          <w:sz w:val="24"/>
        </w:rPr>
        <w:t>相应的赔偿；</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r>
        <w:rPr>
          <w:rFonts w:ascii="仿宋_GB2312" w:hAnsi="仿宋_GB2312" w:eastAsia="仿宋_GB2312" w:cs="仿宋_GB2312"/>
          <w:color w:val="auto"/>
          <w:sz w:val="24"/>
        </w:rPr>
        <w:t>10</w:t>
      </w:r>
      <w:r>
        <w:rPr>
          <w:rFonts w:hint="eastAsia" w:ascii="仿宋_GB2312" w:hAnsi="仿宋_GB2312" w:eastAsia="仿宋_GB2312" w:cs="仿宋_GB2312"/>
          <w:color w:val="auto"/>
          <w:sz w:val="24"/>
        </w:rPr>
        <w:t xml:space="preserve"> 投标人所提供的水处理方案及药剂必须保证招标人的RO系统产水量和脱盐率等运行参数符合设计要求，若达不到要求或因投标人方案原因引起装置停车招标人有权终止合同，并要求投标人</w:t>
      </w:r>
      <w:r>
        <w:rPr>
          <w:rFonts w:hint="eastAsia" w:ascii="仿宋_GB2312" w:hAnsi="仿宋_GB2312" w:eastAsia="仿宋_GB2312" w:cs="仿宋_GB2312"/>
          <w:color w:val="auto"/>
          <w:sz w:val="24"/>
          <w:lang w:eastAsia="zh-CN"/>
        </w:rPr>
        <w:t>作出</w:t>
      </w:r>
      <w:r>
        <w:rPr>
          <w:rFonts w:hint="eastAsia" w:ascii="仿宋_GB2312" w:hAnsi="仿宋_GB2312" w:eastAsia="仿宋_GB2312" w:cs="仿宋_GB2312"/>
          <w:color w:val="auto"/>
          <w:sz w:val="24"/>
        </w:rPr>
        <w:t>相应的赔偿；</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r>
        <w:rPr>
          <w:rFonts w:ascii="仿宋_GB2312" w:hAnsi="仿宋_GB2312" w:eastAsia="仿宋_GB2312" w:cs="仿宋_GB2312"/>
          <w:color w:val="auto"/>
          <w:sz w:val="24"/>
        </w:rPr>
        <w:t>11</w:t>
      </w:r>
      <w:r>
        <w:rPr>
          <w:rFonts w:hint="eastAsia" w:ascii="仿宋_GB2312" w:hAnsi="仿宋_GB2312" w:eastAsia="仿宋_GB2312" w:cs="仿宋_GB2312"/>
          <w:color w:val="auto"/>
          <w:sz w:val="24"/>
        </w:rPr>
        <w:t xml:space="preserve"> 投标人对所提供的药剂应针对本项目系统设计计算加药方案，提供加药计算书。</w:t>
      </w:r>
    </w:p>
    <w:p>
      <w:pPr>
        <w:pStyle w:val="3"/>
        <w:spacing w:before="0" w:after="0" w:line="240" w:lineRule="auto"/>
        <w:rPr>
          <w:rFonts w:ascii="仿宋_GB2312" w:hAnsi="仿宋_GB2312" w:eastAsia="仿宋_GB2312" w:cs="仿宋_GB2312"/>
          <w:kern w:val="0"/>
          <w:sz w:val="24"/>
          <w:szCs w:val="24"/>
        </w:rPr>
      </w:pPr>
      <w:bookmarkStart w:id="4" w:name="_Toc467843639"/>
      <w:r>
        <w:rPr>
          <w:rFonts w:hint="eastAsia" w:ascii="仿宋_GB2312" w:hAnsi="仿宋_GB2312" w:eastAsia="仿宋_GB2312" w:cs="仿宋_GB2312"/>
          <w:kern w:val="0"/>
          <w:sz w:val="24"/>
          <w:szCs w:val="24"/>
        </w:rPr>
        <w:t>1.4药剂的各项技术指标：</w:t>
      </w:r>
      <w:bookmarkEnd w:id="4"/>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1.4.1次氯酸钠</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化学成份或型号</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NaClO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形态</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液体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药品纯度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10%</w:t>
            </w:r>
            <w:r>
              <w:rPr>
                <w:rFonts w:hint="eastAsia" w:ascii="黑体" w:hAnsi="黑体" w:eastAsia="黑体"/>
                <w:color w:val="auto"/>
                <w:sz w:val="20"/>
                <w:szCs w:val="20"/>
              </w:rPr>
              <w:t>（有效氯含量）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25</w:t>
            </w:r>
            <w:r>
              <w:rPr>
                <w:rFonts w:hint="eastAsia" w:ascii="黑体" w:hAnsi="黑体" w:eastAsia="黑体"/>
                <w:color w:val="auto"/>
                <w:sz w:val="20"/>
                <w:szCs w:val="20"/>
              </w:rPr>
              <w:t>kg/桶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  </w:t>
            </w: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  </w:t>
            </w:r>
            <w:r>
              <w:rPr>
                <w:rFonts w:hint="eastAsia" w:ascii="黑体" w:hAnsi="黑体" w:eastAsia="黑体"/>
                <w:color w:val="auto"/>
                <w:sz w:val="20"/>
                <w:szCs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加 </w:t>
            </w:r>
            <w:r>
              <w:rPr>
                <w:rFonts w:hint="eastAsia" w:ascii="黑体" w:hAnsi="黑体" w:eastAsia="黑体"/>
                <w:color w:val="auto"/>
                <w:sz w:val="20"/>
                <w:szCs w:val="20"/>
              </w:rPr>
              <w:t xml:space="preserve">药 </w:t>
            </w:r>
            <w:r>
              <w:rPr>
                <w:rFonts w:hint="eastAsia" w:ascii="黑体" w:hAnsi="黑体" w:eastAsia="黑体"/>
                <w:color w:val="auto"/>
                <w:sz w:val="20"/>
                <w:szCs w:val="20"/>
              </w:rPr>
              <w:t>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3-5</w:t>
            </w:r>
            <w:r>
              <w:rPr>
                <w:rFonts w:hint="eastAsia" w:ascii="黑体" w:hAnsi="黑体" w:eastAsia="黑体"/>
                <w:color w:val="auto"/>
                <w:sz w:val="20"/>
                <w:szCs w:val="20"/>
              </w:rPr>
              <w:t>ppm</w:t>
            </w:r>
          </w:p>
        </w:tc>
      </w:tr>
    </w:tbl>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柠檬酸</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化学成份或型号</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柠檬酸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有效含量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lang w:eastAsia="zh-CN"/>
              </w:rPr>
              <w:t>99.5%—100.5%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形态</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无色结晶或白色颗粒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水不溶物</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氯化物含量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≤0.005%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25kg</w:t>
            </w:r>
            <w:r>
              <w:rPr>
                <w:rFonts w:hint="eastAsia" w:ascii="黑体" w:hAnsi="黑体" w:eastAsia="黑体"/>
                <w:color w:val="auto"/>
                <w:sz w:val="20"/>
                <w:szCs w:val="20"/>
              </w:rPr>
              <w:t>/袋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  </w:t>
            </w: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  </w:t>
            </w:r>
            <w:r>
              <w:rPr>
                <w:rFonts w:hint="eastAsia" w:ascii="黑体" w:hAnsi="黑体" w:eastAsia="黑体"/>
                <w:color w:val="auto"/>
                <w:sz w:val="20"/>
                <w:szCs w:val="20"/>
              </w:rPr>
              <w:t>30%</w:t>
            </w:r>
            <w:r>
              <w:rPr>
                <w:rFonts w:hint="eastAsia" w:ascii="黑体" w:hAnsi="黑体" w:eastAsia="黑体"/>
                <w:color w:val="auto"/>
                <w:sz w:val="20"/>
                <w:szCs w:val="20"/>
                <w:lang w:eastAsia="zh-CN"/>
              </w:rPr>
              <w:t>—</w:t>
            </w:r>
            <w:r>
              <w:rPr>
                <w:rFonts w:hint="eastAsia" w:ascii="黑体" w:hAnsi="黑体" w:eastAsia="黑体"/>
                <w:color w:val="auto"/>
                <w:sz w:val="20"/>
                <w:szCs w:val="20"/>
              </w:rPr>
              <w:t>50%</w:t>
            </w:r>
          </w:p>
        </w:tc>
      </w:tr>
    </w:tbl>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非氧化性杀菌剂</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化学成份或型号</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非氧化性杀菌剂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有效成分</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DBNPA</w:t>
            </w:r>
            <w:r>
              <w:rPr>
                <w:rFonts w:hint="eastAsia" w:ascii="黑体" w:hAnsi="黑体" w:eastAsia="黑体"/>
                <w:color w:val="auto"/>
                <w:sz w:val="20"/>
                <w:szCs w:val="20"/>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25</w:t>
            </w:r>
            <w:r>
              <w:rPr>
                <w:rFonts w:hint="eastAsia" w:ascii="黑体" w:hAnsi="黑体" w:eastAsia="黑体"/>
                <w:color w:val="auto"/>
                <w:sz w:val="20"/>
                <w:szCs w:val="20"/>
              </w:rPr>
              <w:t>kg/桶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  </w:t>
            </w: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  </w:t>
            </w:r>
            <w:r>
              <w:rPr>
                <w:rFonts w:hint="eastAsia" w:ascii="黑体" w:hAnsi="黑体" w:eastAsia="黑体"/>
                <w:color w:val="auto"/>
                <w:sz w:val="20"/>
                <w:szCs w:val="20"/>
              </w:rPr>
              <w:t>原液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投药方式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间歇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加 </w:t>
            </w:r>
            <w:r>
              <w:rPr>
                <w:rFonts w:hint="eastAsia" w:ascii="黑体" w:hAnsi="黑体" w:eastAsia="黑体"/>
                <w:color w:val="auto"/>
                <w:sz w:val="20"/>
                <w:szCs w:val="20"/>
              </w:rPr>
              <w:t xml:space="preserve">药 </w:t>
            </w:r>
            <w:r>
              <w:rPr>
                <w:rFonts w:hint="eastAsia" w:ascii="黑体" w:hAnsi="黑体" w:eastAsia="黑体"/>
                <w:color w:val="auto"/>
                <w:sz w:val="20"/>
                <w:szCs w:val="20"/>
              </w:rPr>
              <w:t>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20ppm</w:t>
            </w:r>
          </w:p>
        </w:tc>
      </w:tr>
    </w:tbl>
    <w:p>
      <w:pPr>
        <w:rPr>
          <w:rFonts w:ascii="黑体" w:hAnsi="黑体" w:eastAsia="黑体"/>
          <w:color w:val="auto"/>
          <w:sz w:val="20"/>
          <w:szCs w:val="20"/>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阻垢剂</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化学成份或型号</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阻垢剂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纯    </w:t>
            </w:r>
            <w:r>
              <w:rPr>
                <w:rFonts w:hint="eastAsia" w:ascii="黑体" w:hAnsi="黑体" w:eastAsia="黑体"/>
                <w:color w:val="auto"/>
                <w:sz w:val="20"/>
                <w:szCs w:val="20"/>
              </w:rPr>
              <w:t>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总磷含量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25</w:t>
            </w:r>
            <w:r>
              <w:rPr>
                <w:rFonts w:hint="eastAsia" w:ascii="黑体" w:hAnsi="黑体" w:eastAsia="黑体"/>
                <w:color w:val="auto"/>
                <w:sz w:val="20"/>
                <w:szCs w:val="20"/>
              </w:rPr>
              <w:t>kg/桶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投药方式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连续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加 </w:t>
            </w:r>
            <w:r>
              <w:rPr>
                <w:rFonts w:hint="eastAsia" w:ascii="黑体" w:hAnsi="黑体" w:eastAsia="黑体"/>
                <w:color w:val="auto"/>
                <w:sz w:val="20"/>
                <w:szCs w:val="20"/>
              </w:rPr>
              <w:t xml:space="preserve">药 </w:t>
            </w:r>
            <w:r>
              <w:rPr>
                <w:rFonts w:hint="eastAsia" w:ascii="黑体" w:hAnsi="黑体" w:eastAsia="黑体"/>
                <w:color w:val="auto"/>
                <w:sz w:val="20"/>
                <w:szCs w:val="20"/>
              </w:rPr>
              <w:t>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3-5ppm</w:t>
            </w:r>
          </w:p>
        </w:tc>
      </w:tr>
    </w:tbl>
    <w:p>
      <w:pPr>
        <w:rPr>
          <w:rFonts w:ascii="黑体" w:hAnsi="黑体" w:eastAsia="黑体"/>
          <w:color w:val="auto"/>
          <w:sz w:val="22"/>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碱性清洗剂</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清洗剂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纯    </w:t>
            </w:r>
            <w:r>
              <w:rPr>
                <w:rFonts w:hint="eastAsia" w:ascii="黑体" w:hAnsi="黑体" w:eastAsia="黑体"/>
                <w:color w:val="auto"/>
                <w:sz w:val="20"/>
                <w:szCs w:val="20"/>
              </w:rPr>
              <w:t>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25</w:t>
            </w:r>
            <w:r>
              <w:rPr>
                <w:rFonts w:hint="eastAsia" w:ascii="黑体" w:hAnsi="黑体" w:eastAsia="黑体"/>
                <w:color w:val="auto"/>
                <w:sz w:val="20"/>
                <w:szCs w:val="20"/>
              </w:rPr>
              <w:t>kg/桶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投药方式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清洗配制</w:t>
            </w:r>
          </w:p>
        </w:tc>
      </w:tr>
    </w:tbl>
    <w:p>
      <w:pPr>
        <w:rPr>
          <w:rFonts w:ascii="黑体" w:hAnsi="黑体" w:eastAsia="黑体"/>
          <w:color w:val="auto"/>
          <w:sz w:val="20"/>
          <w:szCs w:val="20"/>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r>
        <w:rPr>
          <w:rFonts w:ascii="仿宋_GB2312" w:hAnsi="仿宋_GB2312" w:eastAsia="仿宋_GB2312" w:cs="仿宋_GB2312"/>
          <w:color w:val="auto"/>
          <w:sz w:val="24"/>
        </w:rPr>
        <w:t>6</w:t>
      </w:r>
      <w:r>
        <w:rPr>
          <w:rFonts w:hint="eastAsia" w:ascii="仿宋_GB2312" w:hAnsi="仿宋_GB2312" w:eastAsia="仿宋_GB2312" w:cs="仿宋_GB2312"/>
          <w:color w:val="auto"/>
          <w:sz w:val="24"/>
        </w:rPr>
        <w:t>酸性清洗剂</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清洗剂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纯    </w:t>
            </w:r>
            <w:r>
              <w:rPr>
                <w:rFonts w:hint="eastAsia" w:ascii="黑体" w:hAnsi="黑体" w:eastAsia="黑体"/>
                <w:color w:val="auto"/>
                <w:sz w:val="20"/>
                <w:szCs w:val="20"/>
              </w:rPr>
              <w:t>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25</w:t>
            </w:r>
            <w:r>
              <w:rPr>
                <w:rFonts w:hint="eastAsia" w:ascii="黑体" w:hAnsi="黑体" w:eastAsia="黑体"/>
                <w:color w:val="auto"/>
                <w:sz w:val="20"/>
                <w:szCs w:val="20"/>
              </w:rPr>
              <w:t>kg/桶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投药方式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清洗配制</w:t>
            </w:r>
          </w:p>
        </w:tc>
      </w:tr>
    </w:tbl>
    <w:p>
      <w:pPr>
        <w:rPr>
          <w:rFonts w:ascii="黑体" w:hAnsi="黑体" w:eastAsia="黑体"/>
          <w:color w:val="auto"/>
          <w:sz w:val="20"/>
          <w:szCs w:val="20"/>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还原剂</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9"/>
        <w:gridCol w:w="2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项目</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化学成份</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NaHSO3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纯    </w:t>
            </w:r>
            <w:r>
              <w:rPr>
                <w:rFonts w:hint="eastAsia" w:ascii="黑体" w:hAnsi="黑体" w:eastAsia="黑体"/>
                <w:color w:val="auto"/>
                <w:sz w:val="20"/>
                <w:szCs w:val="20"/>
              </w:rPr>
              <w:t>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包    </w:t>
            </w:r>
            <w:r>
              <w:rPr>
                <w:rFonts w:hint="eastAsia" w:ascii="黑体" w:hAnsi="黑体" w:eastAsia="黑体"/>
                <w:color w:val="auto"/>
                <w:sz w:val="20"/>
                <w:szCs w:val="20"/>
              </w:rPr>
              <w:t>装</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袋装自带托盘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运输方式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汽车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配制浓度</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vAlign w:val="center"/>
          </w:tcPr>
          <w:p>
            <w:pPr>
              <w:jc w:val="center"/>
              <w:rPr>
                <w:rFonts w:hint="eastAsia" w:ascii="黑体" w:hAnsi="黑体" w:eastAsia="黑体"/>
                <w:color w:val="auto"/>
                <w:sz w:val="20"/>
                <w:szCs w:val="20"/>
              </w:rPr>
            </w:pPr>
            <w:r>
              <w:rPr>
                <w:rFonts w:hint="eastAsia" w:ascii="黑体" w:hAnsi="黑体" w:eastAsia="黑体"/>
                <w:color w:val="auto"/>
                <w:sz w:val="20"/>
                <w:szCs w:val="20"/>
              </w:rPr>
              <w:t>投药方式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连续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2159" w:type="dxa"/>
          </w:tcPr>
          <w:p>
            <w:pPr>
              <w:jc w:val="center"/>
              <w:rPr>
                <w:rFonts w:hint="eastAsia" w:ascii="黑体" w:hAnsi="黑体" w:eastAsia="黑体"/>
                <w:color w:val="auto"/>
                <w:sz w:val="20"/>
                <w:szCs w:val="20"/>
              </w:rPr>
            </w:pPr>
            <w:r>
              <w:rPr>
                <w:rFonts w:hint="eastAsia" w:ascii="黑体" w:hAnsi="黑体" w:eastAsia="黑体"/>
                <w:color w:val="auto"/>
                <w:sz w:val="20"/>
                <w:szCs w:val="20"/>
              </w:rPr>
              <w:t xml:space="preserve">加 </w:t>
            </w:r>
            <w:r>
              <w:rPr>
                <w:rFonts w:hint="eastAsia" w:ascii="黑体" w:hAnsi="黑体" w:eastAsia="黑体"/>
                <w:color w:val="auto"/>
                <w:sz w:val="20"/>
                <w:szCs w:val="20"/>
              </w:rPr>
              <w:t xml:space="preserve">药 </w:t>
            </w:r>
            <w:r>
              <w:rPr>
                <w:rFonts w:hint="eastAsia" w:ascii="黑体" w:hAnsi="黑体" w:eastAsia="黑体"/>
                <w:color w:val="auto"/>
                <w:sz w:val="20"/>
                <w:szCs w:val="20"/>
              </w:rPr>
              <w:t>量</w:t>
            </w:r>
          </w:p>
        </w:tc>
        <w:tc>
          <w:tcPr>
            <w:tcW w:w="2405" w:type="dxa"/>
          </w:tcPr>
          <w:p>
            <w:pPr>
              <w:jc w:val="center"/>
              <w:rPr>
                <w:rFonts w:hint="eastAsia" w:ascii="黑体" w:hAnsi="黑体" w:eastAsia="黑体"/>
                <w:color w:val="auto"/>
                <w:sz w:val="20"/>
                <w:szCs w:val="20"/>
              </w:rPr>
            </w:pPr>
            <w:r>
              <w:rPr>
                <w:rFonts w:hint="eastAsia" w:ascii="黑体" w:hAnsi="黑体" w:eastAsia="黑体"/>
                <w:color w:val="auto"/>
                <w:sz w:val="20"/>
                <w:szCs w:val="20"/>
              </w:rPr>
              <w:t>3-5ppm</w:t>
            </w:r>
          </w:p>
        </w:tc>
      </w:tr>
    </w:tbl>
    <w:p>
      <w:pPr>
        <w:rPr>
          <w:rFonts w:ascii="黑体" w:hAnsi="黑体" w:eastAsia="黑体"/>
          <w:color w:val="auto"/>
          <w:sz w:val="20"/>
          <w:szCs w:val="20"/>
        </w:rPr>
      </w:pPr>
    </w:p>
    <w:p>
      <w:pPr>
        <w:pStyle w:val="3"/>
        <w:spacing w:before="0" w:after="0" w:line="240" w:lineRule="auto"/>
        <w:rPr>
          <w:rFonts w:ascii="仿宋_GB2312" w:hAnsi="仿宋_GB2312" w:eastAsia="仿宋_GB2312" w:cs="仿宋_GB2312"/>
          <w:kern w:val="0"/>
          <w:sz w:val="24"/>
          <w:szCs w:val="24"/>
        </w:rPr>
      </w:pPr>
      <w:bookmarkStart w:id="5" w:name="_Toc467843640"/>
      <w:r>
        <w:rPr>
          <w:rFonts w:hint="eastAsia" w:ascii="仿宋_GB2312" w:hAnsi="仿宋_GB2312" w:eastAsia="仿宋_GB2312" w:cs="仿宋_GB2312"/>
          <w:kern w:val="0"/>
          <w:sz w:val="24"/>
          <w:szCs w:val="24"/>
        </w:rPr>
        <w:t>1.5水质和效果保证主要依据</w:t>
      </w:r>
      <w:bookmarkEnd w:id="5"/>
    </w:p>
    <w:p>
      <w:pPr>
        <w:outlineLvl w:val="2"/>
        <w:rPr>
          <w:rFonts w:ascii="仿宋_GB2312" w:hAnsi="仿宋_GB2312" w:eastAsia="仿宋_GB2312" w:cs="仿宋_GB2312"/>
          <w:color w:val="auto"/>
          <w:sz w:val="24"/>
        </w:rPr>
      </w:pPr>
      <w:r>
        <w:rPr>
          <w:rFonts w:hint="eastAsia" w:ascii="仿宋_GB2312" w:hAnsi="仿宋_GB2312" w:eastAsia="仿宋_GB2312" w:cs="仿宋_GB2312"/>
          <w:color w:val="auto"/>
          <w:sz w:val="24"/>
        </w:rPr>
        <w:t>1.5.1使用效果及保证</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1.5.1.1 与原水水质兼容</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1.5.1.2投标人每月对项目水源进行水质取样分析，分析内容包括pH值、浊度、电导率、总溶固、总硬度、总碱度、活性二氧化硅含量、水中离子含量（Ca2+、Mg2+、Fe（总）、HCO3-、Cl-、SO42-、Al3+、PO43-等）；根据检验结果评估药剂应用情况，费用由投标方承担。</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1.5.1.3反渗透清洗周期在3个月以下或回收率低于70%，投标人应做出说明，若为药剂原因，需要承担相应赔偿。</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1.5.1.4 清洗周期内RO运行流量、压力、脱盐率保持稳定。</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1.5.1.5 不因产品质量及服务原因导致RO膜在药品供货期内损坏；如有损坏，将进行核算，投标人做出相应赔偿。</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1.5.1.6药剂的正常使用将为需方反渗透系统安全经济运行提供保障，在RO膜及系统等其他相关因素均为正常的情况下，承诺RO膜的使用寿命为5年以上，以新膜投入运行为起始日。</w:t>
      </w:r>
    </w:p>
    <w:p>
      <w:pPr>
        <w:outlineLvl w:val="2"/>
        <w:rPr>
          <w:rFonts w:ascii="仿宋_GB2312" w:hAnsi="仿宋_GB2312" w:eastAsia="仿宋_GB2312" w:cs="仿宋_GB2312"/>
          <w:color w:val="auto"/>
          <w:sz w:val="24"/>
        </w:rPr>
      </w:pPr>
      <w:r>
        <w:rPr>
          <w:rFonts w:hint="eastAsia" w:ascii="仿宋_GB2312" w:hAnsi="仿宋_GB2312" w:eastAsia="仿宋_GB2312" w:cs="仿宋_GB2312"/>
          <w:color w:val="auto"/>
          <w:sz w:val="24"/>
        </w:rPr>
        <w:t>1.5.2正常运行水质效果及保证</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1.5.2.1使用阻垢剂能保证反渗透运行在反渗透膜的正常使用范围内；</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1.5.2.2 在设计回收率下，标准化后反渗透设备产水量、产水水质达到设计值。</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1.5.3</w:t>
      </w:r>
      <w:r>
        <w:rPr>
          <w:rFonts w:hint="eastAsia" w:ascii="仿宋_GB2312" w:hAnsi="仿宋_GB2312" w:eastAsia="仿宋_GB2312" w:cs="仿宋_GB2312"/>
          <w:color w:val="auto"/>
          <w:sz w:val="24"/>
          <w:lang w:val="en-US" w:eastAsia="zh-CN"/>
        </w:rPr>
        <w:t>中标方</w:t>
      </w:r>
      <w:r>
        <w:rPr>
          <w:rFonts w:hint="eastAsia" w:ascii="仿宋_GB2312" w:hAnsi="仿宋_GB2312" w:eastAsia="仿宋_GB2312" w:cs="仿宋_GB2312"/>
          <w:color w:val="auto"/>
          <w:sz w:val="24"/>
        </w:rPr>
        <w:t>应根据配方所选药剂的性质和危害程度提供相应的安全防护及应急处理措施；</w:t>
      </w:r>
    </w:p>
    <w:p>
      <w:pPr>
        <w:pStyle w:val="3"/>
        <w:spacing w:before="0" w:after="0" w:line="240" w:lineRule="auto"/>
        <w:rPr>
          <w:rFonts w:ascii="仿宋_GB2312" w:hAnsi="仿宋_GB2312" w:eastAsia="仿宋_GB2312" w:cs="仿宋_GB2312"/>
          <w:kern w:val="0"/>
          <w:sz w:val="24"/>
          <w:szCs w:val="24"/>
        </w:rPr>
      </w:pPr>
      <w:bookmarkStart w:id="6" w:name="_Toc467843641"/>
      <w:r>
        <w:rPr>
          <w:rFonts w:hint="eastAsia" w:ascii="仿宋_GB2312" w:hAnsi="仿宋_GB2312" w:eastAsia="仿宋_GB2312" w:cs="仿宋_GB2312"/>
          <w:kern w:val="0"/>
          <w:sz w:val="24"/>
          <w:szCs w:val="24"/>
        </w:rPr>
        <w:t>1.6技术服务要求</w:t>
      </w:r>
      <w:bookmarkEnd w:id="6"/>
    </w:p>
    <w:p>
      <w:pPr>
        <w:outlineLvl w:val="2"/>
        <w:rPr>
          <w:rFonts w:ascii="仿宋_GB2312" w:hAnsi="仿宋_GB2312" w:eastAsia="仿宋_GB2312" w:cs="仿宋_GB2312"/>
          <w:color w:val="auto"/>
          <w:sz w:val="24"/>
        </w:rPr>
      </w:pPr>
      <w:r>
        <w:rPr>
          <w:rFonts w:hint="eastAsia" w:ascii="仿宋_GB2312" w:hAnsi="仿宋_GB2312" w:eastAsia="仿宋_GB2312" w:cs="仿宋_GB2312"/>
          <w:color w:val="auto"/>
          <w:sz w:val="24"/>
        </w:rPr>
        <w:t>1.6.1技术服务</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1.6.1.1协助招标人技术人员完善化验设施仪器及试剂；</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1.6.1.2免费为招标人进行技术培训；</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1.6.1.3为保证招标人系统安全运行，投标人应保证至少每个月对装置运行状况进行了解并做出评估报告，并出具调整运行方式建议书，以随时解决运行中出现的问题；同时，如招标人系统运行出现变化，投标人应接到招标人通知后4小时内给予答复，特殊情况24小时内及时赶到现场并协助排除系统故障，以保证招标人安全生产；</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1.6.1.4遇到异常情况时配合招标人分析系统可能发生的问题，并提出预防措施；</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1.6.1.5定期组织专业人员总结现场情况，提出合理化建议。</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1.6.1.6其他服务：投标人可以提供的其他服务。</w:t>
      </w:r>
    </w:p>
    <w:p>
      <w:pPr>
        <w:outlineLvl w:val="2"/>
        <w:rPr>
          <w:rFonts w:ascii="仿宋_GB2312" w:hAnsi="仿宋_GB2312" w:eastAsia="仿宋_GB2312" w:cs="仿宋_GB2312"/>
          <w:color w:val="auto"/>
          <w:sz w:val="24"/>
        </w:rPr>
      </w:pPr>
      <w:r>
        <w:rPr>
          <w:rFonts w:hint="eastAsia" w:ascii="仿宋_GB2312" w:hAnsi="仿宋_GB2312" w:eastAsia="仿宋_GB2312" w:cs="仿宋_GB2312"/>
          <w:color w:val="auto"/>
          <w:sz w:val="24"/>
        </w:rPr>
        <w:t>1.6.2现场服务要求</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1.6.2.1负责现场技术指导，根据招标人现场水处理要求，结合工艺情况及水源情况，设计反渗透水处理方案。</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1.6.2.2系统调试及运行初期，派专职技术人员现场加药及技术服务。</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1.6.2.3根据招标人要求，需要到现场指导的，服务工程师接到通知后24小时内赶到现场。</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1.6.2.4运行正常后每月至少进行一次现场访问，了解系统的运行情况，药剂消耗情况，每次现场服务结束后提供服务报告，并对下阶段的运行提出建议。</w:t>
      </w:r>
    </w:p>
    <w:p>
      <w:pPr>
        <w:outlineLvl w:val="2"/>
        <w:rPr>
          <w:rFonts w:ascii="仿宋_GB2312" w:hAnsi="仿宋_GB2312" w:eastAsia="仿宋_GB2312" w:cs="仿宋_GB2312"/>
          <w:color w:val="auto"/>
          <w:sz w:val="24"/>
        </w:rPr>
      </w:pPr>
      <w:r>
        <w:rPr>
          <w:rFonts w:hint="eastAsia" w:ascii="仿宋_GB2312" w:hAnsi="仿宋_GB2312" w:eastAsia="仿宋_GB2312" w:cs="仿宋_GB2312"/>
          <w:color w:val="auto"/>
          <w:sz w:val="24"/>
        </w:rPr>
        <w:t>1.6.3售后服务</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1.6.3.1提供反渗透系统的操作手册、清洗方案等资料。</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1.6.3.2投标人须派服务工程师将为水处理操作人员提供培训。（包括理论、日常操作、清洗等），使招标人的管理及操作人员对系统能够熟练地操作和控制。</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1.6.3.3在用药初期，投标人服务工程师将提供全过程的跟踪，对加药操作和水质控制等进行指导，直到系统全部运行正常。</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1.6.3.4运行正常后每月至少进行一次现场走访，了解系统的运行情况，药剂消耗情况，每次现场服务结束后提供服务报告，并对下阶段的运行提出建议。</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1.6.3.5现场出现突发问题时4小时内有响应，24小时内服务工程师到现场，分析解决问题。</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1.6.3.6每半年度总结水质处理效果，与客户一起探讨这半年度的成果和缺点，讨论下半年度的改进方向，制定改进计划。</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1.6.3.7一旦出现无法通过在线清洗方式恢复系统运行时，能够提供的保障措施及相关的服务，确保招标人生产的连续性，以及为恢复系统运行可以提供的服务（含经验及业绩）及投标人的工作范围。</w:t>
      </w:r>
    </w:p>
    <w:p>
      <w:pPr>
        <w:rPr>
          <w:rFonts w:ascii="仿宋_GB2312" w:hAnsi="仿宋_GB2312" w:eastAsia="仿宋_GB2312" w:cs="仿宋_GB2312"/>
          <w:color w:val="auto"/>
          <w:spacing w:val="-6"/>
          <w:sz w:val="24"/>
        </w:rPr>
      </w:pPr>
      <w:r>
        <w:rPr>
          <w:rFonts w:hint="eastAsia" w:ascii="仿宋_GB2312" w:hAnsi="仿宋_GB2312" w:eastAsia="仿宋_GB2312" w:cs="仿宋_GB2312"/>
          <w:color w:val="auto"/>
          <w:sz w:val="24"/>
        </w:rPr>
        <w:t>1.6.4.8建立完整的档案管理，</w:t>
      </w:r>
      <w:r>
        <w:rPr>
          <w:rFonts w:hint="eastAsia" w:ascii="仿宋_GB2312" w:hAnsi="仿宋_GB2312" w:eastAsia="仿宋_GB2312" w:cs="仿宋_GB2312"/>
          <w:color w:val="auto"/>
          <w:spacing w:val="-6"/>
          <w:sz w:val="24"/>
        </w:rPr>
        <w:t>全过程不间断运行监督，分析解决潜在隐患。</w:t>
      </w:r>
    </w:p>
    <w:p>
      <w:pPr>
        <w:pStyle w:val="3"/>
        <w:spacing w:before="0" w:after="0" w:line="240" w:lineRule="auto"/>
        <w:rPr>
          <w:rFonts w:ascii="仿宋_GB2312" w:hAnsi="仿宋_GB2312" w:eastAsia="仿宋_GB2312" w:cs="仿宋_GB2312"/>
          <w:kern w:val="0"/>
          <w:sz w:val="24"/>
          <w:szCs w:val="24"/>
        </w:rPr>
      </w:pPr>
      <w:bookmarkStart w:id="7" w:name="_Toc467843642"/>
      <w:r>
        <w:rPr>
          <w:rFonts w:hint="eastAsia" w:ascii="仿宋_GB2312" w:hAnsi="仿宋_GB2312" w:eastAsia="仿宋_GB2312" w:cs="仿宋_GB2312"/>
          <w:kern w:val="0"/>
          <w:sz w:val="24"/>
          <w:szCs w:val="24"/>
        </w:rPr>
        <w:t>1.7现场服务人员要求</w:t>
      </w:r>
      <w:bookmarkEnd w:id="7"/>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1.7.1现场服务人员</w:t>
      </w:r>
      <w:r>
        <w:rPr>
          <w:rFonts w:hint="eastAsia" w:ascii="仿宋_GB2312" w:hAnsi="仿宋_GB2312" w:eastAsia="仿宋_GB2312" w:cs="仿宋_GB2312"/>
          <w:color w:val="auto"/>
          <w:sz w:val="24"/>
        </w:rPr>
        <w:t>义务</w:t>
      </w:r>
    </w:p>
    <w:p>
      <w:pP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1.7.1.1 投标人安排现场服务人员目的是使所供药剂的安全、经济、正常使用。投标人要派合格的现场服务人员。</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lang w:val="en-US" w:eastAsia="zh-CN"/>
        </w:rPr>
        <w:t>需安排1名专职技术服务人员驻点服务，上班时间统一为8：30-17：00。</w:t>
      </w:r>
      <w:r>
        <w:rPr>
          <w:rFonts w:hint="eastAsia" w:ascii="仿宋_GB2312" w:hAnsi="仿宋_GB2312" w:eastAsia="仿宋_GB2312" w:cs="仿宋_GB2312"/>
          <w:color w:val="auto"/>
          <w:sz w:val="24"/>
        </w:rPr>
        <w:t>服务内容</w:t>
      </w:r>
      <w:r>
        <w:rPr>
          <w:rFonts w:hint="eastAsia" w:ascii="仿宋_GB2312" w:hAnsi="仿宋_GB2312" w:eastAsia="仿宋_GB2312" w:cs="仿宋_GB2312"/>
          <w:color w:val="auto"/>
          <w:sz w:val="24"/>
          <w:lang w:val="en-US" w:eastAsia="zh-CN"/>
        </w:rPr>
        <w:t>包括：</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编制日常</w:t>
      </w:r>
      <w:r>
        <w:rPr>
          <w:rFonts w:hint="eastAsia" w:ascii="仿宋_GB2312" w:hAnsi="仿宋_GB2312" w:eastAsia="仿宋_GB2312" w:cs="仿宋_GB2312"/>
          <w:color w:val="auto"/>
          <w:sz w:val="24"/>
          <w:lang w:val="en-US" w:eastAsia="zh-CN"/>
        </w:rPr>
        <w:t>制水装置</w:t>
      </w:r>
      <w:r>
        <w:rPr>
          <w:rFonts w:hint="eastAsia" w:ascii="仿宋_GB2312" w:hAnsi="仿宋_GB2312" w:eastAsia="仿宋_GB2312" w:cs="仿宋_GB2312"/>
          <w:color w:val="auto"/>
          <w:sz w:val="24"/>
        </w:rPr>
        <w:t>稳定运行方案、异常处理方案，经双方认可后遵照执行；</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负责日常水质项目的分析检测；数据双方共享；形成每月水质运行</w:t>
      </w:r>
      <w:bookmarkStart w:id="15" w:name="_GoBack"/>
      <w:bookmarkEnd w:id="15"/>
      <w:r>
        <w:rPr>
          <w:rFonts w:hint="eastAsia" w:ascii="仿宋_GB2312" w:hAnsi="仿宋_GB2312" w:eastAsia="仿宋_GB2312" w:cs="仿宋_GB2312"/>
          <w:color w:val="auto"/>
          <w:sz w:val="24"/>
        </w:rPr>
        <w:t>书面总结并提出运行建议，交付招标方循环水系统负责人及生产管理部门；</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围绕</w:t>
      </w:r>
      <w:r>
        <w:rPr>
          <w:rFonts w:hint="eastAsia" w:ascii="仿宋_GB2312" w:hAnsi="仿宋_GB2312" w:eastAsia="仿宋_GB2312" w:cs="仿宋_GB2312"/>
          <w:color w:val="auto"/>
          <w:sz w:val="24"/>
          <w:lang w:val="en-US" w:eastAsia="zh-CN"/>
        </w:rPr>
        <w:t>装置</w:t>
      </w:r>
      <w:r>
        <w:rPr>
          <w:rFonts w:hint="eastAsia" w:ascii="仿宋_GB2312" w:hAnsi="仿宋_GB2312" w:eastAsia="仿宋_GB2312" w:cs="仿宋_GB2312"/>
          <w:color w:val="auto"/>
          <w:sz w:val="24"/>
        </w:rPr>
        <w:t>运行</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操作及时提出指导意见；</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配合招标方调查处理工艺介质泄漏等异常故障；</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负责装置大修时</w:t>
      </w:r>
      <w:r>
        <w:rPr>
          <w:rFonts w:hint="eastAsia" w:ascii="仿宋_GB2312" w:hAnsi="仿宋_GB2312" w:eastAsia="仿宋_GB2312" w:cs="仿宋_GB2312"/>
          <w:color w:val="auto"/>
          <w:sz w:val="24"/>
          <w:lang w:val="en-US" w:eastAsia="zh-CN"/>
        </w:rPr>
        <w:t>装置检查、保养</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负责</w:t>
      </w:r>
      <w:r>
        <w:rPr>
          <w:rFonts w:hint="eastAsia" w:ascii="仿宋_GB2312" w:hAnsi="仿宋_GB2312" w:eastAsia="仿宋_GB2312" w:cs="仿宋_GB2312"/>
          <w:color w:val="auto"/>
          <w:sz w:val="24"/>
          <w:lang w:val="en-US" w:eastAsia="zh-CN"/>
        </w:rPr>
        <w:t>日常脱盐水站药剂投加工作。</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1.7.1.2投标人现场服务人员应具有下列条件：</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1.7.1.3遵守法纪，遵守我公司的各项</w:t>
      </w:r>
      <w:r>
        <w:rPr>
          <w:rFonts w:hint="eastAsia" w:ascii="仿宋_GB2312" w:hAnsi="仿宋_GB2312" w:eastAsia="仿宋_GB2312" w:cs="仿宋_GB2312"/>
          <w:color w:val="auto"/>
          <w:sz w:val="24"/>
          <w:lang w:eastAsia="zh-CN"/>
        </w:rPr>
        <w:t>规章制度</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1.7.1.4有较强的责任感和事业心，按时到位；</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1.7.1.5了解合同产品的性能和用途，有相同或相近机组的现场工作经验，能够正确地进行现场</w:t>
      </w:r>
      <w:r>
        <w:rPr>
          <w:rFonts w:hint="eastAsia" w:ascii="仿宋_GB2312" w:hAnsi="仿宋_GB2312" w:eastAsia="仿宋_GB2312" w:cs="仿宋_GB2312"/>
          <w:color w:val="auto"/>
          <w:sz w:val="24"/>
          <w:lang w:val="en-US" w:eastAsia="zh-CN"/>
        </w:rPr>
        <w:t>服务</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1.7.1.6身体健康，适应现场工作。</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1.7.1.8投标人要向招标人提供现场服务人员情况表</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格式）。招标人有权要求投标人须更换不合格的投标人现场服务人员。</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现场服务人员情况表</w:t>
      </w:r>
    </w:p>
    <w:tbl>
      <w:tblPr>
        <w:tblStyle w:val="4"/>
        <w:tblW w:w="0" w:type="auto"/>
        <w:jc w:val="center"/>
        <w:tblLayout w:type="fixed"/>
        <w:tblCellMar>
          <w:top w:w="0" w:type="dxa"/>
          <w:left w:w="108" w:type="dxa"/>
          <w:bottom w:w="0" w:type="dxa"/>
          <w:right w:w="108" w:type="dxa"/>
        </w:tblCellMar>
      </w:tblPr>
      <w:tblGrid>
        <w:gridCol w:w="1188"/>
        <w:gridCol w:w="966"/>
        <w:gridCol w:w="1554"/>
        <w:gridCol w:w="1105"/>
        <w:gridCol w:w="945"/>
        <w:gridCol w:w="1105"/>
        <w:gridCol w:w="926"/>
        <w:gridCol w:w="1077"/>
      </w:tblGrid>
      <w:tr>
        <w:tblPrEx>
          <w:tblCellMar>
            <w:top w:w="0" w:type="dxa"/>
            <w:left w:w="108" w:type="dxa"/>
            <w:bottom w:w="0" w:type="dxa"/>
            <w:right w:w="108" w:type="dxa"/>
          </w:tblCellMar>
        </w:tblPrEx>
        <w:trPr>
          <w:trHeight w:val="330" w:hRule="exact"/>
          <w:jc w:val="center"/>
        </w:trPr>
        <w:tc>
          <w:tcPr>
            <w:tcW w:w="1188"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966"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c>
          <w:tcPr>
            <w:tcW w:w="1554"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1105"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c>
          <w:tcPr>
            <w:tcW w:w="945"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105"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c>
          <w:tcPr>
            <w:tcW w:w="926"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民族</w:t>
            </w:r>
          </w:p>
        </w:tc>
        <w:tc>
          <w:tcPr>
            <w:tcW w:w="1077"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r>
      <w:tr>
        <w:tblPrEx>
          <w:tblCellMar>
            <w:top w:w="0" w:type="dxa"/>
            <w:left w:w="108" w:type="dxa"/>
            <w:bottom w:w="0" w:type="dxa"/>
            <w:right w:w="108" w:type="dxa"/>
          </w:tblCellMar>
        </w:tblPrEx>
        <w:trPr>
          <w:trHeight w:val="375" w:hRule="exact"/>
          <w:jc w:val="center"/>
        </w:trPr>
        <w:tc>
          <w:tcPr>
            <w:tcW w:w="1188"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966"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c>
          <w:tcPr>
            <w:tcW w:w="1554"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学校和专业</w:t>
            </w:r>
          </w:p>
        </w:tc>
        <w:tc>
          <w:tcPr>
            <w:tcW w:w="1105"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c>
          <w:tcPr>
            <w:tcW w:w="945"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1105"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c>
          <w:tcPr>
            <w:tcW w:w="926"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职称</w:t>
            </w:r>
          </w:p>
        </w:tc>
        <w:tc>
          <w:tcPr>
            <w:tcW w:w="1077" w:type="dxa"/>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r>
      <w:tr>
        <w:tblPrEx>
          <w:tblCellMar>
            <w:top w:w="0" w:type="dxa"/>
            <w:left w:w="108" w:type="dxa"/>
            <w:bottom w:w="0" w:type="dxa"/>
            <w:right w:w="108" w:type="dxa"/>
          </w:tblCellMar>
        </w:tblPrEx>
        <w:trPr>
          <w:trHeight w:val="1170" w:hRule="atLeast"/>
          <w:jc w:val="center"/>
        </w:trPr>
        <w:tc>
          <w:tcPr>
            <w:tcW w:w="1188"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工作简历</w:t>
            </w:r>
          </w:p>
        </w:tc>
        <w:tc>
          <w:tcPr>
            <w:tcW w:w="7678" w:type="dxa"/>
            <w:gridSpan w:val="7"/>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tc>
      </w:tr>
      <w:tr>
        <w:tblPrEx>
          <w:tblCellMar>
            <w:top w:w="0" w:type="dxa"/>
            <w:left w:w="108" w:type="dxa"/>
            <w:bottom w:w="0" w:type="dxa"/>
            <w:right w:w="108" w:type="dxa"/>
          </w:tblCellMar>
        </w:tblPrEx>
        <w:trPr>
          <w:trHeight w:val="1698" w:hRule="atLeast"/>
          <w:jc w:val="center"/>
        </w:trPr>
        <w:tc>
          <w:tcPr>
            <w:tcW w:w="1188" w:type="dxa"/>
            <w:tcBorders>
              <w:top w:val="single" w:color="auto" w:sz="6" w:space="0"/>
              <w:left w:val="single" w:color="auto" w:sz="6" w:space="0"/>
              <w:bottom w:val="single" w:color="auto" w:sz="6" w:space="0"/>
              <w:right w:val="single" w:color="auto" w:sz="6" w:space="0"/>
            </w:tcBorders>
            <w:textDirection w:val="tbRlV"/>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单位评价</w:t>
            </w:r>
          </w:p>
        </w:tc>
        <w:tc>
          <w:tcPr>
            <w:tcW w:w="7678" w:type="dxa"/>
            <w:gridSpan w:val="7"/>
            <w:tcBorders>
              <w:top w:val="single" w:color="auto" w:sz="6" w:space="0"/>
              <w:left w:val="single" w:color="auto" w:sz="6" w:space="0"/>
              <w:bottom w:val="single" w:color="auto" w:sz="6" w:space="0"/>
              <w:right w:val="single" w:color="auto" w:sz="6" w:space="0"/>
            </w:tcBorders>
          </w:tcPr>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盖章</w:t>
            </w:r>
            <w:r>
              <w:rPr>
                <w:rFonts w:hint="eastAsia" w:ascii="仿宋_GB2312" w:hAnsi="仿宋_GB2312" w:eastAsia="仿宋_GB2312" w:cs="仿宋_GB2312"/>
                <w:color w:val="auto"/>
                <w:sz w:val="24"/>
                <w:lang w:eastAsia="zh-CN"/>
              </w:rPr>
              <w:t>）</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 xml:space="preserve"> 年  月   日</w:t>
            </w:r>
          </w:p>
        </w:tc>
      </w:tr>
    </w:tbl>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1.7.1.9投标人至少要指定1名专业技术</w:t>
      </w:r>
      <w:r>
        <w:rPr>
          <w:rFonts w:hint="eastAsia" w:ascii="仿宋_GB2312" w:hAnsi="仿宋_GB2312" w:eastAsia="仿宋_GB2312" w:cs="仿宋_GB2312"/>
          <w:color w:val="auto"/>
          <w:sz w:val="24"/>
          <w:lang w:val="en-US" w:eastAsia="zh-CN"/>
        </w:rPr>
        <w:t>服务</w:t>
      </w:r>
      <w:r>
        <w:rPr>
          <w:rFonts w:hint="eastAsia" w:ascii="仿宋_GB2312" w:hAnsi="仿宋_GB2312" w:eastAsia="仿宋_GB2312" w:cs="仿宋_GB2312"/>
          <w:color w:val="auto"/>
          <w:sz w:val="24"/>
        </w:rPr>
        <w:t>人员进行技术指导工作，</w:t>
      </w:r>
      <w:r>
        <w:rPr>
          <w:rFonts w:hint="eastAsia" w:ascii="仿宋_GB2312" w:hAnsi="仿宋_GB2312" w:eastAsia="仿宋_GB2312" w:cs="仿宋_GB2312"/>
          <w:color w:val="auto"/>
          <w:sz w:val="24"/>
          <w:lang w:val="en-US" w:eastAsia="zh-CN"/>
        </w:rPr>
        <w:t>现场</w:t>
      </w:r>
      <w:r>
        <w:rPr>
          <w:rFonts w:hint="eastAsia" w:ascii="仿宋_GB2312" w:hAnsi="仿宋_GB2312" w:eastAsia="仿宋_GB2312" w:cs="仿宋_GB2312"/>
          <w:color w:val="auto"/>
          <w:sz w:val="24"/>
        </w:rPr>
        <w:t>服务人员的任务主要</w:t>
      </w:r>
      <w:r>
        <w:rPr>
          <w:rFonts w:hint="eastAsia" w:ascii="仿宋_GB2312" w:hAnsi="仿宋_GB2312" w:eastAsia="仿宋_GB2312" w:cs="仿宋_GB2312"/>
          <w:color w:val="auto"/>
          <w:sz w:val="24"/>
          <w:lang w:eastAsia="zh-CN"/>
        </w:rPr>
        <w:t>包括</w:t>
      </w:r>
      <w:r>
        <w:rPr>
          <w:rFonts w:hint="eastAsia" w:ascii="仿宋_GB2312" w:hAnsi="仿宋_GB2312" w:eastAsia="仿宋_GB2312" w:cs="仿宋_GB2312"/>
          <w:color w:val="auto"/>
          <w:sz w:val="24"/>
        </w:rPr>
        <w:t>药剂加药问题的处理、</w:t>
      </w:r>
      <w:r>
        <w:rPr>
          <w:rFonts w:hint="eastAsia" w:ascii="仿宋_GB2312" w:hAnsi="仿宋_GB2312" w:eastAsia="仿宋_GB2312" w:cs="仿宋_GB2312"/>
          <w:color w:val="auto"/>
          <w:sz w:val="24"/>
          <w:lang w:val="en-US" w:eastAsia="zh-CN"/>
        </w:rPr>
        <w:t>装置</w:t>
      </w:r>
      <w:r>
        <w:rPr>
          <w:rFonts w:hint="eastAsia" w:ascii="仿宋_GB2312" w:hAnsi="仿宋_GB2312" w:eastAsia="仿宋_GB2312" w:cs="仿宋_GB2312"/>
          <w:color w:val="auto"/>
          <w:sz w:val="24"/>
        </w:rPr>
        <w:t>的化学清洗、药剂投加方案的调整和监督、药剂的库存管理、系统的运行管理。</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1.7.1.10在药剂使用前，投标人技术服务人员应向招标人做好技术交底，讲解和示范将要进行的程序和方法。对系统的运行监督。</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1.7.1.11投标人现场服务人员全权处理现场出现的一切技术和商务问题。如现场发生质量问题，投标人现场人员要在招标人规定的时间内处理解决。如投标人委托招标人进行处理，投标人现场服务人员要出具委托书并承担相应的经济责任。</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1.7.1.12投标人对其现场服务人员的一切行为负全部责任。</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1.7.1.13投标人技术服务人员每月提供至少一次的水质全分析和加药优化方案。</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1.7.1.14投标人现场人员负责</w:t>
      </w:r>
      <w:r>
        <w:rPr>
          <w:rFonts w:hint="eastAsia" w:ascii="仿宋_GB2312" w:hAnsi="仿宋_GB2312" w:eastAsia="仿宋_GB2312" w:cs="仿宋_GB2312"/>
          <w:color w:val="auto"/>
          <w:sz w:val="24"/>
          <w:lang w:val="en-US" w:eastAsia="zh-CN"/>
        </w:rPr>
        <w:t>药剂</w:t>
      </w:r>
      <w:r>
        <w:rPr>
          <w:rFonts w:hint="eastAsia" w:ascii="仿宋_GB2312" w:hAnsi="仿宋_GB2312" w:eastAsia="仿宋_GB2312" w:cs="仿宋_GB2312"/>
          <w:color w:val="auto"/>
          <w:sz w:val="24"/>
        </w:rPr>
        <w:t>投加工作</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1.7.1.15化学清洗工作由投标人</w:t>
      </w:r>
      <w:r>
        <w:rPr>
          <w:rFonts w:hint="eastAsia" w:ascii="仿宋_GB2312" w:hAnsi="仿宋_GB2312" w:eastAsia="仿宋_GB2312" w:cs="仿宋_GB2312"/>
          <w:color w:val="auto"/>
          <w:sz w:val="24"/>
          <w:lang w:val="en-US" w:eastAsia="zh-CN"/>
        </w:rPr>
        <w:t>现场</w:t>
      </w:r>
      <w:r>
        <w:rPr>
          <w:rFonts w:hint="eastAsia" w:ascii="仿宋_GB2312" w:hAnsi="仿宋_GB2312" w:eastAsia="仿宋_GB2312" w:cs="仿宋_GB2312"/>
          <w:color w:val="auto"/>
          <w:sz w:val="24"/>
        </w:rPr>
        <w:t>服务人员负责。清洗效果不好，投标人技术服务人员必须调整清洗方案。若因清洗方案或操作方法造成的设备损坏或生产波动，投标人负全部责任。</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1.7.1.16投标人在保证常规药剂的供应条件下要提供免费的清洗服务。</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1.7.1.17投标人必须给出反渗透长时间停运的免费保养方案。</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1.7.1.18投标人每月至少一次对现场加药泵进行校验，并根据校验值及时调整加药泵频率。</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1.7.1.19投标人技术服务人员每季度至少1次对岗位人员进行知识培训和技术交流。培训内容要符合现场实际情况。</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1.7.2招标人的义务</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招标人要配合投标人现场服务人员的工作，并在生活、交通和通讯上提供适当的方便。</w:t>
      </w:r>
    </w:p>
    <w:p>
      <w:pPr>
        <w:rPr>
          <w:rFonts w:hint="eastAsia" w:ascii="仿宋_GB2312" w:hAnsi="仿宋_GB2312" w:eastAsia="仿宋_GB2312" w:cs="仿宋_GB2312"/>
          <w:color w:val="auto"/>
          <w:sz w:val="24"/>
        </w:rPr>
      </w:pPr>
      <w:bookmarkStart w:id="8" w:name="_Toc467843643"/>
      <w:r>
        <w:rPr>
          <w:rFonts w:hint="eastAsia" w:ascii="仿宋_GB2312" w:hAnsi="仿宋_GB2312" w:eastAsia="仿宋_GB2312" w:cs="仿宋_GB2312"/>
          <w:color w:val="auto"/>
          <w:sz w:val="24"/>
        </w:rPr>
        <w:t>1.8培训</w:t>
      </w:r>
      <w:bookmarkEnd w:id="8"/>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1.8.1为使保运药剂能正常使用，投标人应免费对招标人相关人员提供每季度至少一次相应的技术培训，培训内容应满足现场生产需要。</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1.8.2培训计划和内容由投标人在投标文件中按下条格式列出。</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1.8.3培训的时间、人数、地点等具体内容由招标人和投标人双方商定。</w:t>
      </w:r>
    </w:p>
    <w:tbl>
      <w:tblPr>
        <w:tblStyle w:val="4"/>
        <w:tblW w:w="0" w:type="auto"/>
        <w:jc w:val="center"/>
        <w:tblLayout w:type="fixed"/>
        <w:tblCellMar>
          <w:top w:w="0" w:type="dxa"/>
          <w:left w:w="108" w:type="dxa"/>
          <w:bottom w:w="0" w:type="dxa"/>
          <w:right w:w="108" w:type="dxa"/>
        </w:tblCellMar>
      </w:tblPr>
      <w:tblGrid>
        <w:gridCol w:w="960"/>
        <w:gridCol w:w="1260"/>
        <w:gridCol w:w="1602"/>
        <w:gridCol w:w="1230"/>
        <w:gridCol w:w="1230"/>
        <w:gridCol w:w="1230"/>
        <w:gridCol w:w="1230"/>
      </w:tblGrid>
      <w:tr>
        <w:tblPrEx>
          <w:tblCellMar>
            <w:top w:w="0" w:type="dxa"/>
            <w:left w:w="108" w:type="dxa"/>
            <w:bottom w:w="0" w:type="dxa"/>
            <w:right w:w="108" w:type="dxa"/>
          </w:tblCellMar>
        </w:tblPrEx>
        <w:trPr>
          <w:cantSplit/>
          <w:jc w:val="center"/>
        </w:trPr>
        <w:tc>
          <w:tcPr>
            <w:tcW w:w="960" w:type="dxa"/>
            <w:vMerge w:val="restart"/>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260" w:type="dxa"/>
            <w:vMerge w:val="restart"/>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培训内容</w:t>
            </w:r>
          </w:p>
        </w:tc>
        <w:tc>
          <w:tcPr>
            <w:tcW w:w="1602" w:type="dxa"/>
            <w:vMerge w:val="restart"/>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计划人月数</w:t>
            </w:r>
          </w:p>
        </w:tc>
        <w:tc>
          <w:tcPr>
            <w:tcW w:w="2460" w:type="dxa"/>
            <w:gridSpan w:val="2"/>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培训教师构成</w:t>
            </w:r>
          </w:p>
        </w:tc>
        <w:tc>
          <w:tcPr>
            <w:tcW w:w="1230" w:type="dxa"/>
            <w:vMerge w:val="restart"/>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地点</w:t>
            </w:r>
          </w:p>
        </w:tc>
        <w:tc>
          <w:tcPr>
            <w:tcW w:w="1230" w:type="dxa"/>
            <w:vMerge w:val="restart"/>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w:t>
            </w:r>
          </w:p>
        </w:tc>
      </w:tr>
      <w:tr>
        <w:tblPrEx>
          <w:tblCellMar>
            <w:top w:w="0" w:type="dxa"/>
            <w:left w:w="108" w:type="dxa"/>
            <w:bottom w:w="0" w:type="dxa"/>
            <w:right w:w="108" w:type="dxa"/>
          </w:tblCellMar>
        </w:tblPrEx>
        <w:trPr>
          <w:cantSplit/>
          <w:jc w:val="center"/>
        </w:trPr>
        <w:tc>
          <w:tcPr>
            <w:tcW w:w="960" w:type="dxa"/>
            <w:vMerge w:val="continue"/>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602" w:type="dxa"/>
            <w:vMerge w:val="continue"/>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职称</w:t>
            </w: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人数</w:t>
            </w:r>
          </w:p>
        </w:tc>
        <w:tc>
          <w:tcPr>
            <w:tcW w:w="1230" w:type="dxa"/>
            <w:vMerge w:val="continue"/>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vMerge w:val="continue"/>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r>
      <w:tr>
        <w:tblPrEx>
          <w:tblCellMar>
            <w:top w:w="0" w:type="dxa"/>
            <w:left w:w="108" w:type="dxa"/>
            <w:bottom w:w="0" w:type="dxa"/>
            <w:right w:w="108" w:type="dxa"/>
          </w:tblCellMar>
        </w:tblPrEx>
        <w:trPr>
          <w:jc w:val="center"/>
        </w:trPr>
        <w:tc>
          <w:tcPr>
            <w:tcW w:w="96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26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602"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r>
      <w:tr>
        <w:tblPrEx>
          <w:tblCellMar>
            <w:top w:w="0" w:type="dxa"/>
            <w:left w:w="108" w:type="dxa"/>
            <w:bottom w:w="0" w:type="dxa"/>
            <w:right w:w="108" w:type="dxa"/>
          </w:tblCellMar>
        </w:tblPrEx>
        <w:trPr>
          <w:jc w:val="center"/>
        </w:trPr>
        <w:tc>
          <w:tcPr>
            <w:tcW w:w="96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26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602"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c>
          <w:tcPr>
            <w:tcW w:w="123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仿宋_GB2312" w:eastAsia="仿宋_GB2312" w:cs="仿宋_GB2312"/>
                <w:color w:val="auto"/>
                <w:sz w:val="24"/>
              </w:rPr>
            </w:pPr>
          </w:p>
        </w:tc>
      </w:tr>
    </w:tbl>
    <w:p>
      <w:pPr>
        <w:rPr>
          <w:rFonts w:hint="eastAsia" w:ascii="仿宋_GB2312" w:hAnsi="仿宋_GB2312" w:eastAsia="仿宋_GB2312" w:cs="仿宋_GB2312"/>
          <w:color w:val="auto"/>
          <w:sz w:val="24"/>
        </w:rPr>
      </w:pPr>
    </w:p>
    <w:p>
      <w:pPr>
        <w:rPr>
          <w:rFonts w:hint="eastAsia" w:ascii="黑体" w:hAnsi="黑体" w:cs="Times New Roman"/>
          <w:b/>
          <w:bCs/>
          <w:color w:val="auto"/>
          <w:sz w:val="22"/>
        </w:rPr>
      </w:pPr>
      <w:bookmarkStart w:id="9" w:name="_Toc467843644"/>
      <w:r>
        <w:rPr>
          <w:rFonts w:hint="eastAsia" w:ascii="黑体" w:hAnsi="黑体" w:cs="Times New Roman"/>
          <w:b/>
          <w:bCs/>
          <w:color w:val="auto"/>
          <w:sz w:val="22"/>
        </w:rPr>
        <w:t>1.9药剂用量及选用品牌</w:t>
      </w:r>
      <w:bookmarkEnd w:id="9"/>
    </w:p>
    <w:p>
      <w:pPr>
        <w:rPr>
          <w:rFonts w:ascii="黑体" w:hAnsi="黑体" w:eastAsia="黑体"/>
          <w:color w:val="auto"/>
          <w:sz w:val="22"/>
        </w:rPr>
      </w:pPr>
    </w:p>
    <w:tbl>
      <w:tblPr>
        <w:tblStyle w:val="4"/>
        <w:tblW w:w="0" w:type="auto"/>
        <w:tblInd w:w="0" w:type="dxa"/>
        <w:tblLayout w:type="fixed"/>
        <w:tblCellMar>
          <w:top w:w="0" w:type="dxa"/>
          <w:left w:w="108" w:type="dxa"/>
          <w:bottom w:w="0" w:type="dxa"/>
          <w:right w:w="108" w:type="dxa"/>
        </w:tblCellMar>
      </w:tblPr>
      <w:tblGrid>
        <w:gridCol w:w="1225"/>
        <w:gridCol w:w="1681"/>
        <w:gridCol w:w="1477"/>
        <w:gridCol w:w="1568"/>
        <w:gridCol w:w="1590"/>
        <w:gridCol w:w="1746"/>
      </w:tblGrid>
      <w:tr>
        <w:tblPrEx>
          <w:tblCellMar>
            <w:top w:w="0" w:type="dxa"/>
            <w:left w:w="108" w:type="dxa"/>
            <w:bottom w:w="0" w:type="dxa"/>
            <w:right w:w="108" w:type="dxa"/>
          </w:tblCellMar>
        </w:tblPrEx>
        <w:trPr>
          <w:trHeight w:val="27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68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药剂名称</w:t>
            </w:r>
          </w:p>
        </w:tc>
        <w:tc>
          <w:tcPr>
            <w:tcW w:w="147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药剂类型</w:t>
            </w:r>
          </w:p>
        </w:tc>
        <w:tc>
          <w:tcPr>
            <w:tcW w:w="15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药剂规格浓度</w:t>
            </w:r>
          </w:p>
        </w:tc>
        <w:tc>
          <w:tcPr>
            <w:tcW w:w="15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年预估用量</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品牌</w:t>
            </w:r>
          </w:p>
        </w:tc>
      </w:tr>
      <w:tr>
        <w:tblPrEx>
          <w:tblCellMar>
            <w:top w:w="0" w:type="dxa"/>
            <w:left w:w="108" w:type="dxa"/>
            <w:bottom w:w="0" w:type="dxa"/>
            <w:right w:w="108" w:type="dxa"/>
          </w:tblCellMar>
        </w:tblPrEx>
        <w:trPr>
          <w:trHeight w:val="270"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次氯酸钠</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液体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10%</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15吨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70"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柠檬酸</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固体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99.5%</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10吨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70"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还原剂-NaHSO3</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固体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98%</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4吨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3"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4</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阻垢剂</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液体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99%</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20吨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3"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非氧化性杀菌剂</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液体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DBNPA≥20%</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2吨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3"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6</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酸性清洗剂</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液体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99%</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1吨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23" w:hRule="atLeast"/>
        </w:trPr>
        <w:tc>
          <w:tcPr>
            <w:tcW w:w="122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7</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碱性清洗剂</w:t>
            </w:r>
          </w:p>
        </w:tc>
        <w:tc>
          <w:tcPr>
            <w:tcW w:w="14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液体</w:t>
            </w:r>
          </w:p>
        </w:tc>
        <w:tc>
          <w:tcPr>
            <w:tcW w:w="15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99%</w:t>
            </w:r>
          </w:p>
        </w:tc>
        <w:tc>
          <w:tcPr>
            <w:tcW w:w="15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3吨</w:t>
            </w:r>
          </w:p>
        </w:tc>
        <w:tc>
          <w:tcPr>
            <w:tcW w:w="17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20"/>
                <w:szCs w:val="20"/>
              </w:rPr>
            </w:pPr>
          </w:p>
        </w:tc>
      </w:tr>
    </w:tbl>
    <w:p>
      <w:pPr>
        <w:rPr>
          <w:rFonts w:ascii="黑体" w:hAnsi="黑体" w:eastAsia="黑体"/>
          <w:color w:val="auto"/>
          <w:sz w:val="20"/>
          <w:szCs w:val="20"/>
        </w:rPr>
      </w:pPr>
    </w:p>
    <w:p>
      <w:pPr>
        <w:rPr>
          <w:rFonts w:ascii="黑体" w:hAnsi="黑体"/>
          <w:b/>
          <w:bCs/>
          <w:color w:val="auto"/>
          <w:sz w:val="22"/>
        </w:rPr>
      </w:pPr>
      <w:bookmarkStart w:id="10" w:name="_Toc467843645"/>
      <w:bookmarkStart w:id="11" w:name="_Toc520177458"/>
      <w:bookmarkStart w:id="12" w:name="_Toc69179974"/>
      <w:r>
        <w:rPr>
          <w:rFonts w:hint="eastAsia" w:ascii="黑体" w:hAnsi="黑体"/>
          <w:b/>
          <w:bCs/>
          <w:color w:val="auto"/>
          <w:sz w:val="22"/>
        </w:rPr>
        <w:t>1.10交货进度</w:t>
      </w:r>
      <w:bookmarkEnd w:id="10"/>
      <w:bookmarkEnd w:id="11"/>
      <w:bookmarkEnd w:id="12"/>
    </w:p>
    <w:tbl>
      <w:tblPr>
        <w:tblStyle w:val="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4"/>
        <w:gridCol w:w="1723"/>
        <w:gridCol w:w="2824"/>
        <w:gridCol w:w="29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35" w:hRule="atLeast"/>
        </w:trPr>
        <w:tc>
          <w:tcPr>
            <w:tcW w:w="1674" w:type="dxa"/>
            <w:tcBorders>
              <w:top w:val="single" w:color="auto" w:sz="6" w:space="0"/>
              <w:left w:val="single" w:color="auto" w:sz="6" w:space="0"/>
              <w:bottom w:val="single" w:color="auto" w:sz="4" w:space="0"/>
              <w:right w:val="single" w:color="auto" w:sz="6"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723" w:type="dxa"/>
            <w:tcBorders>
              <w:top w:val="single" w:color="auto" w:sz="6" w:space="0"/>
              <w:left w:val="nil"/>
              <w:bottom w:val="single" w:color="auto" w:sz="4" w:space="0"/>
              <w:right w:val="single" w:color="auto" w:sz="6"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名称、型号</w:t>
            </w:r>
          </w:p>
        </w:tc>
        <w:tc>
          <w:tcPr>
            <w:tcW w:w="2824" w:type="dxa"/>
            <w:tcBorders>
              <w:top w:val="single" w:color="auto" w:sz="6" w:space="0"/>
              <w:left w:val="nil"/>
              <w:bottom w:val="single" w:color="auto" w:sz="4" w:space="0"/>
              <w:right w:val="single" w:color="auto" w:sz="6" w:space="0"/>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发运地点</w:t>
            </w:r>
          </w:p>
        </w:tc>
        <w:tc>
          <w:tcPr>
            <w:tcW w:w="2906" w:type="dxa"/>
            <w:tcBorders>
              <w:top w:val="single" w:color="auto" w:sz="6" w:space="0"/>
              <w:left w:val="nil"/>
            </w:tcBorders>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交货时间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1674" w:type="dxa"/>
            <w:tcBorders>
              <w:top w:val="nil"/>
              <w:bottom w:val="nil"/>
            </w:tcBorders>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1723" w:type="dxa"/>
            <w:tcBorders>
              <w:top w:val="nil"/>
              <w:bottom w:val="nil"/>
            </w:tcBorders>
          </w:tcPr>
          <w:p>
            <w:pPr>
              <w:widowControl/>
              <w:jc w:val="center"/>
              <w:rPr>
                <w:rFonts w:hint="eastAsia" w:ascii="宋体" w:hAnsi="宋体" w:eastAsia="宋体" w:cs="宋体"/>
                <w:color w:val="auto"/>
                <w:sz w:val="20"/>
                <w:szCs w:val="20"/>
              </w:rPr>
            </w:pPr>
          </w:p>
        </w:tc>
        <w:tc>
          <w:tcPr>
            <w:tcW w:w="2824" w:type="dxa"/>
            <w:tcBorders>
              <w:top w:val="nil"/>
              <w:bottom w:val="nil"/>
            </w:tcBorders>
          </w:tcPr>
          <w:p>
            <w:pPr>
              <w:widowControl/>
              <w:jc w:val="center"/>
              <w:rPr>
                <w:rFonts w:hint="eastAsia" w:ascii="宋体" w:hAnsi="宋体" w:eastAsia="宋体" w:cs="宋体"/>
                <w:color w:val="auto"/>
                <w:sz w:val="20"/>
                <w:szCs w:val="20"/>
              </w:rPr>
            </w:pPr>
          </w:p>
        </w:tc>
        <w:tc>
          <w:tcPr>
            <w:tcW w:w="2906" w:type="dxa"/>
          </w:tcPr>
          <w:p>
            <w:pPr>
              <w:widowControl/>
              <w:jc w:val="center"/>
              <w:rPr>
                <w:rFonts w:hint="eastAsia" w:ascii="宋体" w:hAnsi="宋体" w:eastAsia="宋体" w:cs="宋体"/>
                <w:color w:val="auto"/>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1674" w:type="dxa"/>
            <w:tcBorders>
              <w:top w:val="single" w:color="auto" w:sz="6" w:space="0"/>
              <w:bottom w:val="single" w:color="auto" w:sz="6" w:space="0"/>
            </w:tcBorders>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1723" w:type="dxa"/>
            <w:tcBorders>
              <w:top w:val="single" w:color="auto" w:sz="6" w:space="0"/>
              <w:bottom w:val="single" w:color="auto" w:sz="6" w:space="0"/>
            </w:tcBorders>
          </w:tcPr>
          <w:p>
            <w:pPr>
              <w:widowControl/>
              <w:jc w:val="center"/>
              <w:rPr>
                <w:rFonts w:hint="eastAsia" w:ascii="宋体" w:hAnsi="宋体" w:eastAsia="宋体" w:cs="宋体"/>
                <w:color w:val="auto"/>
                <w:sz w:val="20"/>
                <w:szCs w:val="20"/>
              </w:rPr>
            </w:pPr>
          </w:p>
        </w:tc>
        <w:tc>
          <w:tcPr>
            <w:tcW w:w="2824" w:type="dxa"/>
            <w:tcBorders>
              <w:top w:val="single" w:color="auto" w:sz="6" w:space="0"/>
              <w:bottom w:val="single" w:color="auto" w:sz="6" w:space="0"/>
            </w:tcBorders>
          </w:tcPr>
          <w:p>
            <w:pPr>
              <w:widowControl/>
              <w:jc w:val="center"/>
              <w:rPr>
                <w:rFonts w:hint="eastAsia" w:ascii="宋体" w:hAnsi="宋体" w:eastAsia="宋体" w:cs="宋体"/>
                <w:color w:val="auto"/>
                <w:sz w:val="20"/>
                <w:szCs w:val="20"/>
              </w:rPr>
            </w:pPr>
          </w:p>
        </w:tc>
        <w:tc>
          <w:tcPr>
            <w:tcW w:w="2906" w:type="dxa"/>
          </w:tcPr>
          <w:p>
            <w:pPr>
              <w:widowControl/>
              <w:jc w:val="center"/>
              <w:rPr>
                <w:rFonts w:hint="eastAsia" w:ascii="宋体" w:hAnsi="宋体" w:eastAsia="宋体" w:cs="宋体"/>
                <w:color w:val="auto"/>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1674" w:type="dxa"/>
            <w:tcBorders>
              <w:top w:val="single" w:color="auto" w:sz="6" w:space="0"/>
              <w:bottom w:val="single" w:color="auto" w:sz="6" w:space="0"/>
            </w:tcBorders>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1723" w:type="dxa"/>
            <w:tcBorders>
              <w:top w:val="single" w:color="auto" w:sz="6" w:space="0"/>
              <w:bottom w:val="single" w:color="auto" w:sz="6" w:space="0"/>
            </w:tcBorders>
          </w:tcPr>
          <w:p>
            <w:pPr>
              <w:widowControl/>
              <w:jc w:val="center"/>
              <w:rPr>
                <w:rFonts w:hint="eastAsia" w:ascii="宋体" w:hAnsi="宋体" w:eastAsia="宋体" w:cs="宋体"/>
                <w:color w:val="auto"/>
                <w:sz w:val="20"/>
                <w:szCs w:val="20"/>
              </w:rPr>
            </w:pPr>
          </w:p>
        </w:tc>
        <w:tc>
          <w:tcPr>
            <w:tcW w:w="2824" w:type="dxa"/>
            <w:tcBorders>
              <w:top w:val="single" w:color="auto" w:sz="6" w:space="0"/>
              <w:bottom w:val="single" w:color="auto" w:sz="6" w:space="0"/>
            </w:tcBorders>
          </w:tcPr>
          <w:p>
            <w:pPr>
              <w:widowControl/>
              <w:jc w:val="center"/>
              <w:rPr>
                <w:rFonts w:hint="eastAsia" w:ascii="宋体" w:hAnsi="宋体" w:eastAsia="宋体" w:cs="宋体"/>
                <w:color w:val="auto"/>
                <w:sz w:val="20"/>
                <w:szCs w:val="20"/>
              </w:rPr>
            </w:pPr>
          </w:p>
        </w:tc>
        <w:tc>
          <w:tcPr>
            <w:tcW w:w="2906" w:type="dxa"/>
          </w:tcPr>
          <w:p>
            <w:pPr>
              <w:widowControl/>
              <w:jc w:val="center"/>
              <w:rPr>
                <w:rFonts w:hint="eastAsia" w:ascii="宋体" w:hAnsi="宋体" w:eastAsia="宋体" w:cs="宋体"/>
                <w:color w:val="auto"/>
                <w:sz w:val="20"/>
                <w:szCs w:val="20"/>
              </w:rPr>
            </w:pPr>
          </w:p>
        </w:tc>
      </w:tr>
    </w:tbl>
    <w:p>
      <w:pPr>
        <w:spacing w:after="160" w:line="360" w:lineRule="auto"/>
        <w:rPr>
          <w:rFonts w:ascii="宋体"/>
          <w:color w:val="auto"/>
          <w:sz w:val="24"/>
        </w:rPr>
      </w:pPr>
    </w:p>
    <w:p>
      <w:pPr>
        <w:rPr>
          <w:rFonts w:hint="eastAsia" w:ascii="黑体" w:hAnsi="黑体" w:eastAsia="黑体"/>
          <w:color w:val="auto"/>
          <w:sz w:val="20"/>
          <w:szCs w:val="20"/>
        </w:rPr>
      </w:pPr>
      <w:r>
        <w:rPr>
          <w:rFonts w:hint="eastAsia" w:ascii="黑体" w:hAnsi="黑体" w:eastAsia="黑体"/>
          <w:color w:val="auto"/>
          <w:sz w:val="20"/>
          <w:szCs w:val="20"/>
        </w:rPr>
        <w:t>说明：</w:t>
      </w:r>
    </w:p>
    <w:p>
      <w:pPr>
        <w:ind w:firstLine="400" w:firstLineChars="200"/>
        <w:rPr>
          <w:rFonts w:ascii="黑体" w:hAnsi="黑体" w:eastAsia="黑体"/>
          <w:color w:val="auto"/>
          <w:sz w:val="20"/>
          <w:szCs w:val="20"/>
        </w:rPr>
      </w:pPr>
      <w:r>
        <w:rPr>
          <w:rFonts w:ascii="黑体" w:hAnsi="黑体" w:eastAsia="黑体"/>
          <w:color w:val="auto"/>
          <w:sz w:val="20"/>
          <w:szCs w:val="20"/>
        </w:rPr>
        <w:t>1</w:t>
      </w:r>
      <w:r>
        <w:rPr>
          <w:rFonts w:hint="eastAsia" w:ascii="黑体" w:hAnsi="黑体" w:eastAsia="黑体"/>
          <w:color w:val="auto"/>
          <w:sz w:val="20"/>
          <w:szCs w:val="20"/>
        </w:rPr>
        <w:t>、投标人应在文件中报出相对交货时间，即自合同生效至第一批货物交付止的最短时间</w:t>
      </w:r>
      <w:r>
        <w:rPr>
          <w:rFonts w:hint="eastAsia" w:ascii="黑体" w:hAnsi="黑体" w:eastAsia="黑体"/>
          <w:color w:val="auto"/>
          <w:sz w:val="20"/>
          <w:szCs w:val="20"/>
          <w:lang w:eastAsia="zh-CN"/>
        </w:rPr>
        <w:t>（</w:t>
      </w:r>
      <w:r>
        <w:rPr>
          <w:rFonts w:hint="eastAsia" w:ascii="黑体" w:hAnsi="黑体" w:eastAsia="黑体"/>
          <w:color w:val="auto"/>
          <w:sz w:val="20"/>
          <w:szCs w:val="20"/>
        </w:rPr>
        <w:t>按天计算</w:t>
      </w:r>
      <w:r>
        <w:rPr>
          <w:rFonts w:hint="eastAsia" w:ascii="黑体" w:hAnsi="黑体" w:eastAsia="黑体"/>
          <w:color w:val="auto"/>
          <w:sz w:val="20"/>
          <w:szCs w:val="20"/>
          <w:lang w:eastAsia="zh-CN"/>
        </w:rPr>
        <w:t>）</w:t>
      </w:r>
      <w:r>
        <w:rPr>
          <w:rFonts w:hint="eastAsia" w:ascii="黑体" w:hAnsi="黑体" w:eastAsia="黑体"/>
          <w:color w:val="auto"/>
          <w:sz w:val="20"/>
          <w:szCs w:val="20"/>
        </w:rPr>
        <w:t>。</w:t>
      </w:r>
    </w:p>
    <w:p>
      <w:pPr>
        <w:ind w:firstLine="400" w:firstLineChars="200"/>
        <w:rPr>
          <w:rFonts w:ascii="黑体" w:hAnsi="黑体" w:eastAsia="黑体"/>
          <w:color w:val="auto"/>
          <w:sz w:val="20"/>
          <w:szCs w:val="20"/>
        </w:rPr>
      </w:pPr>
      <w:r>
        <w:rPr>
          <w:rFonts w:ascii="黑体" w:hAnsi="黑体" w:eastAsia="黑体"/>
          <w:color w:val="auto"/>
          <w:sz w:val="20"/>
          <w:szCs w:val="20"/>
        </w:rPr>
        <w:t>2</w:t>
      </w:r>
      <w:r>
        <w:rPr>
          <w:rFonts w:hint="eastAsia" w:ascii="黑体" w:hAnsi="黑体" w:eastAsia="黑体"/>
          <w:color w:val="auto"/>
          <w:sz w:val="20"/>
          <w:szCs w:val="20"/>
        </w:rPr>
        <w:t>、序号要与供货范围分项清单序号一致。</w:t>
      </w:r>
    </w:p>
    <w:p>
      <w:pPr>
        <w:ind w:firstLine="400" w:firstLineChars="200"/>
        <w:rPr>
          <w:rFonts w:ascii="黑体" w:hAnsi="黑体" w:eastAsia="黑体"/>
          <w:color w:val="auto"/>
          <w:sz w:val="20"/>
          <w:szCs w:val="20"/>
        </w:rPr>
      </w:pPr>
      <w:r>
        <w:rPr>
          <w:rFonts w:ascii="黑体" w:hAnsi="黑体" w:eastAsia="黑体"/>
          <w:color w:val="auto"/>
          <w:sz w:val="20"/>
          <w:szCs w:val="20"/>
        </w:rPr>
        <w:t>3</w:t>
      </w:r>
      <w:r>
        <w:rPr>
          <w:rFonts w:hint="eastAsia" w:ascii="黑体" w:hAnsi="黑体" w:eastAsia="黑体"/>
          <w:color w:val="auto"/>
          <w:sz w:val="20"/>
          <w:szCs w:val="20"/>
        </w:rPr>
        <w:t>、药剂的交货顺序要满足生产进度要求。投标人应在发货前</w:t>
      </w:r>
      <w:r>
        <w:rPr>
          <w:rFonts w:ascii="黑体" w:hAnsi="黑体" w:eastAsia="黑体"/>
          <w:color w:val="auto"/>
          <w:sz w:val="20"/>
          <w:szCs w:val="20"/>
        </w:rPr>
        <w:t>1</w:t>
      </w:r>
      <w:r>
        <w:rPr>
          <w:rFonts w:hint="eastAsia" w:ascii="黑体" w:hAnsi="黑体" w:eastAsia="黑体"/>
          <w:color w:val="auto"/>
          <w:sz w:val="20"/>
          <w:szCs w:val="20"/>
        </w:rPr>
        <w:t>周通知招标人。</w:t>
      </w:r>
    </w:p>
    <w:p>
      <w:pPr>
        <w:rPr>
          <w:rFonts w:ascii="黑体" w:hAnsi="黑体" w:eastAsia="黑体"/>
          <w:color w:val="auto"/>
          <w:sz w:val="22"/>
        </w:rPr>
      </w:pPr>
    </w:p>
    <w:p>
      <w:pPr>
        <w:pStyle w:val="3"/>
        <w:spacing w:before="0" w:after="0" w:line="240" w:lineRule="auto"/>
        <w:rPr>
          <w:rFonts w:hint="eastAsia" w:ascii="黑体" w:hAnsi="黑体"/>
          <w:kern w:val="0"/>
          <w:sz w:val="22"/>
        </w:rPr>
      </w:pPr>
      <w:bookmarkStart w:id="13" w:name="_Toc467843646"/>
    </w:p>
    <w:p>
      <w:pPr>
        <w:rPr>
          <w:rFonts w:hint="eastAsia" w:ascii="黑体" w:hAnsi="黑体" w:eastAsia="宋体"/>
          <w:b/>
          <w:bCs/>
          <w:color w:val="auto"/>
          <w:sz w:val="22"/>
        </w:rPr>
      </w:pPr>
    </w:p>
    <w:p>
      <w:pPr>
        <w:rPr>
          <w:rFonts w:hint="eastAsia" w:ascii="黑体" w:hAnsi="黑体" w:eastAsia="宋体"/>
          <w:b/>
          <w:bCs/>
          <w:color w:val="auto"/>
          <w:sz w:val="22"/>
        </w:rPr>
      </w:pPr>
    </w:p>
    <w:p>
      <w:pPr>
        <w:rPr>
          <w:rFonts w:hint="eastAsia" w:ascii="黑体" w:hAnsi="黑体" w:eastAsia="宋体"/>
          <w:b/>
          <w:bCs/>
          <w:color w:val="auto"/>
          <w:sz w:val="22"/>
        </w:rPr>
      </w:pPr>
      <w:r>
        <w:rPr>
          <w:rFonts w:hint="eastAsia" w:ascii="黑体" w:hAnsi="黑体" w:eastAsia="宋体"/>
          <w:b/>
          <w:bCs/>
          <w:color w:val="auto"/>
          <w:sz w:val="22"/>
        </w:rPr>
        <w:t>1.11差异表</w:t>
      </w:r>
      <w:bookmarkEnd w:id="13"/>
    </w:p>
    <w:p>
      <w:pPr>
        <w:rPr>
          <w:rFonts w:ascii="黑体" w:hAnsi="黑体" w:eastAsia="黑体"/>
          <w:color w:val="auto"/>
          <w:sz w:val="22"/>
        </w:rPr>
      </w:pPr>
    </w:p>
    <w:p>
      <w:pPr>
        <w:jc w:val="center"/>
        <w:rPr>
          <w:rFonts w:ascii="黑体" w:hAnsi="黑体" w:eastAsia="黑体"/>
          <w:color w:val="auto"/>
          <w:sz w:val="22"/>
        </w:rPr>
      </w:pPr>
      <w:bookmarkStart w:id="14" w:name="_Toc310252870"/>
      <w:r>
        <w:rPr>
          <w:rFonts w:hint="eastAsia" w:ascii="黑体" w:hAnsi="黑体" w:eastAsia="黑体"/>
          <w:color w:val="auto"/>
          <w:sz w:val="22"/>
        </w:rPr>
        <w:t>技术规格响应/偏离表</w:t>
      </w:r>
      <w:bookmarkEnd w:id="14"/>
    </w:p>
    <w:tbl>
      <w:tblPr>
        <w:tblStyle w:val="4"/>
        <w:tblW w:w="92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85"/>
        <w:gridCol w:w="1665"/>
        <w:gridCol w:w="1665"/>
        <w:gridCol w:w="1500"/>
        <w:gridCol w:w="1152"/>
        <w:gridCol w:w="13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185"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货物名称</w:t>
            </w:r>
          </w:p>
        </w:tc>
        <w:tc>
          <w:tcPr>
            <w:tcW w:w="1665"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技术规范条目号</w:t>
            </w:r>
          </w:p>
        </w:tc>
        <w:tc>
          <w:tcPr>
            <w:tcW w:w="1665"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技术规范</w:t>
            </w:r>
            <w:r>
              <w:rPr>
                <w:rFonts w:hint="eastAsia" w:ascii="宋体" w:hAnsi="宋体" w:eastAsia="宋体" w:cs="宋体"/>
                <w:color w:val="auto"/>
                <w:sz w:val="20"/>
                <w:szCs w:val="20"/>
                <w:lang w:eastAsia="zh-CN"/>
              </w:rPr>
              <w:t>书</w:t>
            </w:r>
            <w:r>
              <w:rPr>
                <w:rFonts w:hint="eastAsia" w:ascii="宋体" w:hAnsi="宋体" w:eastAsia="宋体" w:cs="宋体"/>
                <w:color w:val="auto"/>
                <w:sz w:val="20"/>
                <w:szCs w:val="20"/>
              </w:rPr>
              <w:t>条款</w:t>
            </w:r>
          </w:p>
        </w:tc>
        <w:tc>
          <w:tcPr>
            <w:tcW w:w="1500"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响应技术条款</w:t>
            </w:r>
          </w:p>
        </w:tc>
        <w:tc>
          <w:tcPr>
            <w:tcW w:w="1152"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响应/偏离</w:t>
            </w:r>
          </w:p>
        </w:tc>
        <w:tc>
          <w:tcPr>
            <w:tcW w:w="1308" w:type="dxa"/>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pPr>
              <w:widowControl/>
              <w:jc w:val="center"/>
              <w:rPr>
                <w:rFonts w:hint="eastAsia" w:ascii="宋体" w:hAnsi="宋体" w:eastAsia="宋体" w:cs="宋体"/>
                <w:color w:val="auto"/>
                <w:sz w:val="20"/>
                <w:szCs w:val="20"/>
              </w:rPr>
            </w:pPr>
          </w:p>
        </w:tc>
        <w:tc>
          <w:tcPr>
            <w:tcW w:w="118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500" w:type="dxa"/>
            <w:vAlign w:val="center"/>
          </w:tcPr>
          <w:p>
            <w:pPr>
              <w:widowControl/>
              <w:jc w:val="center"/>
              <w:rPr>
                <w:rFonts w:hint="eastAsia" w:ascii="宋体" w:hAnsi="宋体" w:eastAsia="宋体" w:cs="宋体"/>
                <w:color w:val="auto"/>
                <w:sz w:val="20"/>
                <w:szCs w:val="20"/>
              </w:rPr>
            </w:pPr>
          </w:p>
        </w:tc>
        <w:tc>
          <w:tcPr>
            <w:tcW w:w="1152" w:type="dxa"/>
            <w:vAlign w:val="center"/>
          </w:tcPr>
          <w:p>
            <w:pPr>
              <w:widowControl/>
              <w:jc w:val="center"/>
              <w:rPr>
                <w:rFonts w:hint="eastAsia" w:ascii="宋体" w:hAnsi="宋体" w:eastAsia="宋体" w:cs="宋体"/>
                <w:color w:val="auto"/>
                <w:sz w:val="20"/>
                <w:szCs w:val="20"/>
              </w:rPr>
            </w:pPr>
          </w:p>
        </w:tc>
        <w:tc>
          <w:tcPr>
            <w:tcW w:w="1308" w:type="dxa"/>
            <w:vAlign w:val="center"/>
          </w:tcPr>
          <w:p>
            <w:pPr>
              <w:widowControl/>
              <w:jc w:val="center"/>
              <w:rPr>
                <w:rFonts w:hint="eastAsia" w:ascii="宋体" w:hAnsi="宋体" w:eastAsia="宋体" w:cs="宋体"/>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pPr>
              <w:widowControl/>
              <w:jc w:val="center"/>
              <w:rPr>
                <w:rFonts w:hint="eastAsia" w:ascii="宋体" w:hAnsi="宋体" w:eastAsia="宋体" w:cs="宋体"/>
                <w:color w:val="auto"/>
                <w:sz w:val="20"/>
                <w:szCs w:val="20"/>
              </w:rPr>
            </w:pPr>
          </w:p>
        </w:tc>
        <w:tc>
          <w:tcPr>
            <w:tcW w:w="118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500" w:type="dxa"/>
            <w:vAlign w:val="center"/>
          </w:tcPr>
          <w:p>
            <w:pPr>
              <w:widowControl/>
              <w:jc w:val="center"/>
              <w:rPr>
                <w:rFonts w:hint="eastAsia" w:ascii="宋体" w:hAnsi="宋体" w:eastAsia="宋体" w:cs="宋体"/>
                <w:color w:val="auto"/>
                <w:sz w:val="20"/>
                <w:szCs w:val="20"/>
              </w:rPr>
            </w:pPr>
          </w:p>
        </w:tc>
        <w:tc>
          <w:tcPr>
            <w:tcW w:w="1152" w:type="dxa"/>
            <w:vAlign w:val="center"/>
          </w:tcPr>
          <w:p>
            <w:pPr>
              <w:widowControl/>
              <w:jc w:val="center"/>
              <w:rPr>
                <w:rFonts w:hint="eastAsia" w:ascii="宋体" w:hAnsi="宋体" w:eastAsia="宋体" w:cs="宋体"/>
                <w:color w:val="auto"/>
                <w:sz w:val="20"/>
                <w:szCs w:val="20"/>
              </w:rPr>
            </w:pPr>
          </w:p>
        </w:tc>
        <w:tc>
          <w:tcPr>
            <w:tcW w:w="1308" w:type="dxa"/>
            <w:vAlign w:val="center"/>
          </w:tcPr>
          <w:p>
            <w:pPr>
              <w:widowControl/>
              <w:jc w:val="center"/>
              <w:rPr>
                <w:rFonts w:hint="eastAsia" w:ascii="宋体" w:hAnsi="宋体" w:eastAsia="宋体" w:cs="宋体"/>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pPr>
              <w:widowControl/>
              <w:jc w:val="center"/>
              <w:rPr>
                <w:rFonts w:hint="eastAsia" w:ascii="宋体" w:hAnsi="宋体" w:eastAsia="宋体" w:cs="宋体"/>
                <w:color w:val="auto"/>
                <w:sz w:val="20"/>
                <w:szCs w:val="20"/>
              </w:rPr>
            </w:pPr>
          </w:p>
        </w:tc>
        <w:tc>
          <w:tcPr>
            <w:tcW w:w="118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500" w:type="dxa"/>
            <w:vAlign w:val="center"/>
          </w:tcPr>
          <w:p>
            <w:pPr>
              <w:widowControl/>
              <w:jc w:val="center"/>
              <w:rPr>
                <w:rFonts w:hint="eastAsia" w:ascii="宋体" w:hAnsi="宋体" w:eastAsia="宋体" w:cs="宋体"/>
                <w:color w:val="auto"/>
                <w:sz w:val="20"/>
                <w:szCs w:val="20"/>
              </w:rPr>
            </w:pPr>
          </w:p>
        </w:tc>
        <w:tc>
          <w:tcPr>
            <w:tcW w:w="1152" w:type="dxa"/>
            <w:vAlign w:val="center"/>
          </w:tcPr>
          <w:p>
            <w:pPr>
              <w:widowControl/>
              <w:jc w:val="center"/>
              <w:rPr>
                <w:rFonts w:hint="eastAsia" w:ascii="宋体" w:hAnsi="宋体" w:eastAsia="宋体" w:cs="宋体"/>
                <w:color w:val="auto"/>
                <w:sz w:val="20"/>
                <w:szCs w:val="20"/>
              </w:rPr>
            </w:pPr>
          </w:p>
        </w:tc>
        <w:tc>
          <w:tcPr>
            <w:tcW w:w="1308" w:type="dxa"/>
            <w:vAlign w:val="center"/>
          </w:tcPr>
          <w:p>
            <w:pPr>
              <w:widowControl/>
              <w:jc w:val="center"/>
              <w:rPr>
                <w:rFonts w:hint="eastAsia" w:ascii="宋体" w:hAnsi="宋体" w:eastAsia="宋体" w:cs="宋体"/>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pPr>
              <w:widowControl/>
              <w:jc w:val="center"/>
              <w:rPr>
                <w:rFonts w:hint="eastAsia" w:ascii="宋体" w:hAnsi="宋体" w:eastAsia="宋体" w:cs="宋体"/>
                <w:color w:val="auto"/>
                <w:sz w:val="20"/>
                <w:szCs w:val="20"/>
              </w:rPr>
            </w:pPr>
          </w:p>
        </w:tc>
        <w:tc>
          <w:tcPr>
            <w:tcW w:w="118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500" w:type="dxa"/>
            <w:vAlign w:val="center"/>
          </w:tcPr>
          <w:p>
            <w:pPr>
              <w:widowControl/>
              <w:jc w:val="center"/>
              <w:rPr>
                <w:rFonts w:hint="eastAsia" w:ascii="宋体" w:hAnsi="宋体" w:eastAsia="宋体" w:cs="宋体"/>
                <w:color w:val="auto"/>
                <w:sz w:val="20"/>
                <w:szCs w:val="20"/>
              </w:rPr>
            </w:pPr>
          </w:p>
        </w:tc>
        <w:tc>
          <w:tcPr>
            <w:tcW w:w="1152" w:type="dxa"/>
            <w:vAlign w:val="center"/>
          </w:tcPr>
          <w:p>
            <w:pPr>
              <w:widowControl/>
              <w:jc w:val="center"/>
              <w:rPr>
                <w:rFonts w:hint="eastAsia" w:ascii="宋体" w:hAnsi="宋体" w:eastAsia="宋体" w:cs="宋体"/>
                <w:color w:val="auto"/>
                <w:sz w:val="20"/>
                <w:szCs w:val="20"/>
              </w:rPr>
            </w:pPr>
          </w:p>
        </w:tc>
        <w:tc>
          <w:tcPr>
            <w:tcW w:w="1308" w:type="dxa"/>
            <w:vAlign w:val="center"/>
          </w:tcPr>
          <w:p>
            <w:pPr>
              <w:widowControl/>
              <w:jc w:val="center"/>
              <w:rPr>
                <w:rFonts w:hint="eastAsia" w:ascii="宋体" w:hAnsi="宋体" w:eastAsia="宋体" w:cs="宋体"/>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pPr>
              <w:widowControl/>
              <w:jc w:val="center"/>
              <w:rPr>
                <w:rFonts w:hint="eastAsia" w:ascii="宋体" w:hAnsi="宋体" w:eastAsia="宋体" w:cs="宋体"/>
                <w:color w:val="auto"/>
                <w:sz w:val="20"/>
                <w:szCs w:val="20"/>
              </w:rPr>
            </w:pPr>
          </w:p>
        </w:tc>
        <w:tc>
          <w:tcPr>
            <w:tcW w:w="118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665" w:type="dxa"/>
            <w:vAlign w:val="center"/>
          </w:tcPr>
          <w:p>
            <w:pPr>
              <w:widowControl/>
              <w:jc w:val="center"/>
              <w:rPr>
                <w:rFonts w:hint="eastAsia" w:ascii="宋体" w:hAnsi="宋体" w:eastAsia="宋体" w:cs="宋体"/>
                <w:color w:val="auto"/>
                <w:sz w:val="20"/>
                <w:szCs w:val="20"/>
              </w:rPr>
            </w:pPr>
          </w:p>
        </w:tc>
        <w:tc>
          <w:tcPr>
            <w:tcW w:w="1500" w:type="dxa"/>
            <w:vAlign w:val="center"/>
          </w:tcPr>
          <w:p>
            <w:pPr>
              <w:widowControl/>
              <w:jc w:val="center"/>
              <w:rPr>
                <w:rFonts w:hint="eastAsia" w:ascii="宋体" w:hAnsi="宋体" w:eastAsia="宋体" w:cs="宋体"/>
                <w:color w:val="auto"/>
                <w:sz w:val="20"/>
                <w:szCs w:val="20"/>
              </w:rPr>
            </w:pPr>
          </w:p>
        </w:tc>
        <w:tc>
          <w:tcPr>
            <w:tcW w:w="1152" w:type="dxa"/>
            <w:vAlign w:val="center"/>
          </w:tcPr>
          <w:p>
            <w:pPr>
              <w:widowControl/>
              <w:jc w:val="center"/>
              <w:rPr>
                <w:rFonts w:hint="eastAsia" w:ascii="宋体" w:hAnsi="宋体" w:eastAsia="宋体" w:cs="宋体"/>
                <w:color w:val="auto"/>
                <w:sz w:val="20"/>
                <w:szCs w:val="20"/>
              </w:rPr>
            </w:pPr>
          </w:p>
        </w:tc>
        <w:tc>
          <w:tcPr>
            <w:tcW w:w="1308" w:type="dxa"/>
            <w:vAlign w:val="center"/>
          </w:tcPr>
          <w:p>
            <w:pPr>
              <w:widowControl/>
              <w:jc w:val="center"/>
              <w:rPr>
                <w:rFonts w:hint="eastAsia" w:ascii="宋体" w:hAnsi="宋体" w:eastAsia="宋体" w:cs="宋体"/>
                <w:color w:val="auto"/>
                <w:sz w:val="20"/>
                <w:szCs w:val="2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TFmZjZmYmUyNjY4NDAwZTU4ZmQyMTY0YjAxYzMifQ=="/>
  </w:docVars>
  <w:rsids>
    <w:rsidRoot w:val="00532A01"/>
    <w:rsid w:val="000F03C1"/>
    <w:rsid w:val="001D4433"/>
    <w:rsid w:val="00251104"/>
    <w:rsid w:val="00255805"/>
    <w:rsid w:val="00532A01"/>
    <w:rsid w:val="006A0F11"/>
    <w:rsid w:val="00815C7C"/>
    <w:rsid w:val="00DC491A"/>
    <w:rsid w:val="00FE2230"/>
    <w:rsid w:val="01B17375"/>
    <w:rsid w:val="10E57C2A"/>
    <w:rsid w:val="1A6D77FC"/>
    <w:rsid w:val="1B944F25"/>
    <w:rsid w:val="240113C6"/>
    <w:rsid w:val="387428AA"/>
    <w:rsid w:val="42A0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bCs/>
      <w:color w:val="auto"/>
      <w:kern w:val="2"/>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00" w:lineRule="auto"/>
      <w:ind w:firstLine="200" w:firstLineChars="200"/>
    </w:pPr>
    <w:rPr>
      <w:rFonts w:ascii="Times New Roman" w:hAnsi="Times New Roman" w:eastAsia="宋体"/>
      <w:color w:val="000000"/>
      <w:sz w:val="24"/>
      <w:szCs w:val="24"/>
      <w:lang w:eastAsia="en-US"/>
    </w:rPr>
  </w:style>
  <w:style w:type="paragraph" w:customStyle="1" w:styleId="6">
    <w:name w:val="样式1"/>
    <w:basedOn w:val="1"/>
    <w:qFormat/>
    <w:uiPriority w:val="99"/>
    <w:pPr>
      <w:adjustRightInd w:val="0"/>
      <w:spacing w:line="420" w:lineRule="auto"/>
      <w:jc w:val="center"/>
      <w:textAlignment w:val="baseline"/>
    </w:pPr>
    <w:rPr>
      <w:rFonts w:ascii="宋体"/>
      <w:color w:val="auto"/>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901</Words>
  <Characters>5137</Characters>
  <Lines>42</Lines>
  <Paragraphs>12</Paragraphs>
  <TotalTime>2</TotalTime>
  <ScaleCrop>false</ScaleCrop>
  <LinksUpToDate>false</LinksUpToDate>
  <CharactersWithSpaces>6026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2023-05-04T06:02:00Z</dcterms:created>
  <dc:creator>Administrator</dc:creator>
  <cp:lastModifiedBy>Benny</cp:lastModifiedBy>
  <dcterms:modified xsi:type="dcterms:W3CDTF">2024-01-30T07:24:43Z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870D2F651C234E7FB5F6A1A9B02166C2_12</vt:lpwstr>
  </property>
</Properties>
</file>