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江苏索普赛瑞装备制造有限公司</w:t>
      </w:r>
    </w:p>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招标文件</w:t>
      </w:r>
    </w:p>
    <w:p>
      <w:p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pPr>
        <w:adjustRightInd w:val="0"/>
        <w:snapToGrid w:val="0"/>
        <w:spacing w:line="360" w:lineRule="auto"/>
        <w:jc w:val="left"/>
        <w:rPr>
          <w:rFonts w:hint="eastAsia" w:ascii="仿宋" w:hAnsi="仿宋" w:eastAsia="仿宋" w:cs="仿宋"/>
          <w:bCs/>
          <w:color w:val="auto"/>
          <w:sz w:val="30"/>
          <w:szCs w:val="30"/>
        </w:rPr>
      </w:pPr>
      <w:r>
        <w:rPr>
          <w:rFonts w:hint="eastAsia" w:ascii="仿宋_GB2312" w:hAnsi="仿宋_GB2312" w:eastAsia="仿宋_GB2312" w:cs="仿宋_GB2312"/>
          <w:bCs/>
          <w:color w:val="auto"/>
          <w:sz w:val="24"/>
        </w:rPr>
        <w:t xml:space="preserve">    </w:t>
      </w: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委托</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金轩项目HRS蒸汽喷射器喷嘴组件衬四氟</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采用自主公开招标的方式选定供应商，</w:t>
      </w:r>
      <w:r>
        <w:rPr>
          <w:rFonts w:hint="eastAsia" w:ascii="仿宋" w:hAnsi="仿宋" w:eastAsia="仿宋" w:cs="仿宋"/>
          <w:bCs/>
          <w:color w:val="auto"/>
          <w:sz w:val="30"/>
          <w:szCs w:val="30"/>
        </w:rPr>
        <w:t>特邀请贵单位参与投标。</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 xml:space="preserve">  </w:t>
      </w: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一、招标概况：</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金轩项目HRS蒸汽喷射器喷嘴组件衬四氟</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（二）交货时间：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5天</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江苏省镇江市京口区谏壁镇求索路18号江苏索普赛瑞装备制造有限公司（股份西大门内）</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25</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rPr>
        <w:t>时（北京时</w:t>
      </w:r>
      <w:bookmarkStart w:id="0" w:name="_GoBack"/>
      <w:bookmarkEnd w:id="0"/>
      <w:r>
        <w:rPr>
          <w:rFonts w:hint="eastAsia" w:ascii="仿宋" w:hAnsi="仿宋" w:eastAsia="仿宋" w:cs="仿宋"/>
          <w:bCs/>
          <w:color w:val="auto"/>
          <w:sz w:val="30"/>
          <w:szCs w:val="30"/>
        </w:rPr>
        <w:t>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25</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（五）开标地点：江苏索普赛瑞装备制造有限公司；</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360" w:lineRule="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kern w:val="1"/>
          <w:sz w:val="30"/>
          <w:szCs w:val="30"/>
          <w:u w:val="single"/>
        </w:rPr>
        <w:t xml:space="preserve">                            </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360" w:lineRule="auto"/>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_GB2312" w:hAnsi="仿宋_GB2312" w:eastAsia="仿宋_GB2312" w:cs="仿宋_GB2312"/>
          <w:bCs/>
          <w:color w:val="auto"/>
          <w:sz w:val="30"/>
          <w:szCs w:val="30"/>
        </w:rPr>
        <w:t>（一）投标人必须具备中华人民共和国境内生产或经营应具备的合法资质。</w:t>
      </w:r>
    </w:p>
    <w:p>
      <w:pPr>
        <w:pStyle w:val="4"/>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single"/>
        </w:rPr>
        <w:t>《生产许可证》等；</w:t>
      </w:r>
    </w:p>
    <w:p>
      <w:pPr>
        <w:pStyle w:val="4"/>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（五）投标人应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（六）</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（七） 投标人须具有</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u w:val="single"/>
        </w:rPr>
      </w:pPr>
      <w:r>
        <w:rPr>
          <w:rFonts w:hint="eastAsia" w:ascii="仿宋" w:hAnsi="仿宋" w:eastAsia="仿宋" w:cs="仿宋"/>
          <w:bCs/>
          <w:color w:val="auto"/>
          <w:sz w:val="30"/>
          <w:szCs w:val="30"/>
        </w:rPr>
        <w:t xml:space="preserve">   （八）</w:t>
      </w:r>
      <w:r>
        <w:rPr>
          <w:rFonts w:hint="eastAsia" w:ascii="仿宋" w:hAnsi="仿宋" w:eastAsia="仿宋" w:cs="仿宋"/>
          <w:bCs/>
          <w:color w:val="auto"/>
          <w:sz w:val="30"/>
          <w:szCs w:val="30"/>
          <w:u w:val="single"/>
        </w:rPr>
        <w:t>（其他与此次招标要求相匹配的相关要求。）</w:t>
      </w:r>
    </w:p>
    <w:p>
      <w:pPr>
        <w:adjustRightInd w:val="0"/>
        <w:snapToGrid w:val="0"/>
        <w:spacing w:line="360" w:lineRule="auto"/>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三个月</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现汇结算</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2、采用线下投标</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方式：通过招标邮箱投标。应将投标报价盖章扫描发至公司招投标邮箱，邮件主题上应注明投标单位的名称+标的物的名称，以便于在开标时区分招标名称，防止误点误开，未注明清楚的投标导致未中标的由投标单位自行承担，以上两种线下投标方式要求在投标截止日之前送达，逾期将作为废标处理。</w:t>
      </w:r>
    </w:p>
    <w:p>
      <w:pPr>
        <w:wordWrap w:val="0"/>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（四）与本投标有关的收件邮箱有关信息：</w:t>
      </w:r>
    </w:p>
    <w:p>
      <w:pPr>
        <w:pStyle w:val="5"/>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收件地址：waixiezhaobiao@sopocere.com（邮件主题上应注明投标单位的名称+标的物的名称，以便于在开标时区分招标名称，防止误点误开，未注明清楚的投标导致未中标的由投标单位自行承担）</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王琦</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13812468489</w:t>
      </w:r>
    </w:p>
    <w:p>
      <w:pPr>
        <w:pStyle w:val="4"/>
        <w:spacing w:line="360" w:lineRule="auto"/>
        <w:ind w:firstLine="585"/>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rPr>
        <w:t>技术咨询联系人：</w:t>
      </w:r>
      <w:r>
        <w:rPr>
          <w:rFonts w:hint="eastAsia" w:ascii="仿宋" w:hAnsi="仿宋" w:eastAsia="仿宋" w:cs="仿宋"/>
          <w:bCs/>
          <w:color w:val="auto"/>
          <w:kern w:val="1"/>
          <w:sz w:val="30"/>
          <w:szCs w:val="30"/>
          <w:u w:val="none"/>
          <w:lang w:val="en-US" w:eastAsia="zh-CN"/>
        </w:rPr>
        <w:t>汤海秋</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 xml:space="preserve"> </w:t>
      </w:r>
      <w:r>
        <w:rPr>
          <w:rFonts w:hint="eastAsia" w:ascii="仿宋" w:hAnsi="仿宋" w:eastAsia="仿宋" w:cs="仿宋"/>
          <w:bCs/>
          <w:color w:val="auto"/>
          <w:kern w:val="1"/>
          <w:sz w:val="30"/>
          <w:szCs w:val="30"/>
          <w:u w:val="none"/>
        </w:rPr>
        <w:t>电话：</w:t>
      </w:r>
      <w:r>
        <w:rPr>
          <w:rFonts w:hint="eastAsia" w:ascii="仿宋" w:hAnsi="仿宋" w:eastAsia="仿宋" w:cs="仿宋"/>
          <w:bCs/>
          <w:color w:val="auto"/>
          <w:kern w:val="1"/>
          <w:sz w:val="30"/>
          <w:szCs w:val="30"/>
          <w:u w:val="none"/>
          <w:lang w:val="en-US" w:eastAsia="zh-CN"/>
        </w:rPr>
        <w:t>18260663656</w:t>
      </w:r>
    </w:p>
    <w:p>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李 帅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18260629225</w:t>
      </w:r>
    </w:p>
    <w:p>
      <w:pPr>
        <w:adjustRightInd w:val="0"/>
        <w:snapToGrid w:val="0"/>
        <w:spacing w:line="360" w:lineRule="auto"/>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五、评标及废标：</w:t>
      </w:r>
    </w:p>
    <w:p>
      <w:pPr>
        <w:adjustRightInd w:val="0"/>
        <w:snapToGrid w:val="0"/>
        <w:spacing w:line="360" w:lineRule="auto"/>
        <w:ind w:firstLine="600" w:firstLineChars="200"/>
        <w:jc w:val="left"/>
        <w:rPr>
          <w:rFonts w:hint="eastAsia" w:ascii="仿宋_GB2312" w:hAnsi="宋体" w:eastAsia="仿宋_GB2312" w:cs="‹ÎSå"/>
          <w:color w:val="auto"/>
          <w:kern w:val="1"/>
          <w:sz w:val="30"/>
          <w:szCs w:val="30"/>
        </w:rPr>
      </w:pPr>
      <w:r>
        <w:rPr>
          <w:rFonts w:hint="eastAsia" w:ascii="仿宋" w:hAnsi="仿宋" w:eastAsia="仿宋" w:cs="仿宋"/>
          <w:bCs/>
          <w:color w:val="auto"/>
          <w:kern w:val="1"/>
          <w:sz w:val="30"/>
          <w:szCs w:val="30"/>
        </w:rPr>
        <w:t>（一）评标</w:t>
      </w:r>
      <w:r>
        <w:rPr>
          <w:rFonts w:hint="eastAsia" w:ascii="仿宋" w:hAnsi="仿宋" w:eastAsia="仿宋" w:cs="仿宋"/>
          <w:bCs/>
          <w:color w:val="auto"/>
          <w:kern w:val="1"/>
          <w:sz w:val="30"/>
          <w:szCs w:val="30"/>
          <w:lang w:eastAsia="zh-CN"/>
        </w:rPr>
        <w:t>：</w:t>
      </w:r>
      <w:r>
        <w:rPr>
          <w:rFonts w:hint="eastAsia" w:ascii="仿宋_GB2312" w:hAnsi="宋体" w:eastAsia="仿宋_GB2312" w:cs="‹ÎSå"/>
          <w:color w:val="auto"/>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）凡投标人不具备招标人明确要求资质的，或投标文件填写不完整、报价有空项的，或不符合技术要求条款的，或者存在其他不符合招标人有关要求的问题，可作废标处理。</w:t>
      </w:r>
    </w:p>
    <w:p>
      <w:pPr>
        <w:numPr>
          <w:ilvl w:val="0"/>
          <w:numId w:val="1"/>
        </w:numPr>
        <w:adjustRightInd w:val="0"/>
        <w:snapToGrid w:val="0"/>
        <w:spacing w:line="360" w:lineRule="auto"/>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（三）对不合格货品招标人应及时通知中标人，如有异议双方可协商解决。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（四）如因投标人不能正常履约，对招标人生产经营活动造成影响的，招标人可向阿里巴巴公司投诉；如严重影响招标人生产经营活动的，招标人将依法追究投标方法律责任。</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（六）投标人应详细阅读本招标书，参与报价投标即视为对本招标书所列之条款均表示接受。</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（七）招标人对违反约定的投标人或中标人将按《江苏索普赛瑞装备制造有限公司供应商负面清单管理规定（试行）》对投标人进行管理考核（详见附件）。</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（八）本次招标解释权归江苏索普赛瑞装备制造有限公司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部所有。</w:t>
      </w:r>
    </w:p>
    <w:p>
      <w:pPr>
        <w:adjustRightInd w:val="0"/>
        <w:snapToGrid w:val="0"/>
        <w:spacing w:line="360" w:lineRule="auto"/>
        <w:ind w:firstLine="600" w:firstLineChars="200"/>
        <w:rPr>
          <w:rFonts w:hint="eastAsia" w:ascii="仿宋" w:hAnsi="仿宋" w:eastAsia="仿宋" w:cs="仿宋"/>
          <w:bCs/>
          <w:color w:val="auto"/>
          <w:kern w:val="1"/>
          <w:sz w:val="30"/>
          <w:szCs w:val="30"/>
        </w:rPr>
      </w:pPr>
    </w:p>
    <w:p>
      <w:pPr>
        <w:pStyle w:val="4"/>
        <w:rPr>
          <w:rFonts w:ascii="方正小标宋简体" w:hAnsi="方正小标宋简体" w:eastAsia="方正小标宋简体" w:cs="方正小标宋简体"/>
          <w:bCs/>
          <w:kern w:val="0"/>
          <w:sz w:val="44"/>
          <w:szCs w:val="44"/>
        </w:rPr>
      </w:pPr>
      <w:r>
        <w:rPr>
          <w:rFonts w:hint="eastAsia" w:ascii="仿宋" w:hAnsi="仿宋" w:eastAsia="仿宋" w:cs="仿宋"/>
          <w:bCs/>
          <w:kern w:val="1"/>
          <w:sz w:val="30"/>
          <w:szCs w:val="30"/>
        </w:rPr>
        <w:t>　</w:t>
      </w:r>
      <w:r>
        <w:rPr>
          <w:rFonts w:hint="eastAsia" w:ascii="仿宋" w:hAnsi="仿宋" w:eastAsia="仿宋" w:cs="仿宋"/>
          <w:bCs/>
          <w:kern w:val="1"/>
          <w:sz w:val="30"/>
          <w:szCs w:val="30"/>
          <w:lang w:val="en-US" w:eastAsia="zh-CN"/>
        </w:rPr>
        <w:t xml:space="preserve">   </w:t>
      </w:r>
      <w:r>
        <w:rPr>
          <w:rFonts w:hint="eastAsia" w:ascii="方正小标宋简体" w:hAnsi="方正小标宋简体" w:eastAsia="方正小标宋简体" w:cs="方正小标宋简体"/>
          <w:bCs/>
          <w:kern w:val="0"/>
          <w:sz w:val="44"/>
          <w:szCs w:val="44"/>
        </w:rPr>
        <w:t>索普赛瑞供应商负面清单管理规定</w:t>
      </w:r>
    </w:p>
    <w:p>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pPr>
        <w:tabs>
          <w:tab w:val="left" w:pos="2565"/>
        </w:tabs>
        <w:spacing w:line="600" w:lineRule="exact"/>
        <w:ind w:firstLine="680" w:firstLineChars="200"/>
        <w:rPr>
          <w:rFonts w:ascii="仿宋_GB2312" w:hAnsi="仿宋" w:eastAsia="仿宋_GB2312"/>
          <w:sz w:val="34"/>
          <w:szCs w:val="34"/>
        </w:rPr>
      </w:pPr>
    </w:p>
    <w:p>
      <w:pPr>
        <w:adjustRightInd w:val="0"/>
        <w:snapToGrid w:val="0"/>
        <w:spacing w:line="600" w:lineRule="exact"/>
        <w:ind w:firstLine="2891" w:firstLineChars="900"/>
        <w:jc w:val="both"/>
        <w:rPr>
          <w:rFonts w:ascii="黑体" w:hAnsi="黑体" w:eastAsia="黑体" w:cs="黑体"/>
          <w:b/>
          <w:bCs/>
          <w:kern w:val="0"/>
          <w:sz w:val="32"/>
          <w:szCs w:val="32"/>
        </w:rPr>
      </w:pPr>
      <w:r>
        <w:rPr>
          <w:rFonts w:hint="eastAsia" w:ascii="黑体" w:hAnsi="黑体" w:eastAsia="黑体" w:cs="黑体"/>
          <w:b/>
          <w:bCs/>
          <w:kern w:val="0"/>
          <w:sz w:val="32"/>
          <w:szCs w:val="32"/>
        </w:rPr>
        <w:t>第一章 总则</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第一条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w:t>
      </w:r>
      <w:r>
        <w:rPr>
          <w:rFonts w:hint="eastAsia" w:ascii="仿宋_GB2312" w:hAnsi="仿宋_GB2312" w:eastAsia="仿宋_GB2312" w:cs="仿宋_GB2312"/>
          <w:sz w:val="34"/>
          <w:szCs w:val="34"/>
          <w:highlight w:val="none"/>
        </w:rPr>
        <w:t>（采购和外协加工受压元件的材料，需要经公司相关部门考察认定），</w:t>
      </w:r>
      <w:r>
        <w:rPr>
          <w:rFonts w:hint="eastAsia" w:ascii="仿宋_GB2312" w:hAnsi="仿宋_GB2312" w:eastAsia="仿宋_GB2312" w:cs="仿宋_GB2312"/>
          <w:sz w:val="34"/>
          <w:szCs w:val="34"/>
        </w:rPr>
        <w:t>均可参与我司组织的招投标、比价采购等商务活动。</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第二条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本制度适用于索普赛瑞本部各部门。</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第三条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责任部门职责分工</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供应商负面清单确定流程</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bidi="ar-SA"/>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kern w:val="0"/>
          <w:sz w:val="32"/>
          <w:szCs w:val="32"/>
        </w:rPr>
        <w:t>第四条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r>
        <w:rPr>
          <w:rFonts w:hint="eastAsia" w:ascii="仿宋_GB2312" w:hAnsi="仿宋_GB2312" w:eastAsia="仿宋_GB2312" w:cs="仿宋_GB2312"/>
          <w:sz w:val="34"/>
          <w:szCs w:val="34"/>
          <w:lang w:eastAsia="zh-CN"/>
        </w:rPr>
        <w:t>：</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供应商积分考核和管理</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第五条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kern w:val="0"/>
          <w:sz w:val="32"/>
          <w:szCs w:val="32"/>
        </w:rPr>
        <w:t>第六条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供应商考核方法</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（1）所供产品出现质量问题，经调换未对公司造成影响，单次扣1-3分。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（2）所供产品出现质量问题，对公司造成了一定影响，单次扣3-5分。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（3）所供产品出现质量问题，对公司造成了严重影响，单次扣5-10分。</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（1）交货时无质检报告或合格证等必要资料的，单次扣1-3分。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（2）交货时未按规定包装的，单次扣1-3分。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（3）延期交货，但未对公司造成影响，单次扣1-3分；造成一定影响，单次扣3-5分；造成严重影响，单次扣5-10分。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（4）</w:t>
      </w:r>
      <w:r>
        <w:rPr>
          <w:rFonts w:hint="eastAsia" w:ascii="仿宋_GB2312" w:hAnsi="仿宋_GB2312" w:eastAsia="仿宋_GB2312" w:cs="仿宋_GB2312"/>
          <w:sz w:val="34"/>
          <w:szCs w:val="34"/>
        </w:rPr>
        <w:t>交货过程中存在故意隐瞒质量缺陷或以次充好，单次扣5-10分。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（5）</w:t>
      </w:r>
      <w:r>
        <w:rPr>
          <w:rFonts w:hint="eastAsia" w:ascii="仿宋_GB2312" w:hAnsi="仿宋_GB2312" w:eastAsia="仿宋_GB2312" w:cs="仿宋_GB2312"/>
          <w:sz w:val="34"/>
          <w:szCs w:val="34"/>
        </w:rPr>
        <w:t>运输单位未能按要求完成运输任务，单次扣1-3分。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发生安全事故，并且供应商有责任的，单次扣5-10分。</w:t>
      </w:r>
    </w:p>
    <w:p>
      <w:pPr>
        <w:widowControl w:val="0"/>
        <w:numPr>
          <w:ilvl w:val="0"/>
          <w:numId w:val="0"/>
        </w:numPr>
        <w:tabs>
          <w:tab w:val="left" w:pos="2565"/>
        </w:tabs>
        <w:wordWrap/>
        <w:adjustRightInd/>
        <w:snapToGrid/>
        <w:spacing w:line="600" w:lineRule="exact"/>
        <w:ind w:leftChars="200"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3.售后方面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（1）对我公司的售后服务要求不能及时响应，单次扣1-3分；已造成一定影响，单次扣3-5分；造成严重影响，单次扣5-10分。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（2）售后人员不能及时解决问题，单次扣1-3分。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（3）在质保期之内，拒绝按合同提供售后服务，单次扣5-10分。</w:t>
      </w:r>
    </w:p>
    <w:p>
      <w:pPr>
        <w:widowControl w:val="0"/>
        <w:tabs>
          <w:tab w:val="left" w:pos="2565"/>
        </w:tabs>
        <w:wordWrap/>
        <w:adjustRightInd/>
        <w:snapToGrid/>
        <w:spacing w:line="600" w:lineRule="exact"/>
        <w:ind w:left="0" w:leftChars="0" w:right="0"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（1）中标之后因报价、参数错误等原因，经双方协商终止合同签订，单次扣1-3分。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（2）中标之后拒绝签订合同或拒绝履行合同，单次扣5-10分。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（3）无正当理由未及时开具发票给我方，单次扣1-3分。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（4）未按合同约定价格开票，单次扣1-3分。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（5）注册信息及基本资质证书不属实，单次扣5-10分。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（6）因知识产权引起纠纷，单次扣5-10分。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第七条</w:t>
      </w:r>
      <w:r>
        <w:rPr>
          <w:rFonts w:ascii="仿宋_GB2312" w:hAnsi="仿宋" w:eastAsia="仿宋_GB2312" w:cs="Times New Roman"/>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1、涉及弄虚作假、欺诈、故意隐瞒、冒名顶替等行为的。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2、出现串标、围标、陪标、或者以损害其他城市竞争者的利益谋求中标的。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3、供应商通过恶意法律诉讼起诉我公司最终被法院裁定为败诉的。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4、违反廉政协议，滋生腐败现象的。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第八条</w:t>
      </w:r>
      <w:r>
        <w:rPr>
          <w:rFonts w:hint="eastAsia" w:ascii="仿宋_GB2312" w:hAnsi="仿宋" w:eastAsia="仿宋_GB2312" w:cs="Times New Roman"/>
          <w:sz w:val="32"/>
          <w:szCs w:val="32"/>
        </w:rPr>
        <w:t xml:space="preserve"> </w:t>
      </w:r>
      <w:r>
        <w:rPr>
          <w:rFonts w:hint="eastAsia" w:ascii="仿宋_GB2312" w:hAnsi="仿宋_GB2312" w:eastAsia="仿宋_GB2312" w:cs="仿宋_GB2312"/>
          <w:sz w:val="34"/>
          <w:szCs w:val="34"/>
        </w:rPr>
        <w:t>关于无效投诉的处理办法</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第四章 从负面清单供应商的消除</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第九条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1.供应商提出负面清单消除的书面申请以及针对考核项的整改措施、效果等相关文件材料；</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第五章 附则</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w:t>
      </w:r>
      <w:r>
        <w:rPr>
          <w:rFonts w:hint="eastAsia" w:ascii="仿宋_GB2312" w:hAnsi="黑体" w:eastAsia="仿宋_GB2312" w:cs="黑体"/>
          <w:b/>
          <w:bCs/>
          <w:kern w:val="0"/>
          <w:sz w:val="32"/>
          <w:szCs w:val="32"/>
        </w:rPr>
        <w:t>十条</w:t>
      </w:r>
      <w:r>
        <w:rPr>
          <w:rFonts w:hint="eastAsia" w:ascii="仿宋_GB2312" w:hAnsi="楷体" w:eastAsia="仿宋_GB2312" w:cs="Times New Roman"/>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仿宋" w:eastAsia="仿宋_GB2312" w:cs="Times New Roman"/>
          <w:b/>
          <w:bCs/>
          <w:sz w:val="32"/>
          <w:szCs w:val="32"/>
        </w:rPr>
        <w:t>第十一条</w:t>
      </w:r>
      <w:r>
        <w:rPr>
          <w:rFonts w:hint="eastAsia" w:ascii="仿宋_GB2312" w:hAnsi="仿宋" w:eastAsia="仿宋_GB2312" w:cs="Times New Roman"/>
          <w:b/>
          <w:bCs/>
          <w:sz w:val="32"/>
          <w:szCs w:val="32"/>
          <w:lang w:val="en-US" w:eastAsia="zh-CN"/>
        </w:rPr>
        <w:t xml:space="preserve">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第十二条</w:t>
      </w:r>
      <w:r>
        <w:rPr>
          <w:rFonts w:hint="eastAsia" w:ascii="仿宋_GB2312" w:hAnsi="楷体" w:eastAsia="仿宋_GB2312" w:cs="Times New Roman"/>
          <w:b/>
          <w:sz w:val="32"/>
          <w:szCs w:val="32"/>
          <w:lang w:val="en-US" w:eastAsia="zh-CN"/>
        </w:rPr>
        <w:t xml:space="preserve">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9"/>
        <w:tblpPr w:leftFromText="180" w:rightFromText="180" w:vertAnchor="text" w:horzAnchor="page" w:tblpX="1066" w:tblpY="256"/>
        <w:tblOverlap w:val="never"/>
        <w:tblW w:w="15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12" w:type="dxa"/>
            <w:noWrap w:val="0"/>
            <w:vAlign w:val="bottom"/>
          </w:tcPr>
          <w:p>
            <w:pPr>
              <w:rPr>
                <w:rFonts w:ascii="宋体" w:hAnsi="宋体" w:cs="宋体"/>
                <w:color w:val="000000"/>
                <w:sz w:val="24"/>
                <w:szCs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pPr>
              <w:rPr>
                <w:rFonts w:ascii="宋体" w:hAnsi="宋体" w:cs="宋体"/>
                <w:color w:val="000000"/>
                <w:sz w:val="24"/>
                <w:szCs w:val="24"/>
              </w:rPr>
            </w:pPr>
          </w:p>
        </w:tc>
        <w:tc>
          <w:tcPr>
            <w:tcW w:w="981" w:type="dxa"/>
            <w:noWrap w:val="0"/>
            <w:vAlign w:val="bottom"/>
          </w:tcPr>
          <w:p>
            <w:pPr>
              <w:rPr>
                <w:rFonts w:ascii="宋体" w:hAnsi="宋体" w:cs="宋体"/>
                <w:color w:val="000000"/>
                <w:sz w:val="24"/>
                <w:szCs w:val="24"/>
              </w:rPr>
            </w:pPr>
          </w:p>
        </w:tc>
        <w:tc>
          <w:tcPr>
            <w:tcW w:w="1016"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69"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56"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76" w:type="dxa"/>
            <w:noWrap w:val="0"/>
            <w:vAlign w:val="bottom"/>
          </w:tcPr>
          <w:p>
            <w:pPr>
              <w:rPr>
                <w:rFonts w:ascii="宋体" w:hAnsi="宋体" w:cs="宋体"/>
                <w:color w:val="000000"/>
                <w:sz w:val="24"/>
                <w:szCs w:val="24"/>
              </w:rPr>
            </w:pPr>
          </w:p>
        </w:tc>
        <w:tc>
          <w:tcPr>
            <w:tcW w:w="1075" w:type="dxa"/>
            <w:noWrap w:val="0"/>
            <w:vAlign w:val="bottom"/>
          </w:tcPr>
          <w:p>
            <w:pPr>
              <w:rPr>
                <w:rFonts w:ascii="宋体" w:hAnsi="宋体" w:cs="宋体"/>
                <w:color w:val="000000"/>
                <w:sz w:val="24"/>
                <w:szCs w:val="24"/>
              </w:rPr>
            </w:pPr>
          </w:p>
        </w:tc>
      </w:tr>
    </w:tbl>
    <w:tbl>
      <w:tblPr>
        <w:tblStyle w:val="9"/>
        <w:tblW w:w="129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96" w:type="dxa"/>
            <w:gridSpan w:val="11"/>
            <w:tcBorders>
              <w:top w:val="nil"/>
              <w:left w:val="nil"/>
              <w:bottom w:val="nil"/>
              <w:right w:val="nil"/>
            </w:tcBorders>
            <w:noWrap w:val="0"/>
            <w:vAlign w:val="center"/>
          </w:tcPr>
          <w:p>
            <w:pPr>
              <w:widowControl/>
              <w:jc w:val="left"/>
              <w:rPr>
                <w:rFonts w:ascii="宋体" w:hAnsi="宋体" w:cs="宋体"/>
                <w:kern w:val="0"/>
                <w:szCs w:val="21"/>
              </w:rPr>
            </w:pPr>
          </w:p>
        </w:tc>
        <w:tc>
          <w:tcPr>
            <w:tcW w:w="1357"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286" w:type="dxa"/>
            <w:gridSpan w:val="2"/>
            <w:tcBorders>
              <w:top w:val="nil"/>
              <w:left w:val="nil"/>
              <w:bottom w:val="nil"/>
              <w:right w:val="nil"/>
            </w:tcBorders>
            <w:noWrap w:val="0"/>
            <w:vAlign w:val="center"/>
          </w:tcPr>
          <w:p>
            <w:pPr>
              <w:widowControl/>
              <w:jc w:val="left"/>
              <w:rPr>
                <w:rFonts w:ascii="宋体" w:hAnsi="宋体" w:cs="宋体"/>
                <w:kern w:val="0"/>
                <w:szCs w:val="21"/>
              </w:rPr>
            </w:pPr>
          </w:p>
        </w:tc>
      </w:tr>
    </w:tbl>
    <w:p/>
    <w:p>
      <w:pPr>
        <w:spacing w:line="600" w:lineRule="exact"/>
      </w:pPr>
    </w:p>
    <w:sectPr>
      <w:footerReference r:id="rId4" w:type="default"/>
      <w:footerReference r:id="rId5"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CXR4eGxwEAAI0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C45D21"/>
    <w:rsid w:val="00000B36"/>
    <w:rsid w:val="00004237"/>
    <w:rsid w:val="0000578A"/>
    <w:rsid w:val="0001180E"/>
    <w:rsid w:val="000154D0"/>
    <w:rsid w:val="00020451"/>
    <w:rsid w:val="00021C6D"/>
    <w:rsid w:val="00023B13"/>
    <w:rsid w:val="0002689F"/>
    <w:rsid w:val="00035B7E"/>
    <w:rsid w:val="00036953"/>
    <w:rsid w:val="000442FE"/>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E55A7"/>
    <w:rsid w:val="000F0801"/>
    <w:rsid w:val="000F4A0C"/>
    <w:rsid w:val="00103F5A"/>
    <w:rsid w:val="00105CEC"/>
    <w:rsid w:val="0011682A"/>
    <w:rsid w:val="00117CC8"/>
    <w:rsid w:val="00130C15"/>
    <w:rsid w:val="00132B6D"/>
    <w:rsid w:val="00136470"/>
    <w:rsid w:val="00137AE7"/>
    <w:rsid w:val="00142A92"/>
    <w:rsid w:val="00146253"/>
    <w:rsid w:val="0014734C"/>
    <w:rsid w:val="00147AC2"/>
    <w:rsid w:val="00147CBF"/>
    <w:rsid w:val="00156ED5"/>
    <w:rsid w:val="00157FF3"/>
    <w:rsid w:val="00164E9C"/>
    <w:rsid w:val="00176DC4"/>
    <w:rsid w:val="0018747D"/>
    <w:rsid w:val="00192AC4"/>
    <w:rsid w:val="001B5216"/>
    <w:rsid w:val="001C000F"/>
    <w:rsid w:val="001D2603"/>
    <w:rsid w:val="001E28D0"/>
    <w:rsid w:val="001E3B0A"/>
    <w:rsid w:val="001F0092"/>
    <w:rsid w:val="002058D8"/>
    <w:rsid w:val="00210CD9"/>
    <w:rsid w:val="00220534"/>
    <w:rsid w:val="00233BFC"/>
    <w:rsid w:val="00240AED"/>
    <w:rsid w:val="00240B04"/>
    <w:rsid w:val="00242358"/>
    <w:rsid w:val="00260456"/>
    <w:rsid w:val="00262421"/>
    <w:rsid w:val="0026486A"/>
    <w:rsid w:val="002661E8"/>
    <w:rsid w:val="00267781"/>
    <w:rsid w:val="00277FCE"/>
    <w:rsid w:val="002825B5"/>
    <w:rsid w:val="00282866"/>
    <w:rsid w:val="00282E34"/>
    <w:rsid w:val="00283FDC"/>
    <w:rsid w:val="00284ABB"/>
    <w:rsid w:val="00284D39"/>
    <w:rsid w:val="00285AFA"/>
    <w:rsid w:val="00287AC1"/>
    <w:rsid w:val="002943FF"/>
    <w:rsid w:val="00294408"/>
    <w:rsid w:val="0029440A"/>
    <w:rsid w:val="002970D7"/>
    <w:rsid w:val="002A6A7A"/>
    <w:rsid w:val="002A79C0"/>
    <w:rsid w:val="002B2713"/>
    <w:rsid w:val="002B2D7A"/>
    <w:rsid w:val="002B48F7"/>
    <w:rsid w:val="002C0F5A"/>
    <w:rsid w:val="002C19D0"/>
    <w:rsid w:val="002C3E3B"/>
    <w:rsid w:val="002C49B4"/>
    <w:rsid w:val="002D37AA"/>
    <w:rsid w:val="002D6CD4"/>
    <w:rsid w:val="002D736F"/>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7779A"/>
    <w:rsid w:val="00391962"/>
    <w:rsid w:val="003A3FE3"/>
    <w:rsid w:val="003A5915"/>
    <w:rsid w:val="003B2EB5"/>
    <w:rsid w:val="003B5E07"/>
    <w:rsid w:val="003C2388"/>
    <w:rsid w:val="003C6355"/>
    <w:rsid w:val="003D7A49"/>
    <w:rsid w:val="003F2EF5"/>
    <w:rsid w:val="003F3C8C"/>
    <w:rsid w:val="003F5731"/>
    <w:rsid w:val="003F623F"/>
    <w:rsid w:val="00402846"/>
    <w:rsid w:val="0040346D"/>
    <w:rsid w:val="00405FAB"/>
    <w:rsid w:val="004114C6"/>
    <w:rsid w:val="00417177"/>
    <w:rsid w:val="00417EAB"/>
    <w:rsid w:val="004212BA"/>
    <w:rsid w:val="00421BA4"/>
    <w:rsid w:val="00425EAB"/>
    <w:rsid w:val="004413FD"/>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24492"/>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C54DB"/>
    <w:rsid w:val="005C7C1D"/>
    <w:rsid w:val="005D0E39"/>
    <w:rsid w:val="005D1832"/>
    <w:rsid w:val="005E332E"/>
    <w:rsid w:val="005F0D68"/>
    <w:rsid w:val="005F3F80"/>
    <w:rsid w:val="006031F4"/>
    <w:rsid w:val="00603A81"/>
    <w:rsid w:val="00610969"/>
    <w:rsid w:val="006136BF"/>
    <w:rsid w:val="0061459D"/>
    <w:rsid w:val="00616E27"/>
    <w:rsid w:val="006202AC"/>
    <w:rsid w:val="00625FC4"/>
    <w:rsid w:val="00633AC1"/>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6E6DCF"/>
    <w:rsid w:val="00702E8F"/>
    <w:rsid w:val="007037A1"/>
    <w:rsid w:val="007037C0"/>
    <w:rsid w:val="00703B92"/>
    <w:rsid w:val="00711691"/>
    <w:rsid w:val="007254A6"/>
    <w:rsid w:val="00727BA1"/>
    <w:rsid w:val="00735CE1"/>
    <w:rsid w:val="007363E5"/>
    <w:rsid w:val="00737965"/>
    <w:rsid w:val="0074325E"/>
    <w:rsid w:val="0074488A"/>
    <w:rsid w:val="00754944"/>
    <w:rsid w:val="00756FDD"/>
    <w:rsid w:val="00761D09"/>
    <w:rsid w:val="0076214C"/>
    <w:rsid w:val="00766EEB"/>
    <w:rsid w:val="00774B32"/>
    <w:rsid w:val="00795617"/>
    <w:rsid w:val="007A4B81"/>
    <w:rsid w:val="007B324B"/>
    <w:rsid w:val="007B4344"/>
    <w:rsid w:val="007B50AE"/>
    <w:rsid w:val="007C60F6"/>
    <w:rsid w:val="007C7994"/>
    <w:rsid w:val="007C7E84"/>
    <w:rsid w:val="007D0B07"/>
    <w:rsid w:val="007D405B"/>
    <w:rsid w:val="007D4112"/>
    <w:rsid w:val="007D6199"/>
    <w:rsid w:val="007D64DF"/>
    <w:rsid w:val="007E1861"/>
    <w:rsid w:val="007E3287"/>
    <w:rsid w:val="007E4176"/>
    <w:rsid w:val="007E41FD"/>
    <w:rsid w:val="007E51F0"/>
    <w:rsid w:val="007E7F3F"/>
    <w:rsid w:val="007F2DD6"/>
    <w:rsid w:val="00800148"/>
    <w:rsid w:val="0080132D"/>
    <w:rsid w:val="00814965"/>
    <w:rsid w:val="008253BF"/>
    <w:rsid w:val="008318D4"/>
    <w:rsid w:val="0083579F"/>
    <w:rsid w:val="00850539"/>
    <w:rsid w:val="008516C8"/>
    <w:rsid w:val="00864401"/>
    <w:rsid w:val="0086539E"/>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258E"/>
    <w:rsid w:val="0093323A"/>
    <w:rsid w:val="0093612E"/>
    <w:rsid w:val="009364A4"/>
    <w:rsid w:val="0093666D"/>
    <w:rsid w:val="0095016B"/>
    <w:rsid w:val="009509C5"/>
    <w:rsid w:val="00964C87"/>
    <w:rsid w:val="00967481"/>
    <w:rsid w:val="00967593"/>
    <w:rsid w:val="00973D16"/>
    <w:rsid w:val="00974F69"/>
    <w:rsid w:val="00975972"/>
    <w:rsid w:val="009772F1"/>
    <w:rsid w:val="00977C2E"/>
    <w:rsid w:val="00980EEB"/>
    <w:rsid w:val="00981276"/>
    <w:rsid w:val="0098745B"/>
    <w:rsid w:val="00990603"/>
    <w:rsid w:val="009946F0"/>
    <w:rsid w:val="009A1CE6"/>
    <w:rsid w:val="009A3F44"/>
    <w:rsid w:val="009A4EB9"/>
    <w:rsid w:val="009A7B41"/>
    <w:rsid w:val="009B1314"/>
    <w:rsid w:val="009B334A"/>
    <w:rsid w:val="009B41AD"/>
    <w:rsid w:val="009C43D4"/>
    <w:rsid w:val="009C693D"/>
    <w:rsid w:val="009D3D88"/>
    <w:rsid w:val="009D7896"/>
    <w:rsid w:val="009E0F66"/>
    <w:rsid w:val="009E27E7"/>
    <w:rsid w:val="009E3CC5"/>
    <w:rsid w:val="009E6E54"/>
    <w:rsid w:val="009E79C7"/>
    <w:rsid w:val="009F2E9A"/>
    <w:rsid w:val="009F62F3"/>
    <w:rsid w:val="009F6C65"/>
    <w:rsid w:val="00A05B42"/>
    <w:rsid w:val="00A05BA9"/>
    <w:rsid w:val="00A14C1D"/>
    <w:rsid w:val="00A16CBA"/>
    <w:rsid w:val="00A17585"/>
    <w:rsid w:val="00A20FAF"/>
    <w:rsid w:val="00A22FB8"/>
    <w:rsid w:val="00A2413D"/>
    <w:rsid w:val="00A27003"/>
    <w:rsid w:val="00A27005"/>
    <w:rsid w:val="00A347B9"/>
    <w:rsid w:val="00A3551D"/>
    <w:rsid w:val="00A53D1D"/>
    <w:rsid w:val="00A55828"/>
    <w:rsid w:val="00A56D2D"/>
    <w:rsid w:val="00A60AAA"/>
    <w:rsid w:val="00A6315C"/>
    <w:rsid w:val="00A63E2F"/>
    <w:rsid w:val="00A74B1F"/>
    <w:rsid w:val="00A8036C"/>
    <w:rsid w:val="00A82898"/>
    <w:rsid w:val="00A83DD9"/>
    <w:rsid w:val="00A85922"/>
    <w:rsid w:val="00A90369"/>
    <w:rsid w:val="00A95058"/>
    <w:rsid w:val="00A95940"/>
    <w:rsid w:val="00A9720D"/>
    <w:rsid w:val="00AA2294"/>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4781"/>
    <w:rsid w:val="00B57B6C"/>
    <w:rsid w:val="00B60EA6"/>
    <w:rsid w:val="00B631FA"/>
    <w:rsid w:val="00B64739"/>
    <w:rsid w:val="00B8380D"/>
    <w:rsid w:val="00B83A83"/>
    <w:rsid w:val="00BA5669"/>
    <w:rsid w:val="00BC5FB3"/>
    <w:rsid w:val="00BC6AC8"/>
    <w:rsid w:val="00BD0AE3"/>
    <w:rsid w:val="00BE3215"/>
    <w:rsid w:val="00BE33D4"/>
    <w:rsid w:val="00BE53C4"/>
    <w:rsid w:val="00BE58C3"/>
    <w:rsid w:val="00BE5F10"/>
    <w:rsid w:val="00BE6CF9"/>
    <w:rsid w:val="00BF2E4E"/>
    <w:rsid w:val="00BF4F67"/>
    <w:rsid w:val="00BF7184"/>
    <w:rsid w:val="00C01CB2"/>
    <w:rsid w:val="00C121E5"/>
    <w:rsid w:val="00C20163"/>
    <w:rsid w:val="00C201E7"/>
    <w:rsid w:val="00C23FF7"/>
    <w:rsid w:val="00C263EA"/>
    <w:rsid w:val="00C27C77"/>
    <w:rsid w:val="00C31821"/>
    <w:rsid w:val="00C31B6C"/>
    <w:rsid w:val="00C45D21"/>
    <w:rsid w:val="00C51A2F"/>
    <w:rsid w:val="00C5567F"/>
    <w:rsid w:val="00C607DC"/>
    <w:rsid w:val="00C62D4A"/>
    <w:rsid w:val="00C6413D"/>
    <w:rsid w:val="00C70266"/>
    <w:rsid w:val="00C7603E"/>
    <w:rsid w:val="00C83529"/>
    <w:rsid w:val="00C92221"/>
    <w:rsid w:val="00C93932"/>
    <w:rsid w:val="00C94853"/>
    <w:rsid w:val="00C9749C"/>
    <w:rsid w:val="00CA1C12"/>
    <w:rsid w:val="00CA79C6"/>
    <w:rsid w:val="00CD294A"/>
    <w:rsid w:val="00CF26CA"/>
    <w:rsid w:val="00CF3AD6"/>
    <w:rsid w:val="00CF7ACB"/>
    <w:rsid w:val="00D04303"/>
    <w:rsid w:val="00D1486C"/>
    <w:rsid w:val="00D171F0"/>
    <w:rsid w:val="00D17229"/>
    <w:rsid w:val="00D172C2"/>
    <w:rsid w:val="00D17F0C"/>
    <w:rsid w:val="00D236FA"/>
    <w:rsid w:val="00D26EAE"/>
    <w:rsid w:val="00D36183"/>
    <w:rsid w:val="00D647B1"/>
    <w:rsid w:val="00D71DC8"/>
    <w:rsid w:val="00D750FB"/>
    <w:rsid w:val="00D7603E"/>
    <w:rsid w:val="00D77608"/>
    <w:rsid w:val="00D8247C"/>
    <w:rsid w:val="00D85EC6"/>
    <w:rsid w:val="00D922D1"/>
    <w:rsid w:val="00D9439B"/>
    <w:rsid w:val="00DA3266"/>
    <w:rsid w:val="00DA4FD9"/>
    <w:rsid w:val="00DC03EB"/>
    <w:rsid w:val="00DC14BC"/>
    <w:rsid w:val="00DC45EF"/>
    <w:rsid w:val="00DD386F"/>
    <w:rsid w:val="00DD67B2"/>
    <w:rsid w:val="00DE040B"/>
    <w:rsid w:val="00DE0D80"/>
    <w:rsid w:val="00DE5F1F"/>
    <w:rsid w:val="00DF255F"/>
    <w:rsid w:val="00DF2B93"/>
    <w:rsid w:val="00DF3B18"/>
    <w:rsid w:val="00DF3B64"/>
    <w:rsid w:val="00E03F47"/>
    <w:rsid w:val="00E07F8C"/>
    <w:rsid w:val="00E13B52"/>
    <w:rsid w:val="00E15890"/>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07EE"/>
    <w:rsid w:val="00EA3173"/>
    <w:rsid w:val="00EA538E"/>
    <w:rsid w:val="00EA6AED"/>
    <w:rsid w:val="00EA75EB"/>
    <w:rsid w:val="00EA795B"/>
    <w:rsid w:val="00EB0F83"/>
    <w:rsid w:val="00EB3B26"/>
    <w:rsid w:val="00EB62A8"/>
    <w:rsid w:val="00EC2566"/>
    <w:rsid w:val="00ED5039"/>
    <w:rsid w:val="00ED5C53"/>
    <w:rsid w:val="00EF025D"/>
    <w:rsid w:val="00F045F4"/>
    <w:rsid w:val="00F046E8"/>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8D087F"/>
    <w:rsid w:val="03AB416A"/>
    <w:rsid w:val="03BE46CA"/>
    <w:rsid w:val="03E57087"/>
    <w:rsid w:val="03EE3E2C"/>
    <w:rsid w:val="042452CB"/>
    <w:rsid w:val="047441A4"/>
    <w:rsid w:val="048A2E85"/>
    <w:rsid w:val="049C6FD8"/>
    <w:rsid w:val="04DB761E"/>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2A47A1"/>
    <w:rsid w:val="092F6D8F"/>
    <w:rsid w:val="09373ABB"/>
    <w:rsid w:val="094E0124"/>
    <w:rsid w:val="09532A1B"/>
    <w:rsid w:val="09C33652"/>
    <w:rsid w:val="09EC7201"/>
    <w:rsid w:val="0A43737F"/>
    <w:rsid w:val="0A8628A6"/>
    <w:rsid w:val="0AC95B7A"/>
    <w:rsid w:val="0AF22F92"/>
    <w:rsid w:val="0AF93815"/>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BF06D0"/>
    <w:rsid w:val="0F0F7DA6"/>
    <w:rsid w:val="0F3827E4"/>
    <w:rsid w:val="0F474907"/>
    <w:rsid w:val="0F476ECA"/>
    <w:rsid w:val="0F672722"/>
    <w:rsid w:val="0FC21136"/>
    <w:rsid w:val="0FF265C7"/>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A73F77"/>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640835"/>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4E7940"/>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EB4D1E"/>
    <w:rsid w:val="36F23585"/>
    <w:rsid w:val="37092171"/>
    <w:rsid w:val="37380378"/>
    <w:rsid w:val="37570E79"/>
    <w:rsid w:val="376F689E"/>
    <w:rsid w:val="3775316E"/>
    <w:rsid w:val="37B2586C"/>
    <w:rsid w:val="37DA19C9"/>
    <w:rsid w:val="38111487"/>
    <w:rsid w:val="38190834"/>
    <w:rsid w:val="386F7FEE"/>
    <w:rsid w:val="38A77071"/>
    <w:rsid w:val="38C6092B"/>
    <w:rsid w:val="39431D2B"/>
    <w:rsid w:val="39446ABE"/>
    <w:rsid w:val="39917372"/>
    <w:rsid w:val="39A06C31"/>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872190"/>
    <w:rsid w:val="3DAA7FDC"/>
    <w:rsid w:val="3DAF06B3"/>
    <w:rsid w:val="3DB82A32"/>
    <w:rsid w:val="3DCF35B1"/>
    <w:rsid w:val="3DD21743"/>
    <w:rsid w:val="3DD77C4F"/>
    <w:rsid w:val="3E2658C2"/>
    <w:rsid w:val="3E3216C8"/>
    <w:rsid w:val="3E7B778D"/>
    <w:rsid w:val="3E861555"/>
    <w:rsid w:val="3E8912B9"/>
    <w:rsid w:val="3EEB1A81"/>
    <w:rsid w:val="3F253A6A"/>
    <w:rsid w:val="3F5D1332"/>
    <w:rsid w:val="3F5F13C6"/>
    <w:rsid w:val="3F6D4D17"/>
    <w:rsid w:val="3FB579A2"/>
    <w:rsid w:val="3FCD7D52"/>
    <w:rsid w:val="40113795"/>
    <w:rsid w:val="409C7062"/>
    <w:rsid w:val="40A22424"/>
    <w:rsid w:val="40CD2069"/>
    <w:rsid w:val="411E33DB"/>
    <w:rsid w:val="411F1CBC"/>
    <w:rsid w:val="41596681"/>
    <w:rsid w:val="4160411F"/>
    <w:rsid w:val="41C71F2D"/>
    <w:rsid w:val="41C84714"/>
    <w:rsid w:val="41C930DD"/>
    <w:rsid w:val="41F81F6C"/>
    <w:rsid w:val="422F3285"/>
    <w:rsid w:val="4278048C"/>
    <w:rsid w:val="42A95AE9"/>
    <w:rsid w:val="42B42080"/>
    <w:rsid w:val="433543AC"/>
    <w:rsid w:val="43805B72"/>
    <w:rsid w:val="442B30AD"/>
    <w:rsid w:val="44500BF3"/>
    <w:rsid w:val="4464696D"/>
    <w:rsid w:val="44C3298D"/>
    <w:rsid w:val="45150520"/>
    <w:rsid w:val="451A029F"/>
    <w:rsid w:val="45305838"/>
    <w:rsid w:val="45846855"/>
    <w:rsid w:val="460C7C2A"/>
    <w:rsid w:val="46365120"/>
    <w:rsid w:val="46422BF3"/>
    <w:rsid w:val="465C42EA"/>
    <w:rsid w:val="46945A6B"/>
    <w:rsid w:val="469F284C"/>
    <w:rsid w:val="46A0311D"/>
    <w:rsid w:val="46FD5F82"/>
    <w:rsid w:val="46FE62B7"/>
    <w:rsid w:val="475714AB"/>
    <w:rsid w:val="478F3DE5"/>
    <w:rsid w:val="49086B40"/>
    <w:rsid w:val="497B03A6"/>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DC7BE8"/>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183C3E"/>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A734CB"/>
    <w:rsid w:val="56457CB7"/>
    <w:rsid w:val="565E7162"/>
    <w:rsid w:val="56C0771E"/>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622548"/>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684F2B"/>
    <w:rsid w:val="61BC013B"/>
    <w:rsid w:val="61D313A2"/>
    <w:rsid w:val="62583951"/>
    <w:rsid w:val="62A81C63"/>
    <w:rsid w:val="62D639F7"/>
    <w:rsid w:val="62F162C9"/>
    <w:rsid w:val="634147D0"/>
    <w:rsid w:val="63414D1C"/>
    <w:rsid w:val="635255D6"/>
    <w:rsid w:val="63681D63"/>
    <w:rsid w:val="63CE7E76"/>
    <w:rsid w:val="641F5BF8"/>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A9670CF"/>
    <w:rsid w:val="6AC63AFC"/>
    <w:rsid w:val="6B112E72"/>
    <w:rsid w:val="6B325FAE"/>
    <w:rsid w:val="6B41572D"/>
    <w:rsid w:val="6B4F5672"/>
    <w:rsid w:val="6B7C77F1"/>
    <w:rsid w:val="6BDC2110"/>
    <w:rsid w:val="6BFB13F3"/>
    <w:rsid w:val="6C6E545A"/>
    <w:rsid w:val="6C8E751D"/>
    <w:rsid w:val="6C9E3613"/>
    <w:rsid w:val="6CA439CF"/>
    <w:rsid w:val="6D072DF8"/>
    <w:rsid w:val="6D522397"/>
    <w:rsid w:val="6DAD3E41"/>
    <w:rsid w:val="6DCC0305"/>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8158F7"/>
    <w:rsid w:val="73A06665"/>
    <w:rsid w:val="73BA1001"/>
    <w:rsid w:val="73DE4104"/>
    <w:rsid w:val="73DF2283"/>
    <w:rsid w:val="74035EF1"/>
    <w:rsid w:val="740744B7"/>
    <w:rsid w:val="742224B4"/>
    <w:rsid w:val="742F6EA1"/>
    <w:rsid w:val="743662C4"/>
    <w:rsid w:val="747F6DA9"/>
    <w:rsid w:val="751549EF"/>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140B97"/>
    <w:rsid w:val="7DEF61E8"/>
    <w:rsid w:val="7E04681D"/>
    <w:rsid w:val="7EF26A1F"/>
    <w:rsid w:val="7F3746F1"/>
    <w:rsid w:val="7F5E6EBF"/>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标题 1 Char"/>
    <w:link w:val="2"/>
    <w:qFormat/>
    <w:uiPriority w:val="9"/>
    <w:rPr>
      <w:b/>
      <w:bCs/>
      <w:color w:val="000000"/>
      <w:kern w:val="44"/>
      <w:sz w:val="44"/>
      <w:szCs w:val="44"/>
    </w:rPr>
  </w:style>
  <w:style w:type="character" w:customStyle="1" w:styleId="15">
    <w:name w:val="标题 3 Char"/>
    <w:link w:val="3"/>
    <w:qFormat/>
    <w:uiPriority w:val="0"/>
    <w:rPr>
      <w:rFonts w:ascii="Times New Roman" w:hAnsi="Times New Roman" w:eastAsia="‹ÎSå" w:cs="Times New Roman"/>
      <w:b/>
      <w:color w:val="000000"/>
      <w:kern w:val="0"/>
      <w:sz w:val="32"/>
      <w:szCs w:val="32"/>
      <w:lang w:val="zh-CN"/>
    </w:rPr>
  </w:style>
  <w:style w:type="character" w:customStyle="1" w:styleId="16">
    <w:name w:val="批注框文本 Char"/>
    <w:link w:val="6"/>
    <w:semiHidden/>
    <w:qFormat/>
    <w:uiPriority w:val="99"/>
    <w:rPr>
      <w:rFonts w:ascii="Times New Roman" w:hAnsi="Times New Roman"/>
      <w:color w:val="000000"/>
      <w:sz w:val="18"/>
      <w:szCs w:val="18"/>
    </w:rPr>
  </w:style>
  <w:style w:type="character" w:customStyle="1" w:styleId="17">
    <w:name w:val="页脚 Char"/>
    <w:link w:val="7"/>
    <w:semiHidden/>
    <w:qFormat/>
    <w:uiPriority w:val="99"/>
    <w:rPr>
      <w:sz w:val="18"/>
      <w:szCs w:val="18"/>
    </w:rPr>
  </w:style>
  <w:style w:type="character" w:customStyle="1" w:styleId="18">
    <w:name w:val="页眉 Char"/>
    <w:link w:val="8"/>
    <w:semiHidden/>
    <w:qFormat/>
    <w:uiPriority w:val="99"/>
    <w:rPr>
      <w:sz w:val="18"/>
      <w:szCs w:val="18"/>
    </w:rPr>
  </w:style>
  <w:style w:type="character" w:customStyle="1" w:styleId="19">
    <w:name w:val="font41"/>
    <w:qFormat/>
    <w:uiPriority w:val="0"/>
    <w:rPr>
      <w:rFonts w:hint="default" w:ascii="Times New Roman" w:hAnsi="Times New Roman" w:cs="Times New Roman"/>
      <w:color w:val="000000"/>
      <w:sz w:val="18"/>
      <w:szCs w:val="18"/>
      <w:u w:val="none"/>
    </w:rPr>
  </w:style>
  <w:style w:type="character" w:customStyle="1" w:styleId="20">
    <w:name w:val="font61"/>
    <w:qFormat/>
    <w:uiPriority w:val="0"/>
    <w:rPr>
      <w:rFonts w:hint="eastAsia" w:ascii="宋体" w:hAnsi="宋体" w:eastAsia="宋体" w:cs="宋体"/>
      <w:color w:val="000000"/>
      <w:sz w:val="12"/>
      <w:szCs w:val="12"/>
      <w:u w:val="none"/>
    </w:rPr>
  </w:style>
  <w:style w:type="character" w:customStyle="1" w:styleId="21">
    <w:name w:val="font121"/>
    <w:qFormat/>
    <w:uiPriority w:val="0"/>
    <w:rPr>
      <w:rFonts w:hint="eastAsia" w:ascii="宋体" w:hAnsi="宋体" w:eastAsia="宋体" w:cs="宋体"/>
      <w:color w:val="000000"/>
      <w:sz w:val="18"/>
      <w:szCs w:val="18"/>
      <w:u w:val="none"/>
    </w:rPr>
  </w:style>
  <w:style w:type="character" w:customStyle="1" w:styleId="22">
    <w:name w:val="font01"/>
    <w:qFormat/>
    <w:uiPriority w:val="0"/>
    <w:rPr>
      <w:rFonts w:hint="eastAsia" w:ascii="宋体" w:hAnsi="宋体" w:eastAsia="宋体" w:cs="宋体"/>
      <w:color w:val="FF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qFormat/>
    <w:uiPriority w:val="0"/>
    <w:rPr>
      <w:rFonts w:hint="eastAsia" w:ascii="宋体" w:hAnsi="宋体" w:eastAsia="宋体" w:cs="宋体"/>
      <w:color w:val="000000"/>
      <w:sz w:val="18"/>
      <w:szCs w:val="18"/>
      <w:u w:val="none"/>
    </w:rPr>
  </w:style>
  <w:style w:type="character" w:customStyle="1" w:styleId="25">
    <w:name w:val="font91"/>
    <w:qFormat/>
    <w:uiPriority w:val="0"/>
    <w:rPr>
      <w:rFonts w:hint="default" w:ascii="Times New Roman" w:hAnsi="Times New Roman" w:cs="Times New Roman"/>
      <w:color w:val="000000"/>
      <w:sz w:val="18"/>
      <w:szCs w:val="18"/>
      <w:u w:val="none"/>
    </w:rPr>
  </w:style>
  <w:style w:type="character" w:customStyle="1" w:styleId="26">
    <w:name w:val="font31"/>
    <w:qFormat/>
    <w:uiPriority w:val="0"/>
    <w:rPr>
      <w:rFonts w:hint="eastAsia" w:ascii="宋体" w:hAnsi="宋体" w:eastAsia="宋体" w:cs="宋体"/>
      <w:color w:val="000000"/>
      <w:sz w:val="18"/>
      <w:szCs w:val="18"/>
      <w:u w:val="none"/>
    </w:rPr>
  </w:style>
  <w:style w:type="character" w:customStyle="1" w:styleId="27">
    <w:name w:val="font81"/>
    <w:qFormat/>
    <w:uiPriority w:val="0"/>
    <w:rPr>
      <w:rFonts w:hint="eastAsia" w:ascii="宋体" w:hAnsi="宋体" w:eastAsia="宋体" w:cs="宋体"/>
      <w:color w:val="000000"/>
      <w:sz w:val="18"/>
      <w:szCs w:val="18"/>
      <w:u w:val="none"/>
    </w:rPr>
  </w:style>
  <w:style w:type="character" w:customStyle="1" w:styleId="28">
    <w:name w:val="font11"/>
    <w:qFormat/>
    <w:uiPriority w:val="0"/>
    <w:rPr>
      <w:rFonts w:hint="eastAsia" w:ascii="宋体" w:hAnsi="宋体" w:eastAsia="宋体" w:cs="宋体"/>
      <w:color w:val="000000"/>
      <w:sz w:val="18"/>
      <w:szCs w:val="18"/>
      <w:u w:val="none"/>
    </w:rPr>
  </w:style>
  <w:style w:type="paragraph" w:customStyle="1" w:styleId="29">
    <w:name w:val="列出段落1"/>
    <w:basedOn w:val="1"/>
    <w:qFormat/>
    <w:uiPriority w:val="34"/>
    <w:pPr>
      <w:ind w:firstLine="420" w:firstLineChars="200"/>
    </w:p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color w:val="auto"/>
      <w:sz w:val="24"/>
    </w:rPr>
  </w:style>
  <w:style w:type="character" w:customStyle="1" w:styleId="31">
    <w:name w:val="_Style 30"/>
    <w:unhideWhenUsed/>
    <w:qFormat/>
    <w:uiPriority w:val="99"/>
    <w:rPr>
      <w:color w:val="605E5C"/>
      <w:shd w:val="clear" w:color="auto" w:fill="E1DFDD"/>
    </w:rPr>
  </w:style>
  <w:style w:type="paragraph" w:customStyle="1" w:styleId="32">
    <w:name w:val="_Style 31"/>
    <w:unhideWhenUsed/>
    <w:qFormat/>
    <w:uiPriority w:val="99"/>
    <w:rPr>
      <w:rFonts w:ascii="Times New Roman" w:hAnsi="Times New Roman" w:eastAsia="宋体" w:cs="Times New Roman"/>
      <w:color w:val="000000"/>
      <w:sz w:val="21"/>
      <w:szCs w:val="24"/>
      <w:lang w:val="en-US" w:eastAsia="zh-CN" w:bidi="ar-SA"/>
    </w:rPr>
  </w:style>
  <w:style w:type="character" w:customStyle="1" w:styleId="33">
    <w:name w:val="页脚 字符"/>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5011</Words>
  <Characters>5274</Characters>
  <Lines>45</Lines>
  <Paragraphs>12</Paragraphs>
  <TotalTime>0</TotalTime>
  <ScaleCrop>false</ScaleCrop>
  <LinksUpToDate>false</LinksUpToDate>
  <CharactersWithSpaces>5832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2022-09-01T08:00:00Z</cp:lastPrinted>
  <dcterms:modified xsi:type="dcterms:W3CDTF">2023-10-22T06:37:44Z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4489421BAD764F209F9026E1829738D8_13</vt:lpwstr>
  </property>
</Properties>
</file>