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江苏索普赛瑞装备制造有限公司</w:t>
      </w:r>
    </w:p>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招标文件</w:t>
      </w:r>
    </w:p>
    <w:p>
      <w:pPr>
        <w:adjustRightInd w:val="0"/>
        <w:snapToGrid w:val="0"/>
        <w:spacing w:line="360" w:lineRule="auto"/>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w:t>
      </w:r>
    </w:p>
    <w:p>
      <w:pPr>
        <w:adjustRightInd w:val="0"/>
        <w:snapToGrid w:val="0"/>
        <w:spacing w:line="360" w:lineRule="auto"/>
        <w:jc w:val="left"/>
        <w:rPr>
          <w:rFonts w:hint="eastAsia" w:ascii="仿宋" w:hAnsi="仿宋" w:eastAsia="仿宋" w:cs="仿宋"/>
          <w:bCs/>
          <w:color w:val="auto"/>
          <w:sz w:val="30"/>
          <w:szCs w:val="30"/>
        </w:rPr>
      </w:pPr>
      <w:r>
        <w:rPr>
          <w:rFonts w:hint="eastAsia" w:ascii="仿宋_GB2312" w:hAnsi="仿宋_GB2312" w:eastAsia="仿宋_GB2312" w:cs="仿宋_GB2312"/>
          <w:bCs/>
          <w:color w:val="auto"/>
          <w:sz w:val="24"/>
        </w:rPr>
        <w:t xml:space="preserve">    </w:t>
      </w:r>
      <w:r>
        <w:rPr>
          <w:rFonts w:hint="eastAsia" w:ascii="仿宋" w:hAnsi="仿宋" w:eastAsia="仿宋" w:cs="仿宋"/>
          <w:bCs/>
          <w:color w:val="auto"/>
          <w:sz w:val="30"/>
          <w:szCs w:val="30"/>
        </w:rPr>
        <w:t>我公司现需采购</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青建项目废热锅炉相控阵检测</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zh-CN"/>
        </w:rPr>
        <w:t>采用自主公开招标的方式选定供应商，</w:t>
      </w:r>
      <w:r>
        <w:rPr>
          <w:rFonts w:hint="eastAsia" w:ascii="仿宋" w:hAnsi="仿宋" w:eastAsia="仿宋" w:cs="仿宋"/>
          <w:bCs/>
          <w:color w:val="auto"/>
          <w:sz w:val="30"/>
          <w:szCs w:val="30"/>
        </w:rPr>
        <w:t>特邀请贵单位参与投标。</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 xml:space="preserve">  </w:t>
      </w: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一、招标概况：</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青建项目废热锅炉相控阵检测</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（二）交货时间：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3天</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江苏省镇江市京口区谏壁镇求索路18号江苏索普赛瑞装备制造有限公司（股份西大门内）</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投标截止时间202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24</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14</w:t>
      </w:r>
      <w:r>
        <w:rPr>
          <w:rFonts w:hint="eastAsia" w:ascii="仿宋" w:hAnsi="仿宋" w:eastAsia="仿宋" w:cs="仿宋"/>
          <w:bCs/>
          <w:color w:val="auto"/>
          <w:sz w:val="30"/>
          <w:szCs w:val="30"/>
        </w:rPr>
        <w:t>时（北京时间）；</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24</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14</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bookmarkStart w:id="0" w:name="_GoBack"/>
      <w:bookmarkEnd w:id="0"/>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（五）开标地点：江苏索普(集团)有限公司招标中心；</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adjustRightInd w:val="0"/>
        <w:snapToGrid w:val="0"/>
        <w:spacing w:line="360" w:lineRule="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u w:val="single"/>
          <w:lang w:val="en-US" w:eastAsia="zh-CN"/>
        </w:rPr>
        <w:t>详见附件清单。</w:t>
      </w:r>
      <w:r>
        <w:rPr>
          <w:rFonts w:hint="eastAsia" w:ascii="仿宋" w:hAnsi="仿宋" w:eastAsia="仿宋" w:cs="仿宋"/>
          <w:bCs/>
          <w:color w:val="auto"/>
          <w:kern w:val="1"/>
          <w:sz w:val="30"/>
          <w:szCs w:val="30"/>
          <w:u w:val="single"/>
        </w:rPr>
        <w:t xml:space="preserve">                            </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360" w:lineRule="auto"/>
        <w:ind w:firstLine="579" w:firstLineChars="193"/>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u w:val="single"/>
          <w:lang w:val="en-US" w:eastAsia="zh-CN"/>
        </w:rPr>
        <w:t>详见附件清单。</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
          <w:color w:val="auto"/>
          <w:sz w:val="30"/>
          <w:szCs w:val="30"/>
        </w:rPr>
        <w:t xml:space="preserve">    </w:t>
      </w:r>
      <w:r>
        <w:rPr>
          <w:rFonts w:hint="eastAsia" w:ascii="仿宋_GB2312" w:hAnsi="仿宋_GB2312" w:eastAsia="仿宋_GB2312" w:cs="仿宋_GB2312"/>
          <w:bCs/>
          <w:color w:val="auto"/>
          <w:sz w:val="30"/>
          <w:szCs w:val="30"/>
        </w:rPr>
        <w:t>（一）投标人必须具备中华人民共和国境内生产或经营应具备的合法资质。</w:t>
      </w:r>
    </w:p>
    <w:p>
      <w:pPr>
        <w:pStyle w:val="2"/>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（二）其他资质要求：</w:t>
      </w:r>
      <w:r>
        <w:rPr>
          <w:rFonts w:hint="eastAsia" w:ascii="仿宋" w:hAnsi="仿宋" w:eastAsia="仿宋" w:cs="仿宋"/>
          <w:bCs/>
          <w:color w:val="auto"/>
          <w:sz w:val="30"/>
          <w:szCs w:val="30"/>
          <w:u w:val="single"/>
        </w:rPr>
        <w:t>《生产许可证》等；</w:t>
      </w:r>
    </w:p>
    <w:p>
      <w:pPr>
        <w:pStyle w:val="2"/>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（三）</w:t>
      </w:r>
      <w:r>
        <w:rPr>
          <w:rFonts w:hint="eastAsia" w:ascii="仿宋" w:hAnsi="仿宋" w:eastAsia="仿宋" w:cs="仿宋"/>
          <w:bCs/>
          <w:color w:val="auto"/>
          <w:sz w:val="30"/>
          <w:szCs w:val="30"/>
        </w:rPr>
        <w:t>不接受被列入失信被执行人、重大违法案件当事人投标；</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30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（五）投标人应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（六）</w:t>
      </w:r>
      <w:r>
        <w:rPr>
          <w:rFonts w:hint="eastAsia" w:ascii="仿宋" w:hAnsi="仿宋" w:eastAsia="仿宋" w:cs="仿宋"/>
          <w:bCs/>
          <w:color w:val="auto"/>
          <w:sz w:val="30"/>
          <w:szCs w:val="30"/>
        </w:rPr>
        <w:t>投标人所供产品引起的知识产权方面的纠纷，由投标人承担一切后果，招标人不承担任何责任；</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（七） 投标人须具有</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u w:val="single"/>
        </w:rPr>
      </w:pPr>
      <w:r>
        <w:rPr>
          <w:rFonts w:hint="eastAsia" w:ascii="仿宋" w:hAnsi="仿宋" w:eastAsia="仿宋" w:cs="仿宋"/>
          <w:bCs/>
          <w:color w:val="auto"/>
          <w:sz w:val="30"/>
          <w:szCs w:val="30"/>
        </w:rPr>
        <w:t xml:space="preserve">   （八）</w:t>
      </w:r>
      <w:r>
        <w:rPr>
          <w:rFonts w:hint="eastAsia" w:ascii="仿宋" w:hAnsi="仿宋" w:eastAsia="仿宋" w:cs="仿宋"/>
          <w:bCs/>
          <w:color w:val="auto"/>
          <w:sz w:val="30"/>
          <w:szCs w:val="30"/>
          <w:u w:val="single"/>
        </w:rPr>
        <w:t>（其他与此次招标要求相匹配的相关要求。）</w:t>
      </w:r>
    </w:p>
    <w:p>
      <w:pPr>
        <w:adjustRightInd w:val="0"/>
        <w:snapToGrid w:val="0"/>
        <w:spacing w:line="360" w:lineRule="auto"/>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三个月</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承兑结算</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p>
    <w:p>
      <w:pPr>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pPr>
        <w:wordWrap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2、采用线下投标有两种方式：（1）密封投标。应</w:t>
      </w:r>
      <w:r>
        <w:rPr>
          <w:rFonts w:hint="eastAsia" w:ascii="仿宋" w:hAnsi="仿宋" w:eastAsia="仿宋" w:cs="仿宋"/>
          <w:bCs/>
          <w:color w:val="auto"/>
          <w:sz w:val="30"/>
          <w:szCs w:val="30"/>
        </w:rPr>
        <w:t>将报价书及相关资料以标袋形式送达，标袋外包装必须用“封条”密封，封条“格式自定”，另需加盖公章、法人章，填写密封日期；在标袋封面上需注明“投标项目名称，投标方名称、地址、联系人、联系电话”等；（2）</w:t>
      </w:r>
      <w:r>
        <w:rPr>
          <w:rFonts w:hint="eastAsia" w:ascii="仿宋" w:hAnsi="仿宋" w:eastAsia="仿宋" w:cs="仿宋"/>
          <w:bCs/>
          <w:color w:val="auto"/>
          <w:kern w:val="1"/>
          <w:sz w:val="30"/>
          <w:szCs w:val="30"/>
        </w:rPr>
        <w:t>通过招标邮箱投标。应将投标报价盖章扫描发至公司招投标邮箱，邮件主题上应注明投标单位的名称+标的物的名称，以便于在开标时区分招标名称，防止误点误开，未注明清楚的投标导致未中标的由投标单位自行承担，</w:t>
      </w:r>
      <w:r>
        <w:rPr>
          <w:rFonts w:hint="eastAsia" w:ascii="仿宋" w:hAnsi="仿宋" w:eastAsia="仿宋" w:cs="仿宋"/>
          <w:b/>
          <w:bCs/>
          <w:color w:val="auto"/>
          <w:kern w:val="1"/>
          <w:sz w:val="30"/>
          <w:szCs w:val="30"/>
          <w:highlight w:val="yellow"/>
        </w:rPr>
        <w:t>此外通过邮箱投标的附件应进行文件加密，在开标时招标人会电话联系投标联系人，投标人将密码告知招标人进行解密，未对文件进行加密的投标文件视为无效报价，由此导致的信息泄露招标方概不负责</w:t>
      </w:r>
      <w:r>
        <w:rPr>
          <w:rFonts w:hint="eastAsia" w:ascii="仿宋" w:hAnsi="仿宋" w:eastAsia="仿宋" w:cs="仿宋"/>
          <w:bCs/>
          <w:color w:val="auto"/>
          <w:kern w:val="1"/>
          <w:sz w:val="30"/>
          <w:szCs w:val="30"/>
          <w:highlight w:val="yellow"/>
        </w:rPr>
        <w:t>。</w:t>
      </w:r>
      <w:r>
        <w:rPr>
          <w:rFonts w:hint="eastAsia" w:ascii="仿宋" w:hAnsi="仿宋" w:eastAsia="仿宋" w:cs="仿宋"/>
          <w:bCs/>
          <w:color w:val="auto"/>
          <w:kern w:val="1"/>
          <w:sz w:val="30"/>
          <w:szCs w:val="30"/>
        </w:rPr>
        <w:t>以上两种线下投标方式要求在投标截止日之前送达，逾期将作为废标处理。</w:t>
      </w:r>
    </w:p>
    <w:p>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（四）与本投标有关的一切往来通讯请密封寄：</w:t>
      </w:r>
    </w:p>
    <w:p>
      <w:pPr>
        <w:pStyle w:val="29"/>
        <w:tabs>
          <w:tab w:val="left" w:pos="180"/>
        </w:tabs>
        <w:wordWrap w:val="0"/>
        <w:adjustRightInd w:val="0"/>
        <w:snapToGrid w:val="0"/>
        <w:spacing w:line="360" w:lineRule="auto"/>
        <w:ind w:firstLine="6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公司：江苏索普赛瑞装备制造有限公司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p>
    <w:p>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w:t>
      </w:r>
    </w:p>
    <w:p>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收件人：</w:t>
      </w:r>
      <w:r>
        <w:rPr>
          <w:rFonts w:hint="eastAsia" w:ascii="仿宋" w:hAnsi="仿宋" w:eastAsia="仿宋" w:cs="仿宋"/>
          <w:bCs/>
          <w:color w:val="auto"/>
          <w:kern w:val="1"/>
          <w:sz w:val="30"/>
          <w:szCs w:val="30"/>
          <w:lang w:val="en-US" w:eastAsia="zh-CN"/>
        </w:rPr>
        <w:t>王琦</w:t>
      </w:r>
    </w:p>
    <w:p>
      <w:pPr>
        <w:wordWrap w:val="0"/>
        <w:adjustRightInd w:val="0"/>
        <w:snapToGrid w:val="0"/>
        <w:spacing w:line="360" w:lineRule="auto"/>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13812468489</w:t>
      </w:r>
    </w:p>
    <w:p>
      <w:pPr>
        <w:pStyle w:val="2"/>
        <w:ind w:firstLine="567" w:firstLineChars="189"/>
        <w:rPr>
          <w:rFonts w:ascii="仿宋" w:hAnsi="仿宋" w:eastAsia="仿宋" w:cs="仿宋"/>
          <w:bCs/>
          <w:color w:val="auto"/>
          <w:kern w:val="1"/>
          <w:sz w:val="30"/>
          <w:szCs w:val="30"/>
        </w:rPr>
      </w:pPr>
      <w:r>
        <w:rPr>
          <w:rFonts w:hint="eastAsia" w:ascii="仿宋" w:hAnsi="仿宋" w:eastAsia="仿宋" w:cs="仿宋"/>
          <w:bCs/>
          <w:color w:val="auto"/>
          <w:kern w:val="1"/>
          <w:sz w:val="30"/>
          <w:szCs w:val="30"/>
        </w:rPr>
        <w:t>（五）与本投标有关的收件邮箱有关信息：</w:t>
      </w:r>
    </w:p>
    <w:p>
      <w:pPr>
        <w:pStyle w:val="3"/>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收件地址：waixiezhaobiao@sopocere.com（邮件主题上应注明投标单位的名称+标的物的名称，以便于在开标时区分招标名称，防止误点误开，未注明清楚的投标导致未中标的由投标单位自行承担）</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（六）凡对招标文件条款有疑义的，请在开标前按以下方式联系：</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号，邮编：212006</w:t>
      </w:r>
    </w:p>
    <w:p>
      <w:pPr>
        <w:adjustRightInd w:val="0"/>
        <w:snapToGrid w:val="0"/>
        <w:spacing w:line="360" w:lineRule="auto"/>
        <w:ind w:firstLine="585"/>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王琦</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13812468489</w:t>
      </w:r>
    </w:p>
    <w:p>
      <w:pPr>
        <w:pStyle w:val="2"/>
        <w:spacing w:line="360" w:lineRule="auto"/>
        <w:ind w:firstLine="585"/>
        <w:rPr>
          <w:rFonts w:hint="default"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rPr>
        <w:t>技术咨询联系人：</w:t>
      </w:r>
      <w:r>
        <w:rPr>
          <w:rFonts w:hint="eastAsia" w:ascii="仿宋" w:hAnsi="仿宋" w:eastAsia="仿宋" w:cs="仿宋"/>
          <w:bCs/>
          <w:color w:val="auto"/>
          <w:kern w:val="1"/>
          <w:sz w:val="30"/>
          <w:szCs w:val="30"/>
          <w:u w:val="none"/>
          <w:lang w:val="en-US" w:eastAsia="zh-CN"/>
        </w:rPr>
        <w:t>汤海秋</w:t>
      </w:r>
      <w:r>
        <w:rPr>
          <w:rFonts w:hint="eastAsia" w:ascii="仿宋" w:hAnsi="仿宋" w:eastAsia="仿宋" w:cs="仿宋"/>
          <w:bCs/>
          <w:color w:val="auto"/>
          <w:kern w:val="1"/>
          <w:sz w:val="30"/>
          <w:szCs w:val="30"/>
          <w:u w:val="none"/>
        </w:rPr>
        <w:t xml:space="preserve">  </w:t>
      </w:r>
      <w:r>
        <w:rPr>
          <w:rFonts w:hint="eastAsia" w:ascii="仿宋" w:hAnsi="仿宋" w:eastAsia="仿宋" w:cs="仿宋"/>
          <w:bCs/>
          <w:color w:val="auto"/>
          <w:kern w:val="1"/>
          <w:sz w:val="30"/>
          <w:szCs w:val="30"/>
          <w:u w:val="none"/>
          <w:lang w:val="en-US" w:eastAsia="zh-CN"/>
        </w:rPr>
        <w:t xml:space="preserve"> </w:t>
      </w:r>
      <w:r>
        <w:rPr>
          <w:rFonts w:hint="eastAsia" w:ascii="仿宋" w:hAnsi="仿宋" w:eastAsia="仿宋" w:cs="仿宋"/>
          <w:bCs/>
          <w:color w:val="auto"/>
          <w:kern w:val="1"/>
          <w:sz w:val="30"/>
          <w:szCs w:val="30"/>
          <w:u w:val="none"/>
        </w:rPr>
        <w:t xml:space="preserve">  电话：</w:t>
      </w:r>
      <w:r>
        <w:rPr>
          <w:rFonts w:hint="eastAsia" w:ascii="仿宋" w:hAnsi="仿宋" w:eastAsia="仿宋" w:cs="仿宋"/>
          <w:bCs/>
          <w:color w:val="auto"/>
          <w:kern w:val="1"/>
          <w:sz w:val="30"/>
          <w:szCs w:val="30"/>
          <w:u w:val="none"/>
          <w:lang w:val="en-US" w:eastAsia="zh-CN"/>
        </w:rPr>
        <w:t>18260663656</w:t>
      </w:r>
    </w:p>
    <w:p>
      <w:pPr>
        <w:adjustRightInd w:val="0"/>
        <w:snapToGrid w:val="0"/>
        <w:spacing w:line="360" w:lineRule="auto"/>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 xml:space="preserve">李 帅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18260629225</w:t>
      </w:r>
    </w:p>
    <w:p>
      <w:pPr>
        <w:adjustRightInd w:val="0"/>
        <w:snapToGrid w:val="0"/>
        <w:spacing w:line="360" w:lineRule="auto"/>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五、开标、评标、流标及废标：</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（一）开标</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本项目由招标人组织评标小组负责开标工作，对各投标人报价进行评标，确定最终中标人。</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1、请各投标人保持通讯畅通，便于</w:t>
      </w:r>
      <w:r>
        <w:rPr>
          <w:rFonts w:hint="eastAsia" w:ascii="仿宋_GB2312" w:hAnsi="宋体" w:eastAsia="仿宋_GB2312" w:cs="‹ÎSå"/>
          <w:color w:val="auto"/>
          <w:kern w:val="1"/>
          <w:sz w:val="30"/>
          <w:szCs w:val="30"/>
        </w:rPr>
        <w:t>评标小组在开标现场电话联系</w:t>
      </w:r>
      <w:r>
        <w:rPr>
          <w:rFonts w:hint="eastAsia" w:ascii="仿宋" w:hAnsi="仿宋" w:eastAsia="仿宋" w:cs="仿宋"/>
          <w:bCs/>
          <w:color w:val="auto"/>
          <w:kern w:val="1"/>
          <w:sz w:val="30"/>
          <w:szCs w:val="30"/>
        </w:rPr>
        <w:t>。</w:t>
      </w:r>
    </w:p>
    <w:p>
      <w:pPr>
        <w:pStyle w:val="2"/>
        <w:ind w:firstLine="600" w:firstLineChars="200"/>
        <w:rPr>
          <w:rFonts w:hint="eastAsia"/>
          <w:color w:val="auto"/>
        </w:rPr>
      </w:pPr>
      <w:r>
        <w:rPr>
          <w:rFonts w:hint="eastAsia" w:ascii="仿宋" w:hAnsi="仿宋" w:eastAsia="仿宋" w:cs="仿宋"/>
          <w:bCs/>
          <w:color w:val="auto"/>
          <w:kern w:val="1"/>
          <w:sz w:val="30"/>
          <w:szCs w:val="30"/>
        </w:rPr>
        <w:t xml:space="preserve">2、评标小组不得泄露各投标人的报价。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（二）评标</w:t>
      </w:r>
    </w:p>
    <w:p>
      <w:pPr>
        <w:adjustRightInd w:val="0"/>
        <w:snapToGrid w:val="0"/>
        <w:spacing w:line="360" w:lineRule="auto"/>
        <w:ind w:firstLine="600" w:firstLineChars="200"/>
        <w:jc w:val="left"/>
        <w:rPr>
          <w:rFonts w:hint="eastAsia" w:ascii="仿宋_GB2312" w:hAnsi="宋体" w:eastAsia="仿宋_GB2312" w:cs="‹ÎSå"/>
          <w:color w:val="auto"/>
          <w:kern w:val="1"/>
          <w:sz w:val="30"/>
          <w:szCs w:val="30"/>
        </w:rPr>
      </w:pPr>
      <w:r>
        <w:rPr>
          <w:rFonts w:hint="eastAsia" w:ascii="仿宋" w:hAnsi="仿宋" w:eastAsia="仿宋" w:cs="仿宋"/>
          <w:bCs/>
          <w:color w:val="auto"/>
          <w:kern w:val="1"/>
          <w:sz w:val="30"/>
          <w:szCs w:val="30"/>
        </w:rPr>
        <w:t>1、</w:t>
      </w:r>
      <w:r>
        <w:rPr>
          <w:rFonts w:hint="eastAsia" w:ascii="仿宋_GB2312" w:hAnsi="宋体" w:eastAsia="仿宋_GB2312" w:cs="‹ÎSå"/>
          <w:color w:val="auto"/>
          <w:kern w:val="1"/>
          <w:sz w:val="30"/>
          <w:szCs w:val="30"/>
        </w:rPr>
        <w:t>在能够满足招标人技术要求及供货期要求的投标人中选择总价最低的一家投标人作为中标候选人。</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（三）流标</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（四）废标</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凡投标人不具备招标人明确要求资质的，或投标文件填写不完整、报价有空项的，或不符合技术要求条款的，或者存在其他不符合招标人有关要求的问题，经招标人评标小组评定，可作废标处理。</w:t>
      </w:r>
    </w:p>
    <w:p>
      <w:pPr>
        <w:numPr>
          <w:ilvl w:val="0"/>
          <w:numId w:val="1"/>
        </w:numPr>
        <w:adjustRightInd w:val="0"/>
        <w:snapToGrid w:val="0"/>
        <w:spacing w:line="360" w:lineRule="auto"/>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（三）对不合格货品招标人应及时通知中标人，如有异议双方可协商解决。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（四）如因投标人不能正常履约，对招标人生产经营活动造成影响的，招标人可向阿里巴巴公司投诉；如严重影响招标人生产经营活动的，招标人将依法追究投标方法律责任。</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（五）投标人在中标后无正当理由不与招标人签订合同的，将承担违约责任，列入招标人供应商负面清单，同时招标人将向阿里巴巴进行投诉。</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（六）投标人应详细阅读本招标书，参与报价投标即视为对本招标书所列之条款均表示接受。</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（七）招标人对违反约定的投标人或中标人将按《江苏索普赛瑞装备制造有限公司供应商负面清单管理规定（试行）》对投标人进行管理考核（详见附件）。</w:t>
      </w:r>
    </w:p>
    <w:p>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color w:val="auto"/>
          <w:kern w:val="1"/>
          <w:sz w:val="30"/>
          <w:szCs w:val="30"/>
        </w:rPr>
        <w:t>（八）本次招标解释权归江苏索普赛瑞装备制造有限公司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部所有。</w:t>
      </w:r>
    </w:p>
    <w:p>
      <w:pPr>
        <w:adjustRightInd w:val="0"/>
        <w:snapToGrid w:val="0"/>
        <w:spacing w:line="360" w:lineRule="auto"/>
        <w:ind w:firstLine="600" w:firstLineChars="200"/>
        <w:rPr>
          <w:rFonts w:hint="eastAsia" w:ascii="仿宋" w:hAnsi="仿宋" w:eastAsia="仿宋" w:cs="仿宋"/>
          <w:bCs/>
          <w:color w:val="auto"/>
          <w:kern w:val="1"/>
          <w:sz w:val="30"/>
          <w:szCs w:val="30"/>
        </w:rPr>
      </w:pPr>
    </w:p>
    <w:p>
      <w:pPr>
        <w:pStyle w:val="2"/>
        <w:rPr>
          <w:rFonts w:ascii="方正小标宋简体" w:hAnsi="方正小标宋简体" w:eastAsia="方正小标宋简体" w:cs="方正小标宋简体"/>
          <w:bCs/>
          <w:kern w:val="0"/>
          <w:sz w:val="44"/>
          <w:szCs w:val="44"/>
        </w:rPr>
      </w:pPr>
      <w:r>
        <w:rPr>
          <w:rFonts w:hint="eastAsia" w:ascii="仿宋" w:hAnsi="仿宋" w:eastAsia="仿宋" w:cs="仿宋"/>
          <w:bCs/>
          <w:kern w:val="1"/>
          <w:sz w:val="30"/>
          <w:szCs w:val="30"/>
        </w:rPr>
        <w:t>　</w:t>
      </w:r>
      <w:r>
        <w:rPr>
          <w:rFonts w:hint="eastAsia" w:ascii="仿宋" w:hAnsi="仿宋" w:eastAsia="仿宋" w:cs="仿宋"/>
          <w:bCs/>
          <w:kern w:val="1"/>
          <w:sz w:val="30"/>
          <w:szCs w:val="30"/>
          <w:lang w:val="en-US" w:eastAsia="zh-CN"/>
        </w:rPr>
        <w:t xml:space="preserve">   </w:t>
      </w:r>
      <w:r>
        <w:rPr>
          <w:rFonts w:hint="eastAsia" w:ascii="方正小标宋简体" w:hAnsi="方正小标宋简体" w:eastAsia="方正小标宋简体" w:cs="方正小标宋简体"/>
          <w:bCs/>
          <w:kern w:val="0"/>
          <w:sz w:val="44"/>
          <w:szCs w:val="44"/>
        </w:rPr>
        <w:t>索普赛瑞供应商负面清单管理规定</w:t>
      </w:r>
    </w:p>
    <w:p>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pPr>
        <w:tabs>
          <w:tab w:val="left" w:pos="2565"/>
        </w:tabs>
        <w:spacing w:line="600" w:lineRule="exact"/>
        <w:ind w:firstLine="680" w:firstLineChars="200"/>
        <w:rPr>
          <w:rFonts w:ascii="仿宋_GB2312" w:hAnsi="仿宋" w:eastAsia="仿宋_GB2312"/>
          <w:sz w:val="34"/>
          <w:szCs w:val="34"/>
        </w:rPr>
      </w:pPr>
    </w:p>
    <w:p>
      <w:pPr>
        <w:adjustRightInd w:val="0"/>
        <w:snapToGrid w:val="0"/>
        <w:spacing w:line="600" w:lineRule="exact"/>
        <w:ind w:firstLine="2891" w:firstLineChars="900"/>
        <w:jc w:val="both"/>
        <w:rPr>
          <w:rFonts w:ascii="黑体" w:hAnsi="黑体" w:eastAsia="黑体" w:cs="黑体"/>
          <w:b/>
          <w:bCs/>
          <w:kern w:val="0"/>
          <w:sz w:val="32"/>
          <w:szCs w:val="32"/>
        </w:rPr>
      </w:pPr>
      <w:r>
        <w:rPr>
          <w:rFonts w:hint="eastAsia" w:ascii="黑体" w:hAnsi="黑体" w:eastAsia="黑体" w:cs="黑体"/>
          <w:b/>
          <w:bCs/>
          <w:kern w:val="0"/>
          <w:sz w:val="32"/>
          <w:szCs w:val="32"/>
        </w:rPr>
        <w:t>第一章 总则</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第一条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凡按国家标准及相关准则或规定组织生产销售的物资供应商、服务提供商或施工承包商，只要资质证照齐全且满足我司招标要求</w:t>
      </w:r>
      <w:r>
        <w:rPr>
          <w:rFonts w:hint="eastAsia" w:ascii="仿宋_GB2312" w:hAnsi="仿宋_GB2312" w:eastAsia="仿宋_GB2312" w:cs="仿宋_GB2312"/>
          <w:sz w:val="34"/>
          <w:szCs w:val="34"/>
          <w:highlight w:val="none"/>
        </w:rPr>
        <w:t>（采购和外协加工受压元件的材料，需要经公司相关部门考察认定），</w:t>
      </w:r>
      <w:r>
        <w:rPr>
          <w:rFonts w:hint="eastAsia" w:ascii="仿宋_GB2312" w:hAnsi="仿宋_GB2312" w:eastAsia="仿宋_GB2312" w:cs="仿宋_GB2312"/>
          <w:sz w:val="34"/>
          <w:szCs w:val="34"/>
        </w:rPr>
        <w:t>均可参与我司组织的招投标、比价采购等商务活动。</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第二条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本制度适用于索普赛瑞本部各部门。</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第三条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责任部门职责分工</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第二章 供应商负面清单确定流程</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bidi="ar-SA"/>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kern w:val="0"/>
          <w:sz w:val="32"/>
          <w:szCs w:val="32"/>
        </w:rPr>
        <w:t>第四条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r>
        <w:rPr>
          <w:rFonts w:hint="eastAsia" w:ascii="仿宋_GB2312" w:hAnsi="仿宋_GB2312" w:eastAsia="仿宋_GB2312" w:cs="仿宋_GB2312"/>
          <w:sz w:val="34"/>
          <w:szCs w:val="34"/>
          <w:lang w:eastAsia="zh-CN"/>
        </w:rPr>
        <w:t>：</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第三章 供应商积分考核和管理</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第五条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kern w:val="0"/>
          <w:sz w:val="32"/>
          <w:szCs w:val="32"/>
        </w:rPr>
        <w:t>第六条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供应商考核方法</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（1）所供产品出现质量问题，经调换未对公司造成影响，单次扣1-3分。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（2）所供产品出现质量问题，对公司造成了一定影响，单次扣3-5分。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（3）所供产品出现质量问题，对公司造成了严重影响，单次扣5-10分。</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（1）交货时无质检报告或合格证等必要资料的，单次扣1-3分。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（2）交货时未按规定包装的，单次扣1-3分。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（3）延期交货，但未对公司造成影响，单次扣1-3分；造成一定影响，单次扣3-5分；造成严重影响，单次扣5-10分。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（4）</w:t>
      </w:r>
      <w:r>
        <w:rPr>
          <w:rFonts w:hint="eastAsia" w:ascii="仿宋_GB2312" w:hAnsi="仿宋_GB2312" w:eastAsia="仿宋_GB2312" w:cs="仿宋_GB2312"/>
          <w:sz w:val="34"/>
          <w:szCs w:val="34"/>
        </w:rPr>
        <w:t>交货过程中存在故意隐瞒质量缺陷或以次充好，单次扣5-10分。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（5）</w:t>
      </w:r>
      <w:r>
        <w:rPr>
          <w:rFonts w:hint="eastAsia" w:ascii="仿宋_GB2312" w:hAnsi="仿宋_GB2312" w:eastAsia="仿宋_GB2312" w:cs="仿宋_GB2312"/>
          <w:sz w:val="34"/>
          <w:szCs w:val="34"/>
        </w:rPr>
        <w:t>运输单位未能按要求完成运输任务，单次扣1-3分。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发生安全事故，并且供应商有责任的，单次扣5-10分。</w:t>
      </w:r>
    </w:p>
    <w:p>
      <w:pPr>
        <w:widowControl w:val="0"/>
        <w:numPr>
          <w:ilvl w:val="0"/>
          <w:numId w:val="0"/>
        </w:numPr>
        <w:tabs>
          <w:tab w:val="left" w:pos="2565"/>
        </w:tabs>
        <w:wordWrap/>
        <w:adjustRightInd/>
        <w:snapToGrid/>
        <w:spacing w:line="600" w:lineRule="exact"/>
        <w:ind w:leftChars="200"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3.售后方面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（1）对我公司的售后服务要求不能及时响应，单次扣1-3分；已造成一定影响，单次扣3-5分；造成严重影响，单次扣5-10分。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（2）售后人员不能及时解决问题，单次扣1-3分。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（3）在质保期之内，拒绝按合同提供售后服务，单次扣5-10分。</w:t>
      </w:r>
    </w:p>
    <w:p>
      <w:pPr>
        <w:widowControl w:val="0"/>
        <w:tabs>
          <w:tab w:val="left" w:pos="2565"/>
        </w:tabs>
        <w:wordWrap/>
        <w:adjustRightInd/>
        <w:snapToGrid/>
        <w:spacing w:line="600" w:lineRule="exact"/>
        <w:ind w:left="0" w:leftChars="0" w:right="0" w:firstLine="680" w:firstLineChars="20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（1）中标之后因报价、参数错误等原因，经双方协商终止合同签订，单次扣1-3分。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（2）中标之后拒绝签订合同或拒绝履行合同，单次扣5-10分。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（3）无正当理由未及时开具发票给我方，单次扣1-3分。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（4）未按合同约定价格开票，单次扣1-3分。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（5）注册信息及基本资质证书不属实，单次扣5-10分。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（6）因知识产权引起纠纷，单次扣5-10分。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第七条</w:t>
      </w:r>
      <w:r>
        <w:rPr>
          <w:rFonts w:ascii="仿宋_GB2312" w:hAnsi="仿宋" w:eastAsia="仿宋_GB2312" w:cs="Times New Roman"/>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1、涉及弄虚作假、欺诈、故意隐瞒、冒名顶替等行为的。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2、出现串标、围标、陪标、或者以损害其他城市竞争者的利益谋求中标的。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3、供应商通过恶意法律诉讼起诉我公司最终被法院裁定为败诉的。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4、违反廉政协议，滋生腐败现象的。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第八条</w:t>
      </w:r>
      <w:r>
        <w:rPr>
          <w:rFonts w:hint="eastAsia" w:ascii="仿宋_GB2312" w:hAnsi="仿宋" w:eastAsia="仿宋_GB2312" w:cs="Times New Roman"/>
          <w:sz w:val="32"/>
          <w:szCs w:val="32"/>
        </w:rPr>
        <w:t xml:space="preserve"> </w:t>
      </w:r>
      <w:r>
        <w:rPr>
          <w:rFonts w:hint="eastAsia" w:ascii="仿宋_GB2312" w:hAnsi="仿宋_GB2312" w:eastAsia="仿宋_GB2312" w:cs="仿宋_GB2312"/>
          <w:sz w:val="34"/>
          <w:szCs w:val="34"/>
        </w:rPr>
        <w:t>关于无效投诉的处理办法</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违法行为，可再扣除投诉人5-10分;投标人对同一事件的无效投诉或一年内累计无效投诉的次数达到三次以上（含三次），均直接列入供应商负面清单，情节严重的，也可以永久性停止合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第四章 从负面清单供应商的消除</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第九条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1.供应商提出负面清单消除的书面申请以及针对考核项的整改措施、效果等相关文件材料；</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第五章 附则</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w:t>
      </w:r>
      <w:r>
        <w:rPr>
          <w:rFonts w:hint="eastAsia" w:ascii="仿宋_GB2312" w:hAnsi="黑体" w:eastAsia="仿宋_GB2312" w:cs="黑体"/>
          <w:b/>
          <w:bCs/>
          <w:kern w:val="0"/>
          <w:sz w:val="32"/>
          <w:szCs w:val="32"/>
        </w:rPr>
        <w:t>十条</w:t>
      </w:r>
      <w:r>
        <w:rPr>
          <w:rFonts w:hint="eastAsia" w:ascii="仿宋_GB2312" w:hAnsi="楷体" w:eastAsia="仿宋_GB2312" w:cs="Times New Roman"/>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仿宋" w:eastAsia="仿宋_GB2312" w:cs="Times New Roman"/>
          <w:b/>
          <w:bCs/>
          <w:sz w:val="32"/>
          <w:szCs w:val="32"/>
        </w:rPr>
        <w:t>第十一条</w:t>
      </w:r>
      <w:r>
        <w:rPr>
          <w:rFonts w:hint="eastAsia" w:ascii="仿宋_GB2312" w:hAnsi="仿宋" w:eastAsia="仿宋_GB2312" w:cs="Times New Roman"/>
          <w:b/>
          <w:bCs/>
          <w:sz w:val="32"/>
          <w:szCs w:val="32"/>
          <w:lang w:val="en-US" w:eastAsia="zh-CN"/>
        </w:rPr>
        <w:t xml:space="preserve">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第十二条</w:t>
      </w:r>
      <w:r>
        <w:rPr>
          <w:rFonts w:hint="eastAsia" w:ascii="仿宋_GB2312" w:hAnsi="楷体" w:eastAsia="仿宋_GB2312" w:cs="Times New Roman"/>
          <w:b/>
          <w:sz w:val="32"/>
          <w:szCs w:val="32"/>
          <w:lang w:val="en-US" w:eastAsia="zh-CN"/>
        </w:rPr>
        <w:t xml:space="preserve">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jc w:val="right"/>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9"/>
        <w:tblpPr w:leftFromText="180" w:rightFromText="180" w:vertAnchor="text" w:horzAnchor="page" w:tblpX="1066" w:tblpY="256"/>
        <w:tblOverlap w:val="never"/>
        <w:tblW w:w="15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12" w:type="dxa"/>
            <w:noWrap w:val="0"/>
            <w:vAlign w:val="bottom"/>
          </w:tcPr>
          <w:p>
            <w:pPr>
              <w:rPr>
                <w:rFonts w:ascii="宋体" w:hAnsi="宋体" w:cs="宋体"/>
                <w:color w:val="000000"/>
                <w:sz w:val="24"/>
                <w:szCs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pPr>
              <w:rPr>
                <w:rFonts w:ascii="宋体" w:hAnsi="宋体" w:cs="宋体"/>
                <w:color w:val="000000"/>
                <w:sz w:val="24"/>
                <w:szCs w:val="24"/>
              </w:rPr>
            </w:pPr>
          </w:p>
        </w:tc>
        <w:tc>
          <w:tcPr>
            <w:tcW w:w="981" w:type="dxa"/>
            <w:noWrap w:val="0"/>
            <w:vAlign w:val="bottom"/>
          </w:tcPr>
          <w:p>
            <w:pPr>
              <w:rPr>
                <w:rFonts w:ascii="宋体" w:hAnsi="宋体" w:cs="宋体"/>
                <w:color w:val="000000"/>
                <w:sz w:val="24"/>
                <w:szCs w:val="24"/>
              </w:rPr>
            </w:pPr>
          </w:p>
        </w:tc>
        <w:tc>
          <w:tcPr>
            <w:tcW w:w="1016"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69"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56"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76" w:type="dxa"/>
            <w:noWrap w:val="0"/>
            <w:vAlign w:val="bottom"/>
          </w:tcPr>
          <w:p>
            <w:pPr>
              <w:rPr>
                <w:rFonts w:ascii="宋体" w:hAnsi="宋体" w:cs="宋体"/>
                <w:color w:val="000000"/>
                <w:sz w:val="24"/>
                <w:szCs w:val="24"/>
              </w:rPr>
            </w:pPr>
          </w:p>
        </w:tc>
        <w:tc>
          <w:tcPr>
            <w:tcW w:w="1075" w:type="dxa"/>
            <w:noWrap w:val="0"/>
            <w:vAlign w:val="bottom"/>
          </w:tcPr>
          <w:p>
            <w:pPr>
              <w:rPr>
                <w:rFonts w:ascii="宋体" w:hAnsi="宋体" w:cs="宋体"/>
                <w:color w:val="000000"/>
                <w:sz w:val="24"/>
                <w:szCs w:val="24"/>
              </w:rPr>
            </w:pPr>
          </w:p>
        </w:tc>
      </w:tr>
    </w:tbl>
    <w:tbl>
      <w:tblPr>
        <w:tblStyle w:val="9"/>
        <w:tblW w:w="1293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96" w:type="dxa"/>
            <w:gridSpan w:val="11"/>
            <w:tcBorders>
              <w:top w:val="nil"/>
              <w:left w:val="nil"/>
              <w:bottom w:val="nil"/>
              <w:right w:val="nil"/>
            </w:tcBorders>
            <w:noWrap w:val="0"/>
            <w:vAlign w:val="center"/>
          </w:tcPr>
          <w:p>
            <w:pPr>
              <w:widowControl/>
              <w:jc w:val="left"/>
              <w:rPr>
                <w:rFonts w:ascii="宋体" w:hAnsi="宋体" w:cs="宋体"/>
                <w:kern w:val="0"/>
                <w:szCs w:val="21"/>
              </w:rPr>
            </w:pPr>
          </w:p>
        </w:tc>
        <w:tc>
          <w:tcPr>
            <w:tcW w:w="1357" w:type="dxa"/>
            <w:gridSpan w:val="2"/>
            <w:tcBorders>
              <w:top w:val="nil"/>
              <w:left w:val="nil"/>
              <w:bottom w:val="nil"/>
              <w:right w:val="nil"/>
            </w:tcBorders>
            <w:noWrap w:val="0"/>
            <w:vAlign w:val="center"/>
          </w:tcPr>
          <w:p>
            <w:pPr>
              <w:widowControl/>
              <w:jc w:val="left"/>
              <w:rPr>
                <w:rFonts w:ascii="宋体" w:hAnsi="宋体" w:cs="宋体"/>
                <w:kern w:val="0"/>
                <w:szCs w:val="21"/>
              </w:rPr>
            </w:pPr>
          </w:p>
        </w:tc>
        <w:tc>
          <w:tcPr>
            <w:tcW w:w="1286" w:type="dxa"/>
            <w:gridSpan w:val="2"/>
            <w:tcBorders>
              <w:top w:val="nil"/>
              <w:left w:val="nil"/>
              <w:bottom w:val="nil"/>
              <w:right w:val="nil"/>
            </w:tcBorders>
            <w:noWrap w:val="0"/>
            <w:vAlign w:val="center"/>
          </w:tcPr>
          <w:p>
            <w:pPr>
              <w:widowControl/>
              <w:jc w:val="left"/>
              <w:rPr>
                <w:rFonts w:ascii="宋体" w:hAnsi="宋体" w:cs="宋体"/>
                <w:kern w:val="0"/>
                <w:szCs w:val="21"/>
              </w:rPr>
            </w:pPr>
          </w:p>
        </w:tc>
      </w:tr>
    </w:tbl>
    <w:p/>
    <w:p>
      <w:pPr>
        <w:spacing w:line="600" w:lineRule="exact"/>
      </w:pPr>
    </w:p>
    <w:sectPr>
      <w:footerReference r:id="rId4" w:type="default"/>
      <w:footerReference r:id="rId5" w:type="even"/>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CXR4eGxwEAAI0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C45D21"/>
    <w:rsid w:val="00000B36"/>
    <w:rsid w:val="00004237"/>
    <w:rsid w:val="0000578A"/>
    <w:rsid w:val="0001180E"/>
    <w:rsid w:val="000154D0"/>
    <w:rsid w:val="00020451"/>
    <w:rsid w:val="00021C6D"/>
    <w:rsid w:val="00023B13"/>
    <w:rsid w:val="0002689F"/>
    <w:rsid w:val="00035B7E"/>
    <w:rsid w:val="00036953"/>
    <w:rsid w:val="000442FE"/>
    <w:rsid w:val="0004430B"/>
    <w:rsid w:val="0005551D"/>
    <w:rsid w:val="00066FCE"/>
    <w:rsid w:val="00072253"/>
    <w:rsid w:val="000750DA"/>
    <w:rsid w:val="00076FA5"/>
    <w:rsid w:val="00082DC7"/>
    <w:rsid w:val="00085D85"/>
    <w:rsid w:val="0009221D"/>
    <w:rsid w:val="00096B78"/>
    <w:rsid w:val="000B647E"/>
    <w:rsid w:val="000C32F4"/>
    <w:rsid w:val="000C5D79"/>
    <w:rsid w:val="000D54B7"/>
    <w:rsid w:val="000E0B0E"/>
    <w:rsid w:val="000E55A7"/>
    <w:rsid w:val="000F0801"/>
    <w:rsid w:val="000F4A0C"/>
    <w:rsid w:val="00103F5A"/>
    <w:rsid w:val="00105CEC"/>
    <w:rsid w:val="0011682A"/>
    <w:rsid w:val="00117CC8"/>
    <w:rsid w:val="00130C15"/>
    <w:rsid w:val="00132B6D"/>
    <w:rsid w:val="00136470"/>
    <w:rsid w:val="00137AE7"/>
    <w:rsid w:val="00142A92"/>
    <w:rsid w:val="00146253"/>
    <w:rsid w:val="0014734C"/>
    <w:rsid w:val="00147AC2"/>
    <w:rsid w:val="00147CBF"/>
    <w:rsid w:val="00156ED5"/>
    <w:rsid w:val="00157FF3"/>
    <w:rsid w:val="00164E9C"/>
    <w:rsid w:val="00176DC4"/>
    <w:rsid w:val="0018747D"/>
    <w:rsid w:val="00192AC4"/>
    <w:rsid w:val="001B5216"/>
    <w:rsid w:val="001C000F"/>
    <w:rsid w:val="001D2603"/>
    <w:rsid w:val="001E28D0"/>
    <w:rsid w:val="001E3B0A"/>
    <w:rsid w:val="001F0092"/>
    <w:rsid w:val="002058D8"/>
    <w:rsid w:val="00210CD9"/>
    <w:rsid w:val="00220534"/>
    <w:rsid w:val="00233BFC"/>
    <w:rsid w:val="00240AED"/>
    <w:rsid w:val="00240B04"/>
    <w:rsid w:val="00242358"/>
    <w:rsid w:val="00260456"/>
    <w:rsid w:val="00262421"/>
    <w:rsid w:val="0026486A"/>
    <w:rsid w:val="002661E8"/>
    <w:rsid w:val="00267781"/>
    <w:rsid w:val="00277FCE"/>
    <w:rsid w:val="002825B5"/>
    <w:rsid w:val="00282866"/>
    <w:rsid w:val="00282E34"/>
    <w:rsid w:val="00283FDC"/>
    <w:rsid w:val="00284ABB"/>
    <w:rsid w:val="00284D39"/>
    <w:rsid w:val="00285AFA"/>
    <w:rsid w:val="00287AC1"/>
    <w:rsid w:val="002943FF"/>
    <w:rsid w:val="00294408"/>
    <w:rsid w:val="0029440A"/>
    <w:rsid w:val="002970D7"/>
    <w:rsid w:val="002A6A7A"/>
    <w:rsid w:val="002A79C0"/>
    <w:rsid w:val="002B2713"/>
    <w:rsid w:val="002B2D7A"/>
    <w:rsid w:val="002B48F7"/>
    <w:rsid w:val="002C0F5A"/>
    <w:rsid w:val="002C19D0"/>
    <w:rsid w:val="002C3E3B"/>
    <w:rsid w:val="002C49B4"/>
    <w:rsid w:val="002D37AA"/>
    <w:rsid w:val="002D6CD4"/>
    <w:rsid w:val="002D736F"/>
    <w:rsid w:val="002E2E4D"/>
    <w:rsid w:val="002E43B0"/>
    <w:rsid w:val="002E617E"/>
    <w:rsid w:val="002E6F53"/>
    <w:rsid w:val="002F7E71"/>
    <w:rsid w:val="00305B10"/>
    <w:rsid w:val="00320A71"/>
    <w:rsid w:val="003536CD"/>
    <w:rsid w:val="003570B1"/>
    <w:rsid w:val="0035795E"/>
    <w:rsid w:val="00361A5B"/>
    <w:rsid w:val="0036489F"/>
    <w:rsid w:val="003650CC"/>
    <w:rsid w:val="00365C58"/>
    <w:rsid w:val="00373904"/>
    <w:rsid w:val="00375302"/>
    <w:rsid w:val="0037779A"/>
    <w:rsid w:val="00391962"/>
    <w:rsid w:val="003A3FE3"/>
    <w:rsid w:val="003A5915"/>
    <w:rsid w:val="003B2EB5"/>
    <w:rsid w:val="003B5E07"/>
    <w:rsid w:val="003C2388"/>
    <w:rsid w:val="003C6355"/>
    <w:rsid w:val="003D7A49"/>
    <w:rsid w:val="003F2EF5"/>
    <w:rsid w:val="003F3C8C"/>
    <w:rsid w:val="003F5731"/>
    <w:rsid w:val="003F623F"/>
    <w:rsid w:val="00402846"/>
    <w:rsid w:val="0040346D"/>
    <w:rsid w:val="00405FAB"/>
    <w:rsid w:val="004114C6"/>
    <w:rsid w:val="00417177"/>
    <w:rsid w:val="00417EAB"/>
    <w:rsid w:val="004212BA"/>
    <w:rsid w:val="00421BA4"/>
    <w:rsid w:val="00425EAB"/>
    <w:rsid w:val="004413FD"/>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D27B4"/>
    <w:rsid w:val="004E64C7"/>
    <w:rsid w:val="004E79BB"/>
    <w:rsid w:val="004F1B2A"/>
    <w:rsid w:val="004F3C10"/>
    <w:rsid w:val="004F6034"/>
    <w:rsid w:val="005025FC"/>
    <w:rsid w:val="00502F5B"/>
    <w:rsid w:val="00506FC7"/>
    <w:rsid w:val="00515AEA"/>
    <w:rsid w:val="005239C0"/>
    <w:rsid w:val="00524492"/>
    <w:rsid w:val="0053082E"/>
    <w:rsid w:val="00532E63"/>
    <w:rsid w:val="00535F64"/>
    <w:rsid w:val="00541377"/>
    <w:rsid w:val="00541AF9"/>
    <w:rsid w:val="00551866"/>
    <w:rsid w:val="0056437C"/>
    <w:rsid w:val="005773DF"/>
    <w:rsid w:val="00581DE7"/>
    <w:rsid w:val="00596D10"/>
    <w:rsid w:val="005B133E"/>
    <w:rsid w:val="005B5FE4"/>
    <w:rsid w:val="005C0D7C"/>
    <w:rsid w:val="005C3BFB"/>
    <w:rsid w:val="005C4296"/>
    <w:rsid w:val="005C4354"/>
    <w:rsid w:val="005C54DB"/>
    <w:rsid w:val="005C7C1D"/>
    <w:rsid w:val="005D0E39"/>
    <w:rsid w:val="005D1832"/>
    <w:rsid w:val="005E332E"/>
    <w:rsid w:val="005F0D68"/>
    <w:rsid w:val="005F3F80"/>
    <w:rsid w:val="006031F4"/>
    <w:rsid w:val="00603A81"/>
    <w:rsid w:val="00610969"/>
    <w:rsid w:val="006136BF"/>
    <w:rsid w:val="0061459D"/>
    <w:rsid w:val="00616E27"/>
    <w:rsid w:val="006202AC"/>
    <w:rsid w:val="00625FC4"/>
    <w:rsid w:val="00633AC1"/>
    <w:rsid w:val="006374A6"/>
    <w:rsid w:val="00641CF0"/>
    <w:rsid w:val="00642194"/>
    <w:rsid w:val="006440AB"/>
    <w:rsid w:val="00650C76"/>
    <w:rsid w:val="0065592C"/>
    <w:rsid w:val="0065665D"/>
    <w:rsid w:val="006570E9"/>
    <w:rsid w:val="00666A27"/>
    <w:rsid w:val="00690F06"/>
    <w:rsid w:val="0069245E"/>
    <w:rsid w:val="00695230"/>
    <w:rsid w:val="006B2734"/>
    <w:rsid w:val="006B7778"/>
    <w:rsid w:val="006C00E6"/>
    <w:rsid w:val="006C3D71"/>
    <w:rsid w:val="006D1016"/>
    <w:rsid w:val="006D504C"/>
    <w:rsid w:val="006E0B94"/>
    <w:rsid w:val="006E2403"/>
    <w:rsid w:val="006E27E4"/>
    <w:rsid w:val="006E3D0A"/>
    <w:rsid w:val="006E5D3B"/>
    <w:rsid w:val="006E6DCF"/>
    <w:rsid w:val="00702E8F"/>
    <w:rsid w:val="007037A1"/>
    <w:rsid w:val="007037C0"/>
    <w:rsid w:val="00703B92"/>
    <w:rsid w:val="00711691"/>
    <w:rsid w:val="007254A6"/>
    <w:rsid w:val="00727BA1"/>
    <w:rsid w:val="00735CE1"/>
    <w:rsid w:val="007363E5"/>
    <w:rsid w:val="00737965"/>
    <w:rsid w:val="0074325E"/>
    <w:rsid w:val="0074488A"/>
    <w:rsid w:val="00754944"/>
    <w:rsid w:val="00756FDD"/>
    <w:rsid w:val="00761D09"/>
    <w:rsid w:val="0076214C"/>
    <w:rsid w:val="00766EEB"/>
    <w:rsid w:val="00774B32"/>
    <w:rsid w:val="00795617"/>
    <w:rsid w:val="007A4B81"/>
    <w:rsid w:val="007B324B"/>
    <w:rsid w:val="007B4344"/>
    <w:rsid w:val="007B50AE"/>
    <w:rsid w:val="007C60F6"/>
    <w:rsid w:val="007C7994"/>
    <w:rsid w:val="007C7E84"/>
    <w:rsid w:val="007D0B07"/>
    <w:rsid w:val="007D405B"/>
    <w:rsid w:val="007D4112"/>
    <w:rsid w:val="007D6199"/>
    <w:rsid w:val="007D64DF"/>
    <w:rsid w:val="007E1861"/>
    <w:rsid w:val="007E3287"/>
    <w:rsid w:val="007E4176"/>
    <w:rsid w:val="007E41FD"/>
    <w:rsid w:val="007E51F0"/>
    <w:rsid w:val="007E7F3F"/>
    <w:rsid w:val="007F2DD6"/>
    <w:rsid w:val="00800148"/>
    <w:rsid w:val="0080132D"/>
    <w:rsid w:val="00814965"/>
    <w:rsid w:val="008253BF"/>
    <w:rsid w:val="008318D4"/>
    <w:rsid w:val="0083579F"/>
    <w:rsid w:val="00850539"/>
    <w:rsid w:val="008516C8"/>
    <w:rsid w:val="00864401"/>
    <w:rsid w:val="0086539E"/>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163BA"/>
    <w:rsid w:val="00916471"/>
    <w:rsid w:val="009267DF"/>
    <w:rsid w:val="00931387"/>
    <w:rsid w:val="0093258E"/>
    <w:rsid w:val="0093323A"/>
    <w:rsid w:val="0093612E"/>
    <w:rsid w:val="009364A4"/>
    <w:rsid w:val="0093666D"/>
    <w:rsid w:val="0095016B"/>
    <w:rsid w:val="009509C5"/>
    <w:rsid w:val="00964C87"/>
    <w:rsid w:val="00967481"/>
    <w:rsid w:val="00967593"/>
    <w:rsid w:val="00973D16"/>
    <w:rsid w:val="00974F69"/>
    <w:rsid w:val="00975972"/>
    <w:rsid w:val="009772F1"/>
    <w:rsid w:val="00977C2E"/>
    <w:rsid w:val="00980EEB"/>
    <w:rsid w:val="00981276"/>
    <w:rsid w:val="0098745B"/>
    <w:rsid w:val="00990603"/>
    <w:rsid w:val="009946F0"/>
    <w:rsid w:val="009A1CE6"/>
    <w:rsid w:val="009A3F44"/>
    <w:rsid w:val="009A7B41"/>
    <w:rsid w:val="009B1314"/>
    <w:rsid w:val="009B334A"/>
    <w:rsid w:val="009B41AD"/>
    <w:rsid w:val="009C43D4"/>
    <w:rsid w:val="009C693D"/>
    <w:rsid w:val="009D3D88"/>
    <w:rsid w:val="009D7896"/>
    <w:rsid w:val="009E0F66"/>
    <w:rsid w:val="009E27E7"/>
    <w:rsid w:val="009E3CC5"/>
    <w:rsid w:val="009E6E54"/>
    <w:rsid w:val="009E79C7"/>
    <w:rsid w:val="009F2E9A"/>
    <w:rsid w:val="009F62F3"/>
    <w:rsid w:val="009F6C65"/>
    <w:rsid w:val="00A05B42"/>
    <w:rsid w:val="00A05BA9"/>
    <w:rsid w:val="00A14C1D"/>
    <w:rsid w:val="00A16CBA"/>
    <w:rsid w:val="00A17585"/>
    <w:rsid w:val="00A20FAF"/>
    <w:rsid w:val="00A22FB8"/>
    <w:rsid w:val="00A2413D"/>
    <w:rsid w:val="00A27003"/>
    <w:rsid w:val="00A27005"/>
    <w:rsid w:val="00A347B9"/>
    <w:rsid w:val="00A3551D"/>
    <w:rsid w:val="00A53D1D"/>
    <w:rsid w:val="00A55828"/>
    <w:rsid w:val="00A56D2D"/>
    <w:rsid w:val="00A60AAA"/>
    <w:rsid w:val="00A6315C"/>
    <w:rsid w:val="00A63E2F"/>
    <w:rsid w:val="00A74B1F"/>
    <w:rsid w:val="00A8036C"/>
    <w:rsid w:val="00A82898"/>
    <w:rsid w:val="00A83DD9"/>
    <w:rsid w:val="00A85922"/>
    <w:rsid w:val="00A90369"/>
    <w:rsid w:val="00A95058"/>
    <w:rsid w:val="00A95940"/>
    <w:rsid w:val="00A9720D"/>
    <w:rsid w:val="00AA2294"/>
    <w:rsid w:val="00AB368E"/>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2D3B"/>
    <w:rsid w:val="00B46F97"/>
    <w:rsid w:val="00B52FCF"/>
    <w:rsid w:val="00B54781"/>
    <w:rsid w:val="00B57B6C"/>
    <w:rsid w:val="00B60EA6"/>
    <w:rsid w:val="00B631FA"/>
    <w:rsid w:val="00B64739"/>
    <w:rsid w:val="00B8380D"/>
    <w:rsid w:val="00B83A83"/>
    <w:rsid w:val="00BA5669"/>
    <w:rsid w:val="00BC5FB3"/>
    <w:rsid w:val="00BC6AC8"/>
    <w:rsid w:val="00BD0AE3"/>
    <w:rsid w:val="00BE3215"/>
    <w:rsid w:val="00BE33D4"/>
    <w:rsid w:val="00BE53C4"/>
    <w:rsid w:val="00BE58C3"/>
    <w:rsid w:val="00BE5F10"/>
    <w:rsid w:val="00BE6CF9"/>
    <w:rsid w:val="00BF2E4E"/>
    <w:rsid w:val="00BF4F67"/>
    <w:rsid w:val="00BF7184"/>
    <w:rsid w:val="00C01CB2"/>
    <w:rsid w:val="00C121E5"/>
    <w:rsid w:val="00C20163"/>
    <w:rsid w:val="00C201E7"/>
    <w:rsid w:val="00C23FF7"/>
    <w:rsid w:val="00C263EA"/>
    <w:rsid w:val="00C27C77"/>
    <w:rsid w:val="00C31821"/>
    <w:rsid w:val="00C31B6C"/>
    <w:rsid w:val="00C45D21"/>
    <w:rsid w:val="00C51A2F"/>
    <w:rsid w:val="00C5567F"/>
    <w:rsid w:val="00C607DC"/>
    <w:rsid w:val="00C62D4A"/>
    <w:rsid w:val="00C6413D"/>
    <w:rsid w:val="00C70266"/>
    <w:rsid w:val="00C7603E"/>
    <w:rsid w:val="00C83529"/>
    <w:rsid w:val="00C92221"/>
    <w:rsid w:val="00C93932"/>
    <w:rsid w:val="00C94853"/>
    <w:rsid w:val="00C9749C"/>
    <w:rsid w:val="00CA1C12"/>
    <w:rsid w:val="00CA79C6"/>
    <w:rsid w:val="00CD294A"/>
    <w:rsid w:val="00CF26CA"/>
    <w:rsid w:val="00CF3AD6"/>
    <w:rsid w:val="00CF7ACB"/>
    <w:rsid w:val="00D04303"/>
    <w:rsid w:val="00D1486C"/>
    <w:rsid w:val="00D171F0"/>
    <w:rsid w:val="00D17229"/>
    <w:rsid w:val="00D172C2"/>
    <w:rsid w:val="00D17F0C"/>
    <w:rsid w:val="00D236FA"/>
    <w:rsid w:val="00D26EAE"/>
    <w:rsid w:val="00D36183"/>
    <w:rsid w:val="00D647B1"/>
    <w:rsid w:val="00D71DC8"/>
    <w:rsid w:val="00D750FB"/>
    <w:rsid w:val="00D7603E"/>
    <w:rsid w:val="00D77608"/>
    <w:rsid w:val="00D8247C"/>
    <w:rsid w:val="00D85EC6"/>
    <w:rsid w:val="00D922D1"/>
    <w:rsid w:val="00D9439B"/>
    <w:rsid w:val="00DA3266"/>
    <w:rsid w:val="00DA4FD9"/>
    <w:rsid w:val="00DC03EB"/>
    <w:rsid w:val="00DC14BC"/>
    <w:rsid w:val="00DC45EF"/>
    <w:rsid w:val="00DD386F"/>
    <w:rsid w:val="00DD67B2"/>
    <w:rsid w:val="00DE040B"/>
    <w:rsid w:val="00DE0D80"/>
    <w:rsid w:val="00DE5F1F"/>
    <w:rsid w:val="00DF255F"/>
    <w:rsid w:val="00DF2B93"/>
    <w:rsid w:val="00DF3B18"/>
    <w:rsid w:val="00DF3B64"/>
    <w:rsid w:val="00E03F47"/>
    <w:rsid w:val="00E07F8C"/>
    <w:rsid w:val="00E13B52"/>
    <w:rsid w:val="00E15890"/>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07EE"/>
    <w:rsid w:val="00EA3173"/>
    <w:rsid w:val="00EA538E"/>
    <w:rsid w:val="00EA6AED"/>
    <w:rsid w:val="00EA75EB"/>
    <w:rsid w:val="00EA795B"/>
    <w:rsid w:val="00EB0F83"/>
    <w:rsid w:val="00EB3B26"/>
    <w:rsid w:val="00EB62A8"/>
    <w:rsid w:val="00EC2566"/>
    <w:rsid w:val="00ED5039"/>
    <w:rsid w:val="00ED5C53"/>
    <w:rsid w:val="00EF025D"/>
    <w:rsid w:val="00F045F4"/>
    <w:rsid w:val="00F046E8"/>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8D087F"/>
    <w:rsid w:val="03AB416A"/>
    <w:rsid w:val="03BE46CA"/>
    <w:rsid w:val="03E57087"/>
    <w:rsid w:val="03EE3E2C"/>
    <w:rsid w:val="042452CB"/>
    <w:rsid w:val="047441A4"/>
    <w:rsid w:val="048A2E85"/>
    <w:rsid w:val="049C6FD8"/>
    <w:rsid w:val="04DB761E"/>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2A47A1"/>
    <w:rsid w:val="092F6D8F"/>
    <w:rsid w:val="09373ABB"/>
    <w:rsid w:val="094E0124"/>
    <w:rsid w:val="09532A1B"/>
    <w:rsid w:val="09C33652"/>
    <w:rsid w:val="09EC7201"/>
    <w:rsid w:val="0A43737F"/>
    <w:rsid w:val="0A8628A6"/>
    <w:rsid w:val="0AC95B7A"/>
    <w:rsid w:val="0AF22F92"/>
    <w:rsid w:val="0AF93815"/>
    <w:rsid w:val="0B110C73"/>
    <w:rsid w:val="0B192960"/>
    <w:rsid w:val="0B426E07"/>
    <w:rsid w:val="0B4F2F67"/>
    <w:rsid w:val="0B7F0C20"/>
    <w:rsid w:val="0BE27F6E"/>
    <w:rsid w:val="0BF45FAE"/>
    <w:rsid w:val="0CAF76CC"/>
    <w:rsid w:val="0CD3181F"/>
    <w:rsid w:val="0CF81FF6"/>
    <w:rsid w:val="0D1B516E"/>
    <w:rsid w:val="0D3F1C52"/>
    <w:rsid w:val="0D651279"/>
    <w:rsid w:val="0D680F35"/>
    <w:rsid w:val="0D8A168A"/>
    <w:rsid w:val="0DAC7D6C"/>
    <w:rsid w:val="0DF83FFE"/>
    <w:rsid w:val="0E1A7037"/>
    <w:rsid w:val="0EBF06D0"/>
    <w:rsid w:val="0F0F7DA6"/>
    <w:rsid w:val="0F3827E4"/>
    <w:rsid w:val="0F474907"/>
    <w:rsid w:val="0F476ECA"/>
    <w:rsid w:val="0F672722"/>
    <w:rsid w:val="0FC21136"/>
    <w:rsid w:val="0FF265C7"/>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A73F77"/>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84F7E"/>
    <w:rsid w:val="1C27522B"/>
    <w:rsid w:val="1C2A1151"/>
    <w:rsid w:val="1C3C4688"/>
    <w:rsid w:val="1CB20611"/>
    <w:rsid w:val="1CFB2EF1"/>
    <w:rsid w:val="1DA3784F"/>
    <w:rsid w:val="1DE60DE1"/>
    <w:rsid w:val="1DED1C7F"/>
    <w:rsid w:val="1DF26E88"/>
    <w:rsid w:val="1E067F71"/>
    <w:rsid w:val="1E222749"/>
    <w:rsid w:val="1E5C2AAF"/>
    <w:rsid w:val="1E735A54"/>
    <w:rsid w:val="1E9A7F2E"/>
    <w:rsid w:val="1EAB5036"/>
    <w:rsid w:val="1EC86614"/>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4E7940"/>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B2586C"/>
    <w:rsid w:val="37DA19C9"/>
    <w:rsid w:val="38111487"/>
    <w:rsid w:val="38190834"/>
    <w:rsid w:val="386F7FEE"/>
    <w:rsid w:val="38A77071"/>
    <w:rsid w:val="38C6092B"/>
    <w:rsid w:val="39431D2B"/>
    <w:rsid w:val="39446ABE"/>
    <w:rsid w:val="39917372"/>
    <w:rsid w:val="39A06C31"/>
    <w:rsid w:val="3A0D0F54"/>
    <w:rsid w:val="3A1C1785"/>
    <w:rsid w:val="3A465194"/>
    <w:rsid w:val="3A8D4EA1"/>
    <w:rsid w:val="3AFD3BF0"/>
    <w:rsid w:val="3B323E56"/>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AA7FDC"/>
    <w:rsid w:val="3DAF06B3"/>
    <w:rsid w:val="3DB82A32"/>
    <w:rsid w:val="3DCF35B1"/>
    <w:rsid w:val="3DD21743"/>
    <w:rsid w:val="3DD77C4F"/>
    <w:rsid w:val="3E0C635B"/>
    <w:rsid w:val="3E2658C2"/>
    <w:rsid w:val="3E3216C8"/>
    <w:rsid w:val="3E7B778D"/>
    <w:rsid w:val="3E861555"/>
    <w:rsid w:val="3E8912B9"/>
    <w:rsid w:val="3F253A6A"/>
    <w:rsid w:val="3F5D1332"/>
    <w:rsid w:val="3F5F13C6"/>
    <w:rsid w:val="3F6D4D17"/>
    <w:rsid w:val="3FB579A2"/>
    <w:rsid w:val="3FCD7D52"/>
    <w:rsid w:val="40113795"/>
    <w:rsid w:val="409C7062"/>
    <w:rsid w:val="40A22424"/>
    <w:rsid w:val="40CD2069"/>
    <w:rsid w:val="411E33DB"/>
    <w:rsid w:val="411F1CBC"/>
    <w:rsid w:val="41596681"/>
    <w:rsid w:val="41C71F2D"/>
    <w:rsid w:val="41C84714"/>
    <w:rsid w:val="41C930DD"/>
    <w:rsid w:val="41F81F6C"/>
    <w:rsid w:val="422F3285"/>
    <w:rsid w:val="4278048C"/>
    <w:rsid w:val="42A95AE9"/>
    <w:rsid w:val="42B42080"/>
    <w:rsid w:val="433543AC"/>
    <w:rsid w:val="43805B72"/>
    <w:rsid w:val="442B30AD"/>
    <w:rsid w:val="44500BF3"/>
    <w:rsid w:val="4464696D"/>
    <w:rsid w:val="44C3298D"/>
    <w:rsid w:val="45150520"/>
    <w:rsid w:val="451A029F"/>
    <w:rsid w:val="45305838"/>
    <w:rsid w:val="45846855"/>
    <w:rsid w:val="460C7C2A"/>
    <w:rsid w:val="46365120"/>
    <w:rsid w:val="46422BF3"/>
    <w:rsid w:val="465C42EA"/>
    <w:rsid w:val="46945A6B"/>
    <w:rsid w:val="469F284C"/>
    <w:rsid w:val="46A0311D"/>
    <w:rsid w:val="46FD5F82"/>
    <w:rsid w:val="46FE62B7"/>
    <w:rsid w:val="475714AB"/>
    <w:rsid w:val="478F3DE5"/>
    <w:rsid w:val="49086B40"/>
    <w:rsid w:val="497B03A6"/>
    <w:rsid w:val="49C31961"/>
    <w:rsid w:val="49E451F0"/>
    <w:rsid w:val="4A4803E9"/>
    <w:rsid w:val="4A672695"/>
    <w:rsid w:val="4ACE4B27"/>
    <w:rsid w:val="4B357B58"/>
    <w:rsid w:val="4B4C0A4C"/>
    <w:rsid w:val="4B544A18"/>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DC7BE8"/>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183C3E"/>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5A734CB"/>
    <w:rsid w:val="56457CB7"/>
    <w:rsid w:val="565E7162"/>
    <w:rsid w:val="56C0771E"/>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79352B"/>
    <w:rsid w:val="5E872437"/>
    <w:rsid w:val="5E8811DA"/>
    <w:rsid w:val="5E93297D"/>
    <w:rsid w:val="5F117B1E"/>
    <w:rsid w:val="5F13068D"/>
    <w:rsid w:val="5F6252D4"/>
    <w:rsid w:val="5F685570"/>
    <w:rsid w:val="5F8B68A7"/>
    <w:rsid w:val="5FA840E1"/>
    <w:rsid w:val="5FD55C0F"/>
    <w:rsid w:val="601F645B"/>
    <w:rsid w:val="603F4081"/>
    <w:rsid w:val="6044513C"/>
    <w:rsid w:val="604E254F"/>
    <w:rsid w:val="607E5533"/>
    <w:rsid w:val="609C08BE"/>
    <w:rsid w:val="60E71594"/>
    <w:rsid w:val="61243443"/>
    <w:rsid w:val="613A4296"/>
    <w:rsid w:val="61684F2B"/>
    <w:rsid w:val="61BC013B"/>
    <w:rsid w:val="61D313A2"/>
    <w:rsid w:val="62583951"/>
    <w:rsid w:val="62A81C63"/>
    <w:rsid w:val="62D639F7"/>
    <w:rsid w:val="62F162C9"/>
    <w:rsid w:val="634147D0"/>
    <w:rsid w:val="63414D1C"/>
    <w:rsid w:val="635255D6"/>
    <w:rsid w:val="63681D63"/>
    <w:rsid w:val="63CE7E76"/>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A9670CF"/>
    <w:rsid w:val="6AC63AFC"/>
    <w:rsid w:val="6B112E72"/>
    <w:rsid w:val="6B325FAE"/>
    <w:rsid w:val="6B41572D"/>
    <w:rsid w:val="6B4F5672"/>
    <w:rsid w:val="6B7C77F1"/>
    <w:rsid w:val="6BDC2110"/>
    <w:rsid w:val="6BFB13F3"/>
    <w:rsid w:val="6C6E545A"/>
    <w:rsid w:val="6C8E751D"/>
    <w:rsid w:val="6C9E3613"/>
    <w:rsid w:val="6CA439CF"/>
    <w:rsid w:val="6D072DF8"/>
    <w:rsid w:val="6D522397"/>
    <w:rsid w:val="6DAD3E41"/>
    <w:rsid w:val="6DCC0305"/>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A06665"/>
    <w:rsid w:val="73BA1001"/>
    <w:rsid w:val="73DE4104"/>
    <w:rsid w:val="73DF2283"/>
    <w:rsid w:val="74035EF1"/>
    <w:rsid w:val="740744B7"/>
    <w:rsid w:val="742224B4"/>
    <w:rsid w:val="742F6EA1"/>
    <w:rsid w:val="743662C4"/>
    <w:rsid w:val="747F6DA9"/>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140B97"/>
    <w:rsid w:val="7DEF61E8"/>
    <w:rsid w:val="7E04681D"/>
    <w:rsid w:val="7EF26A1F"/>
    <w:rsid w:val="7F3746F1"/>
    <w:rsid w:val="7F5E6EBF"/>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5">
    <w:name w:val="heading 3"/>
    <w:basedOn w:val="1"/>
    <w:next w:val="1"/>
    <w:link w:val="15"/>
    <w:qFormat/>
    <w:uiPriority w:val="0"/>
    <w:pPr>
      <w:keepNext/>
      <w:keepLines/>
      <w:spacing w:before="260" w:after="260" w:line="413" w:lineRule="auto"/>
      <w:outlineLvl w:val="2"/>
    </w:pPr>
    <w:rPr>
      <w:rFonts w:eastAsia="‹ÎSå"/>
      <w:b/>
      <w:sz w:val="32"/>
      <w:szCs w:val="32"/>
      <w:lang w:val="zh-CN"/>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6">
    <w:name w:val="Balloon Text"/>
    <w:basedOn w:val="1"/>
    <w:link w:val="16"/>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000FF"/>
      <w:u w:val="single"/>
    </w:rPr>
  </w:style>
  <w:style w:type="character" w:customStyle="1" w:styleId="14">
    <w:name w:val="标题 1 Char"/>
    <w:link w:val="4"/>
    <w:qFormat/>
    <w:uiPriority w:val="9"/>
    <w:rPr>
      <w:b/>
      <w:bCs/>
      <w:color w:val="000000"/>
      <w:kern w:val="44"/>
      <w:sz w:val="44"/>
      <w:szCs w:val="44"/>
    </w:rPr>
  </w:style>
  <w:style w:type="character" w:customStyle="1" w:styleId="15">
    <w:name w:val="标题 3 Char"/>
    <w:link w:val="5"/>
    <w:qFormat/>
    <w:uiPriority w:val="0"/>
    <w:rPr>
      <w:rFonts w:ascii="Times New Roman" w:hAnsi="Times New Roman" w:eastAsia="‹ÎSå" w:cs="Times New Roman"/>
      <w:b/>
      <w:color w:val="000000"/>
      <w:kern w:val="0"/>
      <w:sz w:val="32"/>
      <w:szCs w:val="32"/>
      <w:lang w:val="zh-CN"/>
    </w:rPr>
  </w:style>
  <w:style w:type="character" w:customStyle="1" w:styleId="16">
    <w:name w:val="批注框文本 Char"/>
    <w:link w:val="6"/>
    <w:semiHidden/>
    <w:qFormat/>
    <w:uiPriority w:val="99"/>
    <w:rPr>
      <w:rFonts w:ascii="Times New Roman" w:hAnsi="Times New Roman"/>
      <w:color w:val="000000"/>
      <w:sz w:val="18"/>
      <w:szCs w:val="18"/>
    </w:rPr>
  </w:style>
  <w:style w:type="character" w:customStyle="1" w:styleId="17">
    <w:name w:val="页脚 Char"/>
    <w:link w:val="7"/>
    <w:semiHidden/>
    <w:qFormat/>
    <w:uiPriority w:val="99"/>
    <w:rPr>
      <w:sz w:val="18"/>
      <w:szCs w:val="18"/>
    </w:rPr>
  </w:style>
  <w:style w:type="character" w:customStyle="1" w:styleId="18">
    <w:name w:val="页眉 Char"/>
    <w:link w:val="8"/>
    <w:semiHidden/>
    <w:qFormat/>
    <w:uiPriority w:val="99"/>
    <w:rPr>
      <w:sz w:val="18"/>
      <w:szCs w:val="18"/>
    </w:rPr>
  </w:style>
  <w:style w:type="character" w:customStyle="1" w:styleId="19">
    <w:name w:val="font41"/>
    <w:qFormat/>
    <w:uiPriority w:val="0"/>
    <w:rPr>
      <w:rFonts w:hint="default" w:ascii="Times New Roman" w:hAnsi="Times New Roman" w:cs="Times New Roman"/>
      <w:color w:val="000000"/>
      <w:sz w:val="18"/>
      <w:szCs w:val="18"/>
      <w:u w:val="none"/>
    </w:rPr>
  </w:style>
  <w:style w:type="character" w:customStyle="1" w:styleId="20">
    <w:name w:val="font61"/>
    <w:qFormat/>
    <w:uiPriority w:val="0"/>
    <w:rPr>
      <w:rFonts w:hint="eastAsia" w:ascii="宋体" w:hAnsi="宋体" w:eastAsia="宋体" w:cs="宋体"/>
      <w:color w:val="000000"/>
      <w:sz w:val="12"/>
      <w:szCs w:val="12"/>
      <w:u w:val="none"/>
    </w:rPr>
  </w:style>
  <w:style w:type="character" w:customStyle="1" w:styleId="21">
    <w:name w:val="font121"/>
    <w:qFormat/>
    <w:uiPriority w:val="0"/>
    <w:rPr>
      <w:rFonts w:hint="eastAsia" w:ascii="宋体" w:hAnsi="宋体" w:eastAsia="宋体" w:cs="宋体"/>
      <w:color w:val="000000"/>
      <w:sz w:val="18"/>
      <w:szCs w:val="18"/>
      <w:u w:val="none"/>
    </w:rPr>
  </w:style>
  <w:style w:type="character" w:customStyle="1" w:styleId="22">
    <w:name w:val="font01"/>
    <w:qFormat/>
    <w:uiPriority w:val="0"/>
    <w:rPr>
      <w:rFonts w:hint="eastAsia" w:ascii="宋体" w:hAnsi="宋体" w:eastAsia="宋体" w:cs="宋体"/>
      <w:color w:val="FF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qFormat/>
    <w:uiPriority w:val="0"/>
    <w:rPr>
      <w:rFonts w:hint="eastAsia" w:ascii="宋体" w:hAnsi="宋体" w:eastAsia="宋体" w:cs="宋体"/>
      <w:color w:val="000000"/>
      <w:sz w:val="18"/>
      <w:szCs w:val="18"/>
      <w:u w:val="none"/>
    </w:rPr>
  </w:style>
  <w:style w:type="character" w:customStyle="1" w:styleId="25">
    <w:name w:val="font91"/>
    <w:qFormat/>
    <w:uiPriority w:val="0"/>
    <w:rPr>
      <w:rFonts w:hint="default" w:ascii="Times New Roman" w:hAnsi="Times New Roman" w:cs="Times New Roman"/>
      <w:color w:val="000000"/>
      <w:sz w:val="18"/>
      <w:szCs w:val="18"/>
      <w:u w:val="none"/>
    </w:rPr>
  </w:style>
  <w:style w:type="character" w:customStyle="1" w:styleId="26">
    <w:name w:val="font31"/>
    <w:qFormat/>
    <w:uiPriority w:val="0"/>
    <w:rPr>
      <w:rFonts w:hint="eastAsia" w:ascii="宋体" w:hAnsi="宋体" w:eastAsia="宋体" w:cs="宋体"/>
      <w:color w:val="000000"/>
      <w:sz w:val="18"/>
      <w:szCs w:val="18"/>
      <w:u w:val="none"/>
    </w:rPr>
  </w:style>
  <w:style w:type="character" w:customStyle="1" w:styleId="27">
    <w:name w:val="font81"/>
    <w:qFormat/>
    <w:uiPriority w:val="0"/>
    <w:rPr>
      <w:rFonts w:hint="eastAsia" w:ascii="宋体" w:hAnsi="宋体" w:eastAsia="宋体" w:cs="宋体"/>
      <w:color w:val="000000"/>
      <w:sz w:val="18"/>
      <w:szCs w:val="18"/>
      <w:u w:val="none"/>
    </w:rPr>
  </w:style>
  <w:style w:type="character" w:customStyle="1" w:styleId="28">
    <w:name w:val="font11"/>
    <w:qFormat/>
    <w:uiPriority w:val="0"/>
    <w:rPr>
      <w:rFonts w:hint="eastAsia" w:ascii="宋体" w:hAnsi="宋体" w:eastAsia="宋体" w:cs="宋体"/>
      <w:color w:val="000000"/>
      <w:sz w:val="18"/>
      <w:szCs w:val="18"/>
      <w:u w:val="none"/>
    </w:rPr>
  </w:style>
  <w:style w:type="paragraph" w:customStyle="1" w:styleId="29">
    <w:name w:val="列出段落1"/>
    <w:basedOn w:val="1"/>
    <w:qFormat/>
    <w:uiPriority w:val="34"/>
    <w:pPr>
      <w:ind w:firstLine="420" w:firstLineChars="200"/>
    </w:pPr>
  </w:style>
  <w:style w:type="paragraph" w:customStyle="1" w:styleId="30">
    <w:name w:val="reader-word-layer"/>
    <w:basedOn w:val="1"/>
    <w:qFormat/>
    <w:uiPriority w:val="0"/>
    <w:pPr>
      <w:widowControl/>
      <w:spacing w:before="100" w:beforeAutospacing="1" w:after="100" w:afterAutospacing="1"/>
      <w:jc w:val="left"/>
    </w:pPr>
    <w:rPr>
      <w:rFonts w:ascii="宋体" w:hAnsi="宋体" w:cs="宋体"/>
      <w:color w:val="auto"/>
      <w:sz w:val="24"/>
    </w:rPr>
  </w:style>
  <w:style w:type="character" w:customStyle="1" w:styleId="31">
    <w:name w:val="_Style 30"/>
    <w:unhideWhenUsed/>
    <w:qFormat/>
    <w:uiPriority w:val="99"/>
    <w:rPr>
      <w:color w:val="605E5C"/>
      <w:shd w:val="clear" w:color="auto" w:fill="E1DFDD"/>
    </w:rPr>
  </w:style>
  <w:style w:type="paragraph" w:customStyle="1" w:styleId="32">
    <w:name w:val="_Style 31"/>
    <w:unhideWhenUsed/>
    <w:qFormat/>
    <w:uiPriority w:val="99"/>
    <w:rPr>
      <w:rFonts w:ascii="Times New Roman" w:hAnsi="Times New Roman" w:eastAsia="宋体" w:cs="Times New Roman"/>
      <w:color w:val="000000"/>
      <w:sz w:val="21"/>
      <w:szCs w:val="24"/>
      <w:lang w:val="en-US" w:eastAsia="zh-CN" w:bidi="ar-SA"/>
    </w:rPr>
  </w:style>
  <w:style w:type="character" w:customStyle="1" w:styleId="33">
    <w:name w:val="页脚 字符"/>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5011</Words>
  <Characters>5274</Characters>
  <Lines>45</Lines>
  <Paragraphs>12</Paragraphs>
  <TotalTime>3</TotalTime>
  <ScaleCrop>false</ScaleCrop>
  <LinksUpToDate>false</LinksUpToDate>
  <CharactersWithSpaces>5832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2022-09-01T08:00:00Z</cp:lastPrinted>
  <dcterms:modified xsi:type="dcterms:W3CDTF">2023-10-20T09:21:20Z</dcterms:modified>
  <dc:title>江苏索普（集团）有限公司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41DDF6093E2D43B6BAE3379AB292524E_13</vt:lpwstr>
  </property>
</Properties>
</file>