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集团项目工装法兰加工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集团项目工装法兰加工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bookmarkStart w:id="0" w:name="_GoBack"/>
      <w:bookmarkEnd w:id="0"/>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2E1424"/>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3E433C"/>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00587"/>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1</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2023-10-18T08:41:03Z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