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rPr>
      </w:pPr>
    </w:p>
    <w:p>
      <w:pPr>
        <w:spacing w:line="480" w:lineRule="auto"/>
        <w:jc w:val="center"/>
        <w:rPr>
          <w:rFonts w:hint="eastAsia" w:ascii="黑体" w:hAnsi="黑体" w:eastAsia="黑体" w:cs="Times New Roman"/>
          <w:sz w:val="52"/>
          <w:szCs w:val="52"/>
          <w:lang w:val="en-US" w:eastAsia="zh-CN"/>
        </w:rPr>
      </w:pPr>
      <w:r>
        <w:rPr>
          <w:rFonts w:hint="eastAsia" w:ascii="黑体" w:hAnsi="黑体" w:eastAsia="黑体" w:cs="Times New Roman"/>
          <w:sz w:val="52"/>
          <w:szCs w:val="52"/>
          <w:lang w:val="en-US" w:eastAsia="zh-CN"/>
        </w:rPr>
        <w:t>2023年-2024年度生产技改项目</w:t>
      </w:r>
    </w:p>
    <w:p>
      <w:pPr>
        <w:spacing w:line="480" w:lineRule="auto"/>
        <w:jc w:val="center"/>
        <w:rPr>
          <w:rFonts w:hint="eastAsia" w:ascii="黑体" w:hAnsi="黑体" w:eastAsia="黑体"/>
          <w:sz w:val="52"/>
          <w:szCs w:val="52"/>
        </w:rPr>
      </w:pPr>
      <w:r>
        <w:rPr>
          <w:rFonts w:hint="eastAsia" w:ascii="黑体" w:hAnsi="黑体" w:eastAsia="黑体"/>
          <w:sz w:val="52"/>
          <w:szCs w:val="52"/>
        </w:rPr>
        <w:t>监理服务</w:t>
      </w:r>
    </w:p>
    <w:p>
      <w:pPr>
        <w:spacing w:line="480" w:lineRule="auto"/>
        <w:jc w:val="center"/>
        <w:rPr>
          <w:rFonts w:ascii="黑体" w:hAnsi="黑体" w:eastAsia="黑体"/>
          <w:sz w:val="52"/>
          <w:szCs w:val="52"/>
        </w:rPr>
      </w:pPr>
    </w:p>
    <w:p>
      <w:pPr>
        <w:spacing w:line="480" w:lineRule="auto"/>
        <w:jc w:val="center"/>
        <w:rPr>
          <w:rFonts w:hint="eastAsia" w:ascii="黑体" w:hAnsi="黑体" w:eastAsia="黑体"/>
          <w:sz w:val="52"/>
          <w:szCs w:val="52"/>
        </w:rPr>
      </w:pPr>
      <w:r>
        <w:rPr>
          <w:rFonts w:hint="eastAsia" w:ascii="黑体" w:hAnsi="黑体" w:eastAsia="黑体"/>
          <w:sz w:val="52"/>
          <w:szCs w:val="52"/>
        </w:rPr>
        <w:t>招标文件</w:t>
      </w:r>
    </w:p>
    <w:p>
      <w:pPr>
        <w:spacing w:line="480" w:lineRule="auto"/>
        <w:jc w:val="center"/>
        <w:rPr>
          <w:rFonts w:hint="eastAsia"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hint="eastAsia" w:ascii="宋体" w:hAnsi="宋体"/>
          <w:b/>
          <w:sz w:val="44"/>
        </w:rPr>
      </w:pPr>
    </w:p>
    <w:p>
      <w:pPr>
        <w:spacing w:line="520" w:lineRule="exact"/>
        <w:ind w:firstLine="1920" w:firstLineChars="600"/>
        <w:rPr>
          <w:rFonts w:hint="eastAsia" w:ascii="黑体" w:hAnsi="宋体" w:eastAsia="黑体"/>
          <w:color w:val="000000"/>
          <w:sz w:val="32"/>
          <w:szCs w:val="32"/>
          <w:u w:val="single"/>
        </w:rPr>
      </w:pPr>
      <w:r>
        <w:rPr>
          <w:rFonts w:hint="eastAsia" w:ascii="黑体" w:hAnsi="宋体" w:eastAsia="黑体"/>
          <w:color w:val="000000"/>
          <w:sz w:val="32"/>
          <w:szCs w:val="32"/>
        </w:rPr>
        <w:t>招标单位：</w:t>
      </w:r>
      <w:r>
        <w:rPr>
          <w:rFonts w:hint="eastAsia" w:ascii="黑体" w:hAnsi="宋体" w:eastAsia="黑体"/>
          <w:color w:val="000000"/>
          <w:sz w:val="32"/>
          <w:szCs w:val="32"/>
          <w:u w:val="single"/>
        </w:rPr>
        <w:t>江苏索普化工股份有限公司</w:t>
      </w:r>
    </w:p>
    <w:p>
      <w:pPr>
        <w:spacing w:line="520" w:lineRule="exact"/>
        <w:ind w:firstLine="1920" w:firstLineChars="600"/>
        <w:rPr>
          <w:rFonts w:ascii="宋体" w:hAnsi="宋体" w:eastAsia="黑体"/>
          <w:b/>
          <w:sz w:val="40"/>
          <w:szCs w:val="32"/>
          <w:u w:val="single"/>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9</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15</w:t>
      </w:r>
      <w:r>
        <w:rPr>
          <w:rFonts w:hint="eastAsia" w:ascii="黑体" w:hAnsi="宋体" w:eastAsia="黑体"/>
          <w:color w:val="000000"/>
          <w:sz w:val="32"/>
          <w:szCs w:val="32"/>
          <w:u w:val="single"/>
        </w:rPr>
        <w:t>日</w:t>
      </w:r>
    </w:p>
    <w:p>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对</w:t>
      </w:r>
      <w:r>
        <w:rPr>
          <w:rFonts w:hint="eastAsia" w:ascii="仿宋" w:hAnsi="仿宋" w:eastAsia="仿宋" w:cs="仿宋"/>
          <w:bCs/>
          <w:color w:val="auto"/>
          <w:sz w:val="30"/>
          <w:szCs w:val="30"/>
          <w:u w:val="single"/>
        </w:rPr>
        <w:t xml:space="preserve">  醋酸厂片区水系统应急能力提升</w:t>
      </w:r>
      <w:r>
        <w:rPr>
          <w:rFonts w:hint="eastAsia" w:ascii="仿宋" w:hAnsi="仿宋" w:eastAsia="仿宋" w:cs="仿宋"/>
          <w:bCs/>
          <w:color w:val="auto"/>
          <w:sz w:val="30"/>
          <w:szCs w:val="30"/>
          <w:u w:val="single"/>
          <w:lang w:val="en-US" w:eastAsia="zh-CN"/>
        </w:rPr>
        <w:t>等2023-2024年度生产技改</w:t>
      </w:r>
      <w:r>
        <w:rPr>
          <w:rFonts w:hint="eastAsia" w:ascii="仿宋" w:hAnsi="仿宋" w:eastAsia="仿宋" w:cs="仿宋"/>
          <w:bCs/>
          <w:color w:val="auto"/>
          <w:sz w:val="30"/>
          <w:szCs w:val="30"/>
          <w:u w:val="single"/>
        </w:rPr>
        <w:t>项目</w:t>
      </w:r>
      <w:r>
        <w:rPr>
          <w:rFonts w:hint="eastAsia" w:ascii="仿宋" w:hAnsi="仿宋" w:eastAsia="仿宋" w:cs="仿宋"/>
          <w:bCs/>
          <w:color w:val="auto"/>
          <w:sz w:val="30"/>
          <w:szCs w:val="30"/>
          <w:u w:val="single"/>
          <w:lang w:val="en-US" w:eastAsia="zh-CN"/>
        </w:rPr>
        <w:t>土建、装饰、电仪、防腐、保温、脚手架、动静设备安装等</w:t>
      </w:r>
      <w:r>
        <w:rPr>
          <w:rFonts w:hint="eastAsia" w:ascii="仿宋" w:hAnsi="仿宋" w:eastAsia="仿宋" w:cs="仿宋"/>
          <w:bCs/>
          <w:color w:val="auto"/>
          <w:sz w:val="30"/>
          <w:szCs w:val="30"/>
          <w:u w:val="single"/>
        </w:rPr>
        <w:t>施工图、工程量清单范围内的工程施工阶段及质量保修期的全过程</w:t>
      </w:r>
      <w:r>
        <w:rPr>
          <w:rFonts w:hint="eastAsia" w:ascii="仿宋" w:hAnsi="仿宋" w:eastAsia="仿宋" w:cs="仿宋"/>
          <w:bCs/>
          <w:color w:val="auto"/>
          <w:sz w:val="30"/>
          <w:szCs w:val="30"/>
          <w:u w:val="single"/>
          <w:lang w:val="en-US" w:eastAsia="zh-CN"/>
        </w:rPr>
        <w:t>选定</w:t>
      </w:r>
      <w:r>
        <w:rPr>
          <w:rFonts w:hint="eastAsia" w:ascii="仿宋" w:hAnsi="仿宋" w:eastAsia="仿宋" w:cs="仿宋"/>
          <w:bCs/>
          <w:color w:val="auto"/>
          <w:sz w:val="30"/>
          <w:szCs w:val="30"/>
          <w:u w:val="single"/>
        </w:rPr>
        <w:t>监理</w:t>
      </w:r>
      <w:r>
        <w:rPr>
          <w:rFonts w:hint="eastAsia" w:ascii="仿宋" w:hAnsi="仿宋" w:eastAsia="仿宋" w:cs="仿宋"/>
          <w:bCs/>
          <w:color w:val="auto"/>
          <w:sz w:val="30"/>
          <w:szCs w:val="30"/>
          <w:u w:val="single"/>
          <w:lang w:val="en-US" w:eastAsia="zh-CN"/>
        </w:rPr>
        <w:t>单位</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w:t>
      </w:r>
      <w:r>
        <w:rPr>
          <w:rFonts w:hint="eastAsia" w:ascii="仿宋" w:hAnsi="仿宋" w:eastAsia="仿宋" w:cs="仿宋"/>
          <w:bCs/>
          <w:color w:val="auto"/>
          <w:sz w:val="30"/>
          <w:szCs w:val="30"/>
          <w:lang w:val="en-US" w:eastAsia="zh-CN"/>
        </w:rPr>
        <w:t>服务单位</w:t>
      </w:r>
      <w:r>
        <w:rPr>
          <w:rFonts w:hint="eastAsia" w:ascii="仿宋" w:hAnsi="仿宋" w:eastAsia="仿宋" w:cs="仿宋"/>
          <w:bCs/>
          <w:color w:val="auto"/>
          <w:sz w:val="30"/>
          <w:szCs w:val="30"/>
          <w:lang w:val="zh-CN"/>
        </w:rPr>
        <w:t>，</w:t>
      </w:r>
      <w:r>
        <w:rPr>
          <w:rFonts w:hint="eastAsia" w:ascii="仿宋" w:hAnsi="仿宋" w:eastAsia="仿宋" w:cs="仿宋"/>
          <w:bCs/>
          <w:color w:val="auto"/>
          <w:sz w:val="30"/>
          <w:szCs w:val="30"/>
        </w:rPr>
        <w:t>特邀请贵单位参与投标。</w:t>
      </w:r>
    </w:p>
    <w:p>
      <w:pPr>
        <w:pStyle w:val="2"/>
        <w:rPr>
          <w:rFonts w:hint="eastAsia"/>
        </w:rPr>
      </w:pPr>
      <w:r>
        <w:rPr>
          <w:rFonts w:hint="eastAsia" w:ascii="仿宋" w:hAnsi="仿宋" w:eastAsia="仿宋" w:cs="仿宋"/>
          <w:b/>
          <w:color w:val="auto"/>
          <w:sz w:val="30"/>
          <w:szCs w:val="30"/>
        </w:rPr>
        <w:t>一、招标概况：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2023-2024年度生产技改</w:t>
      </w:r>
      <w:r>
        <w:rPr>
          <w:rFonts w:hint="eastAsia" w:ascii="仿宋" w:hAnsi="仿宋" w:eastAsia="仿宋" w:cs="仿宋"/>
          <w:bCs/>
          <w:color w:val="auto"/>
          <w:sz w:val="30"/>
          <w:szCs w:val="30"/>
          <w:u w:val="single"/>
        </w:rPr>
        <w:t>项目</w:t>
      </w:r>
      <w:r>
        <w:rPr>
          <w:rFonts w:hint="eastAsia" w:ascii="仿宋" w:hAnsi="仿宋" w:eastAsia="仿宋" w:cs="仿宋"/>
          <w:bCs/>
          <w:color w:val="auto"/>
          <w:sz w:val="30"/>
          <w:szCs w:val="30"/>
          <w:u w:val="single"/>
          <w:lang w:val="en-US" w:eastAsia="zh-CN"/>
        </w:rPr>
        <w:t>监理</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2023年</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7</w:t>
      </w:r>
      <w:r>
        <w:rPr>
          <w:rFonts w:hint="eastAsia" w:ascii="仿宋" w:hAnsi="仿宋" w:eastAsia="仿宋" w:cs="仿宋"/>
          <w:bCs/>
          <w:color w:val="auto"/>
          <w:sz w:val="30"/>
          <w:szCs w:val="30"/>
          <w:u w:val="single"/>
        </w:rPr>
        <w:t xml:space="preserve">日 </w:t>
      </w:r>
      <w:r>
        <w:rPr>
          <w:rFonts w:hint="eastAsia" w:ascii="仿宋" w:hAnsi="仿宋" w:eastAsia="仿宋" w:cs="仿宋"/>
          <w:bCs/>
          <w:color w:val="auto"/>
          <w:sz w:val="30"/>
          <w:szCs w:val="30"/>
          <w:u w:val="single"/>
          <w:lang w:val="en-US" w:eastAsia="zh-CN"/>
        </w:rPr>
        <w:t>-2024.12.31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江苏索普化工股份有限公司生产装置区域</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投标截止时间2023年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9</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27</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2023年</w:t>
      </w:r>
      <w:r>
        <w:rPr>
          <w:rFonts w:hint="eastAsia" w:ascii="仿宋" w:hAnsi="仿宋" w:eastAsia="仿宋" w:cs="仿宋"/>
          <w:bCs/>
          <w:color w:val="auto"/>
          <w:sz w:val="30"/>
          <w:szCs w:val="30"/>
          <w:u w:val="single"/>
          <w:lang w:val="en-US" w:eastAsia="zh-CN"/>
        </w:rPr>
        <w:t>9</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2</w:t>
      </w:r>
      <w:r>
        <w:rPr>
          <w:rFonts w:hint="eastAsia" w:ascii="仿宋" w:hAnsi="仿宋" w:eastAsia="仿宋" w:cs="仿宋"/>
          <w:bCs/>
          <w:color w:val="auto"/>
          <w:sz w:val="30"/>
          <w:szCs w:val="30"/>
          <w:u w:val="single"/>
          <w:lang w:val="en-US" w:eastAsia="zh-CN"/>
        </w:rPr>
        <w:t>7</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14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（七）中标公示：中标信息将于开标后在索普集团官网公示，请各投标人登录http://www.sopo.com.cn查询。</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600" w:lineRule="exac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（一）标的物内容    </w:t>
      </w:r>
    </w:p>
    <w:p>
      <w:pPr>
        <w:adjustRightInd w:val="0"/>
        <w:snapToGrid w:val="0"/>
        <w:spacing w:line="600" w:lineRule="exact"/>
        <w:ind w:firstLine="600" w:firstLineChars="200"/>
        <w:rPr>
          <w:rFonts w:hint="eastAsia" w:ascii="仿宋_GB2312" w:hAnsi="宋体" w:eastAsia="仿宋_GB2312"/>
          <w:sz w:val="30"/>
          <w:szCs w:val="30"/>
          <w:u w:val="single"/>
          <w:lang w:val="en-US" w:eastAsia="zh-CN"/>
        </w:rPr>
      </w:pPr>
      <w:r>
        <w:rPr>
          <w:rFonts w:ascii="仿宋_GB2312" w:hAnsi="宋体" w:eastAsia="仿宋_GB2312"/>
          <w:sz w:val="30"/>
          <w:szCs w:val="30"/>
        </w:rPr>
        <w:t>工程规模</w:t>
      </w:r>
      <w:r>
        <w:rPr>
          <w:rFonts w:hint="eastAsia" w:ascii="仿宋_GB2312" w:hAnsi="宋体" w:eastAsia="仿宋_GB2312"/>
          <w:sz w:val="30"/>
          <w:szCs w:val="30"/>
        </w:rPr>
        <w:t>：</w:t>
      </w:r>
      <w:r>
        <w:rPr>
          <w:rFonts w:hint="eastAsia" w:ascii="仿宋_GB2312" w:hAnsi="Times New Roman" w:eastAsia="仿宋_GB2312" w:cs="Times New Roman"/>
          <w:sz w:val="30"/>
          <w:szCs w:val="30"/>
          <w:u w:val="single"/>
          <w:lang w:val="en-US" w:eastAsia="zh-CN"/>
        </w:rPr>
        <w:t>建筑面积约</w:t>
      </w:r>
      <w:r>
        <w:rPr>
          <w:rFonts w:hint="eastAsia" w:ascii="仿宋_GB2312" w:eastAsia="仿宋_GB2312" w:cs="Times New Roman"/>
          <w:sz w:val="30"/>
          <w:szCs w:val="30"/>
          <w:u w:val="single"/>
          <w:lang w:val="en-US" w:eastAsia="zh-CN"/>
        </w:rPr>
        <w:t>1300000</w:t>
      </w:r>
      <w:r>
        <w:rPr>
          <w:rFonts w:hint="eastAsia" w:ascii="仿宋_GB2312" w:hAnsi="Times New Roman" w:eastAsia="仿宋_GB2312" w:cs="Times New Roman"/>
          <w:sz w:val="30"/>
          <w:szCs w:val="30"/>
          <w:u w:val="single"/>
          <w:lang w:val="en-US" w:eastAsia="zh-CN"/>
        </w:rPr>
        <w:t>m</w:t>
      </w:r>
      <w:r>
        <w:rPr>
          <w:rFonts w:hint="eastAsia" w:ascii="仿宋_GB2312" w:hAnsi="Times New Roman" w:eastAsia="仿宋_GB2312" w:cs="Times New Roman"/>
          <w:sz w:val="30"/>
          <w:szCs w:val="30"/>
          <w:u w:val="single"/>
          <w:vertAlign w:val="superscript"/>
          <w:lang w:val="en-US" w:eastAsia="zh-CN"/>
        </w:rPr>
        <w:t>2</w:t>
      </w:r>
      <w:r>
        <w:rPr>
          <w:rFonts w:hint="eastAsia" w:ascii="宋体" w:hAnsi="宋体"/>
          <w:sz w:val="30"/>
          <w:szCs w:val="30"/>
        </w:rPr>
        <w:t>；</w:t>
      </w:r>
    </w:p>
    <w:p>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lang w:eastAsia="zh-CN"/>
        </w:rPr>
        <w:t>建安</w:t>
      </w:r>
      <w:r>
        <w:rPr>
          <w:rFonts w:ascii="仿宋_GB2312" w:hAnsi="宋体" w:eastAsia="仿宋_GB2312" w:cs="Times New Roman"/>
          <w:sz w:val="30"/>
          <w:szCs w:val="30"/>
        </w:rPr>
        <w:t>总投资</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lang w:val="en-US" w:eastAsia="zh-CN"/>
        </w:rPr>
        <w:t>约4000万元，</w:t>
      </w:r>
      <w:r>
        <w:rPr>
          <w:rFonts w:hint="eastAsia" w:ascii="仿宋_GB2312" w:hAnsi="宋体" w:eastAsia="仿宋_GB2312" w:cs="Times New Roman"/>
          <w:sz w:val="30"/>
          <w:szCs w:val="30"/>
          <w:u w:val="single"/>
        </w:rPr>
        <w:t>具体以</w:t>
      </w:r>
      <w:bookmarkStart w:id="0" w:name="_GoBack"/>
      <w:bookmarkEnd w:id="0"/>
      <w:r>
        <w:rPr>
          <w:rFonts w:hint="eastAsia" w:ascii="仿宋_GB2312" w:hAnsi="宋体" w:eastAsia="仿宋_GB2312" w:cs="Times New Roman"/>
          <w:sz w:val="30"/>
          <w:szCs w:val="30"/>
          <w:u w:val="single"/>
          <w:lang w:val="en-US" w:eastAsia="zh-CN"/>
        </w:rPr>
        <w:t>最终审定价</w:t>
      </w:r>
      <w:r>
        <w:rPr>
          <w:rFonts w:hint="eastAsia" w:ascii="仿宋_GB2312" w:hAnsi="宋体" w:eastAsia="仿宋_GB2312" w:cs="Times New Roman"/>
          <w:sz w:val="30"/>
          <w:szCs w:val="30"/>
          <w:u w:val="single"/>
        </w:rPr>
        <w:t>为准。</w:t>
      </w:r>
    </w:p>
    <w:p>
      <w:pPr>
        <w:tabs>
          <w:tab w:val="left" w:pos="1719"/>
        </w:tabs>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投标人按照</w:t>
      </w:r>
      <w:r>
        <w:rPr>
          <w:rFonts w:hint="eastAsia" w:ascii="仿宋" w:hAnsi="仿宋" w:eastAsia="仿宋" w:cs="仿宋"/>
          <w:bCs/>
          <w:color w:val="auto"/>
          <w:kern w:val="1"/>
          <w:sz w:val="30"/>
          <w:szCs w:val="30"/>
          <w:lang w:val="en-US" w:eastAsia="zh-CN"/>
        </w:rPr>
        <w:t>规范要求对</w:t>
      </w:r>
      <w:r>
        <w:rPr>
          <w:rFonts w:hint="eastAsia" w:ascii="仿宋_GB2312" w:eastAsia="仿宋_GB2312"/>
          <w:kern w:val="0"/>
          <w:sz w:val="30"/>
          <w:szCs w:val="30"/>
          <w:u w:val="single"/>
        </w:rPr>
        <w:t>施工图、工程量清单范围内的工程施工阶段及质量保修期的全过程监理</w:t>
      </w:r>
      <w:r>
        <w:rPr>
          <w:rFonts w:hint="eastAsia" w:ascii="仿宋" w:hAnsi="仿宋" w:eastAsia="仿宋" w:cs="仿宋"/>
          <w:bCs/>
          <w:color w:val="auto"/>
          <w:kern w:val="1"/>
          <w:sz w:val="30"/>
          <w:szCs w:val="30"/>
        </w:rPr>
        <w:t>。</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pStyle w:val="2"/>
        <w:spacing w:line="600" w:lineRule="exact"/>
        <w:jc w:val="left"/>
        <w:rPr>
          <w:rFonts w:hint="eastAsia" w:ascii="仿宋" w:hAnsi="仿宋" w:eastAsia="仿宋" w:cs="仿宋"/>
          <w:bCs/>
          <w:color w:val="auto"/>
          <w:kern w:val="1"/>
          <w:sz w:val="30"/>
          <w:szCs w:val="30"/>
        </w:rPr>
      </w:pPr>
      <w:r>
        <w:rPr>
          <w:rFonts w:hint="eastAsia" w:ascii="仿宋" w:hAnsi="仿宋" w:eastAsia="仿宋" w:cs="仿宋"/>
          <w:b/>
          <w:color w:val="auto"/>
          <w:sz w:val="30"/>
          <w:szCs w:val="30"/>
        </w:rPr>
        <w:t xml:space="preserve">   </w:t>
      </w:r>
      <w:r>
        <w:rPr>
          <w:rFonts w:hint="eastAsia" w:ascii="仿宋" w:hAnsi="仿宋" w:eastAsia="仿宋" w:cs="仿宋"/>
          <w:bCs/>
          <w:color w:val="auto"/>
          <w:kern w:val="1"/>
          <w:sz w:val="30"/>
          <w:szCs w:val="30"/>
        </w:rPr>
        <w:t>（一）投标人资质要求：</w:t>
      </w:r>
    </w:p>
    <w:p>
      <w:pPr>
        <w:pStyle w:val="6"/>
        <w:adjustRightInd w:val="0"/>
        <w:snapToGrid w:val="0"/>
        <w:spacing w:after="0" w:line="540" w:lineRule="exact"/>
        <w:ind w:left="0" w:leftChars="0" w:firstLine="600" w:firstLineChars="200"/>
        <w:jc w:val="left"/>
        <w:rPr>
          <w:rFonts w:hint="eastAsia" w:ascii="仿宋_GB2312" w:eastAsia="仿宋_GB2312"/>
          <w:sz w:val="28"/>
          <w:szCs w:val="28"/>
          <w:u w:val="single"/>
          <w:lang w:val="zh-CN"/>
        </w:rPr>
      </w:pPr>
      <w:r>
        <w:rPr>
          <w:rFonts w:hint="eastAsia" w:ascii="仿宋" w:hAnsi="仿宋" w:eastAsia="仿宋" w:cs="仿宋"/>
          <w:bCs/>
          <w:color w:val="auto"/>
          <w:kern w:val="1"/>
          <w:sz w:val="30"/>
          <w:szCs w:val="30"/>
          <w:lang w:val="en-US" w:eastAsia="zh-CN" w:bidi="ar-SA"/>
        </w:rPr>
        <w:t>1.参加投标的建设监理单位必须具备</w:t>
      </w:r>
      <w:r>
        <w:rPr>
          <w:rFonts w:hint="eastAsia" w:ascii="仿宋" w:hAnsi="仿宋" w:eastAsia="仿宋" w:cs="仿宋"/>
          <w:bCs/>
          <w:color w:val="auto"/>
          <w:kern w:val="1"/>
          <w:sz w:val="30"/>
          <w:szCs w:val="30"/>
          <w:u w:val="single"/>
          <w:lang w:val="zh-CN" w:eastAsia="zh-CN" w:bidi="ar-SA"/>
        </w:rPr>
        <w:t>房屋建筑工程监理甲级资质（提供复印件并加盖公章，未提供按无效标处理）</w:t>
      </w:r>
    </w:p>
    <w:p>
      <w:pPr>
        <w:pStyle w:val="6"/>
        <w:adjustRightInd w:val="0"/>
        <w:snapToGrid w:val="0"/>
        <w:spacing w:after="0" w:line="540" w:lineRule="exact"/>
        <w:ind w:left="0" w:leftChars="0" w:firstLine="560" w:firstLineChars="200"/>
        <w:jc w:val="left"/>
        <w:rPr>
          <w:rFonts w:hint="eastAsia" w:ascii="仿宋_GB2312" w:eastAsia="仿宋_GB2312"/>
          <w:kern w:val="0"/>
          <w:sz w:val="28"/>
          <w:szCs w:val="28"/>
          <w:u w:val="single"/>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 w:hAnsi="仿宋" w:eastAsia="仿宋" w:cs="仿宋"/>
          <w:bCs/>
          <w:color w:val="auto"/>
          <w:kern w:val="1"/>
          <w:sz w:val="30"/>
          <w:szCs w:val="30"/>
          <w:lang w:val="en-US" w:eastAsia="zh-CN" w:bidi="ar-SA"/>
        </w:rPr>
        <w:t>拟选派项目总监理工程师资质等级：</w:t>
      </w:r>
      <w:r>
        <w:rPr>
          <w:rFonts w:hint="eastAsia" w:ascii="仿宋" w:hAnsi="仿宋" w:eastAsia="仿宋" w:cs="仿宋"/>
          <w:bCs/>
          <w:color w:val="auto"/>
          <w:kern w:val="1"/>
          <w:sz w:val="30"/>
          <w:szCs w:val="30"/>
          <w:u w:val="single"/>
          <w:lang w:val="zh-CN" w:eastAsia="zh-CN" w:bidi="ar-SA"/>
        </w:rPr>
        <w:t>国家注册监理工程师（[国家注册监理师]并且具备[房屋建筑工程]工程专业）（提供复印件并加盖公章，未提供按无效标处理）</w:t>
      </w:r>
    </w:p>
    <w:p>
      <w:pPr>
        <w:adjustRightInd w:val="0"/>
        <w:snapToGrid w:val="0"/>
        <w:spacing w:line="540" w:lineRule="exact"/>
        <w:ind w:firstLine="600" w:firstLineChars="200"/>
        <w:jc w:val="left"/>
        <w:rPr>
          <w:rFonts w:hint="eastAsia" w:ascii="仿宋" w:hAnsi="仿宋" w:eastAsia="仿宋" w:cs="仿宋"/>
          <w:bCs/>
          <w:color w:val="auto"/>
          <w:kern w:val="1"/>
          <w:sz w:val="30"/>
          <w:szCs w:val="30"/>
          <w:u w:val="single"/>
          <w:lang w:val="zh-CN" w:eastAsia="zh-CN" w:bidi="ar-SA"/>
        </w:rPr>
      </w:pPr>
      <w:r>
        <w:rPr>
          <w:rFonts w:hint="eastAsia" w:ascii="仿宋" w:hAnsi="仿宋" w:eastAsia="仿宋" w:cs="仿宋"/>
          <w:bCs/>
          <w:color w:val="auto"/>
          <w:kern w:val="1"/>
          <w:sz w:val="30"/>
          <w:szCs w:val="30"/>
          <w:u w:val="single"/>
          <w:lang w:val="zh-CN" w:eastAsia="zh-CN" w:bidi="ar-SA"/>
        </w:rPr>
        <w:t>3</w:t>
      </w:r>
      <w:r>
        <w:rPr>
          <w:rFonts w:hint="eastAsia" w:ascii="仿宋" w:hAnsi="仿宋" w:eastAsia="仿宋" w:cs="仿宋"/>
          <w:bCs/>
          <w:color w:val="auto"/>
          <w:kern w:val="1"/>
          <w:sz w:val="30"/>
          <w:szCs w:val="30"/>
          <w:u w:val="single"/>
          <w:lang w:val="en-US" w:eastAsia="zh-CN" w:bidi="ar-SA"/>
        </w:rPr>
        <w:t>.</w:t>
      </w:r>
      <w:r>
        <w:rPr>
          <w:rFonts w:hint="eastAsia" w:ascii="仿宋" w:hAnsi="仿宋" w:eastAsia="仿宋" w:cs="仿宋"/>
          <w:bCs/>
          <w:color w:val="auto"/>
          <w:kern w:val="1"/>
          <w:sz w:val="30"/>
          <w:szCs w:val="30"/>
          <w:u w:val="single"/>
          <w:lang w:val="zh-CN" w:eastAsia="zh-CN" w:bidi="ar-SA"/>
        </w:rPr>
        <w:t>投标单位中标后必经我公司安全教育培训后方可进入厂区内开展相关工作。</w:t>
      </w:r>
    </w:p>
    <w:p>
      <w:pPr>
        <w:adjustRightInd w:val="0"/>
        <w:snapToGrid w:val="0"/>
        <w:spacing w:line="540" w:lineRule="exact"/>
        <w:ind w:firstLine="600" w:firstLineChars="200"/>
        <w:jc w:val="left"/>
        <w:rPr>
          <w:rFonts w:hint="eastAsia" w:ascii="仿宋" w:hAnsi="仿宋" w:eastAsia="仿宋" w:cs="仿宋"/>
          <w:bCs/>
          <w:color w:val="auto"/>
          <w:kern w:val="1"/>
          <w:sz w:val="30"/>
          <w:szCs w:val="30"/>
          <w:u w:val="single"/>
          <w:lang w:val="zh-CN" w:eastAsia="zh-CN" w:bidi="ar-SA"/>
        </w:rPr>
      </w:pPr>
      <w:r>
        <w:rPr>
          <w:rFonts w:hint="eastAsia" w:ascii="仿宋" w:hAnsi="仿宋" w:eastAsia="仿宋" w:cs="仿宋"/>
          <w:bCs/>
          <w:color w:val="auto"/>
          <w:kern w:val="1"/>
          <w:sz w:val="30"/>
          <w:szCs w:val="30"/>
          <w:u w:val="single"/>
          <w:lang w:val="zh-CN" w:eastAsia="zh-CN" w:bidi="ar-SA"/>
        </w:rPr>
        <w:t>4</w:t>
      </w:r>
      <w:r>
        <w:rPr>
          <w:rFonts w:hint="eastAsia" w:ascii="仿宋" w:hAnsi="仿宋" w:eastAsia="仿宋" w:cs="仿宋"/>
          <w:bCs/>
          <w:color w:val="auto"/>
          <w:kern w:val="1"/>
          <w:sz w:val="30"/>
          <w:szCs w:val="30"/>
          <w:u w:val="single"/>
          <w:lang w:val="en-US" w:eastAsia="zh-CN" w:bidi="ar-SA"/>
        </w:rPr>
        <w:t>.</w:t>
      </w:r>
      <w:r>
        <w:rPr>
          <w:rFonts w:hint="eastAsia" w:ascii="仿宋" w:hAnsi="仿宋" w:eastAsia="仿宋" w:cs="仿宋"/>
          <w:bCs/>
          <w:color w:val="auto"/>
          <w:kern w:val="1"/>
          <w:sz w:val="30"/>
          <w:szCs w:val="30"/>
          <w:u w:val="single"/>
          <w:lang w:val="zh-CN" w:eastAsia="zh-CN" w:bidi="ar-SA"/>
        </w:rPr>
        <w:t>招标人根据实际情况保留对部分工程项目指定发包的权利 。</w:t>
      </w:r>
    </w:p>
    <w:p>
      <w:pPr>
        <w:adjustRightInd w:val="0"/>
        <w:snapToGrid w:val="0"/>
        <w:spacing w:line="540" w:lineRule="exact"/>
        <w:ind w:firstLine="600" w:firstLineChars="200"/>
        <w:jc w:val="left"/>
        <w:rPr>
          <w:rFonts w:hint="default" w:ascii="仿宋_GB2312" w:eastAsia="仿宋_GB2312"/>
          <w:kern w:val="0"/>
          <w:sz w:val="28"/>
          <w:szCs w:val="28"/>
          <w:u w:val="single"/>
          <w:lang w:val="en-US"/>
        </w:rPr>
      </w:pPr>
      <w:r>
        <w:rPr>
          <w:rFonts w:hint="eastAsia" w:ascii="仿宋" w:hAnsi="仿宋" w:eastAsia="仿宋" w:cs="仿宋"/>
          <w:bCs/>
          <w:color w:val="auto"/>
          <w:kern w:val="1"/>
          <w:sz w:val="30"/>
          <w:szCs w:val="30"/>
          <w:u w:val="single"/>
          <w:lang w:val="en-US" w:eastAsia="zh-CN" w:bidi="ar-SA"/>
        </w:rPr>
        <w:t>5.严格按照《苏建建管〔2014〕701号》要求配备监理人员。</w:t>
      </w:r>
    </w:p>
    <w:p>
      <w:pPr>
        <w:pStyle w:val="2"/>
        <w:spacing w:line="600" w:lineRule="exac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8 </w:t>
      </w:r>
      <w:r>
        <w:rPr>
          <w:rFonts w:hint="eastAsia" w:ascii="仿宋" w:hAnsi="仿宋" w:eastAsia="仿宋" w:cs="仿宋"/>
          <w:bCs/>
          <w:color w:val="auto"/>
          <w:sz w:val="30"/>
          <w:szCs w:val="30"/>
        </w:rPr>
        <w:t>小时内必须给予回复，明确解决方案；</w:t>
      </w:r>
    </w:p>
    <w:p>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90日</w:t>
      </w:r>
      <w:r>
        <w:rPr>
          <w:rFonts w:hint="eastAsia" w:ascii="仿宋" w:hAnsi="仿宋" w:eastAsia="仿宋" w:cs="仿宋"/>
          <w:bCs/>
          <w:color w:val="auto"/>
          <w:kern w:val="1"/>
          <w:sz w:val="30"/>
          <w:szCs w:val="30"/>
        </w:rPr>
        <w:t>内付款。货值小于20万元时，采用现汇付款；货值大于等于20万元时，采用承兑付款。如投标人不接受招标人提出的付款方式，可在线下报价书中明确能够接受的付款方式及付款时间，评标时作为参考。如付款方式涉及到预付款，投标人必须在投标文件中提供开标前3个月内中国人民银行征信中心出具的企业信用报告并加盖企业公章。</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投标应将报价书及相关资料以标袋形式送达，标袋外包装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17"/>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公司：江苏索普化工股份有限公司</w:t>
      </w:r>
      <w:r>
        <w:rPr>
          <w:rFonts w:hint="eastAsia" w:ascii="仿宋" w:hAnsi="仿宋" w:eastAsia="仿宋" w:cs="仿宋"/>
          <w:bCs/>
          <w:color w:val="auto"/>
          <w:kern w:val="1"/>
          <w:sz w:val="30"/>
          <w:szCs w:val="30"/>
          <w:lang w:val="en-US" w:eastAsia="zh-CN"/>
        </w:rPr>
        <w:t>计划运行部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贺云</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联系单位：江苏索普化工股份有限公司供应保障部</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adjustRightInd w:val="0"/>
        <w:snapToGrid w:val="0"/>
        <w:spacing w:line="600" w:lineRule="exact"/>
        <w:ind w:firstLine="585"/>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贺云</w:t>
      </w:r>
      <w:r>
        <w:rPr>
          <w:rFonts w:hint="eastAsia" w:ascii="仿宋" w:hAnsi="仿宋" w:eastAsia="仿宋" w:cs="仿宋"/>
          <w:bCs/>
          <w:color w:val="auto"/>
          <w:kern w:val="1"/>
          <w:sz w:val="30"/>
          <w:szCs w:val="30"/>
        </w:rPr>
        <w:t xml:space="preserve">     电话：1</w:t>
      </w:r>
      <w:r>
        <w:rPr>
          <w:rFonts w:hint="eastAsia" w:ascii="仿宋" w:hAnsi="仿宋" w:eastAsia="仿宋" w:cs="仿宋"/>
          <w:bCs/>
          <w:color w:val="auto"/>
          <w:kern w:val="1"/>
          <w:sz w:val="30"/>
          <w:szCs w:val="30"/>
          <w:lang w:val="en-US" w:eastAsia="zh-CN"/>
        </w:rPr>
        <w:t>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蔡可庆</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13775352194</w:t>
      </w:r>
    </w:p>
    <w:p>
      <w:pPr>
        <w:adjustRightInd w:val="0"/>
        <w:snapToGrid w:val="0"/>
        <w:spacing w:line="600" w:lineRule="exact"/>
        <w:ind w:firstLine="600"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pStyle w:val="2"/>
        <w:spacing w:line="600" w:lineRule="exact"/>
        <w:ind w:firstLine="600" w:firstLineChars="200"/>
        <w:rPr>
          <w:rFonts w:hint="eastAsia"/>
          <w:color w:val="auto"/>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pStyle w:val="2"/>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在能够满足招标人技术要求及</w:t>
      </w:r>
      <w:r>
        <w:rPr>
          <w:rFonts w:hint="eastAsia" w:ascii="仿宋" w:hAnsi="仿宋" w:eastAsia="仿宋" w:cs="仿宋"/>
          <w:bCs/>
          <w:color w:val="auto"/>
          <w:kern w:val="1"/>
          <w:sz w:val="30"/>
          <w:szCs w:val="30"/>
          <w:lang w:val="en-US" w:eastAsia="zh-CN"/>
        </w:rPr>
        <w:t>培训</w:t>
      </w:r>
      <w:r>
        <w:rPr>
          <w:rFonts w:hint="eastAsia" w:ascii="仿宋" w:hAnsi="仿宋" w:eastAsia="仿宋" w:cs="仿宋"/>
          <w:bCs/>
          <w:color w:val="auto"/>
          <w:kern w:val="1"/>
          <w:sz w:val="30"/>
          <w:szCs w:val="30"/>
        </w:rPr>
        <w:t>期要求的投标人中选择总价最低的一家投标人作为中标候选人。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600" w:lineRule="exact"/>
        <w:ind w:firstLine="600"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委托人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（八）招标人对违反约定的投标人或中标人将按《江苏索普化工股份有限公司供应商负面清单管理规定》对投标人进行管理考核（详见附件1）。</w:t>
      </w:r>
    </w:p>
    <w:p>
      <w:pPr>
        <w:adjustRightInd w:val="0"/>
        <w:snapToGrid w:val="0"/>
        <w:spacing w:line="600" w:lineRule="exact"/>
        <w:ind w:firstLine="600" w:firstLineChars="200"/>
        <w:rPr>
          <w:rFonts w:hint="eastAsia" w:ascii="仿宋" w:hAnsi="仿宋" w:eastAsia="仿宋" w:cs="仿宋"/>
          <w:bCs/>
          <w:color w:val="auto"/>
          <w:kern w:val="2"/>
          <w:sz w:val="30"/>
          <w:szCs w:val="30"/>
        </w:rPr>
      </w:pPr>
      <w:r>
        <w:rPr>
          <w:rFonts w:hint="eastAsia" w:ascii="仿宋" w:hAnsi="仿宋" w:eastAsia="仿宋" w:cs="仿宋"/>
          <w:bCs/>
          <w:color w:val="auto"/>
          <w:kern w:val="1"/>
          <w:sz w:val="30"/>
          <w:szCs w:val="30"/>
        </w:rPr>
        <w:t>（九）本次招标解释权归江苏索普化工股份有限公司供应保障部所有</w:t>
      </w:r>
      <w:r>
        <w:rPr>
          <w:rFonts w:hint="eastAsia" w:ascii="仿宋" w:hAnsi="仿宋" w:eastAsia="仿宋" w:cs="仿宋"/>
          <w:bCs/>
          <w:color w:val="auto"/>
          <w:kern w:val="2"/>
          <w:sz w:val="30"/>
          <w:szCs w:val="30"/>
        </w:rPr>
        <w:t>；招标业务监督电话：0511-88995150、88995690。</w:t>
      </w:r>
    </w:p>
    <w:p>
      <w:pPr>
        <w:adjustRightInd w:val="0"/>
        <w:snapToGrid w:val="0"/>
        <w:spacing w:line="600" w:lineRule="exact"/>
        <w:ind w:firstLine="480" w:firstLineChars="200"/>
        <w:jc w:val="left"/>
        <w:rPr>
          <w:rFonts w:hint="eastAsia" w:ascii="仿宋_GB2312" w:eastAsia="仿宋_GB2312" w:cs="‹ÎSå"/>
          <w:bCs/>
          <w:color w:val="auto"/>
          <w:kern w:val="1"/>
          <w:sz w:val="24"/>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pStyle w:val="4"/>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pPr>
        <w:tabs>
          <w:tab w:val="left" w:pos="180"/>
        </w:tabs>
        <w:spacing w:line="600" w:lineRule="exac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pPr>
        <w:spacing w:line="60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为全权代表，参加贵方组织的自主公开招标有关活动，并对该项目进行报价。</w:t>
      </w:r>
    </w:p>
    <w:p>
      <w:pPr>
        <w:pStyle w:val="2"/>
        <w:spacing w:line="600" w:lineRule="exact"/>
        <w:ind w:firstLine="600" w:firstLineChars="200"/>
        <w:rPr>
          <w:rFonts w:hint="eastAsia" w:ascii="仿宋_GB2312" w:eastAsia="仿宋_GB2312"/>
          <w:b w:val="0"/>
          <w:bCs/>
          <w:sz w:val="30"/>
          <w:szCs w:val="30"/>
          <w:u w:val="none"/>
          <w:lang w:val="en-US" w:eastAsia="zh-CN"/>
        </w:rPr>
      </w:pPr>
      <w:r>
        <w:rPr>
          <w:rFonts w:hint="eastAsia" w:ascii="仿宋_GB2312" w:hAnsi="仿宋_GB2312" w:eastAsia="仿宋_GB2312" w:cs="仿宋_GB2312"/>
          <w:color w:val="auto"/>
          <w:kern w:val="1"/>
          <w:sz w:val="30"/>
          <w:szCs w:val="30"/>
        </w:rPr>
        <w:t>1、</w:t>
      </w:r>
      <w:r>
        <w:rPr>
          <w:rFonts w:hint="eastAsia" w:ascii="仿宋_GB2312" w:eastAsia="仿宋_GB2312"/>
          <w:b w:val="0"/>
          <w:bCs/>
          <w:sz w:val="30"/>
          <w:szCs w:val="30"/>
          <w:u w:val="none"/>
          <w:lang w:val="en-US" w:eastAsia="zh-CN"/>
        </w:rPr>
        <w:t>报价</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万元，（监理费率</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），按招标文件和合同约定，实施和完成各项监理任务。</w:t>
      </w:r>
    </w:p>
    <w:p>
      <w:pPr>
        <w:pStyle w:val="2"/>
        <w:spacing w:line="600" w:lineRule="exact"/>
        <w:ind w:firstLine="600" w:firstLineChars="200"/>
        <w:rPr>
          <w:rFonts w:hint="eastAsia" w:ascii="仿宋_GB2312" w:hAnsi="仿宋_GB2312" w:eastAsia="仿宋_GB2312" w:cs="仿宋_GB2312"/>
          <w:color w:val="auto"/>
          <w:kern w:val="1"/>
          <w:sz w:val="30"/>
          <w:szCs w:val="30"/>
        </w:rPr>
      </w:pPr>
      <w:r>
        <w:rPr>
          <w:rFonts w:hint="eastAsia"/>
          <w:b w:val="0"/>
          <w:bCs/>
          <w:sz w:val="30"/>
          <w:szCs w:val="30"/>
          <w:u w:val="none"/>
          <w:lang w:val="en-US" w:eastAsia="zh-CN"/>
        </w:rPr>
        <w:t>2.</w:t>
      </w:r>
      <w:r>
        <w:rPr>
          <w:rFonts w:hint="eastAsia" w:ascii="仿宋_GB2312" w:eastAsia="仿宋_GB2312"/>
          <w:b w:val="0"/>
          <w:bCs/>
          <w:sz w:val="30"/>
          <w:szCs w:val="30"/>
          <w:u w:val="none"/>
          <w:lang w:val="en-US" w:eastAsia="zh-CN"/>
        </w:rPr>
        <w:t>我单位派驻现场的总监理工程师是</w:t>
      </w:r>
      <w:r>
        <w:rPr>
          <w:rFonts w:hint="eastAsia" w:ascii="仿宋_GB2312" w:eastAsia="仿宋_GB2312"/>
          <w:b w:val="0"/>
          <w:bCs/>
          <w:sz w:val="30"/>
          <w:szCs w:val="30"/>
          <w:u w:val="single"/>
          <w:lang w:val="en-US" w:eastAsia="zh-CN"/>
        </w:rPr>
        <w:t xml:space="preserve">       </w:t>
      </w:r>
      <w:r>
        <w:rPr>
          <w:rFonts w:hint="eastAsia" w:ascii="仿宋_GB2312" w:eastAsia="仿宋_GB2312"/>
          <w:b w:val="0"/>
          <w:bCs/>
          <w:sz w:val="30"/>
          <w:szCs w:val="30"/>
          <w:u w:val="none"/>
          <w:lang w:val="en-US" w:eastAsia="zh-CN"/>
        </w:rPr>
        <w:t>。</w:t>
      </w:r>
    </w:p>
    <w:p>
      <w:pPr>
        <w:spacing w:line="6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pPr>
        <w:spacing w:line="60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2"/>
        <w:spacing w:line="600" w:lineRule="exact"/>
        <w:ind w:firstLine="600" w:firstLineChars="200"/>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bCs/>
          <w:color w:val="auto"/>
          <w:kern w:val="1"/>
          <w:sz w:val="30"/>
          <w:szCs w:val="30"/>
        </w:rPr>
        <w:t>5、对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2"/>
        <w:spacing w:line="600" w:lineRule="exac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u w:val="single"/>
        </w:rPr>
        <w:t xml:space="preserve">                                                              </w:t>
      </w:r>
    </w:p>
    <w:p>
      <w:pPr>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我公司郑重承诺：</w:t>
      </w:r>
      <w:r>
        <w:rPr>
          <w:rFonts w:hint="eastAsia" w:ascii="仿宋_GB2312" w:hAnsi="仿宋_GB2312" w:eastAsia="仿宋_GB2312" w:cs="仿宋_GB2312"/>
          <w:color w:val="auto"/>
          <w:kern w:val="1"/>
          <w:sz w:val="30"/>
          <w:szCs w:val="30"/>
        </w:rPr>
        <w:t>遵守</w:t>
      </w:r>
      <w:r>
        <w:rPr>
          <w:rFonts w:hint="eastAsia" w:ascii="仿宋_GB2312" w:hAnsi="仿宋_GB2312" w:eastAsia="仿宋_GB2312" w:cs="仿宋_GB2312"/>
          <w:bCs/>
          <w:color w:val="auto"/>
          <w:kern w:val="1"/>
          <w:sz w:val="30"/>
          <w:szCs w:val="30"/>
        </w:rPr>
        <w:t>江苏索普化工股份有限公司</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color w:val="auto"/>
          <w:kern w:val="1"/>
          <w:sz w:val="30"/>
          <w:szCs w:val="30"/>
        </w:rPr>
        <w:t>中的全部规定，</w:t>
      </w:r>
      <w:r>
        <w:rPr>
          <w:rFonts w:hint="eastAsia" w:ascii="仿宋_GB2312" w:hAnsi="仿宋_GB2312" w:eastAsia="仿宋_GB2312" w:cs="仿宋_GB2312"/>
          <w:bCs/>
          <w:color w:val="auto"/>
          <w:kern w:val="1"/>
          <w:sz w:val="30"/>
          <w:szCs w:val="30"/>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spacing w:before="156" w:beforeLines="50" w:line="600" w:lineRule="exact"/>
        <w:jc w:val="left"/>
        <w:rPr>
          <w:rFonts w:hint="eastAsia" w:ascii="仿宋_GB2312" w:hAnsi="仿宋_GB2312" w:eastAsia="仿宋_GB2312" w:cs="仿宋_GB2312"/>
          <w:color w:val="auto"/>
          <w:kern w:val="1"/>
          <w:sz w:val="30"/>
          <w:szCs w:val="30"/>
        </w:rPr>
      </w:pPr>
    </w:p>
    <w:p>
      <w:pPr>
        <w:spacing w:before="156" w:beforeLines="50" w:line="600" w:lineRule="exact"/>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报价单位（盖章）：</w:t>
      </w:r>
    </w:p>
    <w:p>
      <w:pPr>
        <w:spacing w:before="156" w:beforeLines="50"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附件1：</w:t>
      </w:r>
    </w:p>
    <w:p>
      <w:pPr>
        <w:tabs>
          <w:tab w:val="left" w:pos="2565"/>
        </w:tabs>
        <w:spacing w:line="600" w:lineRule="exact"/>
        <w:jc w:val="center"/>
        <w:rPr>
          <w:rFonts w:hint="eastAsia" w:ascii="方正小标宋简体" w:hAnsi="楷体" w:eastAsia="方正小标宋简体"/>
          <w:b/>
          <w:sz w:val="44"/>
          <w:szCs w:val="44"/>
        </w:rPr>
      </w:pPr>
      <w:r>
        <w:rPr>
          <w:rFonts w:hint="eastAsia" w:ascii="方正小标宋简体" w:hAnsi="黑体" w:eastAsia="方正小标宋简体"/>
          <w:b/>
          <w:sz w:val="44"/>
          <w:szCs w:val="44"/>
        </w:rPr>
        <w:t>供应商负面清单管理</w:t>
      </w:r>
    </w:p>
    <w:p>
      <w:pPr>
        <w:tabs>
          <w:tab w:val="left" w:pos="2565"/>
        </w:tabs>
        <w:spacing w:line="600" w:lineRule="exact"/>
        <w:ind w:firstLine="680" w:firstLineChars="200"/>
        <w:rPr>
          <w:rFonts w:hint="eastAsia" w:ascii="仿宋_GB2312" w:hAnsi="仿宋" w:eastAsia="仿宋_GB2312"/>
          <w:sz w:val="34"/>
          <w:szCs w:val="34"/>
        </w:rPr>
      </w:pP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0" w:firstLineChars="200"/>
        <w:rPr>
          <w:rFonts w:hint="eastAsia" w:ascii="黑体" w:hAnsi="黑体" w:eastAsia="黑体"/>
          <w:sz w:val="34"/>
          <w:szCs w:val="34"/>
        </w:rPr>
      </w:pPr>
      <w:r>
        <w:rPr>
          <w:rFonts w:hint="eastAsia" w:ascii="黑体" w:hAnsi="黑体" w:eastAsia="黑体"/>
          <w:b/>
          <w:sz w:val="34"/>
          <w:szCs w:val="34"/>
        </w:rPr>
        <w:t>一、</w:t>
      </w:r>
      <w:r>
        <w:rPr>
          <w:rFonts w:hint="eastAsia" w:ascii="黑体" w:hAnsi="黑体" w:eastAsia="黑体"/>
          <w:sz w:val="34"/>
          <w:szCs w:val="34"/>
        </w:rPr>
        <w:t>供应商负面清单管理</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（一）管理职责</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1.</w:t>
      </w:r>
      <w:r>
        <w:rPr>
          <w:rFonts w:hint="eastAsia" w:ascii="仿宋_GB2312" w:hAnsi="仿宋" w:eastAsia="仿宋_GB2312"/>
          <w:bCs/>
          <w:sz w:val="34"/>
          <w:szCs w:val="34"/>
        </w:rPr>
        <w:t>使用部门负责</w:t>
      </w:r>
      <w:r>
        <w:rPr>
          <w:rFonts w:hint="eastAsia" w:ascii="仿宋_GB2312" w:hAnsi="仿宋" w:eastAsia="仿宋_GB2312"/>
          <w:sz w:val="34"/>
          <w:szCs w:val="34"/>
        </w:rPr>
        <w:t>提供技术参数或提出服务要求，对采购物资或服务的质量进行验收，对供应商所供货物在使用效果、产品质量、服务质量等方面进行评价。</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2.</w:t>
      </w:r>
      <w:r>
        <w:rPr>
          <w:rFonts w:hint="eastAsia" w:ascii="仿宋_GB2312" w:hAnsi="仿宋" w:eastAsia="仿宋_GB2312"/>
          <w:bCs/>
          <w:sz w:val="34"/>
          <w:szCs w:val="34"/>
        </w:rPr>
        <w:t>专业管理部门负责</w:t>
      </w:r>
      <w:r>
        <w:rPr>
          <w:rFonts w:hint="eastAsia" w:ascii="仿宋_GB2312" w:hAnsi="仿宋" w:eastAsia="仿宋_GB2312"/>
          <w:sz w:val="34"/>
          <w:szCs w:val="34"/>
        </w:rPr>
        <w:t>监管使用过程，对标的物样品或试供原料的质量进行检验，判定其是否符合公司所需的技术要求。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3.</w:t>
      </w:r>
      <w:r>
        <w:rPr>
          <w:rFonts w:hint="eastAsia" w:ascii="仿宋_GB2312" w:hAnsi="仿宋" w:eastAsia="仿宋_GB2312"/>
          <w:bCs/>
          <w:sz w:val="34"/>
          <w:szCs w:val="34"/>
        </w:rPr>
        <w:t>供应保障部负责</w:t>
      </w:r>
      <w:r>
        <w:rPr>
          <w:rFonts w:hint="eastAsia" w:ascii="仿宋_GB2312" w:hAnsi="仿宋" w:eastAsia="仿宋_GB2312"/>
          <w:sz w:val="34"/>
          <w:szCs w:val="34"/>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ascii="仿宋" w:hAnsi="仿宋" w:eastAsia="仿宋"/>
          <w:sz w:val="34"/>
          <w:szCs w:val="34"/>
        </w:rPr>
      </w:pPr>
      <w:r>
        <w:rPr>
          <w:rFonts w:hint="eastAsia" w:ascii="仿宋_GB2312" w:hAnsi="仿宋" w:eastAsia="仿宋_GB2312"/>
          <w:b/>
          <w:bCs/>
          <w:sz w:val="34"/>
          <w:szCs w:val="34"/>
        </w:rPr>
        <w:t>4.</w:t>
      </w:r>
      <w:r>
        <w:rPr>
          <w:rFonts w:hint="eastAsia" w:ascii="仿宋_GB2312" w:hAnsi="仿宋" w:eastAsia="仿宋_GB2312"/>
          <w:bCs/>
          <w:sz w:val="34"/>
          <w:szCs w:val="34"/>
        </w:rPr>
        <w:t>风险控制部</w:t>
      </w:r>
      <w:r>
        <w:rPr>
          <w:rFonts w:hint="eastAsia" w:ascii="仿宋_GB2312" w:hAnsi="仿宋" w:eastAsia="仿宋_GB2312"/>
          <w:sz w:val="34"/>
          <w:szCs w:val="34"/>
        </w:rPr>
        <w:t>负责对采购流程的合规性进行监督。</w:t>
      </w:r>
    </w:p>
    <w:p>
      <w:pPr>
        <w:spacing w:line="600" w:lineRule="exact"/>
        <w:ind w:firstLine="680" w:firstLineChars="200"/>
        <w:rPr>
          <w:rFonts w:hint="eastAsia" w:ascii="楷体" w:hAnsi="楷体" w:eastAsia="楷体"/>
          <w:bCs/>
          <w:sz w:val="34"/>
          <w:szCs w:val="34"/>
        </w:rPr>
      </w:pPr>
      <w:r>
        <w:rPr>
          <w:rFonts w:hint="eastAsia" w:ascii="楷体" w:hAnsi="楷体" w:eastAsia="楷体"/>
          <w:bCs/>
          <w:sz w:val="34"/>
          <w:szCs w:val="34"/>
        </w:rPr>
        <w:t>（二）供应商负面清单确定流程</w:t>
      </w:r>
    </w:p>
    <w:p>
      <w:pPr>
        <w:spacing w:line="600" w:lineRule="exact"/>
        <w:ind w:firstLine="680" w:firstLineChars="200"/>
        <w:rPr>
          <w:rFonts w:hint="eastAsia" w:ascii="仿宋_GB2312" w:hAnsi="仿宋" w:eastAsia="仿宋_GB2312"/>
          <w:sz w:val="34"/>
          <w:szCs w:val="34"/>
        </w:rPr>
      </w:pPr>
      <w:r>
        <w:rPr>
          <w:rFonts w:hint="eastAsia" w:ascii="仿宋_GB2312" w:hAnsi="仿宋" w:eastAsia="仿宋_GB2312"/>
          <w:sz w:val="34"/>
          <w:szCs w:val="34"/>
        </w:rPr>
        <w:t>由供应保障部负责供应商负面清单管理，其他职能部门在招标过程中产生的供应商考核意见应报供应保障部统一管理。</w:t>
      </w:r>
    </w:p>
    <w:p>
      <w:pPr>
        <w:pStyle w:val="2"/>
        <w:spacing w:line="600" w:lineRule="exact"/>
        <w:rPr>
          <w:rFonts w:hint="eastAsia"/>
        </w:rPr>
      </w:pPr>
    </w:p>
    <w:p>
      <w:pPr>
        <w:pStyle w:val="2"/>
        <w:spacing w:line="600" w:lineRule="exact"/>
        <w:rPr>
          <w:rFonts w:hint="eastAsia"/>
        </w:rPr>
      </w:pPr>
      <w:r>
        <w:drawing>
          <wp:anchor distT="0" distB="0" distL="114300" distR="114300" simplePos="0" relativeHeight="251658240"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t="2280"/>
                    <a:stretch>
                      <a:fillRect/>
                    </a:stretch>
                  </pic:blipFill>
                  <pic:spPr>
                    <a:xfrm>
                      <a:off x="0" y="0"/>
                      <a:ext cx="5267325" cy="6096000"/>
                    </a:xfrm>
                    <a:prstGeom prst="rect">
                      <a:avLst/>
                    </a:prstGeom>
                    <a:noFill/>
                    <a:ln w="9525">
                      <a:noFill/>
                    </a:ln>
                  </pic:spPr>
                </pic:pic>
              </a:graphicData>
            </a:graphic>
          </wp:anchor>
        </w:drawing>
      </w: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pStyle w:val="2"/>
        <w:spacing w:line="600" w:lineRule="exact"/>
        <w:rPr>
          <w:rFonts w:hint="eastAsia"/>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1.继续合作供应商：</w:t>
      </w:r>
      <w:r>
        <w:rPr>
          <w:rFonts w:hint="eastAsia" w:ascii="仿宋_GB2312" w:hAnsi="仿宋_GB2312" w:eastAsia="仿宋_GB2312" w:cs="仿宋_GB2312"/>
          <w:bCs/>
          <w:sz w:val="34"/>
          <w:szCs w:val="34"/>
        </w:rPr>
        <w:t>考核扣分介于0</w:t>
      </w:r>
      <w:r>
        <w:rPr>
          <w:rFonts w:hint="eastAsia" w:ascii="仿宋_GB2312" w:hAnsi="宋体" w:eastAsia="仿宋_GB2312" w:cs="宋体"/>
          <w:sz w:val="34"/>
          <w:szCs w:val="34"/>
        </w:rPr>
        <w:t>～9</w:t>
      </w:r>
      <w:r>
        <w:rPr>
          <w:rFonts w:hint="eastAsia" w:ascii="仿宋_GB2312" w:hAnsi="仿宋_GB2312" w:eastAsia="仿宋_GB2312" w:cs="仿宋_GB2312"/>
          <w:bCs/>
          <w:sz w:val="34"/>
          <w:szCs w:val="34"/>
        </w:rPr>
        <w:t>分之间，为可继续合作的供应商。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2.列入负面清单供应商：</w:t>
      </w:r>
      <w:r>
        <w:rPr>
          <w:rFonts w:hint="eastAsia" w:ascii="仿宋_GB2312" w:hAnsi="仿宋_GB2312" w:eastAsia="仿宋_GB2312" w:cs="仿宋_GB2312"/>
          <w:bCs/>
          <w:sz w:val="34"/>
          <w:szCs w:val="34"/>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（四）供应商考核方法</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1.质量方面</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2.交货方面</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4.资信方面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（6）违反廉洁协议，每次扣10分。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（7）因知识产权引起纠纷，每次扣10分。</w:t>
      </w:r>
    </w:p>
    <w:p>
      <w:pPr>
        <w:spacing w:line="600" w:lineRule="exact"/>
        <w:ind w:left="68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5.其他方面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0" w:firstLineChars="200"/>
        <w:rPr>
          <w:rFonts w:hint="eastAsia" w:ascii="黑体" w:hAnsi="黑体" w:eastAsia="黑体"/>
          <w:b/>
          <w:sz w:val="34"/>
          <w:szCs w:val="34"/>
        </w:rPr>
      </w:pPr>
      <w:r>
        <w:rPr>
          <w:rFonts w:hint="eastAsia" w:ascii="黑体" w:hAnsi="黑体" w:eastAsia="黑体"/>
          <w:b/>
          <w:sz w:val="34"/>
          <w:szCs w:val="34"/>
        </w:rPr>
        <w:t>二、</w:t>
      </w:r>
      <w:r>
        <w:rPr>
          <w:rFonts w:hint="eastAsia" w:ascii="黑体" w:hAnsi="黑体" w:eastAsia="黑体" w:cs="仿宋"/>
          <w:color w:val="auto"/>
          <w:sz w:val="34"/>
          <w:szCs w:val="34"/>
        </w:rPr>
        <w:t>从负面清单中消除的流程</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rPr>
      </w:pPr>
      <w:r>
        <w:rPr>
          <w:rFonts w:hint="eastAsia" w:ascii="仿宋_GB2312" w:hAnsi="仿宋_GB2312" w:eastAsia="仿宋_GB2312" w:cs="仿宋_GB2312"/>
          <w:sz w:val="34"/>
          <w:szCs w:val="34"/>
        </w:rPr>
        <w:t>相关流程如下：</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（三）供应保障部根据材料确认及考察情况提出建议，</w:t>
      </w:r>
      <w:r>
        <w:rPr>
          <w:rFonts w:hint="eastAsia" w:ascii="仿宋_GB2312" w:hAnsi="宋体" w:eastAsia="仿宋_GB2312"/>
          <w:sz w:val="34"/>
          <w:szCs w:val="34"/>
        </w:rPr>
        <w:t>经供应保障部、风险控制部、</w:t>
      </w:r>
      <w:r>
        <w:rPr>
          <w:rFonts w:hint="eastAsia" w:ascii="仿宋_GB2312" w:hAnsi="宋体" w:eastAsia="仿宋_GB2312" w:cs="宋体"/>
          <w:sz w:val="34"/>
          <w:szCs w:val="34"/>
        </w:rPr>
        <w:t>公司采购总监、公司分管领导、公司总经理</w:t>
      </w:r>
      <w:r>
        <w:rPr>
          <w:rFonts w:hint="eastAsia" w:ascii="仿宋_GB2312" w:hAnsi="宋体" w:eastAsia="仿宋_GB2312"/>
          <w:sz w:val="34"/>
          <w:szCs w:val="34"/>
        </w:rPr>
        <w:t>审核批准</w:t>
      </w:r>
      <w:r>
        <w:rPr>
          <w:rFonts w:hint="eastAsia" w:ascii="仿宋_GB2312" w:hAnsi="仿宋" w:eastAsia="仿宋_GB2312" w:cs="仿宋"/>
          <w:sz w:val="34"/>
          <w:szCs w:val="34"/>
        </w:rPr>
        <w:t>后从负面清单中消除。</w:t>
      </w:r>
    </w:p>
    <w:p>
      <w:pPr>
        <w:spacing w:line="600" w:lineRule="exact"/>
        <w:rPr>
          <w:rFonts w:hint="eastAsia"/>
          <w:color w:val="auto"/>
        </w:rPr>
      </w:pPr>
      <w:r>
        <w:rPr>
          <w:rFonts w:hint="eastAsia"/>
          <w:color w:val="auto"/>
        </w:rPr>
        <w:t xml:space="preserve">  </w:t>
      </w:r>
    </w:p>
    <w:p>
      <w:pPr>
        <w:spacing w:line="600" w:lineRule="exact"/>
        <w:ind w:firstLine="680" w:firstLineChars="200"/>
        <w:rPr>
          <w:rFonts w:hint="eastAsia" w:ascii="仿宋_GB2312" w:hAnsi="仿宋" w:eastAsia="仿宋_GB2312"/>
          <w:color w:val="auto"/>
          <w:sz w:val="28"/>
          <w:szCs w:val="28"/>
        </w:rPr>
      </w:pPr>
      <w:r>
        <w:rPr>
          <w:rFonts w:hint="eastAsia" w:ascii="仿宋_GB2312" w:hAnsi="宋体" w:eastAsia="仿宋_GB2312" w:cs="宋体"/>
          <w:sz w:val="34"/>
          <w:szCs w:val="34"/>
        </w:rPr>
        <w:t>注：供应保障部负责条款解释。</w:t>
      </w:r>
    </w:p>
    <w:p>
      <w:pPr>
        <w:spacing w:line="600" w:lineRule="exact"/>
        <w:ind w:firstLine="420" w:firstLineChars="200"/>
        <w:rPr>
          <w:rFonts w:hint="eastAsia"/>
          <w:color w:val="auto"/>
        </w:rPr>
      </w:pPr>
    </w:p>
    <w:p>
      <w:pPr>
        <w:spacing w:line="600" w:lineRule="exact"/>
        <w:contextualSpacing/>
        <w:jc w:val="center"/>
        <w:rPr>
          <w:rFonts w:hint="eastAsia" w:ascii="仿宋_GB2312" w:eastAsia="仿宋_GB2312" w:cs="‹ÎSå"/>
          <w:bCs/>
          <w:color w:val="auto"/>
          <w:kern w:val="1"/>
          <w:sz w:val="24"/>
        </w:rPr>
      </w:pPr>
    </w:p>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8"/>
      <w:ind w:right="360"/>
      <w:rPr>
        <w:rStyle w:val="13"/>
        <w:rFonts w:hint="eastAsia"/>
      </w:rPr>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5410B"/>
    <w:rsid w:val="1550275D"/>
    <w:rsid w:val="15624335"/>
    <w:rsid w:val="1D895567"/>
    <w:rsid w:val="22D6790B"/>
    <w:rsid w:val="27BB4A98"/>
    <w:rsid w:val="28712C4D"/>
    <w:rsid w:val="30E63DB4"/>
    <w:rsid w:val="37F9054D"/>
    <w:rsid w:val="3AD66FA5"/>
    <w:rsid w:val="3F85410B"/>
    <w:rsid w:val="430B700D"/>
    <w:rsid w:val="509D64EC"/>
    <w:rsid w:val="538966AA"/>
    <w:rsid w:val="5E1E5BF8"/>
    <w:rsid w:val="5E2D7869"/>
    <w:rsid w:val="6F0B6209"/>
    <w:rsid w:val="6FB71779"/>
    <w:rsid w:val="72F905C1"/>
    <w:rsid w:val="7D7E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28"/>
    </w:rPr>
  </w:style>
  <w:style w:type="paragraph" w:styleId="3">
    <w:name w:val="Plain Text"/>
    <w:basedOn w:val="1"/>
    <w:qFormat/>
    <w:uiPriority w:val="0"/>
    <w:rPr>
      <w:rFonts w:ascii="宋体" w:hAnsi="Courier New"/>
      <w:szCs w:val="21"/>
    </w:rPr>
  </w:style>
  <w:style w:type="paragraph" w:styleId="5">
    <w:name w:val="annotation text"/>
    <w:basedOn w:val="1"/>
    <w:qFormat/>
    <w:uiPriority w:val="0"/>
    <w:pPr>
      <w:jc w:val="left"/>
    </w:pPr>
  </w:style>
  <w:style w:type="paragraph" w:styleId="6">
    <w:name w:val="Body Text Indent"/>
    <w:basedOn w:val="1"/>
    <w:qFormat/>
    <w:uiPriority w:val="0"/>
    <w:pPr>
      <w:spacing w:after="120" w:afterLines="0"/>
      <w:ind w:left="420" w:leftChars="200"/>
    </w:pPr>
  </w:style>
  <w:style w:type="paragraph" w:styleId="7">
    <w:name w:val="toc 3"/>
    <w:basedOn w:val="1"/>
    <w:next w:val="1"/>
    <w:qFormat/>
    <w:uiPriority w:val="0"/>
    <w:pPr>
      <w:ind w:left="840" w:leftChars="400"/>
    </w:pPr>
    <w:rPr>
      <w:rFonts w:ascii="Calibri" w:hAnsi="Calibri"/>
      <w:szCs w:val="2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szCs w:val="22"/>
    </w:rPr>
  </w:style>
  <w:style w:type="paragraph" w:styleId="11">
    <w:name w:val="toc 2"/>
    <w:basedOn w:val="1"/>
    <w:next w:val="1"/>
    <w:qFormat/>
    <w:uiPriority w:val="0"/>
    <w:pPr>
      <w:ind w:left="420" w:leftChars="200"/>
    </w:pPr>
    <w:rPr>
      <w:rFonts w:ascii="Calibri" w:hAnsi="Calibri"/>
      <w:szCs w:val="22"/>
    </w:r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6">
    <w:name w:val="_Style 4"/>
    <w:basedOn w:val="4"/>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6158</Words>
  <Characters>6257</Characters>
  <Lines>0</Lines>
  <Paragraphs>0</Paragraphs>
  <TotalTime>11</TotalTime>
  <ScaleCrop>false</ScaleCrop>
  <LinksUpToDate>false</LinksUpToDate>
  <CharactersWithSpaces>7665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贺云</cp:lastModifiedBy>
  <dcterms:modified xsi:type="dcterms:W3CDTF">2023-09-19T03:47:01Z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030D859C54F74844BB1D2906C4E1A5D7</vt:lpwstr>
  </property>
</Properties>
</file>