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甲醇主项增补操作平台型钢材料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w:t>
      </w:r>
      <w:r>
        <w:rPr>
          <w:rFonts w:hint="eastAsia" w:ascii="Times New Roman" w:hAnsi="Times New Roman" w:cs="Times New Roman"/>
          <w:sz w:val="21"/>
          <w:szCs w:val="21"/>
          <w:highlight w:val="none"/>
          <w:lang w:val="en-US" w:eastAsia="zh-CN"/>
        </w:rPr>
        <w:t>平台增补型钢</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15</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numPr>
          <w:ilvl w:val="0"/>
          <w:numId w:val="1"/>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p>
    <w:p>
      <w:pPr>
        <w:widowControl/>
        <w:numPr>
          <w:ilvl w:val="0"/>
          <w:numId w:val="0"/>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b/>
          <w:bCs/>
          <w:color w:val="auto"/>
          <w:kern w:val="0"/>
          <w:sz w:val="21"/>
          <w:szCs w:val="21"/>
          <w:highlight w:val="none"/>
        </w:rPr>
        <w:t>报价请报</w:t>
      </w:r>
      <w:r>
        <w:rPr>
          <w:rFonts w:hint="eastAsia" w:ascii="Times New Roman" w:hAnsi="Times New Roman" w:cs="Times New Roman"/>
          <w:b/>
          <w:bCs/>
          <w:color w:val="auto"/>
          <w:kern w:val="0"/>
          <w:sz w:val="21"/>
          <w:szCs w:val="21"/>
          <w:highlight w:val="none"/>
          <w:lang w:val="en-US" w:eastAsia="zh-CN"/>
        </w:rPr>
        <w:t>承兑汇票</w:t>
      </w:r>
      <w:r>
        <w:rPr>
          <w:rFonts w:hint="default" w:ascii="Times New Roman" w:hAnsi="Times New Roman" w:eastAsia="宋体" w:cs="Times New Roman"/>
          <w:b/>
          <w:bCs/>
          <w:color w:val="auto"/>
          <w:kern w:val="0"/>
          <w:sz w:val="21"/>
          <w:szCs w:val="21"/>
          <w:highlight w:val="none"/>
        </w:rPr>
        <w:t>价格</w:t>
      </w:r>
      <w:r>
        <w:rPr>
          <w:rFonts w:hint="default" w:ascii="Times New Roman" w:hAnsi="Times New Roman" w:eastAsia="宋体" w:cs="Times New Roman"/>
          <w:color w:val="auto"/>
          <w:kern w:val="0"/>
          <w:sz w:val="21"/>
          <w:szCs w:val="21"/>
          <w:highlight w:val="none"/>
        </w:rPr>
        <w:t>，报价含13%增值税含运费，货物送到江苏省镇江市京口区象山镇长岗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w:t>
      </w:r>
      <w:bookmarkStart w:id="0" w:name="_GoBack"/>
      <w:bookmarkEnd w:id="0"/>
      <w:r>
        <w:rPr>
          <w:rFonts w:hint="default" w:ascii="Times New Roman" w:hAnsi="Times New Roman" w:eastAsia="宋体" w:cs="Times New Roman"/>
          <w:color w:val="auto"/>
          <w:kern w:val="0"/>
          <w:sz w:val="21"/>
          <w:szCs w:val="21"/>
          <w:highlight w:val="none"/>
        </w:rPr>
        <w:t>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r>
        <w:rPr>
          <w:rFonts w:hint="eastAsia" w:ascii="Times New Roman" w:hAnsi="Times New Roman" w:cs="Times New Roman"/>
          <w:color w:val="auto"/>
          <w:kern w:val="0"/>
          <w:sz w:val="21"/>
          <w:szCs w:val="21"/>
          <w:highlight w:val="none"/>
          <w:lang w:val="en-US" w:eastAsia="zh-CN"/>
        </w:rPr>
        <w:t>.</w:t>
      </w:r>
    </w:p>
    <w:p>
      <w:pPr>
        <w:widowControl/>
        <w:numPr>
          <w:ilvl w:val="0"/>
          <w:numId w:val="2"/>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9</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20</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2"/>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序号1-10为目前收到增补的型钢材料计划单；</w:t>
      </w:r>
      <w:r>
        <w:rPr>
          <w:rFonts w:hint="default" w:ascii="Times New Roman" w:hAnsi="Times New Roman" w:eastAsia="宋体" w:cs="Times New Roman"/>
          <w:color w:val="auto"/>
          <w:kern w:val="0"/>
          <w:sz w:val="21"/>
          <w:szCs w:val="21"/>
          <w:highlight w:val="none"/>
        </w:rPr>
        <w:t xml:space="preserve"> </w:t>
      </w:r>
      <w:r>
        <w:rPr>
          <w:rFonts w:hint="eastAsia" w:ascii="Times New Roman" w:hAnsi="Times New Roman" w:cs="Times New Roman"/>
          <w:color w:val="auto"/>
          <w:kern w:val="0"/>
          <w:sz w:val="21"/>
          <w:szCs w:val="21"/>
          <w:highlight w:val="none"/>
          <w:lang w:val="en-US" w:eastAsia="zh-CN"/>
        </w:rPr>
        <w:t>11-13为预估的增补型钢和管道材料；各投标人需要综合测算后期零星增补送货导致的成本增加因素，报出综合单价。由于本次招标为目前收到的型钢增补计划单有些规格数量很少，后续可能还会有变更，会有类似规格型钢材料，实际供货时可能会超出招标清单数量，按实际的送货清单为准。实际送货金额偏差在10%以内不再增补合同。</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包1平台增补型钢材料清单</w:t>
      </w:r>
    </w:p>
    <w:tbl>
      <w:tblPr>
        <w:tblStyle w:val="7"/>
        <w:tblW w:w="9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2"/>
        <w:gridCol w:w="1262"/>
        <w:gridCol w:w="1188"/>
        <w:gridCol w:w="1725"/>
        <w:gridCol w:w="687"/>
        <w:gridCol w:w="538"/>
        <w:gridCol w:w="700"/>
        <w:gridCol w:w="80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序号</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名称</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标准</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材质</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数量</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单位</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报价参考重量（吨）</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槽钢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宋体" w:hAnsi="宋体" w:eastAsia="宋体" w:cs="宋体"/>
                <w:i w:val="0"/>
                <w:color w:val="000000"/>
                <w:kern w:val="0"/>
                <w:sz w:val="22"/>
                <w:szCs w:val="22"/>
                <w:u w:val="none"/>
                <w:lang w:val="en-US" w:eastAsia="zh-CN" w:bidi="ar-SA"/>
              </w:rPr>
              <w:t>[16</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GB/707,788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SA"/>
              </w:rPr>
              <w:t>650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12</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钢管</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2"/>
                <w:szCs w:val="22"/>
                <w:u w:val="none"/>
                <w:lang w:val="en-US" w:eastAsia="zh-CN" w:bidi="ar-SA"/>
              </w:rPr>
              <w:t>φ48</w:t>
            </w:r>
            <w:r>
              <w:rPr>
                <w:rFonts w:hint="eastAsia" w:ascii="宋体" w:hAnsi="宋体" w:cs="宋体"/>
                <w:i w:val="0"/>
                <w:color w:val="000000"/>
                <w:kern w:val="0"/>
                <w:sz w:val="22"/>
                <w:szCs w:val="22"/>
                <w:u w:val="none"/>
                <w:lang w:val="en-US" w:eastAsia="zh-CN" w:bidi="ar-SA"/>
              </w:rPr>
              <w:t>*2.5</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宋体" w:hAnsi="宋体" w:eastAsia="宋体" w:cs="宋体"/>
                <w:i w:val="0"/>
                <w:color w:val="000000"/>
                <w:kern w:val="0"/>
                <w:sz w:val="20"/>
                <w:szCs w:val="20"/>
                <w:u w:val="none"/>
                <w:lang w:val="en-US" w:eastAsia="zh-CN" w:bidi="ar-SA"/>
              </w:rPr>
              <w:t>GB/3091-2015</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SA"/>
              </w:rPr>
              <w:t xml:space="preserve">192.0 </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钢管</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φ32</w:t>
            </w:r>
            <w:r>
              <w:rPr>
                <w:rFonts w:hint="eastAsia" w:ascii="宋体" w:hAnsi="宋体" w:cs="宋体"/>
                <w:i w:val="0"/>
                <w:color w:val="000000"/>
                <w:kern w:val="0"/>
                <w:sz w:val="24"/>
                <w:szCs w:val="24"/>
                <w:u w:val="none"/>
                <w:lang w:val="en-US" w:eastAsia="zh-CN" w:bidi="ar-SA"/>
              </w:rPr>
              <w:t>*2.5</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0"/>
                <w:szCs w:val="20"/>
                <w:u w:val="none"/>
                <w:lang w:val="en-US" w:eastAsia="zh-CN" w:bidi="ar-SA"/>
              </w:rPr>
              <w:t>GB/3091-2015</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384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4</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扁钢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100</w:t>
            </w:r>
            <w:r>
              <w:rPr>
                <w:rFonts w:hint="eastAsia" w:ascii="宋体" w:hAnsi="宋体" w:cs="宋体"/>
                <w:i w:val="0"/>
                <w:color w:val="000000"/>
                <w:kern w:val="0"/>
                <w:sz w:val="24"/>
                <w:szCs w:val="24"/>
                <w:u w:val="none"/>
                <w:lang w:val="en-US" w:eastAsia="zh-CN" w:bidi="ar-SA"/>
              </w:rPr>
              <w:t>*4</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0"/>
                <w:szCs w:val="20"/>
                <w:u w:val="none"/>
                <w:lang w:val="en-US" w:eastAsia="zh-CN" w:bidi="ar-SA"/>
              </w:rPr>
              <w:t>GB/T700</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192</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0.6</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5</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H型钢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200</w:t>
            </w:r>
            <w:r>
              <w:rPr>
                <w:rFonts w:hint="eastAsia" w:ascii="宋体" w:hAnsi="宋体" w:cs="宋体"/>
                <w:i w:val="0"/>
                <w:color w:val="000000"/>
                <w:kern w:val="0"/>
                <w:sz w:val="24"/>
                <w:szCs w:val="24"/>
                <w:u w:val="none"/>
                <w:lang w:val="en-US" w:eastAsia="zh-CN" w:bidi="ar-SA"/>
              </w:rPr>
              <w:t>*100*5.5*8</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GB/T11263-2010</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48</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6</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槽钢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[20</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GB/707,788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24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0.5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7</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角钢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90</w:t>
            </w:r>
            <w:r>
              <w:rPr>
                <w:rFonts w:hint="eastAsia" w:ascii="宋体" w:hAnsi="宋体" w:cs="宋体"/>
                <w:i w:val="0"/>
                <w:color w:val="000000"/>
                <w:kern w:val="0"/>
                <w:sz w:val="24"/>
                <w:szCs w:val="24"/>
                <w:u w:val="none"/>
                <w:lang w:val="en-US" w:eastAsia="zh-CN" w:bidi="ar-SA"/>
              </w:rPr>
              <w:t>*50*6</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GB/9787,9788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120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0.8</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花纹板</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6mm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220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SA"/>
              </w:rPr>
              <w:t>平方米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9</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角钢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75</w:t>
            </w:r>
            <w:r>
              <w:rPr>
                <w:rFonts w:hint="eastAsia" w:ascii="宋体" w:hAnsi="宋体" w:cs="宋体"/>
                <w:i w:val="0"/>
                <w:color w:val="000000"/>
                <w:kern w:val="0"/>
                <w:sz w:val="24"/>
                <w:szCs w:val="24"/>
                <w:u w:val="none"/>
                <w:lang w:val="en-US" w:eastAsia="zh-CN" w:bidi="ar-SA"/>
              </w:rPr>
              <w:t>*50*6</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GB/9787,9788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173</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10</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圆钢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φ20</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GB/T700</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SA"/>
              </w:rPr>
              <w:t>144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0.5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SYHJ-215000-JG-003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11</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增补型钢</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增补钢板</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13</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增补无缝钢管</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GB8163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abstractNum w:abstractNumId="1">
    <w:nsid w:val="64F680B7"/>
    <w:multiLevelType w:val="singleLevel"/>
    <w:tmpl w:val="64F680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316442"/>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0FBF0106"/>
    <w:rsid w:val="0FCF27AB"/>
    <w:rsid w:val="11213F47"/>
    <w:rsid w:val="13B719A3"/>
    <w:rsid w:val="13CB4E4D"/>
    <w:rsid w:val="1486627C"/>
    <w:rsid w:val="14B47FE2"/>
    <w:rsid w:val="161949DB"/>
    <w:rsid w:val="1643097C"/>
    <w:rsid w:val="17BE143C"/>
    <w:rsid w:val="17C745F4"/>
    <w:rsid w:val="191B14FB"/>
    <w:rsid w:val="197D3260"/>
    <w:rsid w:val="1C282778"/>
    <w:rsid w:val="1C5A43E5"/>
    <w:rsid w:val="1C6B4BBD"/>
    <w:rsid w:val="1CC10211"/>
    <w:rsid w:val="1D352306"/>
    <w:rsid w:val="1D77045C"/>
    <w:rsid w:val="1D9A6F32"/>
    <w:rsid w:val="1DB0736A"/>
    <w:rsid w:val="1DCE3831"/>
    <w:rsid w:val="1E12411C"/>
    <w:rsid w:val="1F6B79D8"/>
    <w:rsid w:val="1F9245AF"/>
    <w:rsid w:val="207B21B4"/>
    <w:rsid w:val="20F85B04"/>
    <w:rsid w:val="21112BD3"/>
    <w:rsid w:val="21495AF6"/>
    <w:rsid w:val="21B90B97"/>
    <w:rsid w:val="2225022C"/>
    <w:rsid w:val="22D8688D"/>
    <w:rsid w:val="23CF0F9F"/>
    <w:rsid w:val="23FC6252"/>
    <w:rsid w:val="254629BB"/>
    <w:rsid w:val="26012B79"/>
    <w:rsid w:val="280A4C5F"/>
    <w:rsid w:val="287019C8"/>
    <w:rsid w:val="2947756E"/>
    <w:rsid w:val="294F13E3"/>
    <w:rsid w:val="298A418F"/>
    <w:rsid w:val="2A0749D6"/>
    <w:rsid w:val="2A157070"/>
    <w:rsid w:val="2A5C457B"/>
    <w:rsid w:val="2B2F6856"/>
    <w:rsid w:val="2C264D62"/>
    <w:rsid w:val="2CB85627"/>
    <w:rsid w:val="2DCD459B"/>
    <w:rsid w:val="2E29640B"/>
    <w:rsid w:val="2F162165"/>
    <w:rsid w:val="2F5A2F6A"/>
    <w:rsid w:val="319E5848"/>
    <w:rsid w:val="33604F9A"/>
    <w:rsid w:val="341252C0"/>
    <w:rsid w:val="35816058"/>
    <w:rsid w:val="359A6B07"/>
    <w:rsid w:val="36973888"/>
    <w:rsid w:val="36CC7FE0"/>
    <w:rsid w:val="36DD0D96"/>
    <w:rsid w:val="3A0D137A"/>
    <w:rsid w:val="3A3D3E1C"/>
    <w:rsid w:val="3B1F47BD"/>
    <w:rsid w:val="3C633297"/>
    <w:rsid w:val="3E710535"/>
    <w:rsid w:val="3F4A55D1"/>
    <w:rsid w:val="41923A7A"/>
    <w:rsid w:val="427155CE"/>
    <w:rsid w:val="4306491E"/>
    <w:rsid w:val="431A73EB"/>
    <w:rsid w:val="43335582"/>
    <w:rsid w:val="437749E4"/>
    <w:rsid w:val="4461250D"/>
    <w:rsid w:val="44D30FCF"/>
    <w:rsid w:val="45201FAC"/>
    <w:rsid w:val="455D71F2"/>
    <w:rsid w:val="46885DF8"/>
    <w:rsid w:val="469D2DB6"/>
    <w:rsid w:val="483056E3"/>
    <w:rsid w:val="486B1898"/>
    <w:rsid w:val="49480DF6"/>
    <w:rsid w:val="49B02B6D"/>
    <w:rsid w:val="4A1B5281"/>
    <w:rsid w:val="4AEC2C1A"/>
    <w:rsid w:val="4CA62980"/>
    <w:rsid w:val="4CAE01A9"/>
    <w:rsid w:val="4ECC5A50"/>
    <w:rsid w:val="4EE94B47"/>
    <w:rsid w:val="4EEC6205"/>
    <w:rsid w:val="4F6752A2"/>
    <w:rsid w:val="503045D8"/>
    <w:rsid w:val="507C7259"/>
    <w:rsid w:val="50F06285"/>
    <w:rsid w:val="51B804B3"/>
    <w:rsid w:val="51FC55C8"/>
    <w:rsid w:val="51FD3BAD"/>
    <w:rsid w:val="521E5249"/>
    <w:rsid w:val="53054F8F"/>
    <w:rsid w:val="5382174A"/>
    <w:rsid w:val="53AB7443"/>
    <w:rsid w:val="58FB2325"/>
    <w:rsid w:val="59F80B2B"/>
    <w:rsid w:val="5A7C589A"/>
    <w:rsid w:val="5BA61BDC"/>
    <w:rsid w:val="5CA40D2A"/>
    <w:rsid w:val="5CFA6687"/>
    <w:rsid w:val="5D842120"/>
    <w:rsid w:val="5DBC6B07"/>
    <w:rsid w:val="5FA312A9"/>
    <w:rsid w:val="60B63E78"/>
    <w:rsid w:val="61045892"/>
    <w:rsid w:val="61B678E7"/>
    <w:rsid w:val="625F0B8C"/>
    <w:rsid w:val="628F625A"/>
    <w:rsid w:val="65177D4D"/>
    <w:rsid w:val="657B4F52"/>
    <w:rsid w:val="6691726A"/>
    <w:rsid w:val="67192FCC"/>
    <w:rsid w:val="682C5A95"/>
    <w:rsid w:val="6906304B"/>
    <w:rsid w:val="698768BA"/>
    <w:rsid w:val="69EF47E9"/>
    <w:rsid w:val="6B152869"/>
    <w:rsid w:val="6B4A7782"/>
    <w:rsid w:val="6BB26533"/>
    <w:rsid w:val="6BC91257"/>
    <w:rsid w:val="6CAF1558"/>
    <w:rsid w:val="6CEF3411"/>
    <w:rsid w:val="6D5372FD"/>
    <w:rsid w:val="6F59261E"/>
    <w:rsid w:val="6FC02320"/>
    <w:rsid w:val="70CE2B4E"/>
    <w:rsid w:val="718C17E5"/>
    <w:rsid w:val="72471CBF"/>
    <w:rsid w:val="74EC756A"/>
    <w:rsid w:val="7501432B"/>
    <w:rsid w:val="75352A4C"/>
    <w:rsid w:val="769C41EB"/>
    <w:rsid w:val="76F52ACA"/>
    <w:rsid w:val="788649E0"/>
    <w:rsid w:val="78F96AB1"/>
    <w:rsid w:val="7943704C"/>
    <w:rsid w:val="7A9556EA"/>
    <w:rsid w:val="7AEA5601"/>
    <w:rsid w:val="7C98024C"/>
    <w:rsid w:val="7C984073"/>
    <w:rsid w:val="7DB0072A"/>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1135</Characters>
  <Lines>0</Lines>
  <Paragraphs>0</Paragraphs>
  <TotalTime>0</TotalTime>
  <ScaleCrop>false</ScaleCrop>
  <LinksUpToDate>false</LinksUpToDate>
  <CharactersWithSpaces>1141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2023-09-11T09:22:42Z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BA2FEBBF891F40A4AB0411EB3E240B9F</vt:lpwstr>
  </property>
</Properties>
</file>