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94" w:rsidRDefault="00724B6F">
      <w:pPr>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江苏索普化工股份有限公司</w:t>
      </w:r>
      <w:r>
        <w:rPr>
          <w:rFonts w:ascii="方正小标宋简体" w:eastAsia="方正小标宋简体" w:hAnsi="黑体" w:cs="黑体" w:hint="eastAsia"/>
          <w:sz w:val="44"/>
          <w:szCs w:val="44"/>
        </w:rPr>
        <w:t>UPS</w:t>
      </w:r>
      <w:r>
        <w:rPr>
          <w:rFonts w:ascii="方正小标宋简体" w:eastAsia="方正小标宋简体" w:hAnsi="黑体" w:cs="黑体" w:hint="eastAsia"/>
          <w:sz w:val="44"/>
          <w:szCs w:val="44"/>
        </w:rPr>
        <w:t>技术协议</w:t>
      </w:r>
    </w:p>
    <w:p w:rsidR="00DD3A94" w:rsidRDefault="00DD3A94">
      <w:pPr>
        <w:spacing w:line="600" w:lineRule="exact"/>
        <w:jc w:val="center"/>
        <w:rPr>
          <w:rFonts w:ascii="宋体" w:hAnsi="宋体"/>
          <w:b/>
          <w:sz w:val="44"/>
          <w:szCs w:val="44"/>
        </w:rPr>
      </w:pPr>
    </w:p>
    <w:p w:rsidR="00DD3A94" w:rsidRDefault="00724B6F">
      <w:pPr>
        <w:spacing w:line="600" w:lineRule="exact"/>
        <w:rPr>
          <w:rFonts w:ascii="黑体" w:eastAsia="黑体" w:hAnsi="黑体" w:cs="仿宋_GB2312"/>
          <w:sz w:val="34"/>
          <w:szCs w:val="34"/>
        </w:rPr>
      </w:pPr>
      <w:r>
        <w:rPr>
          <w:rFonts w:ascii="黑体" w:eastAsia="黑体" w:hAnsi="黑体" w:cs="仿宋_GB2312" w:hint="eastAsia"/>
          <w:sz w:val="34"/>
          <w:szCs w:val="34"/>
        </w:rPr>
        <w:t>一、总则</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本技术规格书适用于江苏索普化工股份有限公司</w:t>
      </w:r>
      <w:r>
        <w:rPr>
          <w:rFonts w:ascii="仿宋_GB2312" w:eastAsia="仿宋_GB2312" w:hAnsi="仿宋" w:cs="仿宋_GB2312" w:hint="eastAsia"/>
          <w:sz w:val="34"/>
          <w:szCs w:val="34"/>
        </w:rPr>
        <w:t>12000</w:t>
      </w:r>
      <w:r>
        <w:rPr>
          <w:rFonts w:ascii="仿宋_GB2312" w:eastAsia="仿宋_GB2312" w:hAnsi="仿宋" w:cs="仿宋_GB2312" w:hint="eastAsia"/>
          <w:sz w:val="34"/>
          <w:szCs w:val="34"/>
        </w:rPr>
        <w:t>空分机柜间不间断电源（以下简称</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rsidR="00DD3A94" w:rsidRDefault="00724B6F">
      <w:pPr>
        <w:spacing w:line="600" w:lineRule="exact"/>
        <w:ind w:firstLineChars="200" w:firstLine="680"/>
        <w:rPr>
          <w:rFonts w:ascii="仿宋_GB2312" w:eastAsia="仿宋_GB2312" w:hAnsi="仿宋" w:cs="仿宋_GB2312"/>
          <w:sz w:val="34"/>
          <w:szCs w:val="34"/>
        </w:rPr>
      </w:pPr>
      <w:bookmarkStart w:id="0" w:name="_Toc137190318"/>
      <w:bookmarkStart w:id="1" w:name="_Toc137188124"/>
      <w:bookmarkStart w:id="2" w:name="_Toc137187752"/>
      <w:bookmarkStart w:id="3" w:name="_Toc137193788"/>
      <w:r>
        <w:rPr>
          <w:rFonts w:ascii="仿宋_GB2312" w:eastAsia="仿宋_GB2312" w:hAnsi="仿宋" w:cs="仿宋_GB2312" w:hint="eastAsia"/>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rsidR="00DD3A94" w:rsidRDefault="00724B6F">
      <w:pPr>
        <w:spacing w:line="600" w:lineRule="exact"/>
        <w:ind w:firstLineChars="200" w:firstLine="680"/>
        <w:rPr>
          <w:rFonts w:ascii="仿宋_GB2312" w:eastAsia="仿宋_GB2312" w:hAnsi="仿宋" w:cs="仿宋_GB2312"/>
          <w:sz w:val="34"/>
          <w:szCs w:val="34"/>
        </w:rPr>
      </w:pPr>
      <w:bookmarkStart w:id="4" w:name="_Toc137188125"/>
      <w:bookmarkStart w:id="5" w:name="_Toc137190319"/>
      <w:bookmarkStart w:id="6" w:name="_Toc137187753"/>
      <w:bookmarkStart w:id="7" w:name="_Toc137193789"/>
      <w:r>
        <w:rPr>
          <w:rFonts w:ascii="仿宋_GB2312" w:eastAsia="仿宋_GB2312" w:hAnsi="仿宋" w:cs="仿宋_GB2312" w:hint="eastAsia"/>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rsidR="00DD3A94" w:rsidRDefault="00724B6F">
      <w:pPr>
        <w:spacing w:line="600" w:lineRule="exact"/>
        <w:ind w:firstLineChars="200" w:firstLine="680"/>
        <w:rPr>
          <w:rFonts w:ascii="仿宋_GB2312" w:eastAsia="仿宋_GB2312" w:hAnsi="仿宋" w:cs="仿宋_GB2312"/>
          <w:sz w:val="34"/>
          <w:szCs w:val="34"/>
        </w:rPr>
      </w:pPr>
      <w:bookmarkStart w:id="8" w:name="_Toc137187754"/>
      <w:bookmarkStart w:id="9" w:name="_Toc137188126"/>
      <w:bookmarkStart w:id="10" w:name="_Toc137193790"/>
      <w:bookmarkStart w:id="11" w:name="_Toc137190320"/>
      <w:r>
        <w:rPr>
          <w:rFonts w:ascii="仿宋_GB2312" w:eastAsia="仿宋_GB2312" w:hAnsi="仿宋" w:cs="仿宋_GB2312" w:hint="eastAsia"/>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ascii="仿宋_GB2312" w:eastAsia="仿宋_GB2312" w:hAnsi="仿宋" w:cs="仿宋_GB2312" w:hint="eastAsia"/>
          <w:sz w:val="34"/>
          <w:szCs w:val="34"/>
        </w:rPr>
        <w:t>被废标或被取消中标资格，承担退货和赔偿招标</w:t>
      </w:r>
      <w:r>
        <w:rPr>
          <w:rFonts w:ascii="仿宋_GB2312" w:eastAsia="仿宋_GB2312" w:hAnsi="仿宋" w:cs="仿宋_GB2312" w:hint="eastAsia"/>
          <w:sz w:val="34"/>
          <w:szCs w:val="34"/>
        </w:rPr>
        <w:t>方经济损失。</w:t>
      </w:r>
    </w:p>
    <w:p w:rsidR="00DD3A94" w:rsidRDefault="00724B6F">
      <w:pPr>
        <w:spacing w:line="600" w:lineRule="exact"/>
        <w:ind w:firstLineChars="200" w:firstLine="680"/>
        <w:rPr>
          <w:rFonts w:ascii="仿宋_GB2312" w:eastAsia="仿宋_GB2312" w:hAnsi="仿宋" w:cs="仿宋_GB2312"/>
          <w:sz w:val="34"/>
          <w:szCs w:val="34"/>
        </w:rPr>
      </w:pPr>
      <w:bookmarkStart w:id="12" w:name="_Toc137190321"/>
      <w:bookmarkStart w:id="13" w:name="_Toc137193791"/>
      <w:bookmarkStart w:id="14" w:name="_Toc137187755"/>
      <w:bookmarkStart w:id="15" w:name="_Toc137188127"/>
      <w:r>
        <w:rPr>
          <w:rFonts w:ascii="仿宋_GB2312" w:eastAsia="仿宋_GB2312" w:hAnsi="仿宋" w:cs="仿宋_GB2312" w:hint="eastAsia"/>
          <w:sz w:val="34"/>
          <w:szCs w:val="34"/>
        </w:rPr>
        <w:t>投标人提供的技术文件中必须包括推荐产品的样本</w:t>
      </w:r>
      <w:r>
        <w:rPr>
          <w:rFonts w:ascii="仿宋_GB2312" w:eastAsia="仿宋_GB2312" w:hAnsi="仿宋" w:cs="仿宋_GB2312" w:hint="eastAsia"/>
          <w:sz w:val="34"/>
          <w:szCs w:val="34"/>
        </w:rPr>
        <w:lastRenderedPageBreak/>
        <w:t>和</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主机、蓄电池等主要产品的国家级测试报告。</w:t>
      </w:r>
      <w:bookmarkEnd w:id="12"/>
      <w:bookmarkEnd w:id="13"/>
      <w:bookmarkEnd w:id="14"/>
      <w:bookmarkEnd w:id="15"/>
    </w:p>
    <w:p w:rsidR="00DD3A94" w:rsidRDefault="00724B6F">
      <w:pPr>
        <w:spacing w:line="600" w:lineRule="exact"/>
        <w:ind w:firstLineChars="200" w:firstLine="680"/>
        <w:rPr>
          <w:rFonts w:ascii="仿宋_GB2312" w:eastAsia="仿宋_GB2312" w:hAnsi="仿宋" w:cs="仿宋_GB2312"/>
          <w:sz w:val="34"/>
          <w:szCs w:val="34"/>
        </w:rPr>
      </w:pPr>
      <w:bookmarkStart w:id="16" w:name="_Toc137187756"/>
      <w:bookmarkStart w:id="17" w:name="_Toc137188128"/>
      <w:bookmarkStart w:id="18" w:name="_Toc137190322"/>
      <w:bookmarkStart w:id="19" w:name="_Toc137193792"/>
      <w:r>
        <w:rPr>
          <w:rFonts w:ascii="仿宋_GB2312" w:eastAsia="仿宋_GB2312" w:hAnsi="仿宋" w:cs="仿宋_GB2312" w:hint="eastAsia"/>
          <w:sz w:val="34"/>
          <w:szCs w:val="34"/>
        </w:rPr>
        <w:t>本技术规格书所引用的标准如与投标人所执行的标准发生矛盾时，应按较高的标准执行。</w:t>
      </w:r>
      <w:bookmarkEnd w:id="16"/>
      <w:bookmarkEnd w:id="17"/>
      <w:bookmarkEnd w:id="18"/>
      <w:bookmarkEnd w:id="19"/>
    </w:p>
    <w:p w:rsidR="00DD3A94" w:rsidRDefault="00724B6F">
      <w:pPr>
        <w:spacing w:line="600" w:lineRule="exact"/>
        <w:ind w:firstLineChars="200" w:firstLine="680"/>
        <w:rPr>
          <w:rFonts w:ascii="仿宋_GB2312" w:eastAsia="仿宋_GB2312" w:hAnsi="仿宋" w:cs="仿宋_GB2312"/>
          <w:sz w:val="34"/>
          <w:szCs w:val="34"/>
        </w:rPr>
      </w:pPr>
      <w:bookmarkStart w:id="20" w:name="_Toc137188129"/>
      <w:bookmarkStart w:id="21" w:name="_Toc137187757"/>
      <w:bookmarkStart w:id="22" w:name="_Toc137193793"/>
      <w:bookmarkStart w:id="23" w:name="_Toc137190323"/>
      <w:r>
        <w:rPr>
          <w:rFonts w:ascii="仿宋_GB2312" w:eastAsia="仿宋_GB2312" w:hAnsi="仿宋" w:cs="仿宋_GB2312" w:hint="eastAsia"/>
          <w:sz w:val="34"/>
          <w:szCs w:val="34"/>
        </w:rPr>
        <w:t>投标人提供的一切文件资料均以中文叙述为准。</w:t>
      </w:r>
      <w:bookmarkEnd w:id="20"/>
      <w:bookmarkEnd w:id="21"/>
      <w:bookmarkEnd w:id="22"/>
      <w:bookmarkEnd w:id="23"/>
    </w:p>
    <w:p w:rsidR="00DD3A94" w:rsidRDefault="00724B6F">
      <w:pPr>
        <w:spacing w:line="600" w:lineRule="exact"/>
        <w:rPr>
          <w:rFonts w:ascii="黑体" w:eastAsia="黑体" w:hAnsi="黑体"/>
          <w:sz w:val="34"/>
          <w:szCs w:val="34"/>
        </w:rPr>
      </w:pPr>
      <w:r>
        <w:rPr>
          <w:rFonts w:ascii="黑体" w:eastAsia="黑体" w:hAnsi="黑体" w:hint="eastAsia"/>
          <w:sz w:val="34"/>
          <w:szCs w:val="34"/>
        </w:rPr>
        <w:t>二、适用的技术标准与规范</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投标产品应该满足下列最新版本的标准和规范的要求。</w:t>
      </w:r>
      <w:bookmarkStart w:id="24" w:name="_Toc137187763"/>
      <w:bookmarkStart w:id="25" w:name="_Toc137190329"/>
      <w:bookmarkStart w:id="26" w:name="_Toc137188135"/>
      <w:bookmarkStart w:id="27" w:name="_Toc137193799"/>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 xml:space="preserve">GB/T2423.1--1989 </w:t>
      </w:r>
      <w:r>
        <w:rPr>
          <w:rFonts w:ascii="仿宋_GB2312" w:eastAsia="仿宋_GB2312" w:hAnsi="仿宋" w:cs="仿宋_GB2312" w:hint="eastAsia"/>
          <w:sz w:val="34"/>
          <w:szCs w:val="34"/>
        </w:rPr>
        <w:t>电工电子产品基本环境试验规程</w:t>
      </w:r>
      <w:r>
        <w:rPr>
          <w:rFonts w:ascii="仿宋_GB2312" w:eastAsia="仿宋_GB2312" w:hAnsi="仿宋" w:cs="仿宋_GB2312" w:hint="eastAsia"/>
          <w:sz w:val="34"/>
          <w:szCs w:val="34"/>
        </w:rPr>
        <w:t xml:space="preserve"> </w:t>
      </w:r>
      <w:r>
        <w:rPr>
          <w:rFonts w:ascii="仿宋_GB2312" w:eastAsia="仿宋_GB2312" w:hAnsi="仿宋" w:cs="仿宋_GB2312" w:hint="eastAsia"/>
          <w:sz w:val="34"/>
          <w:szCs w:val="34"/>
        </w:rPr>
        <w:t>试验</w:t>
      </w:r>
      <w:r>
        <w:rPr>
          <w:rFonts w:ascii="仿宋_GB2312" w:eastAsia="仿宋_GB2312" w:hAnsi="仿宋" w:cs="仿宋_GB2312" w:hint="eastAsia"/>
          <w:sz w:val="34"/>
          <w:szCs w:val="34"/>
        </w:rPr>
        <w:t>A</w:t>
      </w:r>
      <w:r>
        <w:rPr>
          <w:rFonts w:ascii="仿宋_GB2312" w:eastAsia="仿宋_GB2312" w:hAnsi="仿宋" w:cs="仿宋_GB2312" w:hint="eastAsia"/>
          <w:sz w:val="34"/>
          <w:szCs w:val="34"/>
        </w:rPr>
        <w:t>：低温试验方法</w:t>
      </w:r>
      <w:bookmarkEnd w:id="24"/>
      <w:bookmarkEnd w:id="25"/>
      <w:bookmarkEnd w:id="26"/>
      <w:bookmarkEnd w:id="27"/>
    </w:p>
    <w:p w:rsidR="00DD3A94" w:rsidRDefault="00724B6F">
      <w:pPr>
        <w:spacing w:line="600" w:lineRule="exact"/>
        <w:ind w:firstLineChars="200" w:firstLine="680"/>
        <w:rPr>
          <w:rFonts w:ascii="仿宋_GB2312" w:eastAsia="仿宋_GB2312" w:hAnsi="仿宋" w:cs="仿宋_GB2312"/>
          <w:sz w:val="34"/>
          <w:szCs w:val="34"/>
        </w:rPr>
      </w:pPr>
      <w:bookmarkStart w:id="28" w:name="_Toc137193800"/>
      <w:bookmarkStart w:id="29" w:name="_Toc137188136"/>
      <w:bookmarkStart w:id="30" w:name="_Toc137187764"/>
      <w:bookmarkStart w:id="31" w:name="_Toc137190330"/>
      <w:r>
        <w:rPr>
          <w:rFonts w:ascii="仿宋_GB2312" w:eastAsia="仿宋_GB2312" w:hAnsi="仿宋" w:cs="仿宋_GB2312" w:hint="eastAsia"/>
          <w:sz w:val="34"/>
          <w:szCs w:val="34"/>
        </w:rPr>
        <w:t xml:space="preserve">GB/T2423.2--1989 </w:t>
      </w:r>
      <w:r>
        <w:rPr>
          <w:rFonts w:ascii="仿宋_GB2312" w:eastAsia="仿宋_GB2312" w:hAnsi="仿宋" w:cs="仿宋_GB2312" w:hint="eastAsia"/>
          <w:sz w:val="34"/>
          <w:szCs w:val="34"/>
        </w:rPr>
        <w:t>电工电子产品基本环境试验规程</w:t>
      </w:r>
      <w:r>
        <w:rPr>
          <w:rFonts w:ascii="仿宋_GB2312" w:eastAsia="仿宋_GB2312" w:hAnsi="仿宋" w:cs="仿宋_GB2312" w:hint="eastAsia"/>
          <w:sz w:val="34"/>
          <w:szCs w:val="34"/>
        </w:rPr>
        <w:t xml:space="preserve"> </w:t>
      </w:r>
      <w:r>
        <w:rPr>
          <w:rFonts w:ascii="仿宋_GB2312" w:eastAsia="仿宋_GB2312" w:hAnsi="仿宋" w:cs="仿宋_GB2312" w:hint="eastAsia"/>
          <w:sz w:val="34"/>
          <w:szCs w:val="34"/>
        </w:rPr>
        <w:t>试验</w:t>
      </w:r>
      <w:r>
        <w:rPr>
          <w:rFonts w:ascii="仿宋_GB2312" w:eastAsia="仿宋_GB2312" w:hAnsi="仿宋" w:cs="仿宋_GB2312" w:hint="eastAsia"/>
          <w:sz w:val="34"/>
          <w:szCs w:val="34"/>
        </w:rPr>
        <w:t>B</w:t>
      </w:r>
      <w:r>
        <w:rPr>
          <w:rFonts w:ascii="仿宋_GB2312" w:eastAsia="仿宋_GB2312" w:hAnsi="仿宋" w:cs="仿宋_GB2312" w:hint="eastAsia"/>
          <w:sz w:val="34"/>
          <w:szCs w:val="34"/>
        </w:rPr>
        <w:t>：高温试验方法</w:t>
      </w:r>
      <w:bookmarkEnd w:id="28"/>
      <w:bookmarkEnd w:id="29"/>
      <w:bookmarkEnd w:id="30"/>
      <w:bookmarkEnd w:id="31"/>
    </w:p>
    <w:p w:rsidR="00DD3A94" w:rsidRDefault="00724B6F">
      <w:pPr>
        <w:spacing w:line="600" w:lineRule="exact"/>
        <w:ind w:firstLineChars="200" w:firstLine="680"/>
        <w:rPr>
          <w:rFonts w:ascii="仿宋_GB2312" w:eastAsia="仿宋_GB2312" w:hAnsi="仿宋" w:cs="仿宋_GB2312"/>
          <w:sz w:val="34"/>
          <w:szCs w:val="34"/>
        </w:rPr>
      </w:pPr>
      <w:bookmarkStart w:id="32" w:name="_Toc137187765"/>
      <w:bookmarkStart w:id="33" w:name="_Toc137190331"/>
      <w:bookmarkStart w:id="34" w:name="_Toc137193801"/>
      <w:bookmarkStart w:id="35" w:name="_Toc137188137"/>
      <w:r>
        <w:rPr>
          <w:rFonts w:ascii="仿宋_GB2312" w:eastAsia="仿宋_GB2312" w:hAnsi="仿宋" w:cs="仿宋_GB2312" w:hint="eastAsia"/>
          <w:sz w:val="34"/>
          <w:szCs w:val="34"/>
        </w:rPr>
        <w:t>GB/T2423.9--1989</w:t>
      </w:r>
      <w:r>
        <w:rPr>
          <w:rFonts w:ascii="仿宋_GB2312" w:eastAsia="仿宋_GB2312" w:hAnsi="仿宋" w:cs="仿宋_GB2312" w:hint="eastAsia"/>
          <w:sz w:val="34"/>
          <w:szCs w:val="34"/>
        </w:rPr>
        <w:t xml:space="preserve"> </w:t>
      </w:r>
      <w:r>
        <w:rPr>
          <w:rFonts w:ascii="仿宋_GB2312" w:eastAsia="仿宋_GB2312" w:hAnsi="仿宋" w:cs="仿宋_GB2312" w:hint="eastAsia"/>
          <w:sz w:val="34"/>
          <w:szCs w:val="34"/>
        </w:rPr>
        <w:t>电工电子产品基本环境试验规程</w:t>
      </w:r>
      <w:r>
        <w:rPr>
          <w:rFonts w:ascii="仿宋_GB2312" w:eastAsia="仿宋_GB2312" w:hAnsi="仿宋" w:cs="仿宋_GB2312" w:hint="eastAsia"/>
          <w:sz w:val="34"/>
          <w:szCs w:val="34"/>
        </w:rPr>
        <w:t xml:space="preserve"> </w:t>
      </w:r>
      <w:r>
        <w:rPr>
          <w:rFonts w:ascii="仿宋_GB2312" w:eastAsia="仿宋_GB2312" w:hAnsi="仿宋" w:cs="仿宋_GB2312" w:hint="eastAsia"/>
          <w:sz w:val="34"/>
          <w:szCs w:val="34"/>
        </w:rPr>
        <w:t>试验</w:t>
      </w:r>
      <w:r>
        <w:rPr>
          <w:rFonts w:ascii="仿宋_GB2312" w:eastAsia="仿宋_GB2312" w:hAnsi="仿宋" w:cs="仿宋_GB2312" w:hint="eastAsia"/>
          <w:sz w:val="34"/>
          <w:szCs w:val="34"/>
        </w:rPr>
        <w:t>Cb</w:t>
      </w:r>
      <w:r>
        <w:rPr>
          <w:rFonts w:ascii="仿宋_GB2312" w:eastAsia="仿宋_GB2312" w:hAnsi="仿宋" w:cs="仿宋_GB2312" w:hint="eastAsia"/>
          <w:sz w:val="34"/>
          <w:szCs w:val="34"/>
        </w:rPr>
        <w:t>：设备用恒定湿热试验方法</w:t>
      </w:r>
      <w:bookmarkEnd w:id="32"/>
      <w:bookmarkEnd w:id="33"/>
      <w:bookmarkEnd w:id="34"/>
      <w:bookmarkEnd w:id="35"/>
    </w:p>
    <w:p w:rsidR="00DD3A94" w:rsidRDefault="00724B6F">
      <w:pPr>
        <w:spacing w:line="600" w:lineRule="exact"/>
        <w:ind w:firstLineChars="200" w:firstLine="680"/>
        <w:rPr>
          <w:rFonts w:ascii="仿宋_GB2312" w:eastAsia="仿宋_GB2312" w:hAnsi="仿宋" w:cs="仿宋_GB2312"/>
          <w:sz w:val="34"/>
          <w:szCs w:val="34"/>
        </w:rPr>
      </w:pPr>
      <w:bookmarkStart w:id="36" w:name="_Toc137190332"/>
      <w:bookmarkStart w:id="37" w:name="_Toc137188138"/>
      <w:bookmarkStart w:id="38" w:name="_Toc137193802"/>
      <w:bookmarkStart w:id="39" w:name="_Toc137187766"/>
      <w:r>
        <w:rPr>
          <w:rFonts w:ascii="仿宋_GB2312" w:eastAsia="仿宋_GB2312" w:hAnsi="仿宋" w:cs="仿宋_GB2312" w:hint="eastAsia"/>
          <w:sz w:val="34"/>
          <w:szCs w:val="34"/>
        </w:rPr>
        <w:t xml:space="preserve">GB/T3859.2--1993 </w:t>
      </w:r>
      <w:r>
        <w:rPr>
          <w:rFonts w:ascii="仿宋_GB2312" w:eastAsia="仿宋_GB2312" w:hAnsi="仿宋" w:cs="仿宋_GB2312" w:hint="eastAsia"/>
          <w:sz w:val="34"/>
          <w:szCs w:val="34"/>
        </w:rPr>
        <w:t>半导体变流器应用导则</w:t>
      </w:r>
      <w:bookmarkEnd w:id="36"/>
      <w:bookmarkEnd w:id="37"/>
      <w:bookmarkEnd w:id="38"/>
      <w:bookmarkEnd w:id="39"/>
    </w:p>
    <w:p w:rsidR="00DD3A94" w:rsidRDefault="00724B6F">
      <w:pPr>
        <w:spacing w:line="600" w:lineRule="exact"/>
        <w:ind w:firstLineChars="200" w:firstLine="680"/>
        <w:rPr>
          <w:rFonts w:ascii="仿宋_GB2312" w:eastAsia="仿宋_GB2312" w:hAnsi="仿宋" w:cs="仿宋_GB2312"/>
          <w:sz w:val="34"/>
          <w:szCs w:val="34"/>
        </w:rPr>
      </w:pPr>
      <w:bookmarkStart w:id="40" w:name="_Toc137187767"/>
      <w:bookmarkStart w:id="41" w:name="_Toc137188139"/>
      <w:bookmarkStart w:id="42" w:name="_Toc137190333"/>
      <w:bookmarkStart w:id="43" w:name="_Toc137193803"/>
      <w:r>
        <w:rPr>
          <w:rFonts w:ascii="仿宋_GB2312" w:eastAsia="仿宋_GB2312" w:hAnsi="仿宋" w:cs="仿宋_GB2312" w:hint="eastAsia"/>
          <w:sz w:val="34"/>
          <w:szCs w:val="34"/>
        </w:rPr>
        <w:t>EN50091-1-1</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 xml:space="preserve"> EN50091-2</w:t>
      </w:r>
      <w:r>
        <w:rPr>
          <w:rFonts w:ascii="仿宋_GB2312" w:eastAsia="仿宋_GB2312" w:hAnsi="仿宋" w:cs="仿宋_GB2312" w:hint="eastAsia"/>
          <w:sz w:val="34"/>
          <w:szCs w:val="34"/>
        </w:rPr>
        <w:t>和</w:t>
      </w:r>
      <w:r>
        <w:rPr>
          <w:rFonts w:ascii="仿宋_GB2312" w:eastAsia="仿宋_GB2312" w:hAnsi="仿宋" w:cs="仿宋_GB2312" w:hint="eastAsia"/>
          <w:sz w:val="34"/>
          <w:szCs w:val="34"/>
        </w:rPr>
        <w:t>ENV50091-3</w:t>
      </w:r>
      <w:bookmarkEnd w:id="40"/>
      <w:bookmarkEnd w:id="41"/>
      <w:bookmarkEnd w:id="42"/>
      <w:bookmarkEnd w:id="43"/>
      <w:r>
        <w:rPr>
          <w:rFonts w:ascii="仿宋_GB2312" w:eastAsia="仿宋_GB2312" w:hAnsi="仿宋" w:cs="仿宋_GB2312" w:hint="eastAsia"/>
          <w:sz w:val="34"/>
          <w:szCs w:val="34"/>
        </w:rPr>
        <w:t>标准</w:t>
      </w:r>
    </w:p>
    <w:p w:rsidR="00DD3A94" w:rsidRDefault="00724B6F">
      <w:pPr>
        <w:spacing w:line="600" w:lineRule="exact"/>
        <w:ind w:firstLineChars="200" w:firstLine="680"/>
        <w:rPr>
          <w:rFonts w:ascii="仿宋_GB2312" w:eastAsia="仿宋_GB2312" w:hAnsi="仿宋" w:cs="仿宋_GB2312"/>
          <w:sz w:val="34"/>
          <w:szCs w:val="34"/>
        </w:rPr>
      </w:pPr>
      <w:bookmarkStart w:id="44" w:name="_Toc137190334"/>
      <w:bookmarkStart w:id="45" w:name="_Toc137187768"/>
      <w:bookmarkStart w:id="46" w:name="_Toc137193804"/>
      <w:bookmarkStart w:id="47" w:name="_Toc137188140"/>
      <w:r>
        <w:rPr>
          <w:rFonts w:ascii="仿宋_GB2312" w:eastAsia="仿宋_GB2312" w:hAnsi="仿宋" w:cs="仿宋_GB2312" w:hint="eastAsia"/>
          <w:sz w:val="34"/>
          <w:szCs w:val="34"/>
        </w:rPr>
        <w:t>IEC801-2,3,4,5</w:t>
      </w:r>
      <w:bookmarkEnd w:id="44"/>
      <w:bookmarkEnd w:id="45"/>
      <w:bookmarkEnd w:id="46"/>
      <w:bookmarkEnd w:id="47"/>
      <w:r>
        <w:rPr>
          <w:rFonts w:ascii="仿宋_GB2312" w:eastAsia="仿宋_GB2312" w:hAnsi="仿宋" w:cs="仿宋_GB2312" w:hint="eastAsia"/>
          <w:sz w:val="34"/>
          <w:szCs w:val="34"/>
        </w:rPr>
        <w:t>标准等</w:t>
      </w:r>
    </w:p>
    <w:p w:rsidR="00DD3A94" w:rsidRDefault="00724B6F">
      <w:pPr>
        <w:spacing w:line="600" w:lineRule="exact"/>
        <w:rPr>
          <w:rFonts w:ascii="黑体" w:eastAsia="黑体" w:hAnsi="黑体"/>
          <w:sz w:val="34"/>
          <w:szCs w:val="34"/>
        </w:rPr>
      </w:pPr>
      <w:r>
        <w:rPr>
          <w:rFonts w:ascii="黑体" w:eastAsia="黑体" w:hAnsi="黑体" w:hint="eastAsia"/>
          <w:sz w:val="34"/>
          <w:szCs w:val="34"/>
        </w:rPr>
        <w:t>三、环境条件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环境温度：</w:t>
      </w:r>
      <w:r>
        <w:rPr>
          <w:rFonts w:ascii="仿宋_GB2312" w:eastAsia="仿宋_GB2312" w:hAnsi="仿宋" w:cs="仿宋_GB2312" w:hint="eastAsia"/>
          <w:sz w:val="34"/>
          <w:szCs w:val="34"/>
        </w:rPr>
        <w:t xml:space="preserve">  -5</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+40</w:t>
      </w:r>
      <w:r>
        <w:rPr>
          <w:rFonts w:ascii="仿宋_GB2312" w:eastAsia="仿宋_GB2312" w:hAnsi="仿宋" w:cs="仿宋_GB2312" w:hint="eastAsia"/>
          <w:sz w:val="34"/>
          <w:szCs w:val="34"/>
        </w:rPr>
        <w:t>℃</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相对湿度：≤</w:t>
      </w:r>
      <w:r>
        <w:rPr>
          <w:rFonts w:ascii="仿宋_GB2312" w:eastAsia="仿宋_GB2312" w:hAnsi="仿宋" w:cs="仿宋_GB2312" w:hint="eastAsia"/>
          <w:sz w:val="34"/>
          <w:szCs w:val="34"/>
        </w:rPr>
        <w:t>95%</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海拔高度：＜</w:t>
      </w:r>
      <w:r>
        <w:rPr>
          <w:rFonts w:ascii="仿宋_GB2312" w:eastAsia="仿宋_GB2312" w:hAnsi="仿宋" w:cs="仿宋_GB2312" w:hint="eastAsia"/>
          <w:sz w:val="34"/>
          <w:szCs w:val="34"/>
        </w:rPr>
        <w:t>1000m</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地震烈度：</w:t>
      </w:r>
      <w:r>
        <w:rPr>
          <w:rFonts w:ascii="仿宋_GB2312" w:eastAsia="仿宋_GB2312" w:hAnsi="仿宋" w:cs="仿宋_GB2312" w:hint="eastAsia"/>
          <w:sz w:val="34"/>
          <w:szCs w:val="34"/>
        </w:rPr>
        <w:t>7</w:t>
      </w:r>
      <w:r>
        <w:rPr>
          <w:rFonts w:ascii="仿宋_GB2312" w:eastAsia="仿宋_GB2312" w:hAnsi="仿宋" w:cs="仿宋_GB2312" w:hint="eastAsia"/>
          <w:sz w:val="34"/>
          <w:szCs w:val="34"/>
        </w:rPr>
        <w:t>度</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四、供货范围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采用工业级设计，主机采用可控硅整流器，主机</w:t>
      </w:r>
      <w:r>
        <w:rPr>
          <w:rFonts w:ascii="仿宋_GB2312" w:eastAsia="仿宋_GB2312" w:hAnsi="仿宋" w:cs="仿宋_GB2312" w:hint="eastAsia"/>
          <w:sz w:val="34"/>
          <w:szCs w:val="34"/>
        </w:rPr>
        <w:lastRenderedPageBreak/>
        <w:t>内部标配输入隔离变压器和输出隔离变压器；主路旁路双双静态转换开关。</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1</w:t>
      </w:r>
      <w:r>
        <w:rPr>
          <w:rFonts w:ascii="仿宋_GB2312" w:eastAsia="仿宋_GB2312" w:hAnsi="仿宋" w:cs="仿宋_GB2312" w:hint="eastAsia"/>
          <w:sz w:val="34"/>
          <w:szCs w:val="34"/>
        </w:rPr>
        <w:t>台</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主机（</w:t>
      </w:r>
      <w:r>
        <w:rPr>
          <w:rFonts w:ascii="仿宋_GB2312" w:eastAsia="仿宋_GB2312" w:hAnsi="仿宋" w:cs="仿宋_GB2312" w:hint="eastAsia"/>
          <w:sz w:val="34"/>
          <w:szCs w:val="34"/>
        </w:rPr>
        <w:t>10</w:t>
      </w:r>
      <w:r>
        <w:rPr>
          <w:rFonts w:ascii="仿宋_GB2312" w:eastAsia="仿宋_GB2312" w:hAnsi="仿宋" w:cs="仿宋_GB2312"/>
          <w:sz w:val="34"/>
          <w:szCs w:val="34"/>
        </w:rPr>
        <w:t>k</w:t>
      </w:r>
      <w:r>
        <w:rPr>
          <w:rFonts w:ascii="仿宋_GB2312" w:eastAsia="仿宋_GB2312" w:hAnsi="仿宋" w:cs="仿宋_GB2312" w:hint="eastAsia"/>
          <w:sz w:val="34"/>
          <w:szCs w:val="34"/>
        </w:rPr>
        <w:t>VA</w:t>
      </w:r>
      <w:r>
        <w:rPr>
          <w:rFonts w:ascii="仿宋_GB2312" w:eastAsia="仿宋_GB2312" w:hAnsi="仿宋" w:cs="仿宋_GB2312" w:hint="eastAsia"/>
          <w:sz w:val="34"/>
          <w:szCs w:val="34"/>
        </w:rPr>
        <w:t>）单机后备</w:t>
      </w:r>
      <w:r>
        <w:rPr>
          <w:rFonts w:ascii="仿宋_GB2312" w:eastAsia="仿宋_GB2312" w:hAnsi="仿宋" w:cs="仿宋_GB2312" w:hint="eastAsia"/>
          <w:sz w:val="34"/>
          <w:szCs w:val="34"/>
        </w:rPr>
        <w:t>1</w:t>
      </w:r>
      <w:r>
        <w:rPr>
          <w:rFonts w:ascii="仿宋_GB2312" w:eastAsia="仿宋_GB2312" w:hAnsi="仿宋" w:cs="仿宋_GB2312" w:hint="eastAsia"/>
          <w:sz w:val="34"/>
          <w:szCs w:val="34"/>
        </w:rPr>
        <w:t>小时电池组、电池柜及智能电池管理系统（具体参数见附件）。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供货为成套供货的，买方在</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现场提供两路独立的供电电源及电源电缆，其他所有材料和附件均由卖方提供，卖方应负责现场设备的安装、调试工作和其他现场配合工作。</w:t>
      </w:r>
    </w:p>
    <w:p w:rsidR="00DD3A94" w:rsidRDefault="00724B6F">
      <w:pPr>
        <w:spacing w:line="600" w:lineRule="exact"/>
        <w:rPr>
          <w:rFonts w:ascii="黑体" w:eastAsia="黑体" w:hAnsi="黑体"/>
          <w:sz w:val="34"/>
          <w:szCs w:val="34"/>
        </w:rPr>
      </w:pPr>
      <w:r>
        <w:rPr>
          <w:rFonts w:ascii="黑体" w:eastAsia="黑体" w:hAnsi="黑体" w:hint="eastAsia"/>
          <w:sz w:val="34"/>
          <w:szCs w:val="34"/>
        </w:rPr>
        <w:t>五、</w:t>
      </w:r>
      <w:r>
        <w:rPr>
          <w:rFonts w:ascii="黑体" w:eastAsia="黑体" w:hAnsi="黑体" w:hint="eastAsia"/>
          <w:sz w:val="34"/>
          <w:szCs w:val="34"/>
        </w:rPr>
        <w:t>UPS</w:t>
      </w:r>
      <w:r>
        <w:rPr>
          <w:rFonts w:ascii="黑体" w:eastAsia="黑体" w:hAnsi="黑体" w:hint="eastAsia"/>
          <w:sz w:val="34"/>
          <w:szCs w:val="34"/>
        </w:rPr>
        <w:t>系统基本技术要求</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1.UPS</w:t>
      </w:r>
      <w:r>
        <w:rPr>
          <w:rFonts w:ascii="楷体_GB2312" w:eastAsia="楷体_GB2312" w:hAnsi="仿宋" w:cs="仿宋_GB2312" w:hint="eastAsia"/>
          <w:sz w:val="34"/>
          <w:szCs w:val="34"/>
        </w:rPr>
        <w:t>主机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品牌：必须是国际知名品牌，在石化行业有较多应用业绩</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提供相关资质认证及近</w:t>
      </w:r>
      <w:r>
        <w:rPr>
          <w:rFonts w:ascii="仿宋_GB2312" w:eastAsia="仿宋_GB2312" w:hAnsi="仿宋" w:cs="仿宋_GB2312" w:hint="eastAsia"/>
          <w:sz w:val="34"/>
          <w:szCs w:val="34"/>
        </w:rPr>
        <w:t>3</w:t>
      </w:r>
      <w:r>
        <w:rPr>
          <w:rFonts w:ascii="仿宋_GB2312" w:eastAsia="仿宋_GB2312" w:hAnsi="仿宋" w:cs="仿宋_GB2312" w:hint="eastAsia"/>
          <w:sz w:val="34"/>
          <w:szCs w:val="34"/>
        </w:rPr>
        <w:t>年内石油石化系统的应用业绩，采用选用以下产品：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维谛技术有限公司（</w:t>
      </w:r>
      <w:r>
        <w:rPr>
          <w:rFonts w:ascii="仿宋_GB2312" w:eastAsia="仿宋_GB2312" w:hAnsi="仿宋" w:cs="仿宋_GB2312" w:hint="eastAsia"/>
          <w:sz w:val="34"/>
          <w:szCs w:val="34"/>
        </w:rPr>
        <w:t>Vertiv Tech Co.</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Ltd.)</w:t>
      </w:r>
    </w:p>
    <w:p w:rsidR="00DD3A94" w:rsidRDefault="00724B6F">
      <w:pPr>
        <w:spacing w:line="600" w:lineRule="exact"/>
        <w:rPr>
          <w:rFonts w:ascii="仿宋_GB2312" w:eastAsia="仿宋_GB2312" w:hAnsi="仿宋" w:cs="仿宋_GB2312"/>
          <w:sz w:val="34"/>
          <w:szCs w:val="34"/>
        </w:rPr>
      </w:pPr>
      <w:r>
        <w:rPr>
          <w:rFonts w:ascii="仿宋_GB2312" w:eastAsia="仿宋_GB2312" w:hAnsi="仿宋" w:cs="仿宋_GB2312" w:hint="eastAsia"/>
          <w:sz w:val="34"/>
          <w:szCs w:val="34"/>
        </w:rPr>
        <w:t xml:space="preserve">industry  </w:t>
      </w:r>
      <w:r>
        <w:rPr>
          <w:rFonts w:ascii="仿宋_GB2312" w:eastAsia="仿宋_GB2312" w:hAnsi="仿宋" w:cs="仿宋_GB2312"/>
          <w:sz w:val="34"/>
          <w:szCs w:val="34"/>
        </w:rPr>
        <w:t>31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瑞士固特电子有限公司（</w:t>
      </w:r>
      <w:r>
        <w:rPr>
          <w:rFonts w:ascii="仿宋_GB2312" w:eastAsia="仿宋_GB2312" w:hAnsi="仿宋" w:cs="仿宋_GB2312" w:hint="eastAsia"/>
          <w:sz w:val="34"/>
          <w:szCs w:val="34"/>
        </w:rPr>
        <w:t>GUTOR ELECTRIC LIMITED)  pxw3</w:t>
      </w:r>
      <w:r>
        <w:rPr>
          <w:rFonts w:ascii="仿宋_GB2312" w:eastAsia="仿宋_GB2312" w:hAnsi="仿宋" w:cs="仿宋_GB2312"/>
          <w:sz w:val="34"/>
          <w:szCs w:val="34"/>
        </w:rPr>
        <w:t>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安奕极（北京）电源系统有限公司（</w:t>
      </w:r>
      <w:r>
        <w:rPr>
          <w:rFonts w:ascii="仿宋_GB2312" w:eastAsia="仿宋_GB2312" w:hAnsi="仿宋" w:cs="仿宋_GB2312" w:hint="eastAsia"/>
          <w:sz w:val="34"/>
          <w:szCs w:val="34"/>
        </w:rPr>
        <w:t>AEG power solutions Co.,Ltd)   Protect 8.3</w:t>
      </w:r>
      <w:r>
        <w:rPr>
          <w:rFonts w:ascii="仿宋_GB2312" w:eastAsia="仿宋_GB2312" w:hAnsi="仿宋" w:cs="仿宋_GB2312"/>
          <w:sz w:val="34"/>
          <w:szCs w:val="34"/>
        </w:rPr>
        <w:t>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采用三相输入单相输出（输入电压范围为</w:t>
      </w:r>
      <w:r>
        <w:rPr>
          <w:rFonts w:ascii="仿宋_GB2312" w:eastAsia="仿宋_GB2312" w:hAnsi="仿宋" w:cs="仿宋_GB2312" w:hint="eastAsia"/>
          <w:sz w:val="34"/>
          <w:szCs w:val="34"/>
        </w:rPr>
        <w:t>AC380V</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20%</w:t>
      </w:r>
      <w:r>
        <w:rPr>
          <w:rFonts w:ascii="仿宋_GB2312" w:eastAsia="仿宋_GB2312" w:hAnsi="仿宋" w:cs="仿宋_GB2312" w:hint="eastAsia"/>
          <w:sz w:val="34"/>
          <w:szCs w:val="34"/>
        </w:rPr>
        <w:t>），输入频率</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范围为</w:t>
      </w:r>
      <w:r>
        <w:rPr>
          <w:rFonts w:ascii="仿宋_GB2312" w:eastAsia="仿宋_GB2312" w:hAnsi="仿宋" w:cs="仿宋_GB2312" w:hint="eastAsia"/>
          <w:sz w:val="34"/>
          <w:szCs w:val="34"/>
        </w:rPr>
        <w:t>50Hz</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10%</w:t>
      </w:r>
      <w:r>
        <w:rPr>
          <w:rFonts w:ascii="仿宋_GB2312" w:eastAsia="仿宋_GB2312" w:hAnsi="仿宋" w:cs="仿宋_GB2312" w:hint="eastAsia"/>
          <w:sz w:val="34"/>
          <w:szCs w:val="34"/>
        </w:rPr>
        <w:t>，额定输出电压</w:t>
      </w:r>
      <w:r>
        <w:rPr>
          <w:rFonts w:ascii="仿宋_GB2312" w:eastAsia="仿宋_GB2312" w:hAnsi="仿宋" w:cs="仿宋_GB2312" w:hint="eastAsia"/>
          <w:sz w:val="34"/>
          <w:szCs w:val="34"/>
        </w:rPr>
        <w:t>AC</w:t>
      </w:r>
      <w:r>
        <w:rPr>
          <w:rFonts w:ascii="仿宋_GB2312" w:eastAsia="仿宋_GB2312" w:hAnsi="仿宋" w:cs="仿宋_GB2312"/>
          <w:sz w:val="34"/>
          <w:szCs w:val="34"/>
        </w:rPr>
        <w:t>22</w:t>
      </w:r>
      <w:r>
        <w:rPr>
          <w:rFonts w:ascii="仿宋_GB2312" w:eastAsia="仿宋_GB2312" w:hAnsi="仿宋" w:cs="仿宋_GB2312" w:hint="eastAsia"/>
          <w:sz w:val="34"/>
          <w:szCs w:val="34"/>
        </w:rPr>
        <w:t>0V</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1%</w:t>
      </w:r>
      <w:r>
        <w:rPr>
          <w:rFonts w:ascii="仿宋_GB2312" w:eastAsia="仿宋_GB2312" w:hAnsi="仿宋" w:cs="仿宋_GB2312" w:hint="eastAsia"/>
          <w:sz w:val="34"/>
          <w:szCs w:val="34"/>
        </w:rPr>
        <w:t>。</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工作制式：双变换在线式，其市电和蓄电池组之间</w:t>
      </w:r>
      <w:r>
        <w:rPr>
          <w:rFonts w:ascii="仿宋_GB2312" w:eastAsia="仿宋_GB2312" w:hAnsi="仿宋" w:cs="仿宋_GB2312" w:hint="eastAsia"/>
          <w:sz w:val="34"/>
          <w:szCs w:val="34"/>
        </w:rPr>
        <w:lastRenderedPageBreak/>
        <w:t>的切换时间为零秒，逆变停止到自动旁路投入工作的切换时间也为零秒。</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类型：工业型，具备防雷击抗浪涌抑制，抗静电放电功能；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输入输出隔</w:t>
      </w:r>
      <w:r>
        <w:rPr>
          <w:rFonts w:ascii="仿宋_GB2312" w:eastAsia="仿宋_GB2312" w:hAnsi="仿宋" w:cs="仿宋_GB2312" w:hint="eastAsia"/>
          <w:sz w:val="34"/>
          <w:szCs w:val="34"/>
        </w:rPr>
        <w:t>离：</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必须具有内置输入输出隔离变压器；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整流器为高可靠性的可控硅整流器，不可使用高频</w:t>
      </w:r>
      <w:r>
        <w:rPr>
          <w:rFonts w:ascii="仿宋_GB2312" w:eastAsia="仿宋_GB2312" w:hAnsi="仿宋" w:cs="仿宋_GB2312" w:hint="eastAsia"/>
          <w:sz w:val="34"/>
          <w:szCs w:val="34"/>
        </w:rPr>
        <w:t>I</w:t>
      </w:r>
      <w:r>
        <w:rPr>
          <w:rFonts w:ascii="仿宋_GB2312" w:eastAsia="仿宋_GB2312" w:hAnsi="仿宋" w:cs="仿宋_GB2312"/>
          <w:sz w:val="34"/>
          <w:szCs w:val="34"/>
        </w:rPr>
        <w:t>GBT</w:t>
      </w:r>
      <w:r>
        <w:rPr>
          <w:rFonts w:ascii="仿宋_GB2312" w:eastAsia="仿宋_GB2312" w:hAnsi="仿宋" w:cs="仿宋_GB2312" w:hint="eastAsia"/>
          <w:sz w:val="34"/>
          <w:szCs w:val="34"/>
        </w:rPr>
        <w:t>整流器；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逆变器采用</w:t>
      </w:r>
      <w:r>
        <w:rPr>
          <w:rFonts w:ascii="仿宋_GB2312" w:eastAsia="仿宋_GB2312" w:hAnsi="仿宋" w:cs="仿宋_GB2312" w:hint="eastAsia"/>
          <w:sz w:val="34"/>
          <w:szCs w:val="34"/>
        </w:rPr>
        <w:t>IGBT</w:t>
      </w:r>
      <w:r>
        <w:rPr>
          <w:rFonts w:ascii="仿宋_GB2312" w:eastAsia="仿宋_GB2312" w:hAnsi="仿宋" w:cs="仿宋_GB2312" w:hint="eastAsia"/>
          <w:sz w:val="34"/>
          <w:szCs w:val="34"/>
        </w:rPr>
        <w:t>功率模块；</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必须具有“过压、短路、过载、超温”等报警功能及事故、故障自诊断功能。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旁路电路应由自动旁路和手动检修旁路两部分组成，而</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自动旁路电路应由空气开关和静态开关组成，采用施耐德断路器。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的电路板，逆变器等重要器件应进行防腐蚀、酸碱性气体处理，提高电路板等器件的抗腐蚀性。</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2.UPS</w:t>
      </w:r>
      <w:r>
        <w:rPr>
          <w:rFonts w:ascii="楷体_GB2312" w:eastAsia="楷体_GB2312" w:hAnsi="仿宋" w:cs="仿宋_GB2312" w:hint="eastAsia"/>
          <w:sz w:val="34"/>
          <w:szCs w:val="34"/>
        </w:rPr>
        <w:t>的通信方式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2.1</w:t>
      </w:r>
      <w:r>
        <w:rPr>
          <w:rFonts w:ascii="仿宋_GB2312" w:eastAsia="仿宋_GB2312" w:hAnsi="仿宋" w:cs="仿宋_GB2312" w:hint="eastAsia"/>
          <w:sz w:val="34"/>
          <w:szCs w:val="34"/>
        </w:rPr>
        <w:t>干接点通信方式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提供</w:t>
      </w:r>
      <w:r>
        <w:rPr>
          <w:rFonts w:ascii="仿宋_GB2312" w:eastAsia="仿宋_GB2312" w:hAnsi="仿宋" w:cs="仿宋_GB2312" w:hint="eastAsia"/>
          <w:sz w:val="34"/>
          <w:szCs w:val="34"/>
        </w:rPr>
        <w:t>6</w:t>
      </w:r>
      <w:r>
        <w:rPr>
          <w:rFonts w:ascii="仿宋_GB2312" w:eastAsia="仿宋_GB2312" w:hAnsi="仿宋" w:cs="仿宋_GB2312" w:hint="eastAsia"/>
          <w:sz w:val="34"/>
          <w:szCs w:val="34"/>
        </w:rPr>
        <w:t>对隔离的继电器无源接点</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干接点的容量为</w:t>
      </w:r>
      <w:r>
        <w:rPr>
          <w:rFonts w:ascii="仿宋_GB2312" w:eastAsia="仿宋_GB2312" w:hAnsi="仿宋" w:cs="仿宋_GB2312" w:hint="eastAsia"/>
          <w:sz w:val="34"/>
          <w:szCs w:val="34"/>
        </w:rPr>
        <w:t>250</w:t>
      </w:r>
      <w:r>
        <w:rPr>
          <w:rFonts w:ascii="仿宋_GB2312" w:eastAsia="仿宋_GB2312" w:hAnsi="仿宋" w:cs="仿宋_GB2312" w:hint="eastAsia"/>
          <w:sz w:val="34"/>
          <w:szCs w:val="34"/>
        </w:rPr>
        <w:t>伏</w:t>
      </w:r>
      <w:r>
        <w:rPr>
          <w:rFonts w:ascii="仿宋_GB2312" w:eastAsia="仿宋_GB2312" w:hAnsi="仿宋" w:cs="仿宋_GB2312" w:hint="eastAsia"/>
          <w:sz w:val="34"/>
          <w:szCs w:val="34"/>
        </w:rPr>
        <w:t>5</w:t>
      </w:r>
      <w:r>
        <w:rPr>
          <w:rFonts w:ascii="仿宋_GB2312" w:eastAsia="仿宋_GB2312" w:hAnsi="仿宋" w:cs="仿宋_GB2312" w:hint="eastAsia"/>
          <w:sz w:val="34"/>
          <w:szCs w:val="34"/>
        </w:rPr>
        <w:t>安，它可用于触发指示灯或蜂鸣器，提示用户</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和电池的运行状态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提供下列不少于</w:t>
      </w:r>
      <w:r>
        <w:rPr>
          <w:rFonts w:ascii="仿宋_GB2312" w:eastAsia="仿宋_GB2312" w:hAnsi="仿宋" w:cs="仿宋_GB2312" w:hint="eastAsia"/>
          <w:sz w:val="34"/>
          <w:szCs w:val="34"/>
        </w:rPr>
        <w:t>6</w:t>
      </w:r>
      <w:r>
        <w:rPr>
          <w:rFonts w:ascii="仿宋_GB2312" w:eastAsia="仿宋_GB2312" w:hAnsi="仿宋" w:cs="仿宋_GB2312" w:hint="eastAsia"/>
          <w:sz w:val="34"/>
          <w:szCs w:val="34"/>
        </w:rPr>
        <w:t>个</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运行状态信息：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逆变器供电；</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——电池供电；</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——旁路供电（维修位置）；</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——电池低电压预报警；</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——综合报警；</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——完全关机。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2.2</w:t>
      </w:r>
      <w:r>
        <w:rPr>
          <w:rFonts w:ascii="仿宋_GB2312" w:eastAsia="仿宋_GB2312" w:hAnsi="仿宋" w:cs="仿宋_GB2312" w:hint="eastAsia"/>
          <w:sz w:val="34"/>
          <w:szCs w:val="34"/>
        </w:rPr>
        <w:t>选用</w:t>
      </w:r>
      <w:r>
        <w:rPr>
          <w:rFonts w:ascii="仿宋_GB2312" w:eastAsia="仿宋_GB2312" w:hAnsi="仿宋" w:cs="仿宋_GB2312" w:hint="eastAsia"/>
          <w:sz w:val="34"/>
          <w:szCs w:val="34"/>
        </w:rPr>
        <w:t>RS485</w:t>
      </w:r>
      <w:r>
        <w:rPr>
          <w:rFonts w:ascii="仿宋_GB2312" w:eastAsia="仿宋_GB2312" w:hAnsi="仿宋" w:cs="仿宋_GB2312" w:hint="eastAsia"/>
          <w:sz w:val="34"/>
          <w:szCs w:val="34"/>
        </w:rPr>
        <w:t>或</w:t>
      </w:r>
      <w:r>
        <w:rPr>
          <w:rFonts w:ascii="仿宋_GB2312" w:eastAsia="仿宋_GB2312" w:hAnsi="仿宋" w:cs="仿宋_GB2312" w:hint="eastAsia"/>
          <w:sz w:val="34"/>
          <w:szCs w:val="34"/>
        </w:rPr>
        <w:t>232</w:t>
      </w:r>
      <w:r>
        <w:rPr>
          <w:rFonts w:ascii="仿宋_GB2312" w:eastAsia="仿宋_GB2312" w:hAnsi="仿宋" w:cs="仿宋_GB2312" w:hint="eastAsia"/>
          <w:sz w:val="34"/>
          <w:szCs w:val="34"/>
        </w:rPr>
        <w:t>通信接口板满足</w:t>
      </w:r>
      <w:r>
        <w:rPr>
          <w:rFonts w:ascii="仿宋_GB2312" w:eastAsia="仿宋_GB2312" w:hAnsi="仿宋" w:cs="仿宋_GB2312"/>
          <w:sz w:val="34"/>
          <w:szCs w:val="34"/>
        </w:rPr>
        <w:t>ModBus</w:t>
      </w:r>
      <w:r>
        <w:rPr>
          <w:rFonts w:ascii="仿宋_GB2312" w:eastAsia="仿宋_GB2312" w:hAnsi="仿宋" w:cs="仿宋_GB2312" w:hint="eastAsia"/>
          <w:sz w:val="34"/>
          <w:szCs w:val="34"/>
        </w:rPr>
        <w:t>/JBUS</w:t>
      </w:r>
      <w:r>
        <w:rPr>
          <w:rFonts w:ascii="仿宋_GB2312" w:eastAsia="仿宋_GB2312" w:hAnsi="仿宋" w:cs="仿宋_GB2312"/>
          <w:sz w:val="34"/>
          <w:szCs w:val="34"/>
        </w:rPr>
        <w:t>通讯规约</w:t>
      </w:r>
      <w:r>
        <w:rPr>
          <w:rFonts w:ascii="仿宋_GB2312" w:eastAsia="仿宋_GB2312" w:hAnsi="仿宋" w:cs="仿宋_GB2312" w:hint="eastAsia"/>
          <w:sz w:val="34"/>
          <w:szCs w:val="34"/>
        </w:rPr>
        <w:t>，利用此板，操作人员可用</w:t>
      </w:r>
      <w:r>
        <w:rPr>
          <w:rFonts w:ascii="仿宋_GB2312" w:eastAsia="仿宋_GB2312" w:hAnsi="仿宋" w:cs="仿宋_GB2312"/>
          <w:sz w:val="34"/>
          <w:szCs w:val="34"/>
        </w:rPr>
        <w:t>ModBus</w:t>
      </w:r>
      <w:r>
        <w:rPr>
          <w:rFonts w:ascii="仿宋_GB2312" w:eastAsia="仿宋_GB2312" w:hAnsi="仿宋" w:cs="仿宋_GB2312" w:hint="eastAsia"/>
          <w:sz w:val="34"/>
          <w:szCs w:val="34"/>
        </w:rPr>
        <w:t>/JBUS</w:t>
      </w:r>
      <w:r>
        <w:rPr>
          <w:rFonts w:ascii="仿宋_GB2312" w:eastAsia="仿宋_GB2312" w:hAnsi="仿宋" w:cs="仿宋_GB2312"/>
          <w:sz w:val="34"/>
          <w:szCs w:val="34"/>
        </w:rPr>
        <w:t>通讯</w:t>
      </w:r>
      <w:r>
        <w:rPr>
          <w:rFonts w:ascii="仿宋_GB2312" w:eastAsia="仿宋_GB2312" w:hAnsi="仿宋" w:cs="仿宋_GB2312" w:hint="eastAsia"/>
          <w:sz w:val="34"/>
          <w:szCs w:val="34"/>
        </w:rPr>
        <w:t>协议提供的</w:t>
      </w:r>
      <w:r>
        <w:rPr>
          <w:rFonts w:ascii="仿宋_GB2312" w:eastAsia="仿宋_GB2312" w:hAnsi="仿宋" w:cs="仿宋_GB2312" w:hint="eastAsia"/>
          <w:sz w:val="34"/>
          <w:szCs w:val="34"/>
        </w:rPr>
        <w:t>TCP/IP</w:t>
      </w:r>
      <w:r>
        <w:rPr>
          <w:rFonts w:ascii="仿宋_GB2312" w:eastAsia="仿宋_GB2312" w:hAnsi="仿宋" w:cs="仿宋_GB2312" w:hint="eastAsia"/>
          <w:sz w:val="34"/>
          <w:szCs w:val="34"/>
        </w:rPr>
        <w:t>地址和数据表，对应用参数进行设置，通过网络将</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连接到一个集中管理系统。</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3</w:t>
      </w:r>
      <w:r>
        <w:rPr>
          <w:rFonts w:ascii="楷体_GB2312" w:eastAsia="楷体_GB2312" w:hAnsi="仿宋" w:cs="仿宋_GB2312"/>
          <w:sz w:val="34"/>
          <w:szCs w:val="34"/>
        </w:rPr>
        <w:t>.</w:t>
      </w:r>
      <w:r>
        <w:rPr>
          <w:rFonts w:ascii="楷体_GB2312" w:eastAsia="楷体_GB2312" w:hAnsi="仿宋" w:cs="仿宋_GB2312" w:hint="eastAsia"/>
          <w:sz w:val="34"/>
          <w:szCs w:val="34"/>
        </w:rPr>
        <w:t>UPS</w:t>
      </w:r>
      <w:r>
        <w:rPr>
          <w:rFonts w:ascii="楷体_GB2312" w:eastAsia="楷体_GB2312" w:hAnsi="仿宋" w:cs="仿宋_GB2312" w:hint="eastAsia"/>
          <w:sz w:val="34"/>
          <w:szCs w:val="34"/>
        </w:rPr>
        <w:t>的主要技术性能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 xml:space="preserve">3.1 </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应采用先进的谐波全面控制技术、</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的电压谐波失真度应符合下列技术指标</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带</w:t>
      </w:r>
      <w:r>
        <w:rPr>
          <w:rFonts w:ascii="仿宋_GB2312" w:eastAsia="仿宋_GB2312" w:hAnsi="仿宋" w:cs="仿宋_GB2312" w:hint="eastAsia"/>
          <w:sz w:val="34"/>
          <w:szCs w:val="34"/>
        </w:rPr>
        <w:t>100%</w:t>
      </w:r>
      <w:r>
        <w:rPr>
          <w:rFonts w:ascii="仿宋_GB2312" w:eastAsia="仿宋_GB2312" w:hAnsi="仿宋" w:cs="仿宋_GB2312" w:hint="eastAsia"/>
          <w:sz w:val="34"/>
          <w:szCs w:val="34"/>
        </w:rPr>
        <w:t>线性负载时，电压总谐波失真度＜</w:t>
      </w:r>
      <w:r>
        <w:rPr>
          <w:rFonts w:ascii="仿宋_GB2312" w:eastAsia="仿宋_GB2312" w:hAnsi="仿宋" w:cs="仿宋_GB2312" w:hint="eastAsia"/>
          <w:sz w:val="34"/>
          <w:szCs w:val="34"/>
        </w:rPr>
        <w:t>2%</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带</w:t>
      </w:r>
      <w:r>
        <w:rPr>
          <w:rFonts w:ascii="仿宋_GB2312" w:eastAsia="仿宋_GB2312" w:hAnsi="仿宋" w:cs="仿宋_GB2312" w:hint="eastAsia"/>
          <w:sz w:val="34"/>
          <w:szCs w:val="34"/>
        </w:rPr>
        <w:t>100%</w:t>
      </w:r>
      <w:r>
        <w:rPr>
          <w:rFonts w:ascii="仿宋_GB2312" w:eastAsia="仿宋_GB2312" w:hAnsi="仿宋" w:cs="仿宋_GB2312" w:hint="eastAsia"/>
          <w:sz w:val="34"/>
          <w:szCs w:val="34"/>
        </w:rPr>
        <w:t>非线性负载时，电压总谐波失真度＜</w:t>
      </w:r>
      <w:r>
        <w:rPr>
          <w:rFonts w:ascii="仿宋_GB2312" w:eastAsia="仿宋_GB2312" w:hAnsi="仿宋" w:cs="仿宋_GB2312" w:hint="eastAsia"/>
          <w:sz w:val="34"/>
          <w:szCs w:val="34"/>
        </w:rPr>
        <w:t>3%</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3.2  UPS</w:t>
      </w:r>
      <w:r>
        <w:rPr>
          <w:rFonts w:ascii="仿宋_GB2312" w:eastAsia="仿宋_GB2312" w:hAnsi="仿宋" w:cs="仿宋_GB2312" w:hint="eastAsia"/>
          <w:sz w:val="34"/>
          <w:szCs w:val="34"/>
        </w:rPr>
        <w:t>应具有良好的动态响应特性，在</w:t>
      </w:r>
      <w:r>
        <w:rPr>
          <w:rFonts w:ascii="仿宋_GB2312" w:eastAsia="仿宋_GB2312" w:hAnsi="仿宋" w:cs="仿宋_GB2312" w:hint="eastAsia"/>
          <w:sz w:val="34"/>
          <w:szCs w:val="34"/>
        </w:rPr>
        <w:t>0-100%</w:t>
      </w:r>
      <w:r>
        <w:rPr>
          <w:rFonts w:ascii="仿宋_GB2312" w:eastAsia="仿宋_GB2312" w:hAnsi="仿宋" w:cs="仿宋_GB2312" w:hint="eastAsia"/>
          <w:sz w:val="34"/>
          <w:szCs w:val="34"/>
        </w:rPr>
        <w:t>负载突变时，</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输出电压变化应小于±</w:t>
      </w:r>
      <w:r>
        <w:rPr>
          <w:rFonts w:ascii="仿宋_GB2312" w:eastAsia="仿宋_GB2312" w:hAnsi="仿宋" w:cs="仿宋_GB2312" w:hint="eastAsia"/>
          <w:sz w:val="34"/>
          <w:szCs w:val="34"/>
        </w:rPr>
        <w:t>2%</w:t>
      </w:r>
      <w:r>
        <w:rPr>
          <w:rFonts w:ascii="仿宋_GB2312" w:eastAsia="仿宋_GB2312" w:hAnsi="仿宋" w:cs="仿宋_GB2312" w:hint="eastAsia"/>
          <w:sz w:val="34"/>
          <w:szCs w:val="34"/>
        </w:rPr>
        <w:t>，且在</w:t>
      </w:r>
      <w:r>
        <w:rPr>
          <w:rFonts w:ascii="仿宋_GB2312" w:eastAsia="仿宋_GB2312" w:hAnsi="仿宋" w:cs="仿宋_GB2312" w:hint="eastAsia"/>
          <w:sz w:val="34"/>
          <w:szCs w:val="34"/>
        </w:rPr>
        <w:t>20ms</w:t>
      </w:r>
      <w:r>
        <w:rPr>
          <w:rFonts w:ascii="仿宋_GB2312" w:eastAsia="仿宋_GB2312" w:hAnsi="仿宋" w:cs="仿宋_GB2312" w:hint="eastAsia"/>
          <w:sz w:val="34"/>
          <w:szCs w:val="34"/>
        </w:rPr>
        <w:t>内恢复到±</w:t>
      </w:r>
      <w:r>
        <w:rPr>
          <w:rFonts w:ascii="仿宋_GB2312" w:eastAsia="仿宋_GB2312" w:hAnsi="仿宋" w:cs="仿宋_GB2312" w:hint="eastAsia"/>
          <w:sz w:val="34"/>
          <w:szCs w:val="34"/>
        </w:rPr>
        <w:t>1%</w:t>
      </w:r>
      <w:r>
        <w:rPr>
          <w:rFonts w:ascii="仿宋_GB2312" w:eastAsia="仿宋_GB2312" w:hAnsi="仿宋" w:cs="仿宋_GB2312" w:hint="eastAsia"/>
          <w:sz w:val="34"/>
          <w:szCs w:val="34"/>
        </w:rPr>
        <w:t>。</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3.3  UPS</w:t>
      </w:r>
      <w:r>
        <w:rPr>
          <w:rFonts w:ascii="仿宋_GB2312" w:eastAsia="仿宋_GB2312" w:hAnsi="仿宋" w:cs="仿宋_GB2312" w:hint="eastAsia"/>
          <w:sz w:val="34"/>
          <w:szCs w:val="34"/>
        </w:rPr>
        <w:t>应具有频率高速跟踪能力，频率跟踪速度要求达到</w:t>
      </w:r>
      <w:r>
        <w:rPr>
          <w:rFonts w:ascii="仿宋_GB2312" w:eastAsia="仿宋_GB2312" w:hAnsi="仿宋" w:cs="仿宋_GB2312" w:hint="eastAsia"/>
          <w:sz w:val="34"/>
          <w:szCs w:val="34"/>
        </w:rPr>
        <w:t>1Hz/s</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4</w:t>
      </w:r>
      <w:r>
        <w:rPr>
          <w:rFonts w:ascii="楷体_GB2312" w:eastAsia="楷体_GB2312" w:hAnsi="仿宋" w:cs="仿宋_GB2312"/>
          <w:sz w:val="34"/>
          <w:szCs w:val="34"/>
        </w:rPr>
        <w:t>.</w:t>
      </w:r>
      <w:r>
        <w:rPr>
          <w:rFonts w:ascii="楷体_GB2312" w:eastAsia="楷体_GB2312" w:hAnsi="仿宋" w:cs="仿宋_GB2312" w:hint="eastAsia"/>
          <w:sz w:val="34"/>
          <w:szCs w:val="34"/>
        </w:rPr>
        <w:t>UPS</w:t>
      </w:r>
      <w:r>
        <w:rPr>
          <w:rFonts w:ascii="楷体_GB2312" w:eastAsia="楷体_GB2312" w:hAnsi="仿宋" w:cs="仿宋_GB2312" w:hint="eastAsia"/>
          <w:sz w:val="34"/>
          <w:szCs w:val="34"/>
        </w:rPr>
        <w:t>应具有下列基本功能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.1</w:t>
      </w:r>
      <w:r>
        <w:rPr>
          <w:rFonts w:ascii="仿宋_GB2312" w:eastAsia="仿宋_GB2312" w:hAnsi="仿宋" w:cs="仿宋_GB2312" w:hint="eastAsia"/>
          <w:sz w:val="34"/>
          <w:szCs w:val="34"/>
        </w:rPr>
        <w:t>对电池的自动检测功能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蓄电池剩余后备时间的计算和预报，并在显示屏上实时显示。</w:t>
      </w:r>
    </w:p>
    <w:p w:rsidR="00DD3A94" w:rsidRDefault="00724B6F">
      <w:pPr>
        <w:spacing w:line="600" w:lineRule="exact"/>
        <w:ind w:firstLineChars="200" w:firstLine="680"/>
        <w:rPr>
          <w:rFonts w:ascii="仿宋_GB2312" w:eastAsia="仿宋_GB2312" w:hAnsi="仿宋" w:cs="仿宋_GB2312"/>
          <w:sz w:val="34"/>
          <w:szCs w:val="34"/>
        </w:rPr>
      </w:pPr>
      <w:bookmarkStart w:id="48" w:name="_GoBack"/>
      <w:r>
        <w:rPr>
          <w:rFonts w:ascii="仿宋_GB2312" w:eastAsia="仿宋_GB2312" w:hAnsi="仿宋" w:cs="仿宋_GB2312" w:hint="eastAsia"/>
          <w:sz w:val="34"/>
          <w:szCs w:val="34"/>
        </w:rPr>
        <w:lastRenderedPageBreak/>
        <w:t>电池的在线检测应包括：电</w:t>
      </w:r>
      <w:r>
        <w:rPr>
          <w:rFonts w:ascii="仿宋_GB2312" w:eastAsia="仿宋_GB2312" w:hAnsi="仿宋" w:cs="仿宋_GB2312" w:hint="eastAsia"/>
          <w:sz w:val="34"/>
          <w:szCs w:val="34"/>
        </w:rPr>
        <w:t>池电路测试、电池性能测试等。</w:t>
      </w:r>
    </w:p>
    <w:bookmarkEnd w:id="48"/>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.2</w:t>
      </w:r>
      <w:r>
        <w:rPr>
          <w:rFonts w:ascii="仿宋_GB2312" w:eastAsia="仿宋_GB2312" w:hAnsi="仿宋" w:cs="仿宋_GB2312" w:hint="eastAsia"/>
          <w:sz w:val="34"/>
          <w:szCs w:val="34"/>
        </w:rPr>
        <w:t>对电池的保护功能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具有电池的温度保护功能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当环境温度升高时，电池充电电压应下降；当环境温度降低时，电池充电电压应升高。以保持电池内部化学反应的平衡，延长电池的使用寿命。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电池类型和老化的补偿：根据电池品牌、类型和老化程度的不同而选取不同的充电电压</w:t>
      </w:r>
      <w:r>
        <w:rPr>
          <w:rFonts w:ascii="仿宋_GB2312" w:eastAsia="仿宋_GB2312" w:hAnsi="仿宋" w:cs="仿宋_GB2312" w:hint="eastAsia"/>
          <w:sz w:val="34"/>
          <w:szCs w:val="34"/>
        </w:rPr>
        <w:t>,</w:t>
      </w:r>
      <w:r>
        <w:rPr>
          <w:rFonts w:ascii="仿宋_GB2312" w:eastAsia="仿宋_GB2312" w:hAnsi="仿宋" w:cs="仿宋_GB2312" w:hint="eastAsia"/>
          <w:sz w:val="34"/>
          <w:szCs w:val="34"/>
        </w:rPr>
        <w:t>以保证电池使用在最佳状态。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具有电池的活化保养功能，即</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应具有定期的电池深放深充功能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具有电池过放保护功能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具有电池小电流慢放保护功能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冷启动：在市电停电时也能启动</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软启动：</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应具有软启动功能且工作平稳。</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智能化节能运行，其效率应高达</w:t>
      </w:r>
      <w:r>
        <w:rPr>
          <w:rFonts w:ascii="仿宋_GB2312" w:eastAsia="仿宋_GB2312" w:hAnsi="仿宋" w:cs="仿宋_GB2312" w:hint="eastAsia"/>
          <w:sz w:val="34"/>
          <w:szCs w:val="34"/>
        </w:rPr>
        <w:t>98%</w:t>
      </w:r>
      <w:r>
        <w:rPr>
          <w:rFonts w:ascii="仿宋_GB2312" w:eastAsia="仿宋_GB2312" w:hAnsi="仿宋" w:cs="仿宋_GB2312" w:hint="eastAsia"/>
          <w:sz w:val="34"/>
          <w:szCs w:val="34"/>
        </w:rPr>
        <w:t>以上。</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丰富的通讯功能：有干接点、远程监控、与</w:t>
      </w:r>
      <w:r>
        <w:rPr>
          <w:rFonts w:ascii="仿宋_GB2312" w:eastAsia="仿宋_GB2312" w:hAnsi="仿宋" w:cs="仿宋_GB2312" w:hint="eastAsia"/>
          <w:sz w:val="34"/>
          <w:szCs w:val="34"/>
        </w:rPr>
        <w:t>PC</w:t>
      </w:r>
      <w:r>
        <w:rPr>
          <w:rFonts w:ascii="仿宋_GB2312" w:eastAsia="仿宋_GB2312" w:hAnsi="仿宋" w:cs="仿宋_GB2312" w:hint="eastAsia"/>
          <w:sz w:val="34"/>
          <w:szCs w:val="34"/>
        </w:rPr>
        <w:t>机连网和遥测遥控四种通讯方式。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大屏幕中、英文显示：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主输入电源的电压、电流和频率参数；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旁路输入电源的电压、电流和频率参数；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输出电源的电压、电流和频率参数；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电池电压、电流和充放电状态；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显示各种报警信息；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显示各种状态信息；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显示各种故障信息并提示操作人员如何处理当前故障。</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事件日志：能进行</w:t>
      </w:r>
      <w:r>
        <w:rPr>
          <w:rFonts w:ascii="仿宋_GB2312" w:eastAsia="仿宋_GB2312" w:hAnsi="仿宋" w:cs="仿宋_GB2312"/>
          <w:sz w:val="34"/>
          <w:szCs w:val="34"/>
        </w:rPr>
        <w:t>１２８</w:t>
      </w:r>
      <w:r>
        <w:rPr>
          <w:rFonts w:ascii="仿宋_GB2312" w:eastAsia="仿宋_GB2312" w:hAnsi="仿宋" w:cs="仿宋_GB2312" w:hint="eastAsia"/>
          <w:sz w:val="34"/>
          <w:szCs w:val="34"/>
        </w:rPr>
        <w:t>条大时间记录运行过程中发生的事件，为故障分析提供了真实的依据。</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内部参数设置功能和准确的故障自诊断功能</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5</w:t>
      </w:r>
      <w:r>
        <w:rPr>
          <w:rFonts w:ascii="楷体_GB2312" w:eastAsia="楷体_GB2312" w:hAnsi="仿宋" w:cs="仿宋_GB2312"/>
          <w:sz w:val="34"/>
          <w:szCs w:val="34"/>
        </w:rPr>
        <w:t>.</w:t>
      </w:r>
      <w:r>
        <w:rPr>
          <w:rFonts w:ascii="楷体_GB2312" w:eastAsia="楷体_GB2312" w:hAnsi="仿宋" w:cs="仿宋_GB2312" w:hint="eastAsia"/>
          <w:sz w:val="34"/>
          <w:szCs w:val="34"/>
        </w:rPr>
        <w:t>UPS</w:t>
      </w:r>
      <w:r>
        <w:rPr>
          <w:rFonts w:ascii="楷体_GB2312" w:eastAsia="楷体_GB2312" w:hAnsi="仿宋" w:cs="仿宋_GB2312" w:hint="eastAsia"/>
          <w:sz w:val="34"/>
          <w:szCs w:val="34"/>
        </w:rPr>
        <w:t>主机的技术参数</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844"/>
        <w:gridCol w:w="4592"/>
      </w:tblGrid>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序号</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项目</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技术指标</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1</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输入电源电压</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380V-15%</w:t>
            </w:r>
            <w:r>
              <w:rPr>
                <w:rFonts w:ascii="宋体" w:hAnsi="宋体" w:hint="eastAsia"/>
                <w:bCs/>
                <w:sz w:val="24"/>
              </w:rPr>
              <w:t>至</w:t>
            </w:r>
            <w:r>
              <w:rPr>
                <w:rFonts w:ascii="宋体" w:hAnsi="宋体" w:hint="eastAsia"/>
                <w:bCs/>
                <w:sz w:val="24"/>
              </w:rPr>
              <w:t>380V+20%</w:t>
            </w:r>
            <w:r>
              <w:rPr>
                <w:rFonts w:ascii="宋体" w:hAnsi="宋体" w:hint="eastAsia"/>
                <w:bCs/>
                <w:sz w:val="24"/>
              </w:rPr>
              <w:t>，三相四线</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功率因数</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w:t>
            </w:r>
            <w:r>
              <w:rPr>
                <w:rFonts w:ascii="宋体" w:hAnsi="宋体" w:hint="eastAsia"/>
                <w:bCs/>
                <w:sz w:val="24"/>
              </w:rPr>
              <w:t>0.92</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频率范围</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50Hz</w:t>
            </w:r>
            <w:r>
              <w:rPr>
                <w:rFonts w:ascii="宋体" w:hAnsi="宋体" w:hint="eastAsia"/>
                <w:bCs/>
                <w:sz w:val="24"/>
              </w:rPr>
              <w:t>±</w:t>
            </w:r>
            <w:r>
              <w:rPr>
                <w:rFonts w:ascii="宋体" w:hAnsi="宋体" w:hint="eastAsia"/>
                <w:bCs/>
                <w:sz w:val="24"/>
              </w:rPr>
              <w:t>10%</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2</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输出静态电压</w:t>
            </w:r>
          </w:p>
        </w:tc>
        <w:tc>
          <w:tcPr>
            <w:tcW w:w="4592" w:type="dxa"/>
            <w:vAlign w:val="center"/>
          </w:tcPr>
          <w:p w:rsidR="00DD3A94" w:rsidRDefault="00724B6F">
            <w:pPr>
              <w:spacing w:line="600" w:lineRule="exact"/>
              <w:ind w:firstLineChars="200" w:firstLine="480"/>
              <w:rPr>
                <w:rFonts w:ascii="宋体" w:hAnsi="宋体"/>
                <w:bCs/>
                <w:sz w:val="24"/>
              </w:rPr>
            </w:pPr>
            <w:r>
              <w:rPr>
                <w:rFonts w:ascii="宋体" w:hAnsi="宋体"/>
                <w:bCs/>
                <w:sz w:val="24"/>
              </w:rPr>
              <w:t>22</w:t>
            </w:r>
            <w:r>
              <w:rPr>
                <w:rFonts w:ascii="宋体" w:hAnsi="宋体" w:hint="eastAsia"/>
                <w:bCs/>
                <w:sz w:val="24"/>
              </w:rPr>
              <w:t>0V</w:t>
            </w:r>
            <w:r>
              <w:rPr>
                <w:rFonts w:ascii="宋体" w:hAnsi="宋体" w:hint="eastAsia"/>
                <w:bCs/>
                <w:sz w:val="24"/>
              </w:rPr>
              <w:t>±</w:t>
            </w:r>
            <w:r>
              <w:rPr>
                <w:rFonts w:ascii="宋体" w:hAnsi="宋体"/>
                <w:bCs/>
                <w:sz w:val="24"/>
              </w:rPr>
              <w:t>1</w:t>
            </w:r>
            <w:r>
              <w:rPr>
                <w:rFonts w:ascii="宋体" w:hAnsi="宋体" w:hint="eastAsia"/>
                <w:bCs/>
                <w:sz w:val="24"/>
              </w:rPr>
              <w:t>%</w:t>
            </w:r>
          </w:p>
        </w:tc>
      </w:tr>
      <w:tr w:rsidR="00DD3A94">
        <w:trPr>
          <w:cantSplit/>
          <w:jc w:val="center"/>
        </w:trPr>
        <w:tc>
          <w:tcPr>
            <w:tcW w:w="1021" w:type="dxa"/>
            <w:vAlign w:val="center"/>
          </w:tcPr>
          <w:p w:rsidR="00DD3A94" w:rsidRDefault="00724B6F">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3</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动态电压</w:t>
            </w:r>
          </w:p>
        </w:tc>
        <w:tc>
          <w:tcPr>
            <w:tcW w:w="4592" w:type="dxa"/>
            <w:vAlign w:val="center"/>
          </w:tcPr>
          <w:p w:rsidR="00DD3A94" w:rsidRDefault="00724B6F">
            <w:pPr>
              <w:spacing w:line="600" w:lineRule="exact"/>
              <w:rPr>
                <w:rFonts w:ascii="宋体" w:hAnsi="宋体"/>
                <w:bCs/>
                <w:sz w:val="24"/>
              </w:rPr>
            </w:pPr>
            <w:r>
              <w:rPr>
                <w:rFonts w:ascii="宋体" w:hAnsi="宋体" w:hint="eastAsia"/>
                <w:bCs/>
                <w:sz w:val="24"/>
              </w:rPr>
              <w:t>由空载到满载，满载到空载，电压变化</w:t>
            </w:r>
            <w:r>
              <w:rPr>
                <w:rFonts w:ascii="宋体" w:hAnsi="宋体" w:hint="eastAsia"/>
                <w:bCs/>
                <w:sz w:val="24"/>
              </w:rPr>
              <w:t>&lt;</w:t>
            </w:r>
            <w:r>
              <w:rPr>
                <w:rFonts w:ascii="宋体" w:hAnsi="宋体" w:hint="eastAsia"/>
                <w:bCs/>
                <w:sz w:val="24"/>
              </w:rPr>
              <w:t>±</w:t>
            </w:r>
            <w:r>
              <w:rPr>
                <w:rFonts w:ascii="宋体" w:hAnsi="宋体" w:hint="eastAsia"/>
                <w:bCs/>
                <w:sz w:val="24"/>
              </w:rPr>
              <w:t>2%</w:t>
            </w:r>
            <w:r>
              <w:rPr>
                <w:rFonts w:ascii="宋体" w:hAnsi="宋体" w:hint="eastAsia"/>
                <w:bCs/>
                <w:sz w:val="24"/>
              </w:rPr>
              <w:t>，且在</w:t>
            </w:r>
            <w:r>
              <w:rPr>
                <w:rFonts w:ascii="宋体" w:hAnsi="宋体" w:hint="eastAsia"/>
                <w:bCs/>
                <w:sz w:val="24"/>
              </w:rPr>
              <w:t>20ms</w:t>
            </w:r>
            <w:r>
              <w:rPr>
                <w:rFonts w:ascii="宋体" w:hAnsi="宋体" w:hint="eastAsia"/>
                <w:bCs/>
                <w:sz w:val="24"/>
              </w:rPr>
              <w:t>内恢复到±</w:t>
            </w:r>
            <w:r>
              <w:rPr>
                <w:rFonts w:ascii="宋体" w:hAnsi="宋体" w:hint="eastAsia"/>
                <w:bCs/>
                <w:sz w:val="24"/>
              </w:rPr>
              <w:t>1%</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4</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频率跟踪范围</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0.25</w:t>
            </w:r>
            <w:r>
              <w:rPr>
                <w:rFonts w:ascii="宋体" w:hAnsi="宋体" w:hint="eastAsia"/>
                <w:bCs/>
                <w:sz w:val="24"/>
              </w:rPr>
              <w:t>～</w:t>
            </w:r>
            <w:r>
              <w:rPr>
                <w:rFonts w:ascii="宋体" w:hAnsi="宋体" w:hint="eastAsia"/>
                <w:bCs/>
                <w:sz w:val="24"/>
              </w:rPr>
              <w:t>2Hz</w:t>
            </w:r>
            <w:r>
              <w:rPr>
                <w:rFonts w:ascii="宋体" w:hAnsi="宋体" w:hint="eastAsia"/>
                <w:bCs/>
                <w:sz w:val="24"/>
              </w:rPr>
              <w:t>，步长为</w:t>
            </w:r>
            <w:r>
              <w:rPr>
                <w:rFonts w:ascii="宋体" w:hAnsi="宋体" w:hint="eastAsia"/>
                <w:bCs/>
                <w:sz w:val="24"/>
              </w:rPr>
              <w:t>0.25Hz</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频率跟踪速度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1Hz/S</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晶振稳定度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50Hz</w:t>
            </w:r>
            <w:r>
              <w:rPr>
                <w:rFonts w:ascii="宋体" w:hAnsi="宋体" w:hint="eastAsia"/>
                <w:bCs/>
                <w:sz w:val="24"/>
              </w:rPr>
              <w:t>±</w:t>
            </w:r>
            <w:r>
              <w:rPr>
                <w:rFonts w:ascii="宋体" w:hAnsi="宋体" w:hint="eastAsia"/>
                <w:bCs/>
                <w:sz w:val="24"/>
              </w:rPr>
              <w:t>0.05Hz</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5</w:t>
            </w:r>
          </w:p>
        </w:tc>
        <w:tc>
          <w:tcPr>
            <w:tcW w:w="2844"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线电压总谐波失真度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带</w:t>
            </w:r>
            <w:r>
              <w:rPr>
                <w:rFonts w:ascii="宋体" w:hAnsi="宋体" w:hint="eastAsia"/>
                <w:bCs/>
                <w:sz w:val="24"/>
              </w:rPr>
              <w:t>100%</w:t>
            </w:r>
            <w:r>
              <w:rPr>
                <w:rFonts w:ascii="宋体" w:hAnsi="宋体" w:hint="eastAsia"/>
                <w:bCs/>
                <w:sz w:val="24"/>
              </w:rPr>
              <w:t>线性负载</w:t>
            </w:r>
            <w:r>
              <w:rPr>
                <w:rFonts w:ascii="宋体" w:hAnsi="宋体" w:hint="eastAsia"/>
                <w:bCs/>
                <w:sz w:val="24"/>
              </w:rPr>
              <w:t>)</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Merge/>
            <w:vAlign w:val="center"/>
          </w:tcPr>
          <w:p w:rsidR="00DD3A94" w:rsidRDefault="00DD3A94">
            <w:pPr>
              <w:spacing w:line="600" w:lineRule="exact"/>
              <w:jc w:val="center"/>
              <w:rPr>
                <w:rFonts w:ascii="宋体" w:hAnsi="宋体"/>
                <w:bCs/>
                <w:sz w:val="24"/>
              </w:rPr>
            </w:pP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带</w:t>
            </w:r>
            <w:r>
              <w:rPr>
                <w:rFonts w:ascii="宋体" w:hAnsi="宋体" w:hint="eastAsia"/>
                <w:bCs/>
                <w:sz w:val="24"/>
              </w:rPr>
              <w:t>100%</w:t>
            </w:r>
            <w:r>
              <w:rPr>
                <w:rFonts w:ascii="宋体" w:hAnsi="宋体" w:hint="eastAsia"/>
                <w:bCs/>
                <w:sz w:val="24"/>
              </w:rPr>
              <w:t>非线性负载</w:t>
            </w:r>
            <w:r>
              <w:rPr>
                <w:rFonts w:ascii="宋体" w:hAnsi="宋体" w:hint="eastAsia"/>
                <w:bCs/>
                <w:sz w:val="24"/>
              </w:rPr>
              <w:t>)</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6</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峰值因数</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1</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7</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过载能力：</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125%  10min</w:t>
            </w:r>
          </w:p>
          <w:p w:rsidR="00DD3A94" w:rsidRDefault="00724B6F">
            <w:pPr>
              <w:spacing w:line="600" w:lineRule="exact"/>
              <w:jc w:val="center"/>
              <w:rPr>
                <w:rFonts w:ascii="宋体" w:hAnsi="宋体"/>
                <w:bCs/>
                <w:sz w:val="24"/>
              </w:rPr>
            </w:pPr>
            <w:r>
              <w:rPr>
                <w:rFonts w:ascii="宋体" w:hAnsi="宋体" w:hint="eastAsia"/>
                <w:bCs/>
                <w:sz w:val="24"/>
              </w:rPr>
              <w:lastRenderedPageBreak/>
              <w:t>150%   1min</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lastRenderedPageBreak/>
              <w:t>8</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效率</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w:t>
            </w:r>
            <w:r>
              <w:rPr>
                <w:rFonts w:ascii="宋体" w:hAnsi="宋体" w:hint="eastAsia"/>
                <w:bCs/>
                <w:sz w:val="24"/>
              </w:rPr>
              <w:t xml:space="preserve">92% </w:t>
            </w:r>
            <w:r>
              <w:rPr>
                <w:rFonts w:ascii="宋体" w:hAnsi="宋体" w:hint="eastAsia"/>
                <w:bCs/>
                <w:sz w:val="24"/>
              </w:rPr>
              <w:t>（在线模式）</w:t>
            </w:r>
          </w:p>
          <w:p w:rsidR="00DD3A94" w:rsidRDefault="00724B6F">
            <w:pPr>
              <w:spacing w:line="600" w:lineRule="exact"/>
              <w:jc w:val="center"/>
              <w:rPr>
                <w:rFonts w:ascii="宋体" w:hAnsi="宋体"/>
                <w:bCs/>
                <w:color w:val="FF0000"/>
                <w:sz w:val="24"/>
              </w:rPr>
            </w:pPr>
            <w:r>
              <w:rPr>
                <w:rFonts w:ascii="宋体" w:hAnsi="宋体" w:hint="eastAsia"/>
                <w:bCs/>
                <w:sz w:val="24"/>
              </w:rPr>
              <w:t>＞</w:t>
            </w:r>
            <w:r>
              <w:rPr>
                <w:rFonts w:ascii="宋体" w:hAnsi="宋体" w:hint="eastAsia"/>
                <w:bCs/>
                <w:sz w:val="24"/>
              </w:rPr>
              <w:t xml:space="preserve">98% </w:t>
            </w:r>
            <w:r>
              <w:rPr>
                <w:rFonts w:ascii="宋体" w:hAnsi="宋体" w:hint="eastAsia"/>
                <w:bCs/>
                <w:sz w:val="24"/>
              </w:rPr>
              <w:t>（经济模式）</w:t>
            </w:r>
            <w:r>
              <w:rPr>
                <w:rFonts w:ascii="宋体" w:hAnsi="宋体" w:hint="eastAsia"/>
                <w:bCs/>
                <w:sz w:val="24"/>
              </w:rPr>
              <w:t xml:space="preserve"> </w:t>
            </w:r>
            <w:r>
              <w:rPr>
                <w:rFonts w:ascii="宋体" w:hAnsi="宋体" w:hint="eastAsia"/>
                <w:bCs/>
                <w:sz w:val="24"/>
              </w:rPr>
              <w:t xml:space="preserve">　</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9</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噪音：</w:t>
            </w:r>
          </w:p>
        </w:tc>
        <w:tc>
          <w:tcPr>
            <w:tcW w:w="4592" w:type="dxa"/>
            <w:vAlign w:val="center"/>
          </w:tcPr>
          <w:p w:rsidR="00DD3A94" w:rsidRDefault="00724B6F">
            <w:pPr>
              <w:spacing w:line="600" w:lineRule="exact"/>
              <w:jc w:val="center"/>
              <w:rPr>
                <w:rFonts w:ascii="宋体" w:hAnsi="宋体"/>
                <w:bCs/>
                <w:color w:val="FF0000"/>
                <w:sz w:val="24"/>
              </w:rPr>
            </w:pPr>
            <w:r>
              <w:rPr>
                <w:rFonts w:ascii="宋体" w:hAnsi="宋体" w:hint="eastAsia"/>
                <w:bCs/>
                <w:sz w:val="24"/>
              </w:rPr>
              <w:t>&lt;55dBA</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10</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平均无故障时间</w:t>
            </w:r>
            <w:r>
              <w:rPr>
                <w:rFonts w:ascii="宋体" w:hAnsi="宋体" w:hint="eastAsia"/>
                <w:bCs/>
                <w:sz w:val="24"/>
              </w:rPr>
              <w:t>MTBF</w:t>
            </w:r>
            <w:r>
              <w:rPr>
                <w:rFonts w:ascii="宋体" w:hAnsi="宋体" w:hint="eastAsia"/>
                <w:bCs/>
                <w:sz w:val="24"/>
              </w:rPr>
              <w:t>：</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w:t>
            </w:r>
            <w:r>
              <w:rPr>
                <w:rFonts w:ascii="宋体" w:hAnsi="宋体" w:hint="eastAsia"/>
                <w:bCs/>
                <w:sz w:val="24"/>
              </w:rPr>
              <w:t>20</w:t>
            </w:r>
            <w:r>
              <w:rPr>
                <w:rFonts w:ascii="宋体" w:hAnsi="宋体" w:hint="eastAsia"/>
                <w:bCs/>
                <w:sz w:val="24"/>
              </w:rPr>
              <w:t>万小时</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11</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风扇配置</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w:t>
            </w:r>
            <w:r>
              <w:rPr>
                <w:rFonts w:ascii="宋体" w:hAnsi="宋体" w:hint="eastAsia"/>
                <w:bCs/>
                <w:sz w:val="24"/>
              </w:rPr>
              <w:t>的冗余配置</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12</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旁路</w:t>
            </w:r>
          </w:p>
        </w:tc>
        <w:tc>
          <w:tcPr>
            <w:tcW w:w="4592" w:type="dxa"/>
            <w:vAlign w:val="center"/>
          </w:tcPr>
          <w:p w:rsidR="00DD3A94" w:rsidRDefault="00724B6F">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具有自动静态旁路和手动检修旁路</w:t>
            </w:r>
          </w:p>
        </w:tc>
      </w:tr>
    </w:tbl>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6</w:t>
      </w:r>
      <w:r>
        <w:rPr>
          <w:rFonts w:ascii="楷体_GB2312" w:eastAsia="楷体_GB2312" w:hAnsi="仿宋" w:cs="仿宋_GB2312"/>
          <w:sz w:val="34"/>
          <w:szCs w:val="34"/>
        </w:rPr>
        <w:t>.</w:t>
      </w:r>
      <w:r>
        <w:rPr>
          <w:rFonts w:ascii="楷体_GB2312" w:eastAsia="楷体_GB2312" w:hAnsi="仿宋" w:cs="仿宋_GB2312" w:hint="eastAsia"/>
          <w:sz w:val="34"/>
          <w:szCs w:val="34"/>
        </w:rPr>
        <w:t>与</w:t>
      </w:r>
      <w:r>
        <w:rPr>
          <w:rFonts w:ascii="楷体_GB2312" w:eastAsia="楷体_GB2312" w:hAnsi="仿宋" w:cs="仿宋_GB2312" w:hint="eastAsia"/>
          <w:sz w:val="34"/>
          <w:szCs w:val="34"/>
        </w:rPr>
        <w:t>UPS</w:t>
      </w:r>
      <w:r>
        <w:rPr>
          <w:rFonts w:ascii="楷体_GB2312" w:eastAsia="楷体_GB2312" w:hAnsi="仿宋" w:cs="仿宋_GB2312" w:hint="eastAsia"/>
          <w:sz w:val="34"/>
          <w:szCs w:val="34"/>
        </w:rPr>
        <w:t>配套的蓄电池的技术要求</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电池品牌要求：德克或荷贝克，投标时须提供原厂证明材料。</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蓄电池需编号，正极线缆颜色赭色，负极蓝色。</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型式：固定型阀控密封式胶体铅酸蓄电池</w:t>
      </w:r>
      <w:r>
        <w:rPr>
          <w:rFonts w:ascii="仿宋_GB2312" w:eastAsia="仿宋_GB2312" w:hAnsi="仿宋" w:cs="仿宋_GB2312"/>
          <w:sz w:val="34"/>
          <w:szCs w:val="34"/>
        </w:rPr>
        <w:t xml:space="preserve">, </w:t>
      </w:r>
      <w:r>
        <w:rPr>
          <w:rFonts w:ascii="仿宋_GB2312" w:eastAsia="仿宋_GB2312" w:hAnsi="仿宋" w:cs="仿宋_GB2312" w:hint="eastAsia"/>
          <w:sz w:val="34"/>
          <w:szCs w:val="34"/>
        </w:rPr>
        <w:t>免维护保养。</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后备时间：</w:t>
      </w:r>
      <w:r>
        <w:rPr>
          <w:rFonts w:ascii="仿宋_GB2312" w:eastAsia="仿宋_GB2312" w:hAnsi="仿宋" w:cs="仿宋_GB2312" w:hint="eastAsia"/>
          <w:sz w:val="34"/>
          <w:szCs w:val="34"/>
        </w:rPr>
        <w:t>60min</w:t>
      </w:r>
      <w:r>
        <w:rPr>
          <w:rFonts w:ascii="仿宋_GB2312" w:eastAsia="仿宋_GB2312" w:hAnsi="仿宋" w:cs="仿宋_GB2312" w:hint="eastAsia"/>
          <w:sz w:val="34"/>
          <w:szCs w:val="34"/>
        </w:rPr>
        <w:t>（在额定负载功率情况下的放电时间）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sz w:val="34"/>
          <w:szCs w:val="34"/>
        </w:rPr>
        <w:t>UPS</w:t>
      </w:r>
      <w:r>
        <w:rPr>
          <w:rFonts w:ascii="仿宋_GB2312" w:eastAsia="仿宋_GB2312" w:hAnsi="仿宋" w:cs="仿宋_GB2312" w:hint="eastAsia"/>
          <w:sz w:val="34"/>
          <w:szCs w:val="34"/>
        </w:rPr>
        <w:t>配</w:t>
      </w:r>
      <w:r>
        <w:rPr>
          <w:rFonts w:ascii="仿宋_GB2312" w:eastAsia="仿宋_GB2312" w:hAnsi="仿宋" w:cs="仿宋_GB2312"/>
          <w:sz w:val="34"/>
          <w:szCs w:val="34"/>
        </w:rPr>
        <w:t>智能电池管理</w:t>
      </w:r>
      <w:r>
        <w:rPr>
          <w:rFonts w:ascii="仿宋_GB2312" w:eastAsia="仿宋_GB2312" w:hAnsi="仿宋" w:cs="仿宋_GB2312" w:hint="eastAsia"/>
          <w:sz w:val="34"/>
          <w:szCs w:val="34"/>
        </w:rPr>
        <w:t>系统</w:t>
      </w:r>
      <w:r>
        <w:rPr>
          <w:rFonts w:ascii="仿宋_GB2312" w:eastAsia="仿宋_GB2312" w:hAnsi="仿宋" w:cs="仿宋_GB2312"/>
          <w:sz w:val="34"/>
          <w:szCs w:val="34"/>
        </w:rPr>
        <w:t xml:space="preserve">, </w:t>
      </w:r>
      <w:r>
        <w:rPr>
          <w:rFonts w:ascii="仿宋_GB2312" w:eastAsia="仿宋_GB2312" w:hAnsi="仿宋" w:cs="仿宋_GB2312" w:hint="eastAsia"/>
          <w:sz w:val="34"/>
          <w:szCs w:val="34"/>
        </w:rPr>
        <w:t>采用珠海派诺或南京哈伯</w:t>
      </w:r>
      <w:r>
        <w:rPr>
          <w:rFonts w:ascii="仿宋_GB2312" w:eastAsia="仿宋_GB2312" w:hAnsi="仿宋" w:cs="仿宋_GB2312"/>
          <w:sz w:val="34"/>
          <w:szCs w:val="34"/>
        </w:rPr>
        <w:t>自动在线</w:t>
      </w:r>
      <w:r>
        <w:rPr>
          <w:rFonts w:ascii="仿宋_GB2312" w:eastAsia="仿宋_GB2312" w:hAnsi="仿宋" w:cs="仿宋_GB2312" w:hint="eastAsia"/>
          <w:sz w:val="34"/>
          <w:szCs w:val="34"/>
        </w:rPr>
        <w:t>监控系统</w:t>
      </w:r>
      <w:r>
        <w:rPr>
          <w:rFonts w:ascii="仿宋_GB2312" w:eastAsia="仿宋_GB2312" w:hAnsi="仿宋" w:cs="仿宋_GB2312"/>
          <w:sz w:val="34"/>
          <w:szCs w:val="34"/>
        </w:rPr>
        <w:t>，</w:t>
      </w:r>
      <w:r>
        <w:rPr>
          <w:rFonts w:ascii="仿宋_GB2312" w:eastAsia="仿宋_GB2312" w:hAnsi="仿宋" w:cs="仿宋_GB2312" w:hint="eastAsia"/>
          <w:sz w:val="34"/>
          <w:szCs w:val="34"/>
        </w:rPr>
        <w:t>自动判断</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蓄电池的在线状态，状态判断包括但不限于充电、放电、浮充等；能显示每节电池内阻、电压，具备通讯功能，能上传到招标方后台监控系统。</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能记录每节电池的数据：浮充电压，放电电压，内阻值，充放电电流以及电池温度；</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能图像化显示每节电池的各项参数历史曲线、单组</w:t>
      </w:r>
      <w:r>
        <w:rPr>
          <w:rFonts w:ascii="仿宋_GB2312" w:eastAsia="仿宋_GB2312" w:hAnsi="仿宋" w:cs="仿宋_GB2312" w:hint="eastAsia"/>
          <w:sz w:val="34"/>
          <w:szCs w:val="34"/>
        </w:rPr>
        <w:lastRenderedPageBreak/>
        <w:t>所有电池的充、放电曲线图，并以此判断其使用状态与分析；</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自动记录所有蓄电池组、蓄电池在每一次充、放电时的电压曲线、电流曲线和温度曲线，以及时间记录；</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sz w:val="34"/>
          <w:szCs w:val="34"/>
        </w:rPr>
        <w:t>第三方接口协议是</w:t>
      </w:r>
      <w:r>
        <w:rPr>
          <w:rFonts w:ascii="仿宋_GB2312" w:eastAsia="仿宋_GB2312" w:hAnsi="仿宋" w:cs="仿宋_GB2312" w:hint="eastAsia"/>
          <w:sz w:val="34"/>
          <w:szCs w:val="34"/>
        </w:rPr>
        <w:t>ModbusTCP</w:t>
      </w:r>
      <w:r>
        <w:rPr>
          <w:rFonts w:ascii="仿宋_GB2312" w:eastAsia="仿宋_GB2312" w:hAnsi="仿宋" w:cs="仿宋_GB2312" w:hint="eastAsia"/>
          <w:sz w:val="34"/>
          <w:szCs w:val="34"/>
        </w:rPr>
        <w:t>和</w:t>
      </w:r>
      <w:r>
        <w:rPr>
          <w:rFonts w:ascii="仿宋_GB2312" w:eastAsia="仿宋_GB2312" w:hAnsi="仿宋" w:cs="仿宋_GB2312" w:hint="eastAsia"/>
          <w:sz w:val="34"/>
          <w:szCs w:val="34"/>
        </w:rPr>
        <w:t>Webservice</w:t>
      </w:r>
      <w:r>
        <w:rPr>
          <w:rFonts w:ascii="仿宋_GB2312" w:eastAsia="仿宋_GB2312" w:hAnsi="仿宋" w:cs="仿宋_GB2312" w:hint="eastAsia"/>
          <w:sz w:val="34"/>
          <w:szCs w:val="34"/>
        </w:rPr>
        <w:t>协议接口；</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容量及数量：根据备用</w:t>
      </w:r>
      <w:r>
        <w:rPr>
          <w:rFonts w:ascii="仿宋_GB2312" w:eastAsia="仿宋_GB2312" w:hAnsi="仿宋" w:cs="仿宋_GB2312" w:hint="eastAsia"/>
          <w:sz w:val="34"/>
          <w:szCs w:val="34"/>
        </w:rPr>
        <w:t>60</w:t>
      </w:r>
      <w:r>
        <w:rPr>
          <w:rFonts w:ascii="仿宋_GB2312" w:eastAsia="仿宋_GB2312" w:hAnsi="仿宋" w:cs="仿宋_GB2312" w:hint="eastAsia"/>
          <w:sz w:val="34"/>
          <w:szCs w:val="34"/>
        </w:rPr>
        <w:t>分钟及</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相关技术参数进行合理配置，投标人在投标文件中必须提供电池容量计算书（投标人必须采用电池恒功率放电表的方法来计算电池容量）和电池放电数据曲线（或表格）。</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电池设计寿命：</w:t>
      </w:r>
      <w:r>
        <w:rPr>
          <w:rFonts w:ascii="仿宋_GB2312" w:eastAsia="仿宋_GB2312" w:hAnsi="仿宋" w:cs="仿宋_GB2312" w:hint="eastAsia"/>
          <w:sz w:val="34"/>
          <w:szCs w:val="34"/>
        </w:rPr>
        <w:t>10</w:t>
      </w:r>
      <w:r>
        <w:rPr>
          <w:rFonts w:ascii="仿宋_GB2312" w:eastAsia="仿宋_GB2312" w:hAnsi="仿宋" w:cs="仿宋_GB2312" w:hint="eastAsia"/>
          <w:sz w:val="34"/>
          <w:szCs w:val="34"/>
        </w:rPr>
        <w:t>年，质保</w:t>
      </w:r>
      <w:r>
        <w:rPr>
          <w:rFonts w:ascii="仿宋_GB2312" w:eastAsia="仿宋_GB2312" w:hAnsi="仿宋" w:cs="仿宋_GB2312" w:hint="eastAsia"/>
          <w:sz w:val="34"/>
          <w:szCs w:val="34"/>
        </w:rPr>
        <w:t>5</w:t>
      </w:r>
      <w:r>
        <w:rPr>
          <w:rFonts w:ascii="仿宋_GB2312" w:eastAsia="仿宋_GB2312" w:hAnsi="仿宋" w:cs="仿宋_GB2312" w:hint="eastAsia"/>
          <w:sz w:val="34"/>
          <w:szCs w:val="34"/>
        </w:rPr>
        <w:t>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电池柜：高度、深度和颜色必须</w:t>
      </w:r>
      <w:r>
        <w:rPr>
          <w:rFonts w:ascii="仿宋_GB2312" w:eastAsia="仿宋_GB2312" w:hAnsi="仿宋" w:cs="仿宋_GB2312" w:hint="eastAsia"/>
          <w:sz w:val="34"/>
          <w:szCs w:val="34"/>
        </w:rPr>
        <w:t>与</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主机柜协调一致。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电池柜用</w:t>
      </w:r>
      <w:r>
        <w:rPr>
          <w:rFonts w:ascii="仿宋_GB2312" w:eastAsia="仿宋_GB2312" w:hAnsi="仿宋" w:cs="仿宋_GB2312" w:hint="eastAsia"/>
          <w:sz w:val="34"/>
          <w:szCs w:val="34"/>
        </w:rPr>
        <w:t>2mm</w:t>
      </w:r>
      <w:r>
        <w:rPr>
          <w:rFonts w:ascii="仿宋_GB2312" w:eastAsia="仿宋_GB2312" w:hAnsi="仿宋" w:cs="仿宋_GB2312" w:hint="eastAsia"/>
          <w:sz w:val="34"/>
          <w:szCs w:val="34"/>
        </w:rPr>
        <w:t>厚冷轧钢板制作而成，必须能承受</w:t>
      </w:r>
      <w:r>
        <w:rPr>
          <w:rFonts w:ascii="仿宋_GB2312" w:eastAsia="仿宋_GB2312" w:hAnsi="仿宋" w:cs="仿宋_GB2312" w:hint="eastAsia"/>
          <w:sz w:val="34"/>
          <w:szCs w:val="34"/>
        </w:rPr>
        <w:t>7</w:t>
      </w:r>
      <w:r>
        <w:rPr>
          <w:rFonts w:ascii="仿宋_GB2312" w:eastAsia="仿宋_GB2312" w:hAnsi="仿宋" w:cs="仿宋_GB2312" w:hint="eastAsia"/>
          <w:sz w:val="34"/>
          <w:szCs w:val="34"/>
        </w:rPr>
        <w:t>级地震。电池柜为前后左右开门，电池柜的层高必须大于</w:t>
      </w:r>
      <w:r>
        <w:rPr>
          <w:rFonts w:ascii="仿宋_GB2312" w:eastAsia="仿宋_GB2312" w:hAnsi="仿宋" w:cs="仿宋_GB2312" w:hint="eastAsia"/>
          <w:sz w:val="34"/>
          <w:szCs w:val="34"/>
        </w:rPr>
        <w:t>400mm</w:t>
      </w:r>
      <w:r>
        <w:rPr>
          <w:rFonts w:ascii="仿宋_GB2312" w:eastAsia="仿宋_GB2312" w:hAnsi="仿宋" w:cs="仿宋_GB2312" w:hint="eastAsia"/>
          <w:sz w:val="34"/>
          <w:szCs w:val="34"/>
        </w:rPr>
        <w:t>，以便电池的日常维护。</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电池与电池连接电缆线必须采用铜芯阻燃软电缆，电池开关采用施耐德或者</w:t>
      </w:r>
      <w:r>
        <w:rPr>
          <w:rFonts w:ascii="仿宋_GB2312" w:eastAsia="仿宋_GB2312" w:hAnsi="仿宋" w:cs="仿宋_GB2312" w:hint="eastAsia"/>
          <w:sz w:val="34"/>
          <w:szCs w:val="34"/>
        </w:rPr>
        <w:t>A</w:t>
      </w:r>
      <w:r>
        <w:rPr>
          <w:rFonts w:ascii="仿宋_GB2312" w:eastAsia="仿宋_GB2312" w:hAnsi="仿宋" w:cs="仿宋_GB2312"/>
          <w:sz w:val="34"/>
          <w:szCs w:val="34"/>
        </w:rPr>
        <w:t>BB</w:t>
      </w:r>
      <w:r>
        <w:rPr>
          <w:rFonts w:ascii="仿宋_GB2312" w:eastAsia="仿宋_GB2312" w:hAnsi="仿宋" w:cs="仿宋_GB2312" w:hint="eastAsia"/>
          <w:sz w:val="34"/>
          <w:szCs w:val="34"/>
        </w:rPr>
        <w:t>直流断路器。</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7</w:t>
      </w:r>
      <w:r>
        <w:rPr>
          <w:rFonts w:ascii="楷体_GB2312" w:eastAsia="楷体_GB2312" w:hAnsi="仿宋" w:cs="仿宋_GB2312"/>
          <w:sz w:val="34"/>
          <w:szCs w:val="34"/>
        </w:rPr>
        <w:t>.</w:t>
      </w:r>
      <w:r>
        <w:rPr>
          <w:rFonts w:ascii="楷体_GB2312" w:eastAsia="楷体_GB2312" w:hAnsi="仿宋" w:cs="仿宋_GB2312" w:hint="eastAsia"/>
          <w:sz w:val="34"/>
          <w:szCs w:val="34"/>
        </w:rPr>
        <w:t>UPS</w:t>
      </w:r>
      <w:r>
        <w:rPr>
          <w:rFonts w:ascii="楷体_GB2312" w:eastAsia="楷体_GB2312" w:hAnsi="仿宋" w:cs="仿宋_GB2312" w:hint="eastAsia"/>
          <w:sz w:val="34"/>
          <w:szCs w:val="34"/>
        </w:rPr>
        <w:t>系统中机柜的防护等级</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 xml:space="preserve">IP2X </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六、技术资料</w:t>
      </w:r>
    </w:p>
    <w:tbl>
      <w:tblPr>
        <w:tblStyle w:val="a8"/>
        <w:tblW w:w="9129" w:type="dxa"/>
        <w:tblInd w:w="-252" w:type="dxa"/>
        <w:tblLayout w:type="fixed"/>
        <w:tblLook w:val="04A0"/>
      </w:tblPr>
      <w:tblGrid>
        <w:gridCol w:w="834"/>
        <w:gridCol w:w="2844"/>
        <w:gridCol w:w="948"/>
        <w:gridCol w:w="1185"/>
        <w:gridCol w:w="2370"/>
        <w:gridCol w:w="948"/>
      </w:tblGrid>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序号</w:t>
            </w:r>
          </w:p>
        </w:tc>
        <w:tc>
          <w:tcPr>
            <w:tcW w:w="284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技术资料名称</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数量</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文字</w:t>
            </w:r>
          </w:p>
        </w:tc>
        <w:tc>
          <w:tcPr>
            <w:tcW w:w="2370"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提供日期</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备注</w:t>
            </w: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w:t>
            </w:r>
            <w:r>
              <w:rPr>
                <w:rFonts w:ascii="宋体" w:hAnsi="宋体" w:hint="eastAsia"/>
                <w:sz w:val="24"/>
                <w:szCs w:val="24"/>
              </w:rPr>
              <w:t>系统电路图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w:t>
            </w:r>
            <w:r>
              <w:rPr>
                <w:rFonts w:ascii="宋体" w:hAnsi="宋体" w:hint="eastAsia"/>
                <w:sz w:val="24"/>
                <w:szCs w:val="24"/>
              </w:rPr>
              <w:t>15</w:t>
            </w:r>
            <w:r>
              <w:rPr>
                <w:rFonts w:ascii="宋体" w:hAnsi="宋体" w:hint="eastAsia"/>
                <w:sz w:val="24"/>
                <w:szCs w:val="24"/>
              </w:rPr>
              <w:t>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lastRenderedPageBreak/>
              <w:t>2</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机柜外形尺寸及重量</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w:t>
            </w:r>
            <w:r>
              <w:rPr>
                <w:rFonts w:ascii="宋体" w:hAnsi="宋体" w:hint="eastAsia"/>
                <w:sz w:val="24"/>
                <w:szCs w:val="24"/>
              </w:rPr>
              <w:t>15</w:t>
            </w:r>
            <w:r>
              <w:rPr>
                <w:rFonts w:ascii="宋体" w:hAnsi="宋体" w:hint="eastAsia"/>
                <w:sz w:val="24"/>
                <w:szCs w:val="24"/>
              </w:rPr>
              <w:t>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3</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平面布置图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w:t>
            </w:r>
            <w:r>
              <w:rPr>
                <w:rFonts w:ascii="宋体" w:hAnsi="宋体" w:hint="eastAsia"/>
                <w:sz w:val="24"/>
                <w:szCs w:val="24"/>
              </w:rPr>
              <w:t>15</w:t>
            </w:r>
            <w:r>
              <w:rPr>
                <w:rFonts w:ascii="宋体" w:hAnsi="宋体" w:hint="eastAsia"/>
                <w:sz w:val="24"/>
                <w:szCs w:val="24"/>
              </w:rPr>
              <w:t>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基础图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w:t>
            </w:r>
            <w:r>
              <w:rPr>
                <w:rFonts w:ascii="宋体" w:hAnsi="宋体" w:hint="eastAsia"/>
                <w:sz w:val="24"/>
                <w:szCs w:val="24"/>
              </w:rPr>
              <w:t>15</w:t>
            </w:r>
            <w:r>
              <w:rPr>
                <w:rFonts w:ascii="宋体" w:hAnsi="宋体" w:hint="eastAsia"/>
                <w:sz w:val="24"/>
                <w:szCs w:val="24"/>
              </w:rPr>
              <w:t>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5</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接线图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w:t>
            </w:r>
            <w:r>
              <w:rPr>
                <w:rFonts w:ascii="宋体" w:hAnsi="宋体" w:hint="eastAsia"/>
                <w:sz w:val="24"/>
                <w:szCs w:val="24"/>
              </w:rPr>
              <w:t>15</w:t>
            </w:r>
            <w:r>
              <w:rPr>
                <w:rFonts w:ascii="宋体" w:hAnsi="宋体" w:hint="eastAsia"/>
                <w:sz w:val="24"/>
                <w:szCs w:val="24"/>
              </w:rPr>
              <w:t>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安装手册</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7</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用户使用手册</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中英文各</w:t>
            </w:r>
            <w:r>
              <w:rPr>
                <w:rFonts w:ascii="宋体" w:hAnsi="宋体" w:hint="eastAsia"/>
                <w:sz w:val="24"/>
                <w:szCs w:val="24"/>
              </w:rPr>
              <w:t>2</w:t>
            </w:r>
            <w:r>
              <w:rPr>
                <w:rFonts w:ascii="宋体" w:hAnsi="宋体" w:hint="eastAsia"/>
                <w:sz w:val="24"/>
                <w:szCs w:val="24"/>
              </w:rPr>
              <w:t>份</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8</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出厂测试报告</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中英文各</w:t>
            </w:r>
            <w:r>
              <w:rPr>
                <w:rFonts w:ascii="宋体" w:hAnsi="宋体" w:hint="eastAsia"/>
                <w:sz w:val="24"/>
                <w:szCs w:val="24"/>
              </w:rPr>
              <w:t>2</w:t>
            </w:r>
            <w:r>
              <w:rPr>
                <w:rFonts w:ascii="宋体" w:hAnsi="宋体" w:hint="eastAsia"/>
                <w:sz w:val="24"/>
                <w:szCs w:val="24"/>
              </w:rPr>
              <w:t>份</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9</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调试报告</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调试完毕后一周内提供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10</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w:t>
            </w:r>
            <w:r>
              <w:rPr>
                <w:rFonts w:ascii="宋体" w:hAnsi="宋体" w:hint="eastAsia"/>
                <w:sz w:val="24"/>
                <w:szCs w:val="24"/>
              </w:rPr>
              <w:t>原产地证明</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w:t>
            </w:r>
            <w:r>
              <w:rPr>
                <w:rFonts w:ascii="宋体" w:hAnsi="宋体" w:hint="eastAsia"/>
                <w:sz w:val="24"/>
                <w:szCs w:val="24"/>
              </w:rPr>
              <w:t>份</w:t>
            </w:r>
          </w:p>
        </w:tc>
        <w:tc>
          <w:tcPr>
            <w:tcW w:w="1185" w:type="dxa"/>
            <w:vAlign w:val="center"/>
          </w:tcPr>
          <w:p w:rsidR="00DD3A94" w:rsidRDefault="00DD3A94">
            <w:pPr>
              <w:spacing w:line="600" w:lineRule="exact"/>
              <w:jc w:val="center"/>
              <w:rPr>
                <w:rFonts w:ascii="宋体" w:hAnsi="宋体"/>
                <w:sz w:val="24"/>
                <w:szCs w:val="24"/>
              </w:rPr>
            </w:pP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11</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w:t>
            </w:r>
            <w:r>
              <w:rPr>
                <w:rFonts w:ascii="宋体" w:hAnsi="宋体" w:hint="eastAsia"/>
                <w:sz w:val="24"/>
                <w:szCs w:val="24"/>
              </w:rPr>
              <w:t>报关单</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w:t>
            </w:r>
            <w:r>
              <w:rPr>
                <w:rFonts w:ascii="宋体" w:hAnsi="宋体" w:hint="eastAsia"/>
                <w:sz w:val="24"/>
                <w:szCs w:val="24"/>
              </w:rPr>
              <w:t>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DD3A94" w:rsidRDefault="00DD3A94">
            <w:pPr>
              <w:spacing w:line="600" w:lineRule="exact"/>
              <w:jc w:val="center"/>
              <w:rPr>
                <w:rFonts w:ascii="宋体" w:hAnsi="宋体"/>
                <w:sz w:val="24"/>
                <w:szCs w:val="24"/>
              </w:rPr>
            </w:pPr>
          </w:p>
        </w:tc>
      </w:tr>
    </w:tbl>
    <w:p w:rsidR="00DD3A94" w:rsidRDefault="00724B6F">
      <w:pPr>
        <w:spacing w:line="600" w:lineRule="exact"/>
        <w:rPr>
          <w:rFonts w:ascii="黑体" w:eastAsia="黑体" w:hAnsi="黑体"/>
          <w:sz w:val="34"/>
          <w:szCs w:val="34"/>
        </w:rPr>
      </w:pPr>
      <w:r>
        <w:rPr>
          <w:rFonts w:ascii="黑体" w:eastAsia="黑体" w:hAnsi="黑体" w:hint="eastAsia"/>
          <w:sz w:val="34"/>
          <w:szCs w:val="34"/>
        </w:rPr>
        <w:t>七、培训</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1</w:t>
      </w:r>
      <w:r>
        <w:rPr>
          <w:rFonts w:ascii="楷体_GB2312" w:eastAsia="楷体_GB2312" w:hAnsi="仿宋" w:cs="仿宋_GB2312"/>
          <w:sz w:val="34"/>
          <w:szCs w:val="34"/>
        </w:rPr>
        <w:t>.</w:t>
      </w:r>
      <w:r>
        <w:rPr>
          <w:rFonts w:ascii="楷体_GB2312" w:eastAsia="楷体_GB2312" w:hAnsi="仿宋" w:cs="仿宋_GB2312" w:hint="eastAsia"/>
          <w:sz w:val="34"/>
          <w:szCs w:val="34"/>
        </w:rPr>
        <w:t>现场培训</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时间：</w:t>
      </w:r>
      <w:r>
        <w:rPr>
          <w:rFonts w:ascii="仿宋_GB2312" w:eastAsia="仿宋_GB2312" w:hAnsi="仿宋" w:cs="仿宋_GB2312" w:hint="eastAsia"/>
          <w:sz w:val="34"/>
          <w:szCs w:val="34"/>
        </w:rPr>
        <w:t>2-4</w:t>
      </w:r>
      <w:r>
        <w:rPr>
          <w:rFonts w:ascii="仿宋_GB2312" w:eastAsia="仿宋_GB2312" w:hAnsi="仿宋" w:cs="仿宋_GB2312" w:hint="eastAsia"/>
          <w:sz w:val="34"/>
          <w:szCs w:val="34"/>
        </w:rPr>
        <w:t>小时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地点：</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现场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人数：由招标方自定</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内容：</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原理，</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性能特点，</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操作步骤，常见故障分析及处理</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授课人：必须是</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制造商派出的工程师</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费用：免费</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八、技术服务及备件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UPS</w:t>
      </w:r>
      <w:r>
        <w:rPr>
          <w:rFonts w:ascii="仿宋_GB2312" w:eastAsia="仿宋_GB2312" w:hAnsi="仿宋" w:cs="仿宋_GB2312" w:hint="eastAsia"/>
          <w:sz w:val="34"/>
          <w:szCs w:val="34"/>
        </w:rPr>
        <w:t>制造商在长三角地区应有技术服务部。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制造商在长三角地区必须有备品备件库，确保服务及时性。</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w:t>
      </w:r>
      <w:r>
        <w:rPr>
          <w:rFonts w:ascii="仿宋_GB2312" w:eastAsia="仿宋_GB2312" w:hAnsi="仿宋" w:cs="仿宋_GB2312" w:hint="eastAsia"/>
          <w:sz w:val="34"/>
          <w:szCs w:val="34"/>
        </w:rPr>
        <w:t>需提供安装调试。</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质保期：</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主机质保</w:t>
      </w:r>
      <w:r>
        <w:rPr>
          <w:rFonts w:ascii="仿宋_GB2312" w:eastAsia="仿宋_GB2312" w:hAnsi="仿宋" w:cs="仿宋_GB2312" w:hint="eastAsia"/>
          <w:sz w:val="34"/>
          <w:szCs w:val="34"/>
        </w:rPr>
        <w:t>1</w:t>
      </w:r>
      <w:r>
        <w:rPr>
          <w:rFonts w:ascii="仿宋_GB2312" w:eastAsia="仿宋_GB2312" w:hAnsi="仿宋" w:cs="仿宋_GB2312" w:hint="eastAsia"/>
          <w:sz w:val="34"/>
          <w:szCs w:val="34"/>
        </w:rPr>
        <w:t>年，电池的质保期</w:t>
      </w:r>
      <w:r>
        <w:rPr>
          <w:rFonts w:ascii="仿宋_GB2312" w:eastAsia="仿宋_GB2312" w:hAnsi="仿宋" w:cs="仿宋_GB2312" w:hint="eastAsia"/>
          <w:sz w:val="34"/>
          <w:szCs w:val="34"/>
        </w:rPr>
        <w:t>5</w:t>
      </w:r>
      <w:r>
        <w:rPr>
          <w:rFonts w:ascii="仿宋_GB2312" w:eastAsia="仿宋_GB2312" w:hAnsi="仿宋" w:cs="仿宋_GB2312" w:hint="eastAsia"/>
          <w:sz w:val="34"/>
          <w:szCs w:val="34"/>
        </w:rPr>
        <w:t>年，制造商须向直接用户提供终生技术服务的承诺书，技术服务响应时间：制造商的技术服务工程师须在</w:t>
      </w:r>
      <w:r>
        <w:rPr>
          <w:rFonts w:ascii="仿宋_GB2312" w:eastAsia="仿宋_GB2312" w:hAnsi="仿宋" w:cs="仿宋_GB2312" w:hint="eastAsia"/>
          <w:sz w:val="34"/>
          <w:szCs w:val="34"/>
        </w:rPr>
        <w:t>12</w:t>
      </w:r>
      <w:r>
        <w:rPr>
          <w:rFonts w:ascii="仿宋_GB2312" w:eastAsia="仿宋_GB2312" w:hAnsi="仿宋" w:cs="仿宋_GB2312" w:hint="eastAsia"/>
          <w:sz w:val="34"/>
          <w:szCs w:val="34"/>
        </w:rPr>
        <w:t>小时内到达</w:t>
      </w:r>
      <w:r>
        <w:rPr>
          <w:rFonts w:ascii="仿宋_GB2312" w:eastAsia="仿宋_GB2312" w:hAnsi="仿宋" w:cs="仿宋_GB2312" w:hint="eastAsia"/>
          <w:sz w:val="34"/>
          <w:szCs w:val="34"/>
        </w:rPr>
        <w:t>UPS</w:t>
      </w:r>
      <w:r>
        <w:rPr>
          <w:rFonts w:ascii="仿宋_GB2312" w:eastAsia="仿宋_GB2312" w:hAnsi="仿宋" w:cs="仿宋_GB2312" w:hint="eastAsia"/>
          <w:sz w:val="34"/>
          <w:szCs w:val="34"/>
        </w:rPr>
        <w:t>现场，</w:t>
      </w:r>
      <w:r>
        <w:rPr>
          <w:rFonts w:ascii="仿宋_GB2312" w:eastAsia="仿宋_GB2312" w:hAnsi="仿宋" w:cs="仿宋_GB2312" w:hint="eastAsia"/>
          <w:sz w:val="34"/>
          <w:szCs w:val="34"/>
        </w:rPr>
        <w:t>24</w:t>
      </w:r>
      <w:r>
        <w:rPr>
          <w:rFonts w:ascii="仿宋_GB2312" w:eastAsia="仿宋_GB2312" w:hAnsi="仿宋" w:cs="仿宋_GB2312" w:hint="eastAsia"/>
          <w:sz w:val="34"/>
          <w:szCs w:val="34"/>
        </w:rPr>
        <w:t>小时内修复并正式投运。</w:t>
      </w:r>
    </w:p>
    <w:tbl>
      <w:tblPr>
        <w:tblpPr w:leftFromText="180" w:rightFromText="180" w:vertAnchor="text" w:horzAnchor="page" w:tblpX="2190" w:tblpY="650"/>
        <w:tblOverlap w:val="never"/>
        <w:tblW w:w="79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68"/>
        <w:gridCol w:w="1842"/>
        <w:gridCol w:w="1198"/>
        <w:gridCol w:w="937"/>
        <w:gridCol w:w="3450"/>
      </w:tblGrid>
      <w:tr w:rsidR="00DD3A94">
        <w:trPr>
          <w:trHeight w:val="454"/>
        </w:trPr>
        <w:tc>
          <w:tcPr>
            <w:tcW w:w="568" w:type="dxa"/>
            <w:tcBorders>
              <w:right w:val="single" w:sz="6" w:space="0" w:color="000000"/>
            </w:tcBorders>
          </w:tcPr>
          <w:p w:rsidR="00DD3A94" w:rsidRDefault="00724B6F">
            <w:pPr>
              <w:pStyle w:val="TableParagraph"/>
              <w:spacing w:line="600" w:lineRule="exact"/>
              <w:ind w:right="19"/>
              <w:jc w:val="right"/>
              <w:rPr>
                <w:sz w:val="24"/>
              </w:rPr>
            </w:pPr>
            <w:r>
              <w:rPr>
                <w:sz w:val="24"/>
              </w:rPr>
              <w:t>序号</w:t>
            </w:r>
          </w:p>
        </w:tc>
        <w:tc>
          <w:tcPr>
            <w:tcW w:w="1842" w:type="dxa"/>
            <w:tcBorders>
              <w:left w:val="single" w:sz="6" w:space="0" w:color="000000"/>
              <w:right w:val="single" w:sz="6" w:space="0" w:color="000000"/>
            </w:tcBorders>
          </w:tcPr>
          <w:p w:rsidR="00DD3A94" w:rsidRDefault="00724B6F">
            <w:pPr>
              <w:pStyle w:val="TableParagraph"/>
              <w:tabs>
                <w:tab w:val="left" w:pos="448"/>
              </w:tabs>
              <w:spacing w:line="600" w:lineRule="exact"/>
              <w:ind w:left="-37" w:right="296"/>
              <w:jc w:val="center"/>
              <w:rPr>
                <w:sz w:val="24"/>
              </w:rPr>
            </w:pPr>
            <w:r>
              <w:rPr>
                <w:sz w:val="24"/>
              </w:rPr>
              <w:t>名称</w:t>
            </w:r>
          </w:p>
        </w:tc>
        <w:tc>
          <w:tcPr>
            <w:tcW w:w="1198" w:type="dxa"/>
            <w:tcBorders>
              <w:left w:val="single" w:sz="6" w:space="0" w:color="000000"/>
              <w:right w:val="single" w:sz="6" w:space="0" w:color="000000"/>
            </w:tcBorders>
          </w:tcPr>
          <w:p w:rsidR="00DD3A94" w:rsidRDefault="00724B6F">
            <w:pPr>
              <w:pStyle w:val="TableParagraph"/>
              <w:spacing w:line="600" w:lineRule="exact"/>
              <w:ind w:right="387" w:firstLineChars="100" w:firstLine="240"/>
              <w:jc w:val="left"/>
              <w:rPr>
                <w:sz w:val="24"/>
              </w:rPr>
            </w:pPr>
            <w:r>
              <w:rPr>
                <w:rFonts w:hint="eastAsia"/>
                <w:sz w:val="24"/>
              </w:rPr>
              <w:t>单位</w:t>
            </w:r>
          </w:p>
        </w:tc>
        <w:tc>
          <w:tcPr>
            <w:tcW w:w="937" w:type="dxa"/>
            <w:tcBorders>
              <w:left w:val="single" w:sz="6" w:space="0" w:color="000000"/>
            </w:tcBorders>
          </w:tcPr>
          <w:p w:rsidR="00DD3A94" w:rsidRDefault="00724B6F">
            <w:pPr>
              <w:pStyle w:val="TableParagraph"/>
              <w:spacing w:line="600" w:lineRule="exact"/>
              <w:ind w:left="193"/>
              <w:rPr>
                <w:sz w:val="24"/>
              </w:rPr>
            </w:pPr>
            <w:r>
              <w:rPr>
                <w:sz w:val="24"/>
              </w:rPr>
              <w:t>数量</w:t>
            </w:r>
          </w:p>
        </w:tc>
        <w:tc>
          <w:tcPr>
            <w:tcW w:w="3450" w:type="dxa"/>
            <w:tcBorders>
              <w:left w:val="single" w:sz="6" w:space="0" w:color="000000"/>
            </w:tcBorders>
          </w:tcPr>
          <w:p w:rsidR="00DD3A94" w:rsidRDefault="00724B6F">
            <w:pPr>
              <w:pStyle w:val="TableParagraph"/>
              <w:spacing w:line="600" w:lineRule="exact"/>
              <w:ind w:left="193"/>
              <w:rPr>
                <w:sz w:val="24"/>
              </w:rPr>
            </w:pPr>
            <w:r>
              <w:rPr>
                <w:rFonts w:hint="eastAsia"/>
                <w:sz w:val="24"/>
              </w:rPr>
              <w:t>备注</w:t>
            </w:r>
          </w:p>
        </w:tc>
      </w:tr>
      <w:tr w:rsidR="00DD3A94">
        <w:trPr>
          <w:trHeight w:val="453"/>
        </w:trPr>
        <w:tc>
          <w:tcPr>
            <w:tcW w:w="568" w:type="dxa"/>
            <w:tcBorders>
              <w:bottom w:val="single" w:sz="6" w:space="0" w:color="000000"/>
              <w:right w:val="single" w:sz="6" w:space="0" w:color="000000"/>
            </w:tcBorders>
          </w:tcPr>
          <w:p w:rsidR="00DD3A94" w:rsidRDefault="00724B6F">
            <w:pPr>
              <w:pStyle w:val="TableParagraph"/>
              <w:spacing w:before="72" w:line="600" w:lineRule="exact"/>
              <w:ind w:right="79"/>
              <w:jc w:val="center"/>
              <w:rPr>
                <w:sz w:val="24"/>
              </w:rPr>
            </w:pPr>
            <w:r>
              <w:rPr>
                <w:sz w:val="24"/>
              </w:rPr>
              <w:t>1</w:t>
            </w:r>
          </w:p>
        </w:tc>
        <w:tc>
          <w:tcPr>
            <w:tcW w:w="1842" w:type="dxa"/>
            <w:tcBorders>
              <w:left w:val="single" w:sz="6" w:space="0" w:color="000000"/>
              <w:bottom w:val="single" w:sz="6" w:space="0" w:color="000000"/>
              <w:right w:val="single" w:sz="6" w:space="0" w:color="000000"/>
            </w:tcBorders>
          </w:tcPr>
          <w:p w:rsidR="00DD3A94" w:rsidRDefault="00724B6F">
            <w:pPr>
              <w:pStyle w:val="TableParagraph"/>
              <w:spacing w:before="72" w:line="600" w:lineRule="exact"/>
              <w:ind w:left="688"/>
              <w:rPr>
                <w:sz w:val="24"/>
              </w:rPr>
            </w:pPr>
            <w:r>
              <w:rPr>
                <w:sz w:val="24"/>
              </w:rPr>
              <w:t>风机</w:t>
            </w:r>
            <w:r>
              <w:rPr>
                <w:sz w:val="24"/>
              </w:rPr>
              <w:t xml:space="preserve"> </w:t>
            </w:r>
          </w:p>
        </w:tc>
        <w:tc>
          <w:tcPr>
            <w:tcW w:w="1198" w:type="dxa"/>
            <w:tcBorders>
              <w:left w:val="single" w:sz="6" w:space="0" w:color="000000"/>
              <w:bottom w:val="single" w:sz="6" w:space="0" w:color="000000"/>
              <w:right w:val="single" w:sz="6" w:space="0" w:color="000000"/>
            </w:tcBorders>
          </w:tcPr>
          <w:p w:rsidR="00DD3A94" w:rsidRDefault="00724B6F">
            <w:pPr>
              <w:pStyle w:val="TableParagraph"/>
              <w:spacing w:before="72" w:line="600" w:lineRule="exact"/>
              <w:ind w:left="151"/>
              <w:jc w:val="center"/>
              <w:rPr>
                <w:sz w:val="24"/>
              </w:rPr>
            </w:pPr>
            <w:r>
              <w:rPr>
                <w:rFonts w:hint="eastAsia"/>
                <w:sz w:val="24"/>
              </w:rPr>
              <w:t>只</w:t>
            </w:r>
          </w:p>
        </w:tc>
        <w:tc>
          <w:tcPr>
            <w:tcW w:w="937" w:type="dxa"/>
            <w:tcBorders>
              <w:left w:val="single" w:sz="6" w:space="0" w:color="000000"/>
              <w:bottom w:val="single" w:sz="6" w:space="0" w:color="000000"/>
            </w:tcBorders>
          </w:tcPr>
          <w:p w:rsidR="00DD3A94" w:rsidRDefault="00724B6F">
            <w:pPr>
              <w:pStyle w:val="TableParagraph"/>
              <w:spacing w:before="72" w:line="600" w:lineRule="exact"/>
              <w:ind w:left="433"/>
              <w:rPr>
                <w:sz w:val="24"/>
              </w:rPr>
            </w:pPr>
            <w:r>
              <w:rPr>
                <w:rFonts w:hint="eastAsia"/>
                <w:sz w:val="24"/>
              </w:rPr>
              <w:t>1</w:t>
            </w:r>
          </w:p>
        </w:tc>
        <w:tc>
          <w:tcPr>
            <w:tcW w:w="3450" w:type="dxa"/>
            <w:tcBorders>
              <w:left w:val="single" w:sz="6" w:space="0" w:color="000000"/>
              <w:bottom w:val="single" w:sz="6" w:space="0" w:color="000000"/>
            </w:tcBorders>
          </w:tcPr>
          <w:p w:rsidR="00DD3A94" w:rsidRDefault="00724B6F">
            <w:pPr>
              <w:pStyle w:val="TableParagraph"/>
              <w:spacing w:before="72" w:line="600" w:lineRule="exact"/>
              <w:ind w:left="433"/>
              <w:rPr>
                <w:sz w:val="24"/>
              </w:rPr>
            </w:pPr>
            <w:r>
              <w:rPr>
                <w:rFonts w:hint="eastAsia"/>
                <w:sz w:val="24"/>
              </w:rPr>
              <w:t>与供货机器一致</w:t>
            </w:r>
          </w:p>
        </w:tc>
      </w:tr>
      <w:tr w:rsidR="00DD3A94">
        <w:trPr>
          <w:trHeight w:val="454"/>
        </w:trPr>
        <w:tc>
          <w:tcPr>
            <w:tcW w:w="568" w:type="dxa"/>
            <w:tcBorders>
              <w:top w:val="single" w:sz="6" w:space="0" w:color="000000"/>
              <w:bottom w:val="single" w:sz="6" w:space="0" w:color="000000"/>
              <w:right w:val="single" w:sz="6" w:space="0" w:color="000000"/>
            </w:tcBorders>
          </w:tcPr>
          <w:p w:rsidR="00DD3A94" w:rsidRDefault="00724B6F">
            <w:pPr>
              <w:pStyle w:val="TableParagraph"/>
              <w:spacing w:line="600" w:lineRule="exact"/>
              <w:ind w:right="79"/>
              <w:jc w:val="center"/>
              <w:rPr>
                <w:sz w:val="24"/>
              </w:rPr>
            </w:pPr>
            <w:r>
              <w:rPr>
                <w:sz w:val="24"/>
              </w:rPr>
              <w:t>2</w:t>
            </w:r>
          </w:p>
        </w:tc>
        <w:tc>
          <w:tcPr>
            <w:tcW w:w="1842" w:type="dxa"/>
            <w:tcBorders>
              <w:top w:val="single" w:sz="6" w:space="0" w:color="000000"/>
              <w:left w:val="single" w:sz="6" w:space="0" w:color="000000"/>
              <w:bottom w:val="single" w:sz="6" w:space="0" w:color="000000"/>
              <w:right w:val="single" w:sz="6" w:space="0" w:color="000000"/>
            </w:tcBorders>
          </w:tcPr>
          <w:p w:rsidR="00DD3A94" w:rsidRDefault="00724B6F">
            <w:pPr>
              <w:pStyle w:val="TableParagraph"/>
              <w:spacing w:line="600" w:lineRule="exact"/>
              <w:ind w:left="688"/>
              <w:rPr>
                <w:sz w:val="24"/>
              </w:rPr>
            </w:pPr>
            <w:r>
              <w:rPr>
                <w:sz w:val="24"/>
              </w:rPr>
              <w:t>保险</w:t>
            </w:r>
            <w:r>
              <w:rPr>
                <w:sz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rsidR="00DD3A94" w:rsidRDefault="00724B6F">
            <w:pPr>
              <w:pStyle w:val="TableParagraph"/>
              <w:spacing w:line="600" w:lineRule="exact"/>
              <w:ind w:left="151"/>
              <w:jc w:val="center"/>
              <w:rPr>
                <w:sz w:val="24"/>
              </w:rPr>
            </w:pPr>
            <w:r>
              <w:rPr>
                <w:rFonts w:hint="eastAsia"/>
                <w:sz w:val="24"/>
              </w:rPr>
              <w:t>套</w:t>
            </w:r>
          </w:p>
        </w:tc>
        <w:tc>
          <w:tcPr>
            <w:tcW w:w="937" w:type="dxa"/>
            <w:tcBorders>
              <w:top w:val="single" w:sz="6" w:space="0" w:color="000000"/>
              <w:left w:val="single" w:sz="6" w:space="0" w:color="000000"/>
              <w:bottom w:val="single" w:sz="6" w:space="0" w:color="000000"/>
            </w:tcBorders>
          </w:tcPr>
          <w:p w:rsidR="00DD3A94" w:rsidRDefault="00724B6F">
            <w:pPr>
              <w:pStyle w:val="TableParagraph"/>
              <w:spacing w:line="600" w:lineRule="exact"/>
              <w:ind w:left="433"/>
              <w:rPr>
                <w:sz w:val="24"/>
              </w:rPr>
            </w:pPr>
            <w:r>
              <w:rPr>
                <w:rFonts w:hint="eastAsia"/>
                <w:sz w:val="24"/>
              </w:rPr>
              <w:t>1</w:t>
            </w:r>
          </w:p>
        </w:tc>
        <w:tc>
          <w:tcPr>
            <w:tcW w:w="3450" w:type="dxa"/>
            <w:tcBorders>
              <w:top w:val="single" w:sz="6" w:space="0" w:color="000000"/>
              <w:left w:val="single" w:sz="6" w:space="0" w:color="000000"/>
              <w:bottom w:val="single" w:sz="6" w:space="0" w:color="000000"/>
            </w:tcBorders>
          </w:tcPr>
          <w:p w:rsidR="00DD3A94" w:rsidRDefault="00724B6F">
            <w:pPr>
              <w:pStyle w:val="TableParagraph"/>
              <w:spacing w:line="600" w:lineRule="exact"/>
              <w:ind w:left="433"/>
              <w:rPr>
                <w:sz w:val="24"/>
              </w:rPr>
            </w:pPr>
            <w:r>
              <w:rPr>
                <w:rFonts w:hint="eastAsia"/>
                <w:sz w:val="24"/>
              </w:rPr>
              <w:t>与供货机器一致</w:t>
            </w:r>
          </w:p>
        </w:tc>
      </w:tr>
      <w:tr w:rsidR="00DD3A94">
        <w:trPr>
          <w:trHeight w:val="454"/>
        </w:trPr>
        <w:tc>
          <w:tcPr>
            <w:tcW w:w="568" w:type="dxa"/>
            <w:tcBorders>
              <w:top w:val="single" w:sz="6" w:space="0" w:color="000000"/>
              <w:bottom w:val="single" w:sz="6" w:space="0" w:color="000000"/>
              <w:right w:val="single" w:sz="6" w:space="0" w:color="000000"/>
            </w:tcBorders>
          </w:tcPr>
          <w:p w:rsidR="00DD3A94" w:rsidRDefault="00DD3A94">
            <w:pPr>
              <w:pStyle w:val="TableParagraph"/>
              <w:spacing w:line="600" w:lineRule="exact"/>
              <w:ind w:right="79"/>
              <w:jc w:val="right"/>
              <w:rPr>
                <w:sz w:val="24"/>
              </w:rPr>
            </w:pPr>
          </w:p>
        </w:tc>
        <w:tc>
          <w:tcPr>
            <w:tcW w:w="1842" w:type="dxa"/>
            <w:tcBorders>
              <w:top w:val="single" w:sz="6" w:space="0" w:color="000000"/>
              <w:left w:val="single" w:sz="6" w:space="0" w:color="000000"/>
              <w:bottom w:val="single" w:sz="6" w:space="0" w:color="000000"/>
              <w:right w:val="single" w:sz="6" w:space="0" w:color="000000"/>
            </w:tcBorders>
          </w:tcPr>
          <w:p w:rsidR="00DD3A94" w:rsidRDefault="00DD3A94">
            <w:pPr>
              <w:pStyle w:val="TableParagraph"/>
              <w:spacing w:line="600" w:lineRule="exact"/>
              <w:ind w:right="296"/>
              <w:jc w:val="right"/>
              <w:rPr>
                <w:sz w:val="24"/>
              </w:rPr>
            </w:pPr>
          </w:p>
        </w:tc>
        <w:tc>
          <w:tcPr>
            <w:tcW w:w="1198" w:type="dxa"/>
            <w:tcBorders>
              <w:top w:val="single" w:sz="6" w:space="0" w:color="000000"/>
              <w:left w:val="single" w:sz="6" w:space="0" w:color="000000"/>
              <w:bottom w:val="single" w:sz="6" w:space="0" w:color="000000"/>
              <w:right w:val="single" w:sz="6" w:space="0" w:color="000000"/>
            </w:tcBorders>
          </w:tcPr>
          <w:p w:rsidR="00DD3A94" w:rsidRDefault="00DD3A94">
            <w:pPr>
              <w:pStyle w:val="TableParagraph"/>
              <w:spacing w:line="600" w:lineRule="exact"/>
              <w:ind w:left="151"/>
              <w:jc w:val="center"/>
              <w:rPr>
                <w:sz w:val="24"/>
              </w:rPr>
            </w:pPr>
          </w:p>
        </w:tc>
        <w:tc>
          <w:tcPr>
            <w:tcW w:w="937" w:type="dxa"/>
            <w:tcBorders>
              <w:top w:val="single" w:sz="6" w:space="0" w:color="000000"/>
              <w:left w:val="single" w:sz="6" w:space="0" w:color="000000"/>
              <w:bottom w:val="single" w:sz="6" w:space="0" w:color="000000"/>
            </w:tcBorders>
          </w:tcPr>
          <w:p w:rsidR="00DD3A94" w:rsidRDefault="00DD3A94">
            <w:pPr>
              <w:pStyle w:val="TableParagraph"/>
              <w:spacing w:line="600" w:lineRule="exact"/>
              <w:ind w:left="433"/>
              <w:rPr>
                <w:sz w:val="24"/>
              </w:rPr>
            </w:pPr>
          </w:p>
        </w:tc>
        <w:tc>
          <w:tcPr>
            <w:tcW w:w="3450" w:type="dxa"/>
            <w:tcBorders>
              <w:top w:val="single" w:sz="6" w:space="0" w:color="000000"/>
              <w:left w:val="single" w:sz="6" w:space="0" w:color="000000"/>
              <w:bottom w:val="single" w:sz="6" w:space="0" w:color="000000"/>
            </w:tcBorders>
          </w:tcPr>
          <w:p w:rsidR="00DD3A94" w:rsidRDefault="00DD3A94">
            <w:pPr>
              <w:pStyle w:val="TableParagraph"/>
              <w:spacing w:line="600" w:lineRule="exact"/>
              <w:ind w:left="433"/>
              <w:rPr>
                <w:sz w:val="24"/>
              </w:rPr>
            </w:pPr>
          </w:p>
        </w:tc>
      </w:tr>
    </w:tbl>
    <w:p w:rsidR="00DD3A94" w:rsidRDefault="00724B6F">
      <w:pPr>
        <w:spacing w:line="600" w:lineRule="exact"/>
        <w:ind w:left="540"/>
        <w:rPr>
          <w:rFonts w:ascii="宋体" w:hAnsi="宋体"/>
          <w:sz w:val="24"/>
        </w:rPr>
      </w:pPr>
      <w:r>
        <w:rPr>
          <w:rFonts w:ascii="宋体" w:hAnsi="宋体" w:hint="eastAsia"/>
          <w:sz w:val="24"/>
        </w:rPr>
        <w:t>备品备件</w:t>
      </w:r>
    </w:p>
    <w:p w:rsidR="00DD3A94" w:rsidRDefault="00DD3A94">
      <w:pPr>
        <w:spacing w:line="600" w:lineRule="exact"/>
      </w:pPr>
    </w:p>
    <w:p w:rsidR="00DD3A94" w:rsidRDefault="00DD3A94" w:rsidP="000E5A7B">
      <w:pPr>
        <w:spacing w:line="600" w:lineRule="exact"/>
        <w:rPr>
          <w:rFonts w:ascii="宋体" w:hAnsi="宋体"/>
          <w:sz w:val="24"/>
        </w:rPr>
      </w:pPr>
    </w:p>
    <w:sectPr w:rsidR="00DD3A94" w:rsidSect="00DD3A9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B6F" w:rsidRDefault="00724B6F" w:rsidP="000E5A7B">
      <w:r>
        <w:separator/>
      </w:r>
    </w:p>
  </w:endnote>
  <w:endnote w:type="continuationSeparator" w:id="1">
    <w:p w:rsidR="00724B6F" w:rsidRDefault="00724B6F" w:rsidP="000E5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长城仿宋">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B6F" w:rsidRDefault="00724B6F" w:rsidP="000E5A7B">
      <w:r>
        <w:separator/>
      </w:r>
    </w:p>
  </w:footnote>
  <w:footnote w:type="continuationSeparator" w:id="1">
    <w:p w:rsidR="00724B6F" w:rsidRDefault="00724B6F" w:rsidP="000E5A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20749"/>
    <w:rsid w:val="00020749"/>
    <w:rsid w:val="000405C6"/>
    <w:rsid w:val="000454C4"/>
    <w:rsid w:val="0007613C"/>
    <w:rsid w:val="000826D0"/>
    <w:rsid w:val="000A1662"/>
    <w:rsid w:val="000E5A7B"/>
    <w:rsid w:val="000F65F8"/>
    <w:rsid w:val="001224B5"/>
    <w:rsid w:val="00160710"/>
    <w:rsid w:val="001B469E"/>
    <w:rsid w:val="001E34A0"/>
    <w:rsid w:val="0022133E"/>
    <w:rsid w:val="00245576"/>
    <w:rsid w:val="00250B1F"/>
    <w:rsid w:val="00250CE2"/>
    <w:rsid w:val="00257661"/>
    <w:rsid w:val="00263484"/>
    <w:rsid w:val="00280E16"/>
    <w:rsid w:val="00294DD0"/>
    <w:rsid w:val="002E199D"/>
    <w:rsid w:val="00350781"/>
    <w:rsid w:val="003757E0"/>
    <w:rsid w:val="00385D6B"/>
    <w:rsid w:val="00393ACB"/>
    <w:rsid w:val="003B4BFB"/>
    <w:rsid w:val="003C7AE2"/>
    <w:rsid w:val="003D402C"/>
    <w:rsid w:val="0041538F"/>
    <w:rsid w:val="004257F6"/>
    <w:rsid w:val="004922A1"/>
    <w:rsid w:val="004A5432"/>
    <w:rsid w:val="004B425F"/>
    <w:rsid w:val="004C0DDF"/>
    <w:rsid w:val="004C6407"/>
    <w:rsid w:val="004F7940"/>
    <w:rsid w:val="005066EA"/>
    <w:rsid w:val="00521491"/>
    <w:rsid w:val="005258EA"/>
    <w:rsid w:val="005665F5"/>
    <w:rsid w:val="005802A1"/>
    <w:rsid w:val="005835A2"/>
    <w:rsid w:val="005C63BE"/>
    <w:rsid w:val="00622E1F"/>
    <w:rsid w:val="00630AE5"/>
    <w:rsid w:val="00695C61"/>
    <w:rsid w:val="006B4F93"/>
    <w:rsid w:val="006C2607"/>
    <w:rsid w:val="006D0C0F"/>
    <w:rsid w:val="006E2893"/>
    <w:rsid w:val="006F2642"/>
    <w:rsid w:val="00724B6F"/>
    <w:rsid w:val="00727A29"/>
    <w:rsid w:val="0073731D"/>
    <w:rsid w:val="00771028"/>
    <w:rsid w:val="00797274"/>
    <w:rsid w:val="007B3F74"/>
    <w:rsid w:val="007B5C69"/>
    <w:rsid w:val="007E4AEC"/>
    <w:rsid w:val="00831732"/>
    <w:rsid w:val="008353F1"/>
    <w:rsid w:val="008902ED"/>
    <w:rsid w:val="008B30E7"/>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F0018"/>
    <w:rsid w:val="00B138E9"/>
    <w:rsid w:val="00B47FF3"/>
    <w:rsid w:val="00B74FCE"/>
    <w:rsid w:val="00BB4C93"/>
    <w:rsid w:val="00BD01CA"/>
    <w:rsid w:val="00BE6087"/>
    <w:rsid w:val="00BE61D6"/>
    <w:rsid w:val="00C0064D"/>
    <w:rsid w:val="00C245F7"/>
    <w:rsid w:val="00C31ECF"/>
    <w:rsid w:val="00C445AC"/>
    <w:rsid w:val="00C62CEC"/>
    <w:rsid w:val="00CA08FC"/>
    <w:rsid w:val="00CA549D"/>
    <w:rsid w:val="00CC6B7F"/>
    <w:rsid w:val="00CF3706"/>
    <w:rsid w:val="00CF3CA6"/>
    <w:rsid w:val="00CF5A4B"/>
    <w:rsid w:val="00CF6F7E"/>
    <w:rsid w:val="00CF7FF0"/>
    <w:rsid w:val="00D11103"/>
    <w:rsid w:val="00D41D64"/>
    <w:rsid w:val="00D9380B"/>
    <w:rsid w:val="00D95992"/>
    <w:rsid w:val="00D97E8E"/>
    <w:rsid w:val="00DA310D"/>
    <w:rsid w:val="00DB21C2"/>
    <w:rsid w:val="00DD3A94"/>
    <w:rsid w:val="00E0066E"/>
    <w:rsid w:val="00E257BD"/>
    <w:rsid w:val="00E7097C"/>
    <w:rsid w:val="00E71AFA"/>
    <w:rsid w:val="00E77E3D"/>
    <w:rsid w:val="00ED1C4F"/>
    <w:rsid w:val="00ED335B"/>
    <w:rsid w:val="00EE308E"/>
    <w:rsid w:val="00EF678C"/>
    <w:rsid w:val="00F03ACC"/>
    <w:rsid w:val="00F133F3"/>
    <w:rsid w:val="00F51F3A"/>
    <w:rsid w:val="00F74889"/>
    <w:rsid w:val="00F87653"/>
    <w:rsid w:val="00FA07A9"/>
    <w:rsid w:val="00FC0CFC"/>
    <w:rsid w:val="030E4CDF"/>
    <w:rsid w:val="035E47A1"/>
    <w:rsid w:val="072F5D98"/>
    <w:rsid w:val="086B76D3"/>
    <w:rsid w:val="0F2F1AE7"/>
    <w:rsid w:val="1659704F"/>
    <w:rsid w:val="18DA56D8"/>
    <w:rsid w:val="1FA45B7E"/>
    <w:rsid w:val="26635ED6"/>
    <w:rsid w:val="26BA4BF3"/>
    <w:rsid w:val="2855533A"/>
    <w:rsid w:val="34457057"/>
    <w:rsid w:val="35A970FA"/>
    <w:rsid w:val="3BCE3988"/>
    <w:rsid w:val="3C314553"/>
    <w:rsid w:val="40DE2175"/>
    <w:rsid w:val="4183246F"/>
    <w:rsid w:val="423529DD"/>
    <w:rsid w:val="42ED684B"/>
    <w:rsid w:val="475B7CC4"/>
    <w:rsid w:val="50F1593B"/>
    <w:rsid w:val="56FF0A48"/>
    <w:rsid w:val="5AB248C8"/>
    <w:rsid w:val="5F407DEB"/>
    <w:rsid w:val="5FFD2D72"/>
    <w:rsid w:val="63E2369B"/>
    <w:rsid w:val="6E5E0E69"/>
    <w:rsid w:val="74116033"/>
    <w:rsid w:val="766878D1"/>
    <w:rsid w:val="7949798A"/>
    <w:rsid w:val="7C6804E2"/>
    <w:rsid w:val="7F1D6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A9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D3A94"/>
    <w:pPr>
      <w:ind w:left="258"/>
    </w:pPr>
    <w:rPr>
      <w:sz w:val="24"/>
      <w:szCs w:val="24"/>
    </w:rPr>
  </w:style>
  <w:style w:type="paragraph" w:styleId="a4">
    <w:name w:val="Balloon Text"/>
    <w:basedOn w:val="a"/>
    <w:link w:val="Char"/>
    <w:rsid w:val="00DD3A94"/>
    <w:rPr>
      <w:sz w:val="18"/>
      <w:szCs w:val="18"/>
    </w:rPr>
  </w:style>
  <w:style w:type="paragraph" w:styleId="a5">
    <w:name w:val="footer"/>
    <w:basedOn w:val="a"/>
    <w:link w:val="Char0"/>
    <w:qFormat/>
    <w:rsid w:val="00DD3A94"/>
    <w:pPr>
      <w:tabs>
        <w:tab w:val="center" w:pos="4153"/>
        <w:tab w:val="right" w:pos="8306"/>
      </w:tabs>
      <w:snapToGrid w:val="0"/>
      <w:jc w:val="left"/>
    </w:pPr>
    <w:rPr>
      <w:sz w:val="18"/>
      <w:szCs w:val="18"/>
    </w:rPr>
  </w:style>
  <w:style w:type="paragraph" w:styleId="a6">
    <w:name w:val="header"/>
    <w:basedOn w:val="a"/>
    <w:link w:val="Char1"/>
    <w:qFormat/>
    <w:rsid w:val="00DD3A94"/>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sid w:val="00DD3A94"/>
    <w:rPr>
      <w:color w:val="CC0033"/>
    </w:rPr>
  </w:style>
  <w:style w:type="table" w:styleId="a8">
    <w:name w:val="Table Grid"/>
    <w:basedOn w:val="a1"/>
    <w:qFormat/>
    <w:rsid w:val="00DD3A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档正文"/>
    <w:basedOn w:val="a"/>
    <w:qFormat/>
    <w:rsid w:val="00DD3A94"/>
    <w:pPr>
      <w:adjustRightInd w:val="0"/>
      <w:spacing w:line="312" w:lineRule="atLeast"/>
      <w:ind w:firstLine="567"/>
      <w:textAlignment w:val="baseline"/>
    </w:pPr>
    <w:rPr>
      <w:rFonts w:ascii="长城仿宋" w:eastAsia="长城仿宋"/>
      <w:kern w:val="0"/>
      <w:sz w:val="28"/>
    </w:rPr>
  </w:style>
  <w:style w:type="paragraph" w:customStyle="1" w:styleId="xl174">
    <w:name w:val="xl174"/>
    <w:basedOn w:val="a"/>
    <w:qFormat/>
    <w:rsid w:val="00DD3A94"/>
    <w:pPr>
      <w:widowControl/>
      <w:pBdr>
        <w:left w:val="single" w:sz="8" w:space="0" w:color="auto"/>
      </w:pBdr>
      <w:spacing w:before="100" w:beforeAutospacing="1" w:after="100" w:afterAutospacing="1"/>
      <w:jc w:val="center"/>
      <w:textAlignment w:val="center"/>
    </w:pPr>
    <w:rPr>
      <w:rFonts w:ascii="宋体" w:hAnsi="宋体" w:cs="Arial Unicode MS" w:hint="eastAsia"/>
      <w:b/>
      <w:bCs/>
      <w:kern w:val="0"/>
      <w:sz w:val="24"/>
      <w:szCs w:val="24"/>
    </w:rPr>
  </w:style>
  <w:style w:type="paragraph" w:customStyle="1" w:styleId="1">
    <w:name w:val="列出段落1"/>
    <w:basedOn w:val="a"/>
    <w:uiPriority w:val="99"/>
    <w:unhideWhenUsed/>
    <w:qFormat/>
    <w:rsid w:val="00DD3A94"/>
    <w:pPr>
      <w:ind w:firstLineChars="200" w:firstLine="420"/>
    </w:pPr>
  </w:style>
  <w:style w:type="paragraph" w:customStyle="1" w:styleId="TableParagraph">
    <w:name w:val="Table Paragraph"/>
    <w:basedOn w:val="a"/>
    <w:uiPriority w:val="1"/>
    <w:qFormat/>
    <w:rsid w:val="00DD3A94"/>
    <w:pPr>
      <w:spacing w:before="73"/>
    </w:pPr>
  </w:style>
  <w:style w:type="character" w:customStyle="1" w:styleId="Char1">
    <w:name w:val="页眉 Char"/>
    <w:basedOn w:val="a0"/>
    <w:link w:val="a6"/>
    <w:qFormat/>
    <w:rsid w:val="00DD3A94"/>
    <w:rPr>
      <w:kern w:val="2"/>
      <w:sz w:val="18"/>
      <w:szCs w:val="18"/>
    </w:rPr>
  </w:style>
  <w:style w:type="character" w:customStyle="1" w:styleId="Char0">
    <w:name w:val="页脚 Char"/>
    <w:basedOn w:val="a0"/>
    <w:link w:val="a5"/>
    <w:qFormat/>
    <w:rsid w:val="00DD3A94"/>
    <w:rPr>
      <w:kern w:val="2"/>
      <w:sz w:val="18"/>
      <w:szCs w:val="18"/>
    </w:rPr>
  </w:style>
  <w:style w:type="character" w:customStyle="1" w:styleId="Char">
    <w:name w:val="批注框文本 Char"/>
    <w:basedOn w:val="a0"/>
    <w:link w:val="a4"/>
    <w:rsid w:val="00DD3A9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661</Words>
  <Characters>3768</Characters>
  <Application>Microsoft Office Word</Application>
  <DocSecurity>0</DocSecurity>
  <Lines>31</Lines>
  <Paragraphs>8</Paragraphs>
  <ScaleCrop>false</ScaleCrop>
  <Company>Microsoft</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江苏索普化工股份有限公司</dc:title>
  <dc:creator>Administrator.BV88XMLU2OSR5FZ</dc:creator>
  <cp:lastModifiedBy>胡彪</cp:lastModifiedBy>
  <cp:revision>1</cp:revision>
  <dcterms:created xsi:type="dcterms:W3CDTF">2022-11-07T03:18:00Z</dcterms:created>
  <dcterms:modified xsi:type="dcterms:W3CDTF">2023-07-20T05:28:00Z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