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caps/>
          <w:sz w:val="24"/>
        </w:rPr>
      </w:pPr>
      <w:r>
        <w:rPr>
          <w:b/>
          <w:caps/>
          <w:sz w:val="24"/>
        </w:rPr>
        <w:t>1.</w:t>
      </w:r>
      <w:r>
        <w:rPr>
          <w:rFonts w:hint="eastAsia"/>
          <w:b/>
          <w:caps/>
          <w:sz w:val="24"/>
        </w:rPr>
        <w:t>总则</w:t>
      </w:r>
      <w:r>
        <w:rPr>
          <w:b/>
          <w:caps/>
          <w:sz w:val="24"/>
        </w:rPr>
        <w:t xml:space="preserve"> </w:t>
      </w:r>
    </w:p>
    <w:p>
      <w:pPr>
        <w:widowControl/>
        <w:spacing w:line="360" w:lineRule="auto"/>
        <w:jc w:val="left"/>
        <w:rPr>
          <w:szCs w:val="21"/>
        </w:rPr>
      </w:pPr>
      <w:r>
        <w:rPr>
          <w:szCs w:val="21"/>
        </w:rPr>
        <w:t>1.1</w:t>
      </w:r>
      <w:r>
        <w:rPr>
          <w:rFonts w:hint="eastAsia"/>
          <w:szCs w:val="21"/>
        </w:rPr>
        <w:t>设备名称：磁致伸缩液位计技术要求</w:t>
      </w:r>
    </w:p>
    <w:p>
      <w:pPr>
        <w:widowControl/>
        <w:spacing w:line="360" w:lineRule="auto"/>
        <w:jc w:val="left"/>
        <w:rPr>
          <w:szCs w:val="21"/>
        </w:rPr>
      </w:pPr>
      <w:r>
        <w:rPr>
          <w:szCs w:val="21"/>
        </w:rPr>
        <w:t>1.2</w:t>
      </w:r>
      <w:r>
        <w:rPr>
          <w:rFonts w:hint="eastAsia"/>
          <w:szCs w:val="21"/>
        </w:rPr>
        <w:t>本技术规格书提出的是最低限度的要求，并未对一切细节做出规定，也未充分引述有关标准和规范的条文，投标方应保证提供符合本技术规格书和有关最新工业标准的产品。</w:t>
      </w:r>
    </w:p>
    <w:p>
      <w:pPr>
        <w:widowControl/>
        <w:jc w:val="left"/>
        <w:rPr>
          <w:szCs w:val="21"/>
        </w:rPr>
      </w:pPr>
      <w:r>
        <w:rPr>
          <w:szCs w:val="21"/>
        </w:rPr>
        <w:t>1.3</w:t>
      </w:r>
      <w:r>
        <w:rPr>
          <w:rFonts w:hint="eastAsia"/>
          <w:szCs w:val="21"/>
        </w:rPr>
        <w:t>所招磁致伸缩液位计用于</w:t>
      </w:r>
      <w:r>
        <w:rPr>
          <w:rFonts w:hint="eastAsia" w:ascii="宋体" w:hAnsi="宋体" w:cs="宋体"/>
          <w:sz w:val="18"/>
          <w:szCs w:val="18"/>
        </w:rPr>
        <w:t>江苏索普化工股份有限公司热电厂柴油罐改造项目</w:t>
      </w:r>
      <w:r>
        <w:rPr>
          <w:rFonts w:hint="eastAsia"/>
          <w:szCs w:val="21"/>
        </w:rPr>
        <w:t>，投标方选择适合或优于数据表要求提供浮筒液位变送器。</w:t>
      </w:r>
    </w:p>
    <w:p>
      <w:pPr>
        <w:widowControl/>
        <w:spacing w:line="360" w:lineRule="auto"/>
        <w:jc w:val="left"/>
        <w:rPr>
          <w:szCs w:val="21"/>
        </w:rPr>
      </w:pPr>
      <w:r>
        <w:rPr>
          <w:szCs w:val="21"/>
        </w:rPr>
        <w:t>1.4</w:t>
      </w:r>
      <w:r>
        <w:rPr>
          <w:rFonts w:hint="eastAsia"/>
          <w:szCs w:val="21"/>
        </w:rPr>
        <w:t>本招标要求所使用的标准如与投标方所执行的标准发生矛盾时，按较高较严的标准执行。</w:t>
      </w:r>
    </w:p>
    <w:p>
      <w:pPr>
        <w:widowControl/>
        <w:spacing w:line="360" w:lineRule="auto"/>
        <w:ind w:left="354" w:hanging="354" w:hangingChars="147"/>
        <w:jc w:val="left"/>
        <w:rPr>
          <w:b/>
          <w:sz w:val="24"/>
        </w:rPr>
      </w:pPr>
      <w:r>
        <w:rPr>
          <w:b/>
          <w:sz w:val="24"/>
        </w:rPr>
        <w:t>2.</w:t>
      </w:r>
      <w:r>
        <w:rPr>
          <w:rFonts w:hint="eastAsia"/>
          <w:b/>
          <w:sz w:val="24"/>
        </w:rPr>
        <w:t>产品描述</w:t>
      </w:r>
    </w:p>
    <w:p>
      <w:pPr>
        <w:autoSpaceDE w:val="0"/>
        <w:autoSpaceDN w:val="0"/>
        <w:spacing w:line="360" w:lineRule="exact"/>
        <w:ind w:right="198"/>
        <w:rPr>
          <w:szCs w:val="21"/>
        </w:rPr>
      </w:pPr>
      <w:r>
        <w:rPr>
          <w:caps/>
          <w:szCs w:val="21"/>
        </w:rPr>
        <w:t xml:space="preserve">2.1 </w:t>
      </w:r>
      <w:r>
        <w:rPr>
          <w:rFonts w:hint="eastAsia"/>
          <w:szCs w:val="21"/>
        </w:rPr>
        <w:t>本批磁致伸缩液位计共</w:t>
      </w:r>
      <w:r>
        <w:rPr>
          <w:szCs w:val="21"/>
        </w:rPr>
        <w:t>2</w:t>
      </w:r>
      <w:r>
        <w:rPr>
          <w:rFonts w:hint="eastAsia"/>
          <w:szCs w:val="21"/>
        </w:rPr>
        <w:t>台。</w:t>
      </w:r>
    </w:p>
    <w:p>
      <w:pPr>
        <w:spacing w:line="360" w:lineRule="exact"/>
        <w:rPr>
          <w:szCs w:val="21"/>
        </w:rPr>
      </w:pPr>
      <w:r>
        <w:rPr>
          <w:szCs w:val="21"/>
        </w:rPr>
        <w:t xml:space="preserve">2.2 </w:t>
      </w:r>
      <w:r>
        <w:rPr>
          <w:rFonts w:hint="eastAsia"/>
          <w:szCs w:val="21"/>
        </w:rPr>
        <w:t>本批招标</w:t>
      </w:r>
      <w:bookmarkStart w:id="0" w:name="_Hlk111640774"/>
      <w:r>
        <w:rPr>
          <w:rFonts w:hint="eastAsia"/>
          <w:szCs w:val="21"/>
        </w:rPr>
        <w:t>磁致伸缩液位计为</w:t>
      </w:r>
      <w:bookmarkEnd w:id="0"/>
      <w:r>
        <w:rPr>
          <w:rFonts w:hint="eastAsia"/>
          <w:szCs w:val="21"/>
        </w:rPr>
        <w:t>（</w:t>
      </w:r>
      <w:r>
        <w:rPr>
          <w:color w:val="FF0000"/>
          <w:szCs w:val="21"/>
        </w:rPr>
        <w:t>K-TEK</w:t>
      </w:r>
      <w:r>
        <w:rPr>
          <w:rFonts w:hint="eastAsia"/>
          <w:color w:val="FF0000"/>
          <w:szCs w:val="21"/>
        </w:rPr>
        <w:t>、</w:t>
      </w:r>
      <w:r>
        <w:rPr>
          <w:color w:val="FF0000"/>
          <w:szCs w:val="21"/>
        </w:rPr>
        <w:t>MAGNETROL</w:t>
      </w:r>
      <w:r>
        <w:rPr>
          <w:rFonts w:hint="eastAsia"/>
          <w:color w:val="FF0000"/>
          <w:szCs w:val="21"/>
        </w:rPr>
        <w:t>、</w:t>
      </w:r>
      <w:r>
        <w:rPr>
          <w:color w:val="FF0000"/>
          <w:szCs w:val="21"/>
        </w:rPr>
        <w:t>SWISA</w:t>
      </w:r>
      <w:r>
        <w:rPr>
          <w:rFonts w:hint="eastAsia"/>
          <w:szCs w:val="21"/>
        </w:rPr>
        <w:t>）品牌。</w:t>
      </w:r>
    </w:p>
    <w:p>
      <w:pPr>
        <w:spacing w:line="360" w:lineRule="exact"/>
        <w:rPr>
          <w:szCs w:val="21"/>
        </w:rPr>
      </w:pPr>
      <w:r>
        <w:rPr>
          <w:caps/>
          <w:szCs w:val="21"/>
        </w:rPr>
        <w:t xml:space="preserve">2.3 </w:t>
      </w:r>
      <w:r>
        <w:rPr>
          <w:rFonts w:hint="eastAsia"/>
          <w:szCs w:val="21"/>
        </w:rPr>
        <w:t>针对此磁致伸缩液位计重要性及其较苛刻的工况，厂家要依据本技术规格书要求和附件的配置情况配备，详见后附仪表数据表。</w:t>
      </w:r>
    </w:p>
    <w:p>
      <w:pPr>
        <w:spacing w:line="360" w:lineRule="auto"/>
        <w:rPr>
          <w:b/>
          <w:sz w:val="24"/>
        </w:rPr>
      </w:pPr>
      <w:r>
        <w:rPr>
          <w:b/>
          <w:sz w:val="24"/>
        </w:rPr>
        <w:t>3.</w:t>
      </w:r>
      <w:r>
        <w:rPr>
          <w:rFonts w:hint="eastAsia"/>
          <w:b/>
          <w:sz w:val="24"/>
        </w:rPr>
        <w:t>设计依据</w:t>
      </w:r>
      <w:r>
        <w:rPr>
          <w:b/>
          <w:sz w:val="24"/>
        </w:rPr>
        <w:tab/>
      </w:r>
    </w:p>
    <w:p>
      <w:pPr>
        <w:spacing w:line="360" w:lineRule="auto"/>
        <w:rPr>
          <w:szCs w:val="21"/>
        </w:rPr>
      </w:pPr>
      <w:r>
        <w:rPr>
          <w:szCs w:val="21"/>
        </w:rPr>
        <w:t>3.1</w:t>
      </w:r>
      <w:r>
        <w:rPr>
          <w:rFonts w:hint="eastAsia"/>
          <w:szCs w:val="21"/>
        </w:rPr>
        <w:t>磁致伸缩液位计设计和选型应完全满足或优于仪表数据表的要求，能满足招标方和招标方设计院提出的任何其它技术要求。</w:t>
      </w:r>
    </w:p>
    <w:p>
      <w:pPr>
        <w:widowControl/>
        <w:spacing w:line="360" w:lineRule="auto"/>
        <w:jc w:val="left"/>
        <w:rPr>
          <w:szCs w:val="21"/>
        </w:rPr>
      </w:pPr>
      <w:r>
        <w:rPr>
          <w:szCs w:val="21"/>
        </w:rPr>
        <w:t>3.2</w:t>
      </w:r>
      <w:r>
        <w:rPr>
          <w:rFonts w:hint="eastAsia"/>
          <w:szCs w:val="21"/>
        </w:rPr>
        <w:t>环境状况：</w:t>
      </w:r>
    </w:p>
    <w:p>
      <w:pPr>
        <w:spacing w:line="360" w:lineRule="auto"/>
        <w:ind w:firstLine="539" w:firstLineChars="257"/>
        <w:rPr>
          <w:szCs w:val="21"/>
        </w:rPr>
      </w:pPr>
      <w:r>
        <w:rPr>
          <w:rFonts w:hint="eastAsia"/>
          <w:szCs w:val="21"/>
        </w:rPr>
        <w:t>年平均气温：</w:t>
      </w:r>
      <w:r>
        <w:rPr>
          <w:szCs w:val="21"/>
        </w:rPr>
        <w:t xml:space="preserve">                                  15.4</w:t>
      </w:r>
      <w:r>
        <w:rPr>
          <w:rFonts w:hint="eastAsia" w:ascii="宋体" w:hAnsi="宋体" w:cs="宋体"/>
          <w:szCs w:val="21"/>
        </w:rPr>
        <w:t>℃</w:t>
      </w:r>
      <w:r>
        <w:rPr>
          <w:rFonts w:hint="eastAsia"/>
          <w:szCs w:val="21"/>
        </w:rPr>
        <w:t>；</w:t>
      </w:r>
    </w:p>
    <w:p>
      <w:pPr>
        <w:spacing w:line="360" w:lineRule="auto"/>
        <w:ind w:firstLine="539" w:firstLineChars="257"/>
        <w:rPr>
          <w:szCs w:val="21"/>
        </w:rPr>
      </w:pPr>
      <w:r>
        <w:rPr>
          <w:rFonts w:hint="eastAsia"/>
          <w:szCs w:val="21"/>
        </w:rPr>
        <w:t>极端最低气温：</w:t>
      </w:r>
      <w:r>
        <w:rPr>
          <w:szCs w:val="21"/>
        </w:rPr>
        <w:t xml:space="preserve">                                </w:t>
      </w:r>
      <w:r>
        <w:rPr>
          <w:rFonts w:hint="eastAsia"/>
          <w:szCs w:val="21"/>
        </w:rPr>
        <w:t>－</w:t>
      </w:r>
      <w:r>
        <w:rPr>
          <w:szCs w:val="21"/>
        </w:rPr>
        <w:t>12.4</w:t>
      </w:r>
      <w:r>
        <w:rPr>
          <w:rFonts w:hint="eastAsia" w:ascii="宋体" w:hAnsi="宋体" w:cs="宋体"/>
          <w:szCs w:val="21"/>
        </w:rPr>
        <w:t>℃</w:t>
      </w:r>
      <w:r>
        <w:rPr>
          <w:rFonts w:hint="eastAsia"/>
          <w:szCs w:val="21"/>
        </w:rPr>
        <w:t>；</w:t>
      </w:r>
    </w:p>
    <w:p>
      <w:pPr>
        <w:spacing w:line="360" w:lineRule="auto"/>
        <w:ind w:firstLine="539" w:firstLineChars="257"/>
        <w:rPr>
          <w:szCs w:val="21"/>
        </w:rPr>
      </w:pPr>
      <w:r>
        <w:rPr>
          <w:rFonts w:hint="eastAsia"/>
          <w:szCs w:val="21"/>
        </w:rPr>
        <w:t>极端最高气温：</w:t>
      </w:r>
      <w:r>
        <w:rPr>
          <w:szCs w:val="21"/>
        </w:rPr>
        <w:t xml:space="preserve">                                40.9</w:t>
      </w:r>
      <w:r>
        <w:rPr>
          <w:rFonts w:hint="eastAsia" w:ascii="宋体" w:hAnsi="宋体" w:cs="宋体"/>
          <w:szCs w:val="21"/>
        </w:rPr>
        <w:t>℃</w:t>
      </w:r>
    </w:p>
    <w:p>
      <w:pPr>
        <w:spacing w:line="360" w:lineRule="auto"/>
        <w:ind w:firstLine="539" w:firstLineChars="257"/>
        <w:rPr>
          <w:szCs w:val="21"/>
        </w:rPr>
      </w:pPr>
      <w:r>
        <w:rPr>
          <w:rFonts w:hint="eastAsia"/>
          <w:szCs w:val="21"/>
        </w:rPr>
        <w:t>年平均相对湿度：</w:t>
      </w:r>
      <w:r>
        <w:rPr>
          <w:szCs w:val="21"/>
        </w:rPr>
        <w:t xml:space="preserve">                              76%</w:t>
      </w:r>
      <w:r>
        <w:rPr>
          <w:rFonts w:hint="eastAsia"/>
          <w:szCs w:val="21"/>
        </w:rPr>
        <w:t>；</w:t>
      </w:r>
    </w:p>
    <w:p>
      <w:pPr>
        <w:spacing w:line="360" w:lineRule="auto"/>
        <w:ind w:firstLine="539" w:firstLineChars="257"/>
        <w:rPr>
          <w:szCs w:val="21"/>
        </w:rPr>
      </w:pPr>
      <w:r>
        <w:rPr>
          <w:rFonts w:hint="eastAsia"/>
          <w:szCs w:val="21"/>
        </w:rPr>
        <w:t>年平均大气压：</w:t>
      </w:r>
      <w:r>
        <w:rPr>
          <w:szCs w:val="21"/>
        </w:rPr>
        <w:t xml:space="preserve">                                101.4kPa</w:t>
      </w:r>
    </w:p>
    <w:p>
      <w:pPr>
        <w:spacing w:line="360" w:lineRule="auto"/>
        <w:ind w:firstLine="539" w:firstLineChars="257"/>
        <w:rPr>
          <w:szCs w:val="21"/>
        </w:rPr>
      </w:pPr>
      <w:r>
        <w:rPr>
          <w:rFonts w:hint="eastAsia"/>
          <w:szCs w:val="21"/>
        </w:rPr>
        <w:t>其它：仪表气源</w:t>
      </w:r>
      <w:r>
        <w:rPr>
          <w:szCs w:val="21"/>
        </w:rPr>
        <w:t xml:space="preserve">                                </w:t>
      </w:r>
      <w:r>
        <w:t>0.40~0.7MPa(G)</w:t>
      </w:r>
    </w:p>
    <w:p>
      <w:pPr>
        <w:widowControl/>
        <w:spacing w:line="360" w:lineRule="auto"/>
        <w:ind w:left="306" w:leftChars="85" w:hanging="128" w:hangingChars="61"/>
        <w:jc w:val="left"/>
        <w:rPr>
          <w:szCs w:val="21"/>
        </w:rPr>
      </w:pPr>
      <w:r>
        <w:rPr>
          <w:szCs w:val="21"/>
        </w:rPr>
        <w:t>3.3</w:t>
      </w:r>
      <w:r>
        <w:rPr>
          <w:rFonts w:hint="eastAsia"/>
          <w:szCs w:val="21"/>
        </w:rPr>
        <w:t>仪表及所配电气附件防护要求：</w:t>
      </w:r>
    </w:p>
    <w:p>
      <w:pPr>
        <w:widowControl/>
        <w:spacing w:line="360" w:lineRule="auto"/>
        <w:ind w:left="306" w:leftChars="85" w:hanging="128" w:hangingChars="61"/>
        <w:jc w:val="left"/>
        <w:rPr>
          <w:szCs w:val="21"/>
        </w:rPr>
      </w:pPr>
      <w:r>
        <w:rPr>
          <w:rFonts w:hint="eastAsia"/>
          <w:szCs w:val="21"/>
        </w:rPr>
        <w:t>防护等级：</w:t>
      </w:r>
      <w:r>
        <w:rPr>
          <w:szCs w:val="21"/>
        </w:rPr>
        <w:t>IP65</w:t>
      </w:r>
    </w:p>
    <w:p>
      <w:pPr>
        <w:widowControl/>
        <w:spacing w:line="360" w:lineRule="auto"/>
        <w:ind w:left="354" w:hanging="354" w:hangingChars="147"/>
        <w:jc w:val="left"/>
        <w:rPr>
          <w:b/>
          <w:sz w:val="24"/>
        </w:rPr>
      </w:pPr>
      <w:r>
        <w:rPr>
          <w:b/>
          <w:sz w:val="24"/>
        </w:rPr>
        <w:t>4.</w:t>
      </w:r>
      <w:r>
        <w:rPr>
          <w:rFonts w:hint="eastAsia"/>
          <w:b/>
          <w:sz w:val="24"/>
        </w:rPr>
        <w:t>供货及技术要求</w:t>
      </w:r>
    </w:p>
    <w:p>
      <w:pPr>
        <w:widowControl/>
        <w:spacing w:line="360" w:lineRule="auto"/>
        <w:jc w:val="left"/>
        <w:rPr>
          <w:szCs w:val="21"/>
        </w:rPr>
      </w:pPr>
      <w:r>
        <w:rPr>
          <w:szCs w:val="21"/>
        </w:rPr>
        <w:t>4.1</w:t>
      </w:r>
      <w:r>
        <w:rPr>
          <w:rFonts w:hint="eastAsia"/>
          <w:szCs w:val="21"/>
        </w:rPr>
        <w:t>投标方所供磁致伸缩液位计及附件产品必须是全新产品，品牌为</w:t>
      </w:r>
      <w:r>
        <w:rPr>
          <w:color w:val="FF0000"/>
          <w:szCs w:val="21"/>
        </w:rPr>
        <w:t>K-TEK</w:t>
      </w:r>
      <w:r>
        <w:rPr>
          <w:rFonts w:hint="eastAsia"/>
          <w:color w:val="FF0000"/>
          <w:szCs w:val="21"/>
        </w:rPr>
        <w:t>、</w:t>
      </w:r>
      <w:r>
        <w:rPr>
          <w:color w:val="FF0000"/>
          <w:szCs w:val="21"/>
        </w:rPr>
        <w:t>MAGNETROL</w:t>
      </w:r>
      <w:r>
        <w:rPr>
          <w:rFonts w:hint="eastAsia"/>
          <w:color w:val="FF0000"/>
          <w:szCs w:val="21"/>
        </w:rPr>
        <w:t>、</w:t>
      </w:r>
      <w:r>
        <w:rPr>
          <w:color w:val="FF0000"/>
          <w:szCs w:val="21"/>
        </w:rPr>
        <w:t>SWISA</w:t>
      </w:r>
      <w:r>
        <w:rPr>
          <w:rFonts w:hint="eastAsia"/>
          <w:color w:val="FF0000"/>
          <w:szCs w:val="21"/>
        </w:rPr>
        <w:t>。</w:t>
      </w:r>
    </w:p>
    <w:p>
      <w:pPr>
        <w:widowControl/>
        <w:spacing w:line="360" w:lineRule="auto"/>
        <w:jc w:val="left"/>
        <w:rPr>
          <w:szCs w:val="21"/>
        </w:rPr>
      </w:pPr>
      <w:r>
        <w:rPr>
          <w:szCs w:val="21"/>
        </w:rPr>
        <w:t>4.2</w:t>
      </w:r>
      <w:r>
        <w:rPr>
          <w:rFonts w:hint="eastAsia"/>
          <w:szCs w:val="21"/>
        </w:rPr>
        <w:t>投标方所供产品必须完全满足后面所附数据表的工艺要求。</w:t>
      </w:r>
    </w:p>
    <w:p>
      <w:pPr>
        <w:widowControl/>
        <w:spacing w:line="360" w:lineRule="auto"/>
        <w:jc w:val="left"/>
        <w:rPr>
          <w:szCs w:val="21"/>
        </w:rPr>
      </w:pPr>
      <w:r>
        <w:rPr>
          <w:szCs w:val="21"/>
        </w:rPr>
        <w:t>4.3</w:t>
      </w:r>
      <w:r>
        <w:rPr>
          <w:rFonts w:hint="eastAsia"/>
          <w:szCs w:val="21"/>
        </w:rPr>
        <w:t>产品的性能必须符合被测流体、操作条件、流动工况、物理性质等要求。</w:t>
      </w:r>
    </w:p>
    <w:p>
      <w:pPr>
        <w:widowControl/>
        <w:spacing w:line="360" w:lineRule="auto"/>
        <w:jc w:val="left"/>
        <w:rPr>
          <w:szCs w:val="21"/>
        </w:rPr>
      </w:pPr>
      <w:r>
        <w:rPr>
          <w:szCs w:val="21"/>
        </w:rPr>
        <w:t>4.4</w:t>
      </w:r>
      <w:r>
        <w:rPr>
          <w:rFonts w:hint="eastAsia"/>
          <w:color w:val="auto"/>
          <w:szCs w:val="21"/>
        </w:rPr>
        <w:t>供货厂商必须在投标书中提供使用业绩</w:t>
      </w:r>
      <w:r>
        <w:rPr>
          <w:rFonts w:hint="eastAsia"/>
          <w:szCs w:val="21"/>
        </w:rPr>
        <w:t>。</w:t>
      </w:r>
    </w:p>
    <w:p>
      <w:pPr>
        <w:widowControl/>
        <w:spacing w:line="360" w:lineRule="auto"/>
        <w:jc w:val="left"/>
        <w:rPr>
          <w:szCs w:val="21"/>
        </w:rPr>
      </w:pPr>
      <w:r>
        <w:rPr>
          <w:szCs w:val="21"/>
        </w:rPr>
        <w:t>4.5</w:t>
      </w:r>
      <w:r>
        <w:rPr>
          <w:rFonts w:hint="eastAsia"/>
          <w:szCs w:val="21"/>
        </w:rPr>
        <w:t>磁致伸缩液位计必须带有</w:t>
      </w:r>
      <w:r>
        <w:rPr>
          <w:szCs w:val="21"/>
        </w:rPr>
        <w:t>304</w:t>
      </w:r>
      <w:r>
        <w:rPr>
          <w:rFonts w:hint="eastAsia"/>
          <w:szCs w:val="21"/>
        </w:rPr>
        <w:t>不锈钢铭牌，牌上打印制造厂名称、商标、位号、产品型号等主要内容；铭牌牢固的固定在仪表上。</w:t>
      </w:r>
    </w:p>
    <w:p>
      <w:pPr>
        <w:widowControl/>
        <w:spacing w:line="360" w:lineRule="auto"/>
        <w:jc w:val="left"/>
        <w:rPr>
          <w:szCs w:val="21"/>
        </w:rPr>
      </w:pPr>
      <w:r>
        <w:rPr>
          <w:szCs w:val="21"/>
        </w:rPr>
        <w:t>4.6</w:t>
      </w:r>
      <w:r>
        <w:rPr>
          <w:rFonts w:hint="eastAsia"/>
          <w:szCs w:val="21"/>
        </w:rPr>
        <w:t>投标方所选型号是根据招标方数据表选定的，但投标方对所选型号负有最终责任，并确保招标方在生产中稳定、安全使用。</w:t>
      </w:r>
    </w:p>
    <w:p>
      <w:pPr>
        <w:widowControl/>
        <w:spacing w:line="360" w:lineRule="auto"/>
        <w:ind w:left="2"/>
        <w:jc w:val="left"/>
        <w:rPr>
          <w:rFonts w:hint="eastAsia"/>
          <w:szCs w:val="21"/>
        </w:rPr>
      </w:pPr>
      <w:r>
        <w:rPr>
          <w:szCs w:val="21"/>
        </w:rPr>
        <w:t>4.7</w:t>
      </w:r>
      <w:r>
        <w:rPr>
          <w:rFonts w:hint="eastAsia"/>
          <w:szCs w:val="21"/>
        </w:rPr>
        <w:t>每台仪表应附带出厂合格证书、出厂校验证书及记录单，安装使用维护说明书、装箱单、材料证明及其它相关技术资料。</w:t>
      </w:r>
    </w:p>
    <w:p>
      <w:pPr>
        <w:widowControl/>
        <w:spacing w:line="360" w:lineRule="auto"/>
        <w:ind w:left="2"/>
        <w:jc w:val="left"/>
        <w:rPr>
          <w:szCs w:val="21"/>
        </w:rPr>
      </w:pPr>
      <w:r>
        <w:rPr>
          <w:rFonts w:hint="eastAsia"/>
          <w:szCs w:val="21"/>
        </w:rPr>
        <w:t>4.8探杆材质：304ss</w:t>
      </w:r>
    </w:p>
    <w:p>
      <w:pPr>
        <w:widowControl/>
        <w:spacing w:line="360" w:lineRule="auto"/>
        <w:ind w:left="354" w:hanging="354" w:hangingChars="147"/>
        <w:jc w:val="left"/>
        <w:rPr>
          <w:b/>
          <w:sz w:val="24"/>
        </w:rPr>
      </w:pPr>
      <w:r>
        <w:rPr>
          <w:b/>
          <w:sz w:val="24"/>
        </w:rPr>
        <w:t>5.</w:t>
      </w:r>
      <w:r>
        <w:rPr>
          <w:rFonts w:hint="eastAsia"/>
          <w:b/>
          <w:sz w:val="24"/>
        </w:rPr>
        <w:t>检验与验收</w:t>
      </w:r>
    </w:p>
    <w:p>
      <w:pPr>
        <w:widowControl/>
        <w:spacing w:line="360" w:lineRule="auto"/>
        <w:ind w:left="2"/>
        <w:jc w:val="left"/>
        <w:rPr>
          <w:szCs w:val="21"/>
        </w:rPr>
      </w:pPr>
      <w:r>
        <w:rPr>
          <w:szCs w:val="21"/>
        </w:rPr>
        <w:t>5.1</w:t>
      </w:r>
      <w:r>
        <w:rPr>
          <w:rFonts w:hint="eastAsia"/>
          <w:szCs w:val="21"/>
        </w:rPr>
        <w:t>磁致伸缩液位计发货前要按照有关最新国际标准进行检验，生产厂签字盖章的检验报告要求附在随箱资料中随设备发运。</w:t>
      </w:r>
    </w:p>
    <w:p>
      <w:pPr>
        <w:spacing w:line="360" w:lineRule="auto"/>
        <w:rPr>
          <w:szCs w:val="21"/>
        </w:rPr>
      </w:pPr>
      <w:r>
        <w:rPr>
          <w:szCs w:val="21"/>
        </w:rPr>
        <w:t>5.2</w:t>
      </w:r>
      <w:r>
        <w:rPr>
          <w:rFonts w:hint="eastAsia"/>
          <w:szCs w:val="21"/>
        </w:rPr>
        <w:t>投标方负责将所供设备运送到招标方指定地点。</w:t>
      </w:r>
    </w:p>
    <w:p>
      <w:pPr>
        <w:widowControl/>
        <w:spacing w:line="360" w:lineRule="auto"/>
        <w:ind w:left="2"/>
        <w:jc w:val="left"/>
        <w:rPr>
          <w:szCs w:val="21"/>
        </w:rPr>
      </w:pPr>
      <w:r>
        <w:rPr>
          <w:szCs w:val="21"/>
        </w:rPr>
        <w:t>5.3</w:t>
      </w:r>
      <w:r>
        <w:rPr>
          <w:rFonts w:hint="eastAsia"/>
          <w:szCs w:val="21"/>
        </w:rPr>
        <w:t>货到现场后，招标方应在开箱验收前三天和投标方联系以便投标方按时派验货人员到现场进行开箱验收。投标方应及时将验货人员到达时间通知招标方，如三天内投标方人员不答复，或三天内不到招标方现场，招标方可自行验货，出现问题由投标方负责。投标方应免费进行现场服务。</w:t>
      </w:r>
    </w:p>
    <w:p>
      <w:pPr>
        <w:widowControl/>
        <w:spacing w:line="360" w:lineRule="auto"/>
        <w:jc w:val="left"/>
        <w:rPr>
          <w:szCs w:val="21"/>
        </w:rPr>
      </w:pPr>
      <w:r>
        <w:rPr>
          <w:szCs w:val="21"/>
        </w:rPr>
        <w:t>5.4</w:t>
      </w:r>
      <w:r>
        <w:rPr>
          <w:rFonts w:hint="eastAsia"/>
          <w:kern w:val="1"/>
          <w:szCs w:val="21"/>
        </w:rPr>
        <w:t>性能考核</w:t>
      </w:r>
      <w:r>
        <w:rPr>
          <w:rFonts w:hint="eastAsia"/>
          <w:szCs w:val="21"/>
        </w:rPr>
        <w:t>：单体试车后</w:t>
      </w:r>
      <w:r>
        <w:rPr>
          <w:szCs w:val="21"/>
        </w:rPr>
        <w:t>1</w:t>
      </w:r>
      <w:r>
        <w:rPr>
          <w:rFonts w:hint="eastAsia"/>
          <w:szCs w:val="21"/>
        </w:rPr>
        <w:t>个月内仪表不发生质量故障，视为最终验收合格。</w:t>
      </w:r>
    </w:p>
    <w:p>
      <w:pPr>
        <w:widowControl/>
        <w:spacing w:line="360" w:lineRule="auto"/>
        <w:jc w:val="left"/>
        <w:rPr>
          <w:szCs w:val="21"/>
        </w:rPr>
      </w:pPr>
      <w:r>
        <w:rPr>
          <w:szCs w:val="21"/>
        </w:rPr>
        <w:t>5.5</w:t>
      </w:r>
      <w:r>
        <w:rPr>
          <w:rFonts w:hint="eastAsia"/>
          <w:szCs w:val="21"/>
        </w:rPr>
        <w:t>由于招标方责任出现的仪表故障，不在此范围之内。</w:t>
      </w:r>
    </w:p>
    <w:p>
      <w:pPr>
        <w:widowControl/>
        <w:spacing w:line="360" w:lineRule="auto"/>
        <w:ind w:left="354" w:hanging="354" w:hangingChars="147"/>
        <w:jc w:val="left"/>
        <w:rPr>
          <w:b/>
          <w:sz w:val="24"/>
        </w:rPr>
      </w:pPr>
      <w:r>
        <w:rPr>
          <w:b/>
          <w:sz w:val="24"/>
        </w:rPr>
        <w:t>6.</w:t>
      </w:r>
      <w:r>
        <w:rPr>
          <w:rFonts w:hint="eastAsia"/>
          <w:b/>
          <w:sz w:val="24"/>
        </w:rPr>
        <w:t>质量保证</w:t>
      </w:r>
    </w:p>
    <w:p>
      <w:pPr>
        <w:spacing w:line="360" w:lineRule="auto"/>
        <w:rPr>
          <w:szCs w:val="21"/>
        </w:rPr>
      </w:pPr>
      <w:r>
        <w:rPr>
          <w:szCs w:val="21"/>
        </w:rPr>
        <w:t>7.1</w:t>
      </w:r>
      <w:r>
        <w:rPr>
          <w:rFonts w:hint="eastAsia"/>
          <w:szCs w:val="21"/>
        </w:rPr>
        <w:t>质量保证期为投运验收合格后</w:t>
      </w:r>
      <w:r>
        <w:rPr>
          <w:szCs w:val="21"/>
        </w:rPr>
        <w:t>12</w:t>
      </w:r>
      <w:r>
        <w:rPr>
          <w:rFonts w:hint="eastAsia"/>
          <w:szCs w:val="21"/>
        </w:rPr>
        <w:t>个月。质保期内出现产品质量事故，质保期应从投标方修复或更换该液位计后重新计算</w:t>
      </w:r>
      <w:r>
        <w:rPr>
          <w:szCs w:val="21"/>
        </w:rPr>
        <w:t>12</w:t>
      </w:r>
      <w:r>
        <w:rPr>
          <w:rFonts w:hint="eastAsia"/>
          <w:szCs w:val="21"/>
        </w:rPr>
        <w:t>个月。招标方责任出现磁致伸缩液位计故障不在此范围内。</w:t>
      </w:r>
    </w:p>
    <w:p>
      <w:pPr>
        <w:spacing w:line="360" w:lineRule="auto"/>
        <w:rPr>
          <w:szCs w:val="21"/>
        </w:rPr>
      </w:pPr>
      <w:r>
        <w:rPr>
          <w:szCs w:val="21"/>
        </w:rPr>
        <w:t xml:space="preserve">7.2 </w:t>
      </w:r>
      <w:r>
        <w:rPr>
          <w:rFonts w:hint="eastAsia"/>
          <w:szCs w:val="21"/>
        </w:rPr>
        <w:t>投标方所有产品都无材料或加工缺陷，完全能够满足招标方工况的要求。如果因仪表部件先天缺陷导致失效，投标方应无偿更换同型号、同品质的磁致伸缩液位计。</w:t>
      </w:r>
    </w:p>
    <w:p>
      <w:pPr>
        <w:spacing w:line="360" w:lineRule="auto"/>
        <w:rPr>
          <w:szCs w:val="21"/>
        </w:rPr>
      </w:pPr>
      <w:r>
        <w:rPr>
          <w:szCs w:val="21"/>
        </w:rPr>
        <w:t>7.3</w:t>
      </w:r>
      <w:r>
        <w:rPr>
          <w:rFonts w:hint="eastAsia"/>
          <w:szCs w:val="21"/>
        </w:rPr>
        <w:t>质保期内的备品备件均由投标方免费提供</w:t>
      </w:r>
      <w:r>
        <w:rPr>
          <w:szCs w:val="21"/>
        </w:rPr>
        <w:t>(</w:t>
      </w:r>
      <w:r>
        <w:rPr>
          <w:rFonts w:hint="eastAsia"/>
          <w:szCs w:val="21"/>
        </w:rPr>
        <w:t>不包括在订购的备件数量内）。合同内备件的提供时间满足招标方要求。</w:t>
      </w:r>
    </w:p>
    <w:p>
      <w:pPr>
        <w:widowControl/>
        <w:spacing w:line="360" w:lineRule="auto"/>
        <w:jc w:val="left"/>
        <w:rPr>
          <w:b/>
          <w:sz w:val="24"/>
        </w:rPr>
      </w:pPr>
      <w:r>
        <w:rPr>
          <w:b/>
          <w:sz w:val="24"/>
        </w:rPr>
        <w:t>7.</w:t>
      </w:r>
      <w:r>
        <w:rPr>
          <w:rFonts w:hint="eastAsia"/>
          <w:b/>
          <w:sz w:val="24"/>
        </w:rPr>
        <w:t>售后服务</w:t>
      </w:r>
    </w:p>
    <w:p>
      <w:pPr>
        <w:widowControl/>
        <w:spacing w:line="360" w:lineRule="auto"/>
        <w:ind w:left="2"/>
        <w:jc w:val="left"/>
        <w:rPr>
          <w:szCs w:val="21"/>
        </w:rPr>
      </w:pPr>
      <w:r>
        <w:rPr>
          <w:szCs w:val="21"/>
        </w:rPr>
        <w:t>7.1</w:t>
      </w:r>
      <w:r>
        <w:rPr>
          <w:rFonts w:hint="eastAsia"/>
          <w:szCs w:val="21"/>
        </w:rPr>
        <w:t>为使招标方人员能正常地进行操作和维修，投标方应免费在调试前对招标方人员进行技术培训，在调试期间对招标方</w:t>
      </w:r>
      <w:bookmarkStart w:id="1" w:name="_GoBack"/>
      <w:bookmarkEnd w:id="1"/>
      <w:r>
        <w:rPr>
          <w:rFonts w:hint="eastAsia"/>
          <w:szCs w:val="21"/>
        </w:rPr>
        <w:t>人员进行操作和维修培训。</w:t>
      </w:r>
    </w:p>
    <w:p>
      <w:pPr>
        <w:widowControl/>
        <w:spacing w:line="360" w:lineRule="auto"/>
        <w:jc w:val="left"/>
        <w:rPr>
          <w:szCs w:val="21"/>
        </w:rPr>
      </w:pPr>
      <w:r>
        <w:rPr>
          <w:szCs w:val="21"/>
        </w:rPr>
        <w:t>7.2</w:t>
      </w:r>
      <w:r>
        <w:rPr>
          <w:rFonts w:hint="eastAsia"/>
          <w:szCs w:val="21"/>
        </w:rPr>
        <w:t>投标方免费提供一次现场技术服务，时间根据工程需要确定。</w:t>
      </w:r>
    </w:p>
    <w:p>
      <w:pPr>
        <w:widowControl/>
        <w:spacing w:line="360" w:lineRule="auto"/>
        <w:ind w:left="2"/>
        <w:jc w:val="left"/>
        <w:rPr>
          <w:szCs w:val="21"/>
        </w:rPr>
      </w:pPr>
      <w:r>
        <w:rPr>
          <w:szCs w:val="21"/>
        </w:rPr>
        <w:t>7.3</w:t>
      </w:r>
      <w:r>
        <w:rPr>
          <w:rFonts w:hint="eastAsia"/>
          <w:szCs w:val="21"/>
        </w:rPr>
        <w:t>如质保期内质量存在问题，投标方在接到招标方通知</w:t>
      </w:r>
      <w:r>
        <w:rPr>
          <w:szCs w:val="21"/>
        </w:rPr>
        <w:t>24</w:t>
      </w:r>
      <w:r>
        <w:rPr>
          <w:rFonts w:hint="eastAsia"/>
          <w:szCs w:val="21"/>
        </w:rPr>
        <w:t>小时内到达招标方现场，对存在问题的仪表免费维修或更换。</w:t>
      </w:r>
    </w:p>
    <w:p>
      <w:pPr>
        <w:widowControl/>
        <w:spacing w:line="360" w:lineRule="auto"/>
        <w:jc w:val="left"/>
        <w:rPr>
          <w:b/>
          <w:sz w:val="24"/>
        </w:rPr>
      </w:pPr>
      <w:r>
        <w:rPr>
          <w:b/>
          <w:sz w:val="24"/>
        </w:rPr>
        <w:t>8.</w:t>
      </w:r>
      <w:r>
        <w:rPr>
          <w:rFonts w:hint="eastAsia"/>
          <w:b/>
          <w:sz w:val="24"/>
        </w:rPr>
        <w:t>资料交付</w:t>
      </w:r>
    </w:p>
    <w:p>
      <w:pPr>
        <w:widowControl/>
        <w:spacing w:line="360" w:lineRule="auto"/>
        <w:ind w:left="2"/>
        <w:jc w:val="left"/>
        <w:rPr>
          <w:szCs w:val="21"/>
        </w:rPr>
      </w:pPr>
      <w:r>
        <w:rPr>
          <w:szCs w:val="21"/>
        </w:rPr>
        <w:t xml:space="preserve">8.1 </w:t>
      </w:r>
      <w:r>
        <w:rPr>
          <w:rFonts w:hint="eastAsia"/>
          <w:szCs w:val="21"/>
        </w:rPr>
        <w:t>投标方必须提供磁致伸缩液位计的出厂检验报告、材料证明单、计算书、规格表、外协部件合格证等必要的质量控制和保证文件。</w:t>
      </w:r>
    </w:p>
    <w:p>
      <w:pPr>
        <w:widowControl/>
        <w:spacing w:line="360" w:lineRule="auto"/>
        <w:jc w:val="left"/>
        <w:rPr>
          <w:szCs w:val="21"/>
        </w:rPr>
      </w:pPr>
      <w:r>
        <w:rPr>
          <w:szCs w:val="21"/>
        </w:rPr>
        <w:t xml:space="preserve">8.2  </w:t>
      </w:r>
      <w:r>
        <w:rPr>
          <w:rFonts w:hint="eastAsia"/>
          <w:szCs w:val="21"/>
        </w:rPr>
        <w:t>磁致伸缩液位计配套资料</w:t>
      </w:r>
      <w:r>
        <w:rPr>
          <w:szCs w:val="21"/>
        </w:rPr>
        <w:t xml:space="preserve"> </w:t>
      </w:r>
    </w:p>
    <w:p>
      <w:pPr>
        <w:widowControl/>
        <w:spacing w:line="360" w:lineRule="auto"/>
        <w:jc w:val="left"/>
        <w:rPr>
          <w:szCs w:val="21"/>
        </w:rPr>
      </w:pPr>
      <w:r>
        <w:rPr>
          <w:szCs w:val="21"/>
        </w:rPr>
        <w:t>8.2.1</w:t>
      </w:r>
      <w:r>
        <w:rPr>
          <w:rFonts w:hint="eastAsia"/>
          <w:szCs w:val="21"/>
        </w:rPr>
        <w:t>合格证书、出厂校验证书、记录单及安装、操作、维修说明书</w:t>
      </w:r>
      <w:r>
        <w:rPr>
          <w:szCs w:val="21"/>
        </w:rPr>
        <w:t xml:space="preserve"> </w:t>
      </w:r>
    </w:p>
    <w:p>
      <w:pPr>
        <w:widowControl/>
        <w:spacing w:line="360" w:lineRule="auto"/>
        <w:ind w:left="354" w:hanging="354" w:hangingChars="147"/>
        <w:jc w:val="left"/>
        <w:rPr>
          <w:b/>
          <w:sz w:val="24"/>
        </w:rPr>
      </w:pPr>
      <w:r>
        <w:rPr>
          <w:b/>
          <w:sz w:val="24"/>
        </w:rPr>
        <w:t>9.</w:t>
      </w:r>
      <w:r>
        <w:rPr>
          <w:rFonts w:hint="eastAsia"/>
          <w:b/>
          <w:sz w:val="24"/>
        </w:rPr>
        <w:t>附件</w:t>
      </w:r>
    </w:p>
    <w:p>
      <w:pPr>
        <w:widowControl/>
        <w:spacing w:line="360" w:lineRule="auto"/>
        <w:ind w:left="353" w:leftChars="168"/>
        <w:jc w:val="left"/>
        <w:rPr>
          <w:szCs w:val="21"/>
        </w:rPr>
      </w:pPr>
      <w:r>
        <w:rPr>
          <w:rFonts w:hint="eastAsia"/>
          <w:szCs w:val="21"/>
        </w:rPr>
        <w:t>磁致伸缩液位计数据表（</w:t>
      </w:r>
      <w:r>
        <w:rPr>
          <w:szCs w:val="21"/>
        </w:rPr>
        <w:t>2</w:t>
      </w:r>
      <w:r>
        <w:rPr>
          <w:rFonts w:hint="eastAsia"/>
          <w:szCs w:val="21"/>
        </w:rPr>
        <w:t>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QyODRiOTIwNDYyOTcwNmJmYzhmOGNmMjI5MjkwMDcifQ=="/>
  </w:docVars>
  <w:rsids>
    <w:rsidRoot w:val="00F05496"/>
    <w:rsid w:val="0000202E"/>
    <w:rsid w:val="000033C9"/>
    <w:rsid w:val="000051A7"/>
    <w:rsid w:val="000119CA"/>
    <w:rsid w:val="00012506"/>
    <w:rsid w:val="000210FB"/>
    <w:rsid w:val="00024629"/>
    <w:rsid w:val="00024664"/>
    <w:rsid w:val="00026DA9"/>
    <w:rsid w:val="00026DAB"/>
    <w:rsid w:val="000311E2"/>
    <w:rsid w:val="00032C7E"/>
    <w:rsid w:val="00035178"/>
    <w:rsid w:val="000414D4"/>
    <w:rsid w:val="00041C83"/>
    <w:rsid w:val="0004641A"/>
    <w:rsid w:val="000465B9"/>
    <w:rsid w:val="0004731A"/>
    <w:rsid w:val="000512BD"/>
    <w:rsid w:val="000519BF"/>
    <w:rsid w:val="00052471"/>
    <w:rsid w:val="0005321B"/>
    <w:rsid w:val="00056487"/>
    <w:rsid w:val="000579E0"/>
    <w:rsid w:val="000651AC"/>
    <w:rsid w:val="00067AE7"/>
    <w:rsid w:val="000769AE"/>
    <w:rsid w:val="00076C98"/>
    <w:rsid w:val="00077EEA"/>
    <w:rsid w:val="0008064C"/>
    <w:rsid w:val="00081F4F"/>
    <w:rsid w:val="0008270A"/>
    <w:rsid w:val="000842E7"/>
    <w:rsid w:val="00090970"/>
    <w:rsid w:val="00091A5E"/>
    <w:rsid w:val="0009252A"/>
    <w:rsid w:val="000A2110"/>
    <w:rsid w:val="000B0419"/>
    <w:rsid w:val="000B45A2"/>
    <w:rsid w:val="000B523D"/>
    <w:rsid w:val="000B5F14"/>
    <w:rsid w:val="000B7134"/>
    <w:rsid w:val="000C16BF"/>
    <w:rsid w:val="000C6B2E"/>
    <w:rsid w:val="000C7EBB"/>
    <w:rsid w:val="000D5C0C"/>
    <w:rsid w:val="000D7C21"/>
    <w:rsid w:val="000E2129"/>
    <w:rsid w:val="000E27E6"/>
    <w:rsid w:val="000E6A40"/>
    <w:rsid w:val="000F45A9"/>
    <w:rsid w:val="000F4F9D"/>
    <w:rsid w:val="000F5997"/>
    <w:rsid w:val="00101A03"/>
    <w:rsid w:val="00101C99"/>
    <w:rsid w:val="00102FBE"/>
    <w:rsid w:val="0010415A"/>
    <w:rsid w:val="001064DB"/>
    <w:rsid w:val="00106F82"/>
    <w:rsid w:val="00107D91"/>
    <w:rsid w:val="001217B9"/>
    <w:rsid w:val="00122197"/>
    <w:rsid w:val="00124B85"/>
    <w:rsid w:val="00126984"/>
    <w:rsid w:val="00132A75"/>
    <w:rsid w:val="00137EC6"/>
    <w:rsid w:val="00140389"/>
    <w:rsid w:val="0014373A"/>
    <w:rsid w:val="00145544"/>
    <w:rsid w:val="001458BE"/>
    <w:rsid w:val="00146D15"/>
    <w:rsid w:val="001470E9"/>
    <w:rsid w:val="0015140D"/>
    <w:rsid w:val="0015145A"/>
    <w:rsid w:val="00160640"/>
    <w:rsid w:val="0016327F"/>
    <w:rsid w:val="00163FE0"/>
    <w:rsid w:val="00166360"/>
    <w:rsid w:val="00170064"/>
    <w:rsid w:val="00170FDC"/>
    <w:rsid w:val="00173680"/>
    <w:rsid w:val="0017568F"/>
    <w:rsid w:val="001756B4"/>
    <w:rsid w:val="0018327A"/>
    <w:rsid w:val="00183BB0"/>
    <w:rsid w:val="00190764"/>
    <w:rsid w:val="001915AD"/>
    <w:rsid w:val="00193690"/>
    <w:rsid w:val="00193F36"/>
    <w:rsid w:val="0019462B"/>
    <w:rsid w:val="0019513A"/>
    <w:rsid w:val="001A2639"/>
    <w:rsid w:val="001A41D8"/>
    <w:rsid w:val="001A7B66"/>
    <w:rsid w:val="001B2D5C"/>
    <w:rsid w:val="001B3EC8"/>
    <w:rsid w:val="001B5AA3"/>
    <w:rsid w:val="001B61EE"/>
    <w:rsid w:val="001B7967"/>
    <w:rsid w:val="001C0651"/>
    <w:rsid w:val="001C3ED4"/>
    <w:rsid w:val="001C52F3"/>
    <w:rsid w:val="001D45AA"/>
    <w:rsid w:val="001E0C13"/>
    <w:rsid w:val="001E37D4"/>
    <w:rsid w:val="001E5D06"/>
    <w:rsid w:val="001E609B"/>
    <w:rsid w:val="001E68DF"/>
    <w:rsid w:val="001E7BDA"/>
    <w:rsid w:val="001F0F13"/>
    <w:rsid w:val="001F2294"/>
    <w:rsid w:val="001F3D85"/>
    <w:rsid w:val="001F4F33"/>
    <w:rsid w:val="001F65B8"/>
    <w:rsid w:val="00202680"/>
    <w:rsid w:val="00215395"/>
    <w:rsid w:val="002164FA"/>
    <w:rsid w:val="00220AFA"/>
    <w:rsid w:val="002248F0"/>
    <w:rsid w:val="00227B1D"/>
    <w:rsid w:val="00230149"/>
    <w:rsid w:val="002308B7"/>
    <w:rsid w:val="0023226C"/>
    <w:rsid w:val="00236AD8"/>
    <w:rsid w:val="00236F21"/>
    <w:rsid w:val="002402F8"/>
    <w:rsid w:val="002413A8"/>
    <w:rsid w:val="0024194C"/>
    <w:rsid w:val="002535C5"/>
    <w:rsid w:val="002570F5"/>
    <w:rsid w:val="00262D94"/>
    <w:rsid w:val="00264DC5"/>
    <w:rsid w:val="002663F3"/>
    <w:rsid w:val="00267506"/>
    <w:rsid w:val="00273A41"/>
    <w:rsid w:val="00273D42"/>
    <w:rsid w:val="002824B0"/>
    <w:rsid w:val="00282A7F"/>
    <w:rsid w:val="00294CFE"/>
    <w:rsid w:val="0029558C"/>
    <w:rsid w:val="00295D6E"/>
    <w:rsid w:val="0029691D"/>
    <w:rsid w:val="002A2DDC"/>
    <w:rsid w:val="002A49C9"/>
    <w:rsid w:val="002A73EA"/>
    <w:rsid w:val="002B2A0A"/>
    <w:rsid w:val="002B4DF6"/>
    <w:rsid w:val="002B6502"/>
    <w:rsid w:val="002B757D"/>
    <w:rsid w:val="002B7AA4"/>
    <w:rsid w:val="002C6FF3"/>
    <w:rsid w:val="002D33FB"/>
    <w:rsid w:val="002E166D"/>
    <w:rsid w:val="002E5DB2"/>
    <w:rsid w:val="002E5F14"/>
    <w:rsid w:val="002E5FC3"/>
    <w:rsid w:val="002E6D48"/>
    <w:rsid w:val="002F5DC8"/>
    <w:rsid w:val="002F6116"/>
    <w:rsid w:val="0030416A"/>
    <w:rsid w:val="00304A8C"/>
    <w:rsid w:val="00305B9C"/>
    <w:rsid w:val="00316D32"/>
    <w:rsid w:val="00321395"/>
    <w:rsid w:val="00325397"/>
    <w:rsid w:val="00325540"/>
    <w:rsid w:val="00326B57"/>
    <w:rsid w:val="00330EF8"/>
    <w:rsid w:val="0033566A"/>
    <w:rsid w:val="00340357"/>
    <w:rsid w:val="0034080C"/>
    <w:rsid w:val="00341703"/>
    <w:rsid w:val="00341C61"/>
    <w:rsid w:val="00342117"/>
    <w:rsid w:val="00342741"/>
    <w:rsid w:val="003460C5"/>
    <w:rsid w:val="003503E2"/>
    <w:rsid w:val="003516EA"/>
    <w:rsid w:val="003535A2"/>
    <w:rsid w:val="0036130B"/>
    <w:rsid w:val="00363BBD"/>
    <w:rsid w:val="00365D65"/>
    <w:rsid w:val="00366C58"/>
    <w:rsid w:val="00367377"/>
    <w:rsid w:val="003706B6"/>
    <w:rsid w:val="00370D26"/>
    <w:rsid w:val="003716CA"/>
    <w:rsid w:val="00380877"/>
    <w:rsid w:val="00383E2F"/>
    <w:rsid w:val="00386FA4"/>
    <w:rsid w:val="00387C81"/>
    <w:rsid w:val="00390421"/>
    <w:rsid w:val="00395473"/>
    <w:rsid w:val="0039564A"/>
    <w:rsid w:val="003A1E06"/>
    <w:rsid w:val="003A6D5A"/>
    <w:rsid w:val="003B0FF2"/>
    <w:rsid w:val="003B6C5B"/>
    <w:rsid w:val="003C04E1"/>
    <w:rsid w:val="003C7B0C"/>
    <w:rsid w:val="003D06FF"/>
    <w:rsid w:val="003D0978"/>
    <w:rsid w:val="003D5CA2"/>
    <w:rsid w:val="003E61A1"/>
    <w:rsid w:val="003E6975"/>
    <w:rsid w:val="003E77BD"/>
    <w:rsid w:val="003F3176"/>
    <w:rsid w:val="003F425C"/>
    <w:rsid w:val="003F7AC7"/>
    <w:rsid w:val="00402948"/>
    <w:rsid w:val="00402ED1"/>
    <w:rsid w:val="00407DD7"/>
    <w:rsid w:val="00411E7B"/>
    <w:rsid w:val="00426D25"/>
    <w:rsid w:val="0043077C"/>
    <w:rsid w:val="00432333"/>
    <w:rsid w:val="004334CC"/>
    <w:rsid w:val="00434F18"/>
    <w:rsid w:val="004360AB"/>
    <w:rsid w:val="004365A0"/>
    <w:rsid w:val="00443042"/>
    <w:rsid w:val="00443437"/>
    <w:rsid w:val="0044475E"/>
    <w:rsid w:val="00446D09"/>
    <w:rsid w:val="00452BB7"/>
    <w:rsid w:val="00455E61"/>
    <w:rsid w:val="00455E9D"/>
    <w:rsid w:val="00462D36"/>
    <w:rsid w:val="00464C62"/>
    <w:rsid w:val="00472179"/>
    <w:rsid w:val="004728DE"/>
    <w:rsid w:val="0047563B"/>
    <w:rsid w:val="00476823"/>
    <w:rsid w:val="00480F1A"/>
    <w:rsid w:val="00481027"/>
    <w:rsid w:val="00484C8D"/>
    <w:rsid w:val="00486F30"/>
    <w:rsid w:val="00487560"/>
    <w:rsid w:val="0048776A"/>
    <w:rsid w:val="00492766"/>
    <w:rsid w:val="00495606"/>
    <w:rsid w:val="00496995"/>
    <w:rsid w:val="004972E4"/>
    <w:rsid w:val="004A39AF"/>
    <w:rsid w:val="004B1CAE"/>
    <w:rsid w:val="004B3993"/>
    <w:rsid w:val="004B5226"/>
    <w:rsid w:val="004C568F"/>
    <w:rsid w:val="004D3C28"/>
    <w:rsid w:val="004D7932"/>
    <w:rsid w:val="004D7FBD"/>
    <w:rsid w:val="004E032C"/>
    <w:rsid w:val="004E14BD"/>
    <w:rsid w:val="004E58DE"/>
    <w:rsid w:val="004E7D2C"/>
    <w:rsid w:val="004F60ED"/>
    <w:rsid w:val="004F6AA6"/>
    <w:rsid w:val="00501FC8"/>
    <w:rsid w:val="00502940"/>
    <w:rsid w:val="00504E66"/>
    <w:rsid w:val="00512A6D"/>
    <w:rsid w:val="00512B5A"/>
    <w:rsid w:val="00513192"/>
    <w:rsid w:val="00516B00"/>
    <w:rsid w:val="00525EEA"/>
    <w:rsid w:val="0052653F"/>
    <w:rsid w:val="00532096"/>
    <w:rsid w:val="0053324C"/>
    <w:rsid w:val="00541BCE"/>
    <w:rsid w:val="00542B4E"/>
    <w:rsid w:val="0054559F"/>
    <w:rsid w:val="00546269"/>
    <w:rsid w:val="00552152"/>
    <w:rsid w:val="00554162"/>
    <w:rsid w:val="00561541"/>
    <w:rsid w:val="00571220"/>
    <w:rsid w:val="005773E8"/>
    <w:rsid w:val="00577830"/>
    <w:rsid w:val="005838A3"/>
    <w:rsid w:val="00585ADF"/>
    <w:rsid w:val="00585D2B"/>
    <w:rsid w:val="0058664E"/>
    <w:rsid w:val="005939DB"/>
    <w:rsid w:val="00594606"/>
    <w:rsid w:val="0059486B"/>
    <w:rsid w:val="00596034"/>
    <w:rsid w:val="005A14CD"/>
    <w:rsid w:val="005B3603"/>
    <w:rsid w:val="005B44CC"/>
    <w:rsid w:val="005B51A2"/>
    <w:rsid w:val="005B7D96"/>
    <w:rsid w:val="005C0E17"/>
    <w:rsid w:val="005C1689"/>
    <w:rsid w:val="005D0EA4"/>
    <w:rsid w:val="005D0FEC"/>
    <w:rsid w:val="005D1127"/>
    <w:rsid w:val="005D23A4"/>
    <w:rsid w:val="005D7DFD"/>
    <w:rsid w:val="005E2767"/>
    <w:rsid w:val="005E4594"/>
    <w:rsid w:val="005E7D5B"/>
    <w:rsid w:val="005F344D"/>
    <w:rsid w:val="006034C2"/>
    <w:rsid w:val="006079FC"/>
    <w:rsid w:val="0061138A"/>
    <w:rsid w:val="00616660"/>
    <w:rsid w:val="00627653"/>
    <w:rsid w:val="00630848"/>
    <w:rsid w:val="00634336"/>
    <w:rsid w:val="00634973"/>
    <w:rsid w:val="0064182D"/>
    <w:rsid w:val="00643884"/>
    <w:rsid w:val="0064533C"/>
    <w:rsid w:val="00654E88"/>
    <w:rsid w:val="00660C73"/>
    <w:rsid w:val="00667287"/>
    <w:rsid w:val="006719BE"/>
    <w:rsid w:val="006759C1"/>
    <w:rsid w:val="00680F66"/>
    <w:rsid w:val="00683D2A"/>
    <w:rsid w:val="006845AE"/>
    <w:rsid w:val="00684E59"/>
    <w:rsid w:val="00691C91"/>
    <w:rsid w:val="006962FE"/>
    <w:rsid w:val="006A00F1"/>
    <w:rsid w:val="006A149E"/>
    <w:rsid w:val="006A48E2"/>
    <w:rsid w:val="006A4956"/>
    <w:rsid w:val="006B1514"/>
    <w:rsid w:val="006B1BA6"/>
    <w:rsid w:val="006B2F67"/>
    <w:rsid w:val="006B34DB"/>
    <w:rsid w:val="006B62FA"/>
    <w:rsid w:val="006C678B"/>
    <w:rsid w:val="006C71AD"/>
    <w:rsid w:val="006D3D03"/>
    <w:rsid w:val="006D6E75"/>
    <w:rsid w:val="006E2834"/>
    <w:rsid w:val="006E31B2"/>
    <w:rsid w:val="006E35F2"/>
    <w:rsid w:val="006E4530"/>
    <w:rsid w:val="006F1112"/>
    <w:rsid w:val="006F1498"/>
    <w:rsid w:val="006F1751"/>
    <w:rsid w:val="006F1E24"/>
    <w:rsid w:val="006F3F7B"/>
    <w:rsid w:val="006F46E4"/>
    <w:rsid w:val="006F6F41"/>
    <w:rsid w:val="0070322A"/>
    <w:rsid w:val="00703C1B"/>
    <w:rsid w:val="0070459C"/>
    <w:rsid w:val="00706B0B"/>
    <w:rsid w:val="00712E11"/>
    <w:rsid w:val="007164F5"/>
    <w:rsid w:val="007177E0"/>
    <w:rsid w:val="00722EC9"/>
    <w:rsid w:val="00725D4A"/>
    <w:rsid w:val="007270C8"/>
    <w:rsid w:val="00732666"/>
    <w:rsid w:val="00735B98"/>
    <w:rsid w:val="00736CF5"/>
    <w:rsid w:val="00740090"/>
    <w:rsid w:val="00750236"/>
    <w:rsid w:val="00751D91"/>
    <w:rsid w:val="0075303D"/>
    <w:rsid w:val="00755786"/>
    <w:rsid w:val="00756482"/>
    <w:rsid w:val="00757402"/>
    <w:rsid w:val="007576D9"/>
    <w:rsid w:val="00763D24"/>
    <w:rsid w:val="007755C7"/>
    <w:rsid w:val="007757FD"/>
    <w:rsid w:val="00775A01"/>
    <w:rsid w:val="00777F1C"/>
    <w:rsid w:val="007801A4"/>
    <w:rsid w:val="0078136C"/>
    <w:rsid w:val="0078198B"/>
    <w:rsid w:val="00781A14"/>
    <w:rsid w:val="00787BE4"/>
    <w:rsid w:val="0079004D"/>
    <w:rsid w:val="00792F26"/>
    <w:rsid w:val="007A0644"/>
    <w:rsid w:val="007A079D"/>
    <w:rsid w:val="007A67B6"/>
    <w:rsid w:val="007B008C"/>
    <w:rsid w:val="007B011A"/>
    <w:rsid w:val="007B36D1"/>
    <w:rsid w:val="007B58CE"/>
    <w:rsid w:val="007B7B5D"/>
    <w:rsid w:val="007C4E9D"/>
    <w:rsid w:val="007C5D65"/>
    <w:rsid w:val="007C71F0"/>
    <w:rsid w:val="007C7A76"/>
    <w:rsid w:val="007D0C62"/>
    <w:rsid w:val="007D210C"/>
    <w:rsid w:val="007D4E04"/>
    <w:rsid w:val="007D4E9F"/>
    <w:rsid w:val="007D6EB4"/>
    <w:rsid w:val="007E014B"/>
    <w:rsid w:val="007E32BB"/>
    <w:rsid w:val="007F3185"/>
    <w:rsid w:val="007F43CB"/>
    <w:rsid w:val="00805A3E"/>
    <w:rsid w:val="00807F16"/>
    <w:rsid w:val="0081223C"/>
    <w:rsid w:val="00812DE7"/>
    <w:rsid w:val="008150FA"/>
    <w:rsid w:val="00815B61"/>
    <w:rsid w:val="00820A8A"/>
    <w:rsid w:val="00825697"/>
    <w:rsid w:val="008307FD"/>
    <w:rsid w:val="00830F8F"/>
    <w:rsid w:val="00832114"/>
    <w:rsid w:val="00833A74"/>
    <w:rsid w:val="00836360"/>
    <w:rsid w:val="008404EC"/>
    <w:rsid w:val="00844B06"/>
    <w:rsid w:val="00845ECA"/>
    <w:rsid w:val="00853C96"/>
    <w:rsid w:val="008548E9"/>
    <w:rsid w:val="00854F3E"/>
    <w:rsid w:val="008703F1"/>
    <w:rsid w:val="008754A4"/>
    <w:rsid w:val="0087782A"/>
    <w:rsid w:val="008805E7"/>
    <w:rsid w:val="00881058"/>
    <w:rsid w:val="00881DA1"/>
    <w:rsid w:val="00881F5B"/>
    <w:rsid w:val="00886D40"/>
    <w:rsid w:val="00892425"/>
    <w:rsid w:val="008925C4"/>
    <w:rsid w:val="00892F8B"/>
    <w:rsid w:val="008A062B"/>
    <w:rsid w:val="008A3D01"/>
    <w:rsid w:val="008A676A"/>
    <w:rsid w:val="008B141D"/>
    <w:rsid w:val="008B17FA"/>
    <w:rsid w:val="008B68F6"/>
    <w:rsid w:val="008B6DD9"/>
    <w:rsid w:val="008C5CFD"/>
    <w:rsid w:val="008C6A8A"/>
    <w:rsid w:val="008C7B4C"/>
    <w:rsid w:val="008D10DB"/>
    <w:rsid w:val="008D18DF"/>
    <w:rsid w:val="008D28DA"/>
    <w:rsid w:val="008D31E4"/>
    <w:rsid w:val="008D4CE8"/>
    <w:rsid w:val="008D5DB9"/>
    <w:rsid w:val="008E1E65"/>
    <w:rsid w:val="008E7738"/>
    <w:rsid w:val="008F09D2"/>
    <w:rsid w:val="008F116A"/>
    <w:rsid w:val="009031B4"/>
    <w:rsid w:val="009051F1"/>
    <w:rsid w:val="009058BE"/>
    <w:rsid w:val="00911D64"/>
    <w:rsid w:val="00914025"/>
    <w:rsid w:val="009155F3"/>
    <w:rsid w:val="009164B2"/>
    <w:rsid w:val="00917549"/>
    <w:rsid w:val="0092134C"/>
    <w:rsid w:val="00922C30"/>
    <w:rsid w:val="00923204"/>
    <w:rsid w:val="00923EFA"/>
    <w:rsid w:val="00925889"/>
    <w:rsid w:val="009265AA"/>
    <w:rsid w:val="00926CFF"/>
    <w:rsid w:val="009362E7"/>
    <w:rsid w:val="009449D7"/>
    <w:rsid w:val="00945EB0"/>
    <w:rsid w:val="00951DE7"/>
    <w:rsid w:val="009529A2"/>
    <w:rsid w:val="009534C3"/>
    <w:rsid w:val="00957899"/>
    <w:rsid w:val="0096002F"/>
    <w:rsid w:val="0096260F"/>
    <w:rsid w:val="0096275B"/>
    <w:rsid w:val="00966C48"/>
    <w:rsid w:val="00971318"/>
    <w:rsid w:val="00972481"/>
    <w:rsid w:val="009779FE"/>
    <w:rsid w:val="00980D56"/>
    <w:rsid w:val="00981FE7"/>
    <w:rsid w:val="00985B09"/>
    <w:rsid w:val="00993ABE"/>
    <w:rsid w:val="00996A71"/>
    <w:rsid w:val="00996E65"/>
    <w:rsid w:val="00996F0C"/>
    <w:rsid w:val="009A122A"/>
    <w:rsid w:val="009A2DBC"/>
    <w:rsid w:val="009A3ACC"/>
    <w:rsid w:val="009B6585"/>
    <w:rsid w:val="009B7F50"/>
    <w:rsid w:val="009C353C"/>
    <w:rsid w:val="009C7103"/>
    <w:rsid w:val="009C7EFA"/>
    <w:rsid w:val="009D3438"/>
    <w:rsid w:val="009D7982"/>
    <w:rsid w:val="009E027C"/>
    <w:rsid w:val="009E50A0"/>
    <w:rsid w:val="009E7801"/>
    <w:rsid w:val="009F2C62"/>
    <w:rsid w:val="009F36BD"/>
    <w:rsid w:val="009F39C7"/>
    <w:rsid w:val="009F5BBF"/>
    <w:rsid w:val="009F6047"/>
    <w:rsid w:val="009F62F8"/>
    <w:rsid w:val="009F709B"/>
    <w:rsid w:val="00A11F37"/>
    <w:rsid w:val="00A146EE"/>
    <w:rsid w:val="00A1745E"/>
    <w:rsid w:val="00A207D2"/>
    <w:rsid w:val="00A208F7"/>
    <w:rsid w:val="00A21B0B"/>
    <w:rsid w:val="00A248D4"/>
    <w:rsid w:val="00A251F7"/>
    <w:rsid w:val="00A2600D"/>
    <w:rsid w:val="00A26FEA"/>
    <w:rsid w:val="00A3255B"/>
    <w:rsid w:val="00A34747"/>
    <w:rsid w:val="00A3587F"/>
    <w:rsid w:val="00A37EEA"/>
    <w:rsid w:val="00A42B86"/>
    <w:rsid w:val="00A44B8A"/>
    <w:rsid w:val="00A507C1"/>
    <w:rsid w:val="00A543C9"/>
    <w:rsid w:val="00A55A7C"/>
    <w:rsid w:val="00A56E72"/>
    <w:rsid w:val="00A570BB"/>
    <w:rsid w:val="00A61515"/>
    <w:rsid w:val="00A6161B"/>
    <w:rsid w:val="00A633E8"/>
    <w:rsid w:val="00A759B2"/>
    <w:rsid w:val="00A76A90"/>
    <w:rsid w:val="00A77356"/>
    <w:rsid w:val="00A8156F"/>
    <w:rsid w:val="00A8196F"/>
    <w:rsid w:val="00A81B29"/>
    <w:rsid w:val="00A82DF4"/>
    <w:rsid w:val="00A83A59"/>
    <w:rsid w:val="00A849BD"/>
    <w:rsid w:val="00A87009"/>
    <w:rsid w:val="00A941D2"/>
    <w:rsid w:val="00A95BAE"/>
    <w:rsid w:val="00A96C37"/>
    <w:rsid w:val="00AA00DD"/>
    <w:rsid w:val="00AA0604"/>
    <w:rsid w:val="00AA0699"/>
    <w:rsid w:val="00AA0799"/>
    <w:rsid w:val="00AA08CD"/>
    <w:rsid w:val="00AA2445"/>
    <w:rsid w:val="00AA57A2"/>
    <w:rsid w:val="00AA5E70"/>
    <w:rsid w:val="00AA6275"/>
    <w:rsid w:val="00AA650A"/>
    <w:rsid w:val="00AB0637"/>
    <w:rsid w:val="00AB79B9"/>
    <w:rsid w:val="00AC2553"/>
    <w:rsid w:val="00AC6446"/>
    <w:rsid w:val="00AC6ABD"/>
    <w:rsid w:val="00AC6CF9"/>
    <w:rsid w:val="00AD241D"/>
    <w:rsid w:val="00AD2C95"/>
    <w:rsid w:val="00AD756E"/>
    <w:rsid w:val="00AE1999"/>
    <w:rsid w:val="00AE60D0"/>
    <w:rsid w:val="00AF2C64"/>
    <w:rsid w:val="00AF2C91"/>
    <w:rsid w:val="00AF313C"/>
    <w:rsid w:val="00AF5F19"/>
    <w:rsid w:val="00B00766"/>
    <w:rsid w:val="00B0292C"/>
    <w:rsid w:val="00B1011D"/>
    <w:rsid w:val="00B134C3"/>
    <w:rsid w:val="00B206D9"/>
    <w:rsid w:val="00B20A4E"/>
    <w:rsid w:val="00B20C37"/>
    <w:rsid w:val="00B3748D"/>
    <w:rsid w:val="00B401F5"/>
    <w:rsid w:val="00B42433"/>
    <w:rsid w:val="00B52893"/>
    <w:rsid w:val="00B53976"/>
    <w:rsid w:val="00B53EDA"/>
    <w:rsid w:val="00B55BD4"/>
    <w:rsid w:val="00B5638E"/>
    <w:rsid w:val="00B66229"/>
    <w:rsid w:val="00B746FB"/>
    <w:rsid w:val="00B762A8"/>
    <w:rsid w:val="00B84221"/>
    <w:rsid w:val="00B84EE7"/>
    <w:rsid w:val="00B853FE"/>
    <w:rsid w:val="00B87032"/>
    <w:rsid w:val="00B87EEA"/>
    <w:rsid w:val="00B9399F"/>
    <w:rsid w:val="00BA2A8B"/>
    <w:rsid w:val="00BA2D6D"/>
    <w:rsid w:val="00BA3350"/>
    <w:rsid w:val="00BA40F5"/>
    <w:rsid w:val="00BA41C7"/>
    <w:rsid w:val="00BA5AEE"/>
    <w:rsid w:val="00BB037C"/>
    <w:rsid w:val="00BB2BC5"/>
    <w:rsid w:val="00BB3FF5"/>
    <w:rsid w:val="00BB4105"/>
    <w:rsid w:val="00BB565D"/>
    <w:rsid w:val="00BB6D08"/>
    <w:rsid w:val="00BC7A3E"/>
    <w:rsid w:val="00BD1A3D"/>
    <w:rsid w:val="00BD270F"/>
    <w:rsid w:val="00BD295D"/>
    <w:rsid w:val="00BD304E"/>
    <w:rsid w:val="00BD4D4B"/>
    <w:rsid w:val="00BD5DD1"/>
    <w:rsid w:val="00BE317A"/>
    <w:rsid w:val="00BE4924"/>
    <w:rsid w:val="00BE7B7E"/>
    <w:rsid w:val="00BF0494"/>
    <w:rsid w:val="00BF3674"/>
    <w:rsid w:val="00BF3C8E"/>
    <w:rsid w:val="00BF418B"/>
    <w:rsid w:val="00BF5C46"/>
    <w:rsid w:val="00C04AC9"/>
    <w:rsid w:val="00C05870"/>
    <w:rsid w:val="00C15A99"/>
    <w:rsid w:val="00C20F17"/>
    <w:rsid w:val="00C22C24"/>
    <w:rsid w:val="00C23CAD"/>
    <w:rsid w:val="00C23F6A"/>
    <w:rsid w:val="00C2497F"/>
    <w:rsid w:val="00C27071"/>
    <w:rsid w:val="00C45398"/>
    <w:rsid w:val="00C5531C"/>
    <w:rsid w:val="00C553EE"/>
    <w:rsid w:val="00C571FE"/>
    <w:rsid w:val="00C60663"/>
    <w:rsid w:val="00C61DD0"/>
    <w:rsid w:val="00C65840"/>
    <w:rsid w:val="00C71119"/>
    <w:rsid w:val="00C72FB0"/>
    <w:rsid w:val="00C77138"/>
    <w:rsid w:val="00C775C2"/>
    <w:rsid w:val="00C7789F"/>
    <w:rsid w:val="00C8449D"/>
    <w:rsid w:val="00C86B29"/>
    <w:rsid w:val="00C935A2"/>
    <w:rsid w:val="00C95714"/>
    <w:rsid w:val="00C95B1A"/>
    <w:rsid w:val="00C9615B"/>
    <w:rsid w:val="00C96FF4"/>
    <w:rsid w:val="00CA085C"/>
    <w:rsid w:val="00CA0A7D"/>
    <w:rsid w:val="00CA493D"/>
    <w:rsid w:val="00CA4DF5"/>
    <w:rsid w:val="00CA50C5"/>
    <w:rsid w:val="00CA740C"/>
    <w:rsid w:val="00CB0E3C"/>
    <w:rsid w:val="00CB783D"/>
    <w:rsid w:val="00CC447D"/>
    <w:rsid w:val="00CC51B1"/>
    <w:rsid w:val="00CC6149"/>
    <w:rsid w:val="00CC6B20"/>
    <w:rsid w:val="00CC6C39"/>
    <w:rsid w:val="00CC74D1"/>
    <w:rsid w:val="00CD0EE4"/>
    <w:rsid w:val="00CD1F90"/>
    <w:rsid w:val="00CD45FD"/>
    <w:rsid w:val="00CD56FD"/>
    <w:rsid w:val="00CD7CD4"/>
    <w:rsid w:val="00CE1D79"/>
    <w:rsid w:val="00CE3AC3"/>
    <w:rsid w:val="00CE63B3"/>
    <w:rsid w:val="00CF012B"/>
    <w:rsid w:val="00CF29F5"/>
    <w:rsid w:val="00CF46BF"/>
    <w:rsid w:val="00D004A3"/>
    <w:rsid w:val="00D00A5E"/>
    <w:rsid w:val="00D04D05"/>
    <w:rsid w:val="00D07A74"/>
    <w:rsid w:val="00D1352A"/>
    <w:rsid w:val="00D13AE9"/>
    <w:rsid w:val="00D175BE"/>
    <w:rsid w:val="00D17CE7"/>
    <w:rsid w:val="00D20D9B"/>
    <w:rsid w:val="00D22522"/>
    <w:rsid w:val="00D25885"/>
    <w:rsid w:val="00D275E7"/>
    <w:rsid w:val="00D278EB"/>
    <w:rsid w:val="00D27BC5"/>
    <w:rsid w:val="00D33281"/>
    <w:rsid w:val="00D359DB"/>
    <w:rsid w:val="00D417B7"/>
    <w:rsid w:val="00D45030"/>
    <w:rsid w:val="00D5125A"/>
    <w:rsid w:val="00D52B0B"/>
    <w:rsid w:val="00D54004"/>
    <w:rsid w:val="00D55618"/>
    <w:rsid w:val="00D61349"/>
    <w:rsid w:val="00D63A4A"/>
    <w:rsid w:val="00D64814"/>
    <w:rsid w:val="00D65A4B"/>
    <w:rsid w:val="00D71A6C"/>
    <w:rsid w:val="00D85174"/>
    <w:rsid w:val="00D903A4"/>
    <w:rsid w:val="00D9062D"/>
    <w:rsid w:val="00D90962"/>
    <w:rsid w:val="00D911D0"/>
    <w:rsid w:val="00D92088"/>
    <w:rsid w:val="00D9751C"/>
    <w:rsid w:val="00D97EC8"/>
    <w:rsid w:val="00DA41E8"/>
    <w:rsid w:val="00DA52A4"/>
    <w:rsid w:val="00DB2461"/>
    <w:rsid w:val="00DB5691"/>
    <w:rsid w:val="00DB6EC4"/>
    <w:rsid w:val="00DC1C84"/>
    <w:rsid w:val="00DC7009"/>
    <w:rsid w:val="00DC71ED"/>
    <w:rsid w:val="00DD0071"/>
    <w:rsid w:val="00DD2944"/>
    <w:rsid w:val="00DD3C97"/>
    <w:rsid w:val="00DD54F3"/>
    <w:rsid w:val="00DE0C20"/>
    <w:rsid w:val="00DE1457"/>
    <w:rsid w:val="00DE2E08"/>
    <w:rsid w:val="00DE37B5"/>
    <w:rsid w:val="00DE397A"/>
    <w:rsid w:val="00DE63E3"/>
    <w:rsid w:val="00DE78D7"/>
    <w:rsid w:val="00E0038F"/>
    <w:rsid w:val="00E0319B"/>
    <w:rsid w:val="00E0515D"/>
    <w:rsid w:val="00E1178C"/>
    <w:rsid w:val="00E12A5F"/>
    <w:rsid w:val="00E15125"/>
    <w:rsid w:val="00E1619B"/>
    <w:rsid w:val="00E16B0A"/>
    <w:rsid w:val="00E17755"/>
    <w:rsid w:val="00E17C07"/>
    <w:rsid w:val="00E21441"/>
    <w:rsid w:val="00E21741"/>
    <w:rsid w:val="00E23E9F"/>
    <w:rsid w:val="00E311EC"/>
    <w:rsid w:val="00E40F8A"/>
    <w:rsid w:val="00E432A8"/>
    <w:rsid w:val="00E44B2C"/>
    <w:rsid w:val="00E45485"/>
    <w:rsid w:val="00E479C5"/>
    <w:rsid w:val="00E518D9"/>
    <w:rsid w:val="00E57DD6"/>
    <w:rsid w:val="00E710B1"/>
    <w:rsid w:val="00E712D5"/>
    <w:rsid w:val="00E716E4"/>
    <w:rsid w:val="00E71FBF"/>
    <w:rsid w:val="00E772C4"/>
    <w:rsid w:val="00E82F08"/>
    <w:rsid w:val="00E83AA0"/>
    <w:rsid w:val="00E84766"/>
    <w:rsid w:val="00E94445"/>
    <w:rsid w:val="00E94E75"/>
    <w:rsid w:val="00EA1AE5"/>
    <w:rsid w:val="00EA50D1"/>
    <w:rsid w:val="00EA6382"/>
    <w:rsid w:val="00EA673E"/>
    <w:rsid w:val="00EA7C0D"/>
    <w:rsid w:val="00EB0F4A"/>
    <w:rsid w:val="00EB5E11"/>
    <w:rsid w:val="00EB5EB5"/>
    <w:rsid w:val="00EC01A6"/>
    <w:rsid w:val="00EC1F68"/>
    <w:rsid w:val="00EC4B8A"/>
    <w:rsid w:val="00EC5B76"/>
    <w:rsid w:val="00EC6921"/>
    <w:rsid w:val="00ED5122"/>
    <w:rsid w:val="00ED5251"/>
    <w:rsid w:val="00EE1BE6"/>
    <w:rsid w:val="00EE21BA"/>
    <w:rsid w:val="00EE3C13"/>
    <w:rsid w:val="00EF47DF"/>
    <w:rsid w:val="00EF5040"/>
    <w:rsid w:val="00EF6303"/>
    <w:rsid w:val="00F009AB"/>
    <w:rsid w:val="00F0359A"/>
    <w:rsid w:val="00F053E2"/>
    <w:rsid w:val="00F05496"/>
    <w:rsid w:val="00F05FD0"/>
    <w:rsid w:val="00F10197"/>
    <w:rsid w:val="00F108F0"/>
    <w:rsid w:val="00F123C2"/>
    <w:rsid w:val="00F1432D"/>
    <w:rsid w:val="00F14BBC"/>
    <w:rsid w:val="00F223E9"/>
    <w:rsid w:val="00F2337A"/>
    <w:rsid w:val="00F357CE"/>
    <w:rsid w:val="00F37D27"/>
    <w:rsid w:val="00F44FB7"/>
    <w:rsid w:val="00F60AA4"/>
    <w:rsid w:val="00F60D60"/>
    <w:rsid w:val="00F634DC"/>
    <w:rsid w:val="00F64D76"/>
    <w:rsid w:val="00F73613"/>
    <w:rsid w:val="00F74363"/>
    <w:rsid w:val="00F74B06"/>
    <w:rsid w:val="00F77151"/>
    <w:rsid w:val="00F806C9"/>
    <w:rsid w:val="00F82E75"/>
    <w:rsid w:val="00F84503"/>
    <w:rsid w:val="00F849E3"/>
    <w:rsid w:val="00F85313"/>
    <w:rsid w:val="00F8726C"/>
    <w:rsid w:val="00F9189A"/>
    <w:rsid w:val="00FA06DF"/>
    <w:rsid w:val="00FA1695"/>
    <w:rsid w:val="00FA3779"/>
    <w:rsid w:val="00FA4CBB"/>
    <w:rsid w:val="00FA6CBA"/>
    <w:rsid w:val="00FA7BE0"/>
    <w:rsid w:val="00FB06CC"/>
    <w:rsid w:val="00FC0125"/>
    <w:rsid w:val="00FC1253"/>
    <w:rsid w:val="00FC23A3"/>
    <w:rsid w:val="00FC2F39"/>
    <w:rsid w:val="00FD1F2D"/>
    <w:rsid w:val="00FD33D4"/>
    <w:rsid w:val="00FD4C62"/>
    <w:rsid w:val="00FD5443"/>
    <w:rsid w:val="00FD665A"/>
    <w:rsid w:val="00FD717E"/>
    <w:rsid w:val="00FE0E28"/>
    <w:rsid w:val="00FE7B5F"/>
    <w:rsid w:val="00FF2B67"/>
    <w:rsid w:val="00FF3896"/>
    <w:rsid w:val="00FF4CA8"/>
    <w:rsid w:val="00FF7CAC"/>
    <w:rsid w:val="00FF7FDE"/>
    <w:rsid w:val="1BCA5F54"/>
    <w:rsid w:val="318F47C2"/>
    <w:rsid w:val="3D4F234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color w:val="000000"/>
      <w:kern w:val="0"/>
      <w:sz w:val="18"/>
      <w:szCs w:val="18"/>
    </w:rPr>
  </w:style>
  <w:style w:type="character" w:customStyle="1" w:styleId="7">
    <w:name w:val="页脚 Char"/>
    <w:basedOn w:val="5"/>
    <w:link w:val="2"/>
    <w:semiHidden/>
    <w:qFormat/>
    <w:uiPriority w:val="99"/>
    <w:rPr>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1479</Words>
  <Characters>1629</Characters>
  <Lines>13</Lines>
  <Paragraphs>3</Paragraphs>
  <TotalTime>25</TotalTime>
  <ScaleCrop>false</ScaleCrop>
  <LinksUpToDate>false</LinksUpToDate>
  <CharactersWithSpaces>1832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2022-08-12T06:19:00Z</dcterms:created>
  <dc:creator>张余乾</dc:creator>
  <cp:lastModifiedBy>Li</cp:lastModifiedBy>
  <dcterms:modified xsi:type="dcterms:W3CDTF">2023-06-13T03:08:37Z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66A9ABAE2F8F4802A390D8B351CEA938_12</vt:lpwstr>
  </property>
</Properties>
</file>