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b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新增气化过滤机真空泵软启动柜及中压变频器室模拟屏等</w:t>
      </w:r>
      <w:r>
        <w:rPr>
          <w:rFonts w:hint="eastAsia" w:ascii="黑体" w:hAnsi="黑体" w:eastAsia="黑体" w:cs="黑体"/>
          <w:b/>
          <w:sz w:val="48"/>
          <w:szCs w:val="48"/>
        </w:rPr>
        <w:t>技术规范书</w:t>
      </w:r>
    </w:p>
    <w:p>
      <w:pPr>
        <w:snapToGrid w:val="0"/>
        <w:spacing w:line="400" w:lineRule="exact"/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.</w:t>
      </w:r>
      <w:r>
        <w:rPr>
          <w:b/>
          <w:bCs/>
          <w:szCs w:val="21"/>
        </w:rPr>
        <w:t>工程概况：</w:t>
      </w:r>
    </w:p>
    <w:p>
      <w:pPr>
        <w:snapToGrid w:val="0"/>
        <w:spacing w:line="400" w:lineRule="exact"/>
        <w:rPr>
          <w:rFonts w:hint="default" w:eastAsia="宋体"/>
          <w:b w:val="0"/>
          <w:bCs w:val="0"/>
          <w:color w:val="auto"/>
          <w:szCs w:val="21"/>
          <w:lang w:val="en-US" w:eastAsia="zh-CN"/>
        </w:rPr>
      </w:pPr>
      <w:r>
        <w:rPr>
          <w:b/>
          <w:bCs/>
          <w:szCs w:val="21"/>
        </w:rPr>
        <w:t>1.1</w:t>
      </w:r>
      <w:r>
        <w:rPr>
          <w:color w:val="auto"/>
          <w:szCs w:val="21"/>
        </w:rPr>
        <w:t>项目名称</w:t>
      </w:r>
      <w:r>
        <w:rPr>
          <w:b/>
          <w:bCs/>
          <w:color w:val="auto"/>
          <w:szCs w:val="21"/>
        </w:rPr>
        <w:t>：</w:t>
      </w:r>
      <w:r>
        <w:rPr>
          <w:rFonts w:hint="eastAsia"/>
          <w:b/>
          <w:bCs/>
          <w:color w:val="auto"/>
          <w:szCs w:val="21"/>
          <w:lang w:val="en-US" w:eastAsia="zh-CN"/>
        </w:rPr>
        <w:t>气化过滤机真空泵软启动配电柜：GGD柜2台、40000空分及精制中压变频器模拟屏2块（宽2000mm*高1500mm ABS模块）、空分照明箱一只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。</w:t>
      </w:r>
    </w:p>
    <w:p>
      <w:pPr>
        <w:tabs>
          <w:tab w:val="left" w:pos="525"/>
        </w:tabs>
        <w:spacing w:line="400" w:lineRule="exact"/>
        <w:ind w:left="460" w:hanging="460" w:hangingChars="218"/>
        <w:rPr>
          <w:rFonts w:hint="eastAsia"/>
          <w:b w:val="0"/>
          <w:bCs w:val="0"/>
          <w:color w:val="auto"/>
          <w:szCs w:val="21"/>
          <w:lang w:val="en-US" w:eastAsia="zh-CN"/>
        </w:rPr>
      </w:pPr>
      <w:r>
        <w:rPr>
          <w:b/>
          <w:bCs/>
          <w:color w:val="auto"/>
          <w:szCs w:val="21"/>
        </w:rPr>
        <w:t>1.2</w:t>
      </w:r>
      <w:r>
        <w:rPr>
          <w:color w:val="auto"/>
          <w:szCs w:val="21"/>
        </w:rPr>
        <w:t>安装地点</w:t>
      </w:r>
      <w:r>
        <w:rPr>
          <w:b/>
          <w:bCs/>
          <w:color w:val="auto"/>
          <w:szCs w:val="21"/>
        </w:rPr>
        <w:t>：</w:t>
      </w:r>
      <w:r>
        <w:rPr>
          <w:rFonts w:hint="eastAsia"/>
          <w:b/>
          <w:bCs/>
          <w:color w:val="auto"/>
          <w:szCs w:val="21"/>
          <w:lang w:val="en-US" w:eastAsia="zh-CN"/>
        </w:rPr>
        <w:t>气化过滤机真空泵操作室、空分及精制中压变频器室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。</w:t>
      </w:r>
    </w:p>
    <w:p>
      <w:pPr>
        <w:tabs>
          <w:tab w:val="left" w:pos="525"/>
        </w:tabs>
        <w:spacing w:line="400" w:lineRule="exact"/>
        <w:ind w:left="460" w:hanging="460" w:hangingChars="218"/>
        <w:rPr>
          <w:rFonts w:hint="eastAsia"/>
          <w:color w:val="auto"/>
          <w:szCs w:val="21"/>
          <w:lang w:val="en-US" w:eastAsia="zh-CN"/>
        </w:rPr>
      </w:pPr>
      <w:r>
        <w:rPr>
          <w:b/>
          <w:bCs/>
          <w:color w:val="auto"/>
          <w:szCs w:val="21"/>
        </w:rPr>
        <w:t>1.3</w:t>
      </w:r>
      <w:r>
        <w:rPr>
          <w:color w:val="auto"/>
          <w:szCs w:val="21"/>
        </w:rPr>
        <w:t>型号数量</w:t>
      </w:r>
      <w:r>
        <w:rPr>
          <w:b/>
          <w:bCs/>
          <w:color w:val="auto"/>
          <w:szCs w:val="21"/>
        </w:rPr>
        <w:t>：</w:t>
      </w:r>
      <w:r>
        <w:rPr>
          <w:rFonts w:hint="eastAsia"/>
          <w:color w:val="auto"/>
          <w:szCs w:val="21"/>
          <w:lang w:val="en-US" w:eastAsia="zh-CN"/>
        </w:rPr>
        <w:t>GGD柜2台，柜宽600</w:t>
      </w:r>
      <w:r>
        <w:rPr>
          <w:color w:val="auto"/>
          <w:szCs w:val="21"/>
        </w:rPr>
        <w:t>（见“电气图纸”）</w:t>
      </w:r>
      <w:r>
        <w:rPr>
          <w:rFonts w:hint="eastAsia"/>
          <w:color w:val="auto"/>
          <w:szCs w:val="21"/>
          <w:lang w:eastAsia="zh-CN"/>
        </w:rPr>
        <w:t>；</w:t>
      </w:r>
    </w:p>
    <w:p>
      <w:pPr>
        <w:tabs>
          <w:tab w:val="left" w:pos="525"/>
        </w:tabs>
        <w:spacing w:line="400" w:lineRule="exact"/>
        <w:ind w:left="460" w:hanging="457" w:hangingChars="218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供货清单：</w:t>
      </w:r>
    </w:p>
    <w:tbl>
      <w:tblPr>
        <w:tblStyle w:val="10"/>
        <w:tblW w:w="9223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99"/>
        <w:gridCol w:w="3336"/>
        <w:gridCol w:w="1391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70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74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1453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341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气化过滤机真空泵软启动柜</w:t>
            </w:r>
          </w:p>
        </w:tc>
        <w:tc>
          <w:tcPr>
            <w:tcW w:w="3074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GGD</w:t>
            </w:r>
          </w:p>
        </w:tc>
        <w:tc>
          <w:tcPr>
            <w:tcW w:w="1453" w:type="dxa"/>
            <w:vAlign w:val="center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2341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详见图纸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空分、精制中压变频器室模拟屏</w:t>
            </w:r>
          </w:p>
        </w:tc>
        <w:tc>
          <w:tcPr>
            <w:tcW w:w="3074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2341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详见图纸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空分三防照明配电箱</w:t>
            </w:r>
          </w:p>
        </w:tc>
        <w:tc>
          <w:tcPr>
            <w:tcW w:w="3074" w:type="dxa"/>
          </w:tcPr>
          <w:p>
            <w:pPr>
              <w:tabs>
                <w:tab w:val="left" w:pos="525"/>
              </w:tabs>
              <w:spacing w:line="400" w:lineRule="exact"/>
              <w:jc w:val="left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  <w:t>铸铝合金外壳,挂式安装下进下出线，进出线口径1*G1''+12*G1/2'',防护等级:IP55, WF1</w:t>
            </w:r>
          </w:p>
        </w:tc>
        <w:tc>
          <w:tcPr>
            <w:tcW w:w="1453" w:type="dxa"/>
            <w:vAlign w:val="center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1只</w:t>
            </w:r>
          </w:p>
        </w:tc>
        <w:tc>
          <w:tcPr>
            <w:tcW w:w="2341" w:type="dxa"/>
          </w:tcPr>
          <w:p>
            <w:pPr>
              <w:tabs>
                <w:tab w:val="left" w:pos="525"/>
              </w:tabs>
              <w:spacing w:line="400" w:lineRule="exact"/>
              <w:jc w:val="left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70" w:type="dxa"/>
            <w:vAlign w:val="top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防爆操作柱 </w:t>
            </w:r>
          </w:p>
        </w:tc>
        <w:tc>
          <w:tcPr>
            <w:tcW w:w="3074" w:type="dxa"/>
            <w:vAlign w:val="top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BZC81-A2B1(400/1A)D2K1LWF1 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 套</w:t>
            </w:r>
          </w:p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41" w:type="dxa"/>
          </w:tcPr>
          <w:p>
            <w:pPr>
              <w:tabs>
                <w:tab w:val="left" w:pos="525"/>
              </w:tabs>
              <w:spacing w:line="400" w:lineRule="exact"/>
              <w:jc w:val="center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630"/>
        </w:tabs>
        <w:spacing w:line="400" w:lineRule="exact"/>
        <w:outlineLvl w:val="0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2</w:t>
      </w:r>
      <w:r>
        <w:rPr>
          <w:rFonts w:hint="eastAsia"/>
          <w:b/>
          <w:bCs/>
          <w:color w:val="auto"/>
          <w:szCs w:val="21"/>
        </w:rPr>
        <w:t>.</w:t>
      </w:r>
      <w:r>
        <w:rPr>
          <w:b/>
          <w:bCs/>
          <w:color w:val="auto"/>
          <w:szCs w:val="21"/>
        </w:rPr>
        <w:t>基本要求：</w:t>
      </w:r>
    </w:p>
    <w:p>
      <w:pPr>
        <w:tabs>
          <w:tab w:val="left" w:pos="630"/>
        </w:tabs>
        <w:spacing w:line="400" w:lineRule="exact"/>
        <w:rPr>
          <w:color w:val="auto"/>
          <w:szCs w:val="21"/>
        </w:rPr>
      </w:pPr>
      <w:r>
        <w:rPr>
          <w:b/>
          <w:bCs/>
          <w:color w:val="auto"/>
          <w:szCs w:val="21"/>
        </w:rPr>
        <w:t>2.1</w:t>
      </w:r>
      <w:r>
        <w:rPr>
          <w:color w:val="auto"/>
          <w:szCs w:val="21"/>
        </w:rPr>
        <w:t xml:space="preserve"> 生产厂应具备生产高级型低压成套开关柜的资格。 </w:t>
      </w:r>
    </w:p>
    <w:p>
      <w:pPr>
        <w:spacing w:line="400" w:lineRule="exact"/>
        <w:rPr>
          <w:color w:val="auto"/>
          <w:szCs w:val="21"/>
        </w:rPr>
      </w:pPr>
      <w:r>
        <w:rPr>
          <w:b/>
          <w:bCs/>
          <w:color w:val="auto"/>
          <w:szCs w:val="21"/>
        </w:rPr>
        <w:t>2.2</w:t>
      </w:r>
      <w:r>
        <w:rPr>
          <w:color w:val="auto"/>
          <w:szCs w:val="21"/>
        </w:rPr>
        <w:t xml:space="preserve"> 开关柜需通过型式试验（附型式试验报告），并通过3C认证证书。</w:t>
      </w:r>
    </w:p>
    <w:p>
      <w:pPr>
        <w:spacing w:line="400" w:lineRule="exact"/>
        <w:rPr>
          <w:bCs/>
          <w:color w:val="auto"/>
          <w:szCs w:val="21"/>
        </w:rPr>
      </w:pPr>
      <w:r>
        <w:rPr>
          <w:b/>
          <w:bCs/>
          <w:color w:val="auto"/>
          <w:szCs w:val="21"/>
        </w:rPr>
        <w:t>2.3</w:t>
      </w:r>
      <w:r>
        <w:rPr>
          <w:bCs/>
          <w:color w:val="auto"/>
          <w:szCs w:val="21"/>
        </w:rPr>
        <w:t>开关柜的生产厂家必须是通过ISO9001质量体系认证、ISO14001环境管理体系证书、OHSAS18001职业健康安全管理体系认证的生产厂家。</w:t>
      </w:r>
    </w:p>
    <w:p>
      <w:pPr>
        <w:spacing w:line="360" w:lineRule="auto"/>
        <w:rPr>
          <w:rFonts w:hint="eastAsia" w:eastAsia="宋体"/>
          <w:b w:val="0"/>
          <w:bCs/>
          <w:color w:val="auto"/>
          <w:szCs w:val="21"/>
          <w:lang w:val="en-US" w:eastAsia="zh-CN"/>
        </w:rPr>
      </w:pPr>
      <w:r>
        <w:rPr>
          <w:b/>
          <w:bCs/>
          <w:color w:val="auto"/>
          <w:szCs w:val="21"/>
        </w:rPr>
        <w:t>2.4</w:t>
      </w:r>
      <w:r>
        <w:rPr>
          <w:rFonts w:hint="eastAsia"/>
          <w:b/>
          <w:bCs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Cs w:val="21"/>
          <w:lang w:val="en-US" w:eastAsia="zh-CN"/>
        </w:rPr>
        <w:t>考虑到本次改造停电时间短，改造现场比较复杂（低压柜），在价格相近时优先考虑距离我公司较近的合作过的合格供货商，以确保改造顺利完成。</w:t>
      </w:r>
    </w:p>
    <w:p>
      <w:pPr>
        <w:tabs>
          <w:tab w:val="left" w:pos="210"/>
        </w:tabs>
        <w:spacing w:line="400" w:lineRule="exact"/>
        <w:outlineLvl w:val="0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3</w:t>
      </w:r>
      <w:r>
        <w:rPr>
          <w:rFonts w:hint="eastAsia"/>
          <w:b/>
          <w:bCs/>
          <w:color w:val="auto"/>
          <w:szCs w:val="21"/>
        </w:rPr>
        <w:t>.</w:t>
      </w:r>
      <w:r>
        <w:rPr>
          <w:b/>
          <w:bCs/>
          <w:color w:val="auto"/>
          <w:szCs w:val="21"/>
        </w:rPr>
        <w:t>供货要求：</w:t>
      </w:r>
    </w:p>
    <w:p>
      <w:pPr>
        <w:tabs>
          <w:tab w:val="left" w:pos="210"/>
          <w:tab w:val="left" w:pos="840"/>
        </w:tabs>
        <w:spacing w:line="400" w:lineRule="exact"/>
        <w:rPr>
          <w:color w:val="auto"/>
          <w:szCs w:val="21"/>
        </w:rPr>
      </w:pPr>
      <w:r>
        <w:rPr>
          <w:b/>
          <w:bCs/>
          <w:color w:val="auto"/>
          <w:szCs w:val="21"/>
        </w:rPr>
        <w:t>3.1</w:t>
      </w:r>
      <w:r>
        <w:rPr>
          <w:color w:val="auto"/>
          <w:szCs w:val="21"/>
        </w:rPr>
        <w:t>用途：用于0.4kV三相五线制50HZ交流单母线系统。</w:t>
      </w:r>
    </w:p>
    <w:p>
      <w:pPr>
        <w:tabs>
          <w:tab w:val="left" w:pos="210"/>
          <w:tab w:val="left" w:pos="840"/>
        </w:tabs>
        <w:spacing w:line="400" w:lineRule="exact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3.2</w:t>
      </w:r>
      <w:r>
        <w:rPr>
          <w:color w:val="auto"/>
          <w:szCs w:val="21"/>
        </w:rPr>
        <w:t>开关柜主要类型：</w:t>
      </w:r>
      <w:r>
        <w:rPr>
          <w:b/>
          <w:bCs/>
          <w:color w:val="auto"/>
          <w:szCs w:val="21"/>
        </w:rPr>
        <w:t>低压出线柜（电缆出线）。</w:t>
      </w:r>
    </w:p>
    <w:p>
      <w:pPr>
        <w:tabs>
          <w:tab w:val="left" w:pos="210"/>
          <w:tab w:val="left" w:pos="840"/>
        </w:tabs>
        <w:spacing w:line="400" w:lineRule="exact"/>
        <w:rPr>
          <w:color w:val="auto"/>
          <w:szCs w:val="21"/>
        </w:rPr>
      </w:pPr>
      <w:r>
        <w:rPr>
          <w:b/>
          <w:bCs/>
          <w:color w:val="auto"/>
          <w:szCs w:val="21"/>
        </w:rPr>
        <w:t>3.3</w:t>
      </w:r>
      <w:r>
        <w:rPr>
          <w:rFonts w:hint="eastAsia"/>
          <w:color w:val="auto"/>
          <w:szCs w:val="21"/>
        </w:rPr>
        <w:t>投标方</w:t>
      </w:r>
      <w:r>
        <w:rPr>
          <w:color w:val="auto"/>
          <w:szCs w:val="21"/>
        </w:rPr>
        <w:t>应按</w:t>
      </w:r>
      <w:r>
        <w:rPr>
          <w:rFonts w:hint="eastAsia"/>
          <w:color w:val="auto"/>
          <w:szCs w:val="21"/>
        </w:rPr>
        <w:t>招标方</w:t>
      </w:r>
      <w:r>
        <w:rPr>
          <w:color w:val="auto"/>
          <w:szCs w:val="21"/>
        </w:rPr>
        <w:t>提供的“电气图纸”要求加工制作，开关柜内主要元器件</w:t>
      </w:r>
      <w:r>
        <w:rPr>
          <w:b/>
          <w:bCs/>
          <w:color w:val="auto"/>
          <w:szCs w:val="21"/>
        </w:rPr>
        <w:t>按推荐厂家名单选型</w:t>
      </w:r>
      <w:r>
        <w:rPr>
          <w:color w:val="auto"/>
          <w:szCs w:val="21"/>
        </w:rPr>
        <w:t>，其它元器件应按</w:t>
      </w:r>
      <w:r>
        <w:rPr>
          <w:rFonts w:hint="eastAsia"/>
          <w:color w:val="auto"/>
          <w:szCs w:val="21"/>
        </w:rPr>
        <w:t>招标方</w:t>
      </w:r>
      <w:r>
        <w:rPr>
          <w:color w:val="auto"/>
          <w:szCs w:val="21"/>
        </w:rPr>
        <w:t>设计院提供的图纸选型，如</w:t>
      </w:r>
      <w:r>
        <w:rPr>
          <w:rFonts w:hint="eastAsia"/>
          <w:color w:val="auto"/>
          <w:szCs w:val="21"/>
        </w:rPr>
        <w:t>投标方</w:t>
      </w:r>
      <w:r>
        <w:rPr>
          <w:color w:val="auto"/>
          <w:szCs w:val="21"/>
        </w:rPr>
        <w:t>在投标中有遗漏项必须按</w:t>
      </w:r>
      <w:r>
        <w:rPr>
          <w:rFonts w:hint="eastAsia"/>
          <w:color w:val="auto"/>
          <w:szCs w:val="21"/>
        </w:rPr>
        <w:t>招标方</w:t>
      </w:r>
      <w:r>
        <w:rPr>
          <w:color w:val="auto"/>
          <w:szCs w:val="21"/>
        </w:rPr>
        <w:t>招标图纸如实提供。</w:t>
      </w:r>
    </w:p>
    <w:p>
      <w:pPr>
        <w:spacing w:line="360" w:lineRule="auto"/>
        <w:rPr>
          <w:rFonts w:hint="eastAsia"/>
          <w:b/>
          <w:bCs/>
          <w:color w:val="auto"/>
          <w:szCs w:val="21"/>
          <w:lang w:val="en-US" w:eastAsia="zh-CN"/>
        </w:rPr>
      </w:pPr>
      <w:r>
        <w:rPr>
          <w:b/>
          <w:bCs/>
          <w:color w:val="auto"/>
          <w:szCs w:val="21"/>
        </w:rPr>
        <w:t>3.4</w:t>
      </w:r>
      <w:r>
        <w:rPr>
          <w:rFonts w:hint="eastAsia"/>
          <w:b/>
          <w:bCs/>
          <w:color w:val="auto"/>
          <w:szCs w:val="21"/>
          <w:lang w:val="en-US" w:eastAsia="zh-CN"/>
        </w:rPr>
        <w:t>需配侧板，</w:t>
      </w:r>
      <w:r>
        <w:rPr>
          <w:b/>
          <w:bCs/>
          <w:color w:val="auto"/>
          <w:szCs w:val="21"/>
        </w:rPr>
        <w:t>母线末端须留有预留搭接孔，便于后期的改造。</w:t>
      </w:r>
      <w:r>
        <w:rPr>
          <w:rFonts w:hint="eastAsia" w:ascii="宋体" w:hAnsi="宋体" w:cs="宋体"/>
          <w:b/>
          <w:bCs w:val="0"/>
          <w:color w:val="auto"/>
          <w:szCs w:val="21"/>
          <w:lang w:val="en-US" w:eastAsia="zh-CN"/>
        </w:rPr>
        <w:t>母排拼接：原母排图纸参考规格：TMY-2*100*10  具体按现场实际拼接。由供货商负责拼柜并协助调试。</w:t>
      </w:r>
    </w:p>
    <w:p>
      <w:pPr>
        <w:spacing w:line="400" w:lineRule="exact"/>
        <w:outlineLvl w:val="0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 xml:space="preserve"> </w:t>
      </w:r>
      <w:r>
        <w:rPr>
          <w:rFonts w:hint="eastAsia"/>
          <w:b/>
          <w:bCs/>
          <w:color w:val="auto"/>
          <w:szCs w:val="21"/>
        </w:rPr>
        <w:t>4.</w:t>
      </w:r>
      <w:r>
        <w:rPr>
          <w:b/>
          <w:bCs/>
          <w:color w:val="auto"/>
          <w:szCs w:val="21"/>
        </w:rPr>
        <w:t>技术条件：</w:t>
      </w:r>
    </w:p>
    <w:p>
      <w:pPr>
        <w:spacing w:line="400" w:lineRule="exact"/>
        <w:rPr>
          <w:color w:val="auto"/>
          <w:szCs w:val="21"/>
        </w:rPr>
      </w:pPr>
      <w:r>
        <w:rPr>
          <w:color w:val="auto"/>
          <w:szCs w:val="21"/>
        </w:rPr>
        <w:t xml:space="preserve"> </w:t>
      </w:r>
      <w:r>
        <w:rPr>
          <w:b/>
          <w:bCs/>
          <w:color w:val="auto"/>
          <w:szCs w:val="21"/>
        </w:rPr>
        <w:t>4.1</w:t>
      </w:r>
      <w:r>
        <w:rPr>
          <w:color w:val="auto"/>
          <w:szCs w:val="21"/>
        </w:rPr>
        <w:t>开关柜技术标准：</w:t>
      </w:r>
    </w:p>
    <w:p>
      <w:pPr>
        <w:spacing w:line="400" w:lineRule="exact"/>
        <w:ind w:firstLine="210" w:firstLineChars="100"/>
        <w:rPr>
          <w:color w:val="auto"/>
          <w:szCs w:val="21"/>
        </w:rPr>
      </w:pPr>
      <w:r>
        <w:rPr>
          <w:color w:val="auto"/>
          <w:szCs w:val="21"/>
        </w:rPr>
        <w:t xml:space="preserve">   GB7251－87《低压成套开关设备》；</w:t>
      </w:r>
    </w:p>
    <w:p>
      <w:pPr>
        <w:spacing w:line="400" w:lineRule="exact"/>
        <w:ind w:firstLine="210" w:firstLineChars="100"/>
        <w:rPr>
          <w:color w:val="auto"/>
          <w:szCs w:val="21"/>
        </w:rPr>
      </w:pPr>
      <w:r>
        <w:rPr>
          <w:color w:val="auto"/>
          <w:szCs w:val="21"/>
        </w:rPr>
        <w:t xml:space="preserve">   ZBK36001－89《低压抽出式成套开关设备》；</w:t>
      </w:r>
    </w:p>
    <w:p>
      <w:pPr>
        <w:spacing w:line="400" w:lineRule="exact"/>
        <w:ind w:firstLine="210" w:firstLineChars="100"/>
        <w:rPr>
          <w:color w:val="auto"/>
          <w:szCs w:val="21"/>
        </w:rPr>
      </w:pPr>
      <w:r>
        <w:rPr>
          <w:color w:val="auto"/>
          <w:szCs w:val="21"/>
        </w:rPr>
        <w:t xml:space="preserve">   IEC439；VDEO6600-5、BS5486-1、VTE63-410；</w:t>
      </w:r>
    </w:p>
    <w:p>
      <w:pPr>
        <w:spacing w:line="400" w:lineRule="exact"/>
        <w:ind w:firstLine="210" w:firstLineChars="100"/>
        <w:rPr>
          <w:color w:val="auto"/>
          <w:szCs w:val="21"/>
        </w:rPr>
      </w:pPr>
      <w:r>
        <w:rPr>
          <w:color w:val="auto"/>
          <w:szCs w:val="21"/>
        </w:rPr>
        <w:t xml:space="preserve">   其它国家的权威性标准；</w:t>
      </w:r>
    </w:p>
    <w:p>
      <w:pPr>
        <w:spacing w:line="400" w:lineRule="exact"/>
        <w:ind w:firstLine="210" w:firstLineChars="100"/>
        <w:rPr>
          <w:color w:val="auto"/>
          <w:szCs w:val="21"/>
        </w:rPr>
      </w:pPr>
      <w:r>
        <w:rPr>
          <w:color w:val="auto"/>
          <w:szCs w:val="21"/>
        </w:rPr>
        <w:t xml:space="preserve">   凡上述标准未提及的还应按有关国标和IEC标准执行。</w:t>
      </w:r>
    </w:p>
    <w:p>
      <w:pPr>
        <w:tabs>
          <w:tab w:val="left" w:pos="315"/>
        </w:tabs>
        <w:spacing w:line="400" w:lineRule="exact"/>
        <w:ind w:firstLine="211" w:firstLineChars="100"/>
        <w:rPr>
          <w:color w:val="auto"/>
          <w:szCs w:val="21"/>
        </w:rPr>
      </w:pPr>
      <w:r>
        <w:rPr>
          <w:b/>
          <w:bCs/>
          <w:color w:val="auto"/>
          <w:szCs w:val="21"/>
        </w:rPr>
        <w:t>4.2</w:t>
      </w:r>
      <w:r>
        <w:rPr>
          <w:color w:val="auto"/>
          <w:szCs w:val="21"/>
        </w:rPr>
        <w:t>使用环境条件：</w:t>
      </w:r>
    </w:p>
    <w:p>
      <w:pPr>
        <w:tabs>
          <w:tab w:val="left" w:pos="315"/>
        </w:tabs>
        <w:spacing w:line="400" w:lineRule="exact"/>
        <w:ind w:firstLine="210" w:firstLineChars="100"/>
        <w:rPr>
          <w:color w:val="auto"/>
          <w:szCs w:val="21"/>
        </w:rPr>
      </w:pPr>
      <w:r>
        <w:rPr>
          <w:color w:val="auto"/>
          <w:szCs w:val="21"/>
        </w:rPr>
        <w:t xml:space="preserve">    安装位置：户内</w:t>
      </w:r>
      <w:r>
        <w:rPr>
          <w:rFonts w:hint="eastAsia"/>
          <w:color w:val="auto"/>
          <w:szCs w:val="21"/>
        </w:rPr>
        <w:t>低压</w:t>
      </w:r>
      <w:r>
        <w:rPr>
          <w:color w:val="auto"/>
          <w:szCs w:val="21"/>
        </w:rPr>
        <w:t>开关室</w:t>
      </w:r>
      <w:r>
        <w:rPr>
          <w:rFonts w:hint="eastAsia"/>
          <w:color w:val="auto"/>
          <w:szCs w:val="21"/>
          <w:lang w:eastAsia="zh-CN"/>
        </w:rPr>
        <w:t>；</w:t>
      </w:r>
      <w:r>
        <w:rPr>
          <w:color w:val="auto"/>
          <w:szCs w:val="21"/>
        </w:rPr>
        <w:t xml:space="preserve">  环境温度：－10～＋40℃</w:t>
      </w:r>
    </w:p>
    <w:p>
      <w:pPr>
        <w:tabs>
          <w:tab w:val="left" w:pos="315"/>
        </w:tabs>
        <w:spacing w:line="400" w:lineRule="exact"/>
        <w:ind w:firstLine="210" w:firstLineChars="100"/>
        <w:rPr>
          <w:color w:val="auto"/>
          <w:szCs w:val="21"/>
        </w:rPr>
      </w:pPr>
      <w:r>
        <w:rPr>
          <w:color w:val="auto"/>
          <w:szCs w:val="21"/>
        </w:rPr>
        <w:t xml:space="preserve">    海拔高度：1000米及以下</w:t>
      </w:r>
      <w:r>
        <w:rPr>
          <w:rFonts w:hint="eastAsia"/>
          <w:color w:val="auto"/>
          <w:szCs w:val="21"/>
          <w:lang w:eastAsia="zh-CN"/>
        </w:rPr>
        <w:t>；</w:t>
      </w:r>
      <w:r>
        <w:rPr>
          <w:rFonts w:hint="eastAsia"/>
          <w:color w:val="auto"/>
          <w:szCs w:val="21"/>
          <w:lang w:val="en-US" w:eastAsia="zh-CN"/>
        </w:rPr>
        <w:t xml:space="preserve">  </w:t>
      </w:r>
      <w:r>
        <w:rPr>
          <w:color w:val="auto"/>
          <w:szCs w:val="21"/>
        </w:rPr>
        <w:t>地震条件：水平分量  0.2g</w:t>
      </w:r>
      <w:r>
        <w:rPr>
          <w:rFonts w:hint="eastAsia"/>
          <w:color w:val="auto"/>
          <w:szCs w:val="21"/>
          <w:lang w:eastAsia="zh-CN"/>
        </w:rPr>
        <w:t>；</w:t>
      </w:r>
      <w:r>
        <w:rPr>
          <w:rFonts w:hint="eastAsia"/>
          <w:color w:val="auto"/>
          <w:szCs w:val="21"/>
          <w:lang w:val="en-US" w:eastAsia="zh-CN"/>
        </w:rPr>
        <w:t xml:space="preserve">  </w:t>
      </w:r>
      <w:r>
        <w:rPr>
          <w:color w:val="auto"/>
          <w:szCs w:val="21"/>
        </w:rPr>
        <w:t xml:space="preserve">垂直分量  0.1g </w:t>
      </w:r>
    </w:p>
    <w:p>
      <w:pPr>
        <w:tabs>
          <w:tab w:val="left" w:pos="315"/>
        </w:tabs>
        <w:spacing w:line="400" w:lineRule="exact"/>
        <w:rPr>
          <w:color w:val="auto"/>
          <w:szCs w:val="21"/>
        </w:rPr>
      </w:pPr>
      <w:r>
        <w:rPr>
          <w:b/>
          <w:bCs/>
          <w:color w:val="auto"/>
          <w:szCs w:val="21"/>
        </w:rPr>
        <w:t xml:space="preserve"> 4.3电气要求：</w:t>
      </w:r>
    </w:p>
    <w:p>
      <w:pPr>
        <w:tabs>
          <w:tab w:val="left" w:pos="315"/>
        </w:tabs>
        <w:spacing w:line="400" w:lineRule="exact"/>
        <w:rPr>
          <w:color w:val="auto"/>
          <w:szCs w:val="21"/>
        </w:rPr>
      </w:pPr>
      <w:r>
        <w:rPr>
          <w:b/>
          <w:bCs/>
          <w:color w:val="auto"/>
          <w:szCs w:val="21"/>
        </w:rPr>
        <w:t xml:space="preserve"> 4.3.1</w:t>
      </w:r>
      <w:r>
        <w:rPr>
          <w:color w:val="auto"/>
          <w:szCs w:val="21"/>
        </w:rPr>
        <w:t>低压开关柜制造应做到保障人身安全，供电可靠，技术先进和维护方便。</w:t>
      </w:r>
    </w:p>
    <w:p>
      <w:pPr>
        <w:tabs>
          <w:tab w:val="left" w:pos="315"/>
        </w:tabs>
        <w:spacing w:line="400" w:lineRule="exact"/>
        <w:rPr>
          <w:color w:val="auto"/>
          <w:szCs w:val="21"/>
        </w:rPr>
      </w:pPr>
      <w:r>
        <w:rPr>
          <w:b/>
          <w:bCs/>
          <w:color w:val="auto"/>
          <w:szCs w:val="21"/>
        </w:rPr>
        <w:t xml:space="preserve"> 4.3.2 </w:t>
      </w:r>
      <w:r>
        <w:rPr>
          <w:color w:val="auto"/>
          <w:szCs w:val="21"/>
        </w:rPr>
        <w:t>低压开关柜外壳的防护等级不应低于IP4X，柜架和外壳有足够的强度和刚度，能承受所安装元件短路时所产生的动、热稳定，同时不因成套设备的吊装、运输等情况影响设备的性能；柜架、柜体、抽屉底板采用敷铝锌板，柜架且配有E=25MM的安装孔；框架钢板厚度不小于2.5MM，门板不小于2.0MM，以铆钉、专用螺丝组合成坚固的结构；柜体底板设有供电缆进出柜体的可拆卸口，并带有塔型阻燃橡皮圈。</w:t>
      </w:r>
    </w:p>
    <w:p>
      <w:pPr>
        <w:spacing w:line="360" w:lineRule="auto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具体要求见:索普工科相关图纸。</w:t>
      </w:r>
    </w:p>
    <w:p>
      <w:pPr>
        <w:spacing w:line="360" w:lineRule="auto"/>
        <w:rPr>
          <w:rFonts w:hint="eastAsia"/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低压开关柜主要元器件推荐厂家名单</w:t>
      </w:r>
      <w:r>
        <w:rPr>
          <w:rFonts w:hint="eastAsia"/>
          <w:b/>
          <w:bCs/>
          <w:color w:val="auto"/>
          <w:szCs w:val="21"/>
        </w:rPr>
        <w:t>（气化变电所、除盐水变电所元器件选择）</w:t>
      </w:r>
    </w:p>
    <w:tbl>
      <w:tblPr>
        <w:tblStyle w:val="9"/>
        <w:tblpPr w:leftFromText="180" w:rightFromText="180" w:vertAnchor="text" w:horzAnchor="page" w:tblpX="1177" w:tblpY="88"/>
        <w:tblOverlap w:val="never"/>
        <w:tblW w:w="9819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666"/>
        <w:gridCol w:w="2395"/>
        <w:gridCol w:w="1898"/>
        <w:gridCol w:w="1481"/>
        <w:gridCol w:w="1952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overflowPunct w:val="0"/>
              <w:snapToGrid w:val="0"/>
              <w:spacing w:line="400" w:lineRule="atLeast"/>
              <w:jc w:val="center"/>
              <w:rPr>
                <w:b/>
                <w:bCs/>
                <w:caps/>
                <w:color w:val="auto"/>
                <w:szCs w:val="21"/>
              </w:rPr>
            </w:pPr>
            <w:r>
              <w:rPr>
                <w:b/>
                <w:bCs/>
                <w:caps/>
                <w:color w:val="auto"/>
                <w:szCs w:val="21"/>
              </w:rPr>
              <w:t>序号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overflowPunct w:val="0"/>
              <w:snapToGrid w:val="0"/>
              <w:spacing w:line="400" w:lineRule="atLeast"/>
              <w:jc w:val="center"/>
              <w:rPr>
                <w:b/>
                <w:bCs/>
                <w:caps/>
                <w:color w:val="auto"/>
                <w:szCs w:val="21"/>
              </w:rPr>
            </w:pPr>
            <w:r>
              <w:rPr>
                <w:b/>
                <w:bCs/>
                <w:caps/>
                <w:color w:val="auto"/>
                <w:szCs w:val="21"/>
              </w:rPr>
              <w:t>名称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overflowPunct w:val="0"/>
              <w:snapToGrid w:val="0"/>
              <w:spacing w:line="400" w:lineRule="atLeast"/>
              <w:jc w:val="center"/>
              <w:rPr>
                <w:b/>
                <w:bCs/>
                <w:caps/>
                <w:color w:val="auto"/>
                <w:szCs w:val="21"/>
              </w:rPr>
            </w:pPr>
            <w:r>
              <w:rPr>
                <w:b/>
                <w:bCs/>
                <w:caps/>
                <w:color w:val="auto"/>
                <w:szCs w:val="21"/>
              </w:rPr>
              <w:t>主要技术规格(包括主要技术参数、技术指标等)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overflowPunct w:val="0"/>
              <w:snapToGrid w:val="0"/>
              <w:spacing w:line="400" w:lineRule="atLeast"/>
              <w:jc w:val="center"/>
              <w:rPr>
                <w:b/>
                <w:bCs/>
                <w:caps/>
                <w:color w:val="auto"/>
                <w:szCs w:val="21"/>
              </w:rPr>
            </w:pPr>
            <w:r>
              <w:rPr>
                <w:b/>
                <w:bCs/>
                <w:caps/>
                <w:color w:val="auto"/>
                <w:szCs w:val="21"/>
              </w:rPr>
              <w:t>型号</w:t>
            </w:r>
          </w:p>
        </w:tc>
        <w:tc>
          <w:tcPr>
            <w:tcW w:w="14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atLeast"/>
              <w:jc w:val="center"/>
              <w:rPr>
                <w:rFonts w:hint="default" w:eastAsia="宋体"/>
                <w:b/>
                <w:bCs/>
                <w:cap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aps/>
                <w:color w:val="auto"/>
                <w:szCs w:val="21"/>
                <w:lang w:val="en-US" w:eastAsia="zh-CN"/>
              </w:rPr>
              <w:t>推荐品牌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overflowPunct w:val="0"/>
              <w:snapToGrid w:val="0"/>
              <w:spacing w:line="400" w:lineRule="atLeast"/>
              <w:jc w:val="center"/>
              <w:rPr>
                <w:b/>
                <w:bCs/>
                <w:caps/>
                <w:color w:val="auto"/>
                <w:szCs w:val="21"/>
              </w:rPr>
            </w:pPr>
            <w:r>
              <w:rPr>
                <w:b/>
                <w:bCs/>
                <w:caps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666" w:type="dxa"/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低压塑壳断路器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I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e按图纸要求</w:t>
            </w:r>
            <w:r>
              <w:rPr>
                <w:color w:val="auto"/>
                <w:szCs w:val="21"/>
              </w:rPr>
              <w:t>采用电子脱扣器。（固定柜时采用插拔断路器）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施耐德NSX</w:t>
            </w:r>
          </w:p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ABB-Tmax/XT</w:t>
            </w:r>
          </w:p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3VA</w:t>
            </w:r>
          </w:p>
        </w:tc>
        <w:tc>
          <w:tcPr>
            <w:tcW w:w="148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施耐德</w:t>
            </w:r>
          </w:p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ABB</w:t>
            </w:r>
          </w:p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西门子</w:t>
            </w:r>
          </w:p>
        </w:tc>
        <w:tc>
          <w:tcPr>
            <w:tcW w:w="1952" w:type="dxa"/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666" w:type="dxa"/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多功能数显表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一路模拟量输出，Modbus通讯，单相表需采用一致厂家。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特尔MDM3100S</w:t>
            </w:r>
          </w:p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海派诺PMAC625</w:t>
            </w:r>
          </w:p>
        </w:tc>
        <w:tc>
          <w:tcPr>
            <w:tcW w:w="148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亚特尔 </w:t>
            </w:r>
          </w:p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珠海派诺 </w:t>
            </w:r>
          </w:p>
        </w:tc>
        <w:tc>
          <w:tcPr>
            <w:tcW w:w="1952" w:type="dxa"/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27" w:type="dxa"/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666" w:type="dxa"/>
            <w:noWrap w:val="0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其它低压元器件（接触器等）</w:t>
            </w:r>
          </w:p>
        </w:tc>
        <w:tc>
          <w:tcPr>
            <w:tcW w:w="2395" w:type="dxa"/>
            <w:noWrap w:val="0"/>
            <w:vAlign w:val="top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8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overflowPunct w:val="0"/>
              <w:snapToGrid w:val="0"/>
              <w:spacing w:line="460" w:lineRule="atLeast"/>
              <w:ind w:right="-17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ABB  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color w:val="auto"/>
                <w:szCs w:val="21"/>
              </w:rPr>
              <w:t>施耐德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color w:val="auto"/>
                <w:szCs w:val="21"/>
              </w:rPr>
              <w:t>西门子</w:t>
            </w:r>
          </w:p>
        </w:tc>
        <w:tc>
          <w:tcPr>
            <w:tcW w:w="1952" w:type="dxa"/>
            <w:noWrap w:val="0"/>
            <w:vAlign w:val="top"/>
          </w:tcPr>
          <w:p>
            <w:pPr>
              <w:rPr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hint="default"/>
          <w:color w:val="auto"/>
          <w:szCs w:val="21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供货周期：中标后15天。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另附：本次招标相关图纸。</w:t>
      </w:r>
    </w:p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48D22"/>
    <w:multiLevelType w:val="singleLevel"/>
    <w:tmpl w:val="BEE48D2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Q4Yjk0YjJiMjNhMjRiMjM0ZGFhMmQ5ZTFlYjVlODAifQ=="/>
  </w:docVars>
  <w:rsids>
    <w:rsidRoot w:val="3C591FFF"/>
    <w:rsid w:val="00082DF0"/>
    <w:rsid w:val="001B32FE"/>
    <w:rsid w:val="00217BED"/>
    <w:rsid w:val="002F7347"/>
    <w:rsid w:val="00331EC1"/>
    <w:rsid w:val="0035346A"/>
    <w:rsid w:val="003E7AC9"/>
    <w:rsid w:val="005155B5"/>
    <w:rsid w:val="0072130F"/>
    <w:rsid w:val="00807807"/>
    <w:rsid w:val="009B5D40"/>
    <w:rsid w:val="009C4F35"/>
    <w:rsid w:val="00A55050"/>
    <w:rsid w:val="00B06D44"/>
    <w:rsid w:val="00B06E7D"/>
    <w:rsid w:val="00B15F8B"/>
    <w:rsid w:val="00C62F5F"/>
    <w:rsid w:val="00C91AB3"/>
    <w:rsid w:val="00D10437"/>
    <w:rsid w:val="00E034AD"/>
    <w:rsid w:val="00F518E4"/>
    <w:rsid w:val="03DD47E9"/>
    <w:rsid w:val="041F20CC"/>
    <w:rsid w:val="08D149D2"/>
    <w:rsid w:val="0AC173A3"/>
    <w:rsid w:val="0D1B0304"/>
    <w:rsid w:val="0D8B4374"/>
    <w:rsid w:val="10287762"/>
    <w:rsid w:val="11117859"/>
    <w:rsid w:val="11465CED"/>
    <w:rsid w:val="1969290D"/>
    <w:rsid w:val="1BD05FAD"/>
    <w:rsid w:val="1BDF7FA0"/>
    <w:rsid w:val="1D7F75E8"/>
    <w:rsid w:val="1E5C4669"/>
    <w:rsid w:val="1F49728E"/>
    <w:rsid w:val="1FAE53B9"/>
    <w:rsid w:val="22796483"/>
    <w:rsid w:val="238218EF"/>
    <w:rsid w:val="24CE594B"/>
    <w:rsid w:val="27AD2F22"/>
    <w:rsid w:val="2C3B68BE"/>
    <w:rsid w:val="2CFF4866"/>
    <w:rsid w:val="2DB316D3"/>
    <w:rsid w:val="2E1137C0"/>
    <w:rsid w:val="2FD94F58"/>
    <w:rsid w:val="306E7D7A"/>
    <w:rsid w:val="31CD2A1D"/>
    <w:rsid w:val="33570C83"/>
    <w:rsid w:val="35CD6079"/>
    <w:rsid w:val="39B0378D"/>
    <w:rsid w:val="3B834903"/>
    <w:rsid w:val="3BD70C27"/>
    <w:rsid w:val="3C591FFF"/>
    <w:rsid w:val="3F5103EE"/>
    <w:rsid w:val="48E14260"/>
    <w:rsid w:val="498E4AFC"/>
    <w:rsid w:val="49BB6DD1"/>
    <w:rsid w:val="4B536DDB"/>
    <w:rsid w:val="4E9C366B"/>
    <w:rsid w:val="4EDA6D1E"/>
    <w:rsid w:val="4F005389"/>
    <w:rsid w:val="4FCE567D"/>
    <w:rsid w:val="4FFA65E8"/>
    <w:rsid w:val="549E7C94"/>
    <w:rsid w:val="557E3670"/>
    <w:rsid w:val="5ABE6F22"/>
    <w:rsid w:val="5B2A31FF"/>
    <w:rsid w:val="5C783156"/>
    <w:rsid w:val="5D3A2E77"/>
    <w:rsid w:val="5DAE490C"/>
    <w:rsid w:val="5E170D6A"/>
    <w:rsid w:val="5F353888"/>
    <w:rsid w:val="5FCB06C2"/>
    <w:rsid w:val="60AC10AF"/>
    <w:rsid w:val="62FE50EE"/>
    <w:rsid w:val="64E85EEA"/>
    <w:rsid w:val="68BF6963"/>
    <w:rsid w:val="6A941E18"/>
    <w:rsid w:val="6AB954A9"/>
    <w:rsid w:val="6E8E1610"/>
    <w:rsid w:val="726C7705"/>
    <w:rsid w:val="731652D9"/>
    <w:rsid w:val="735C287F"/>
    <w:rsid w:val="73A70BC9"/>
    <w:rsid w:val="73CB3239"/>
    <w:rsid w:val="75241FEA"/>
    <w:rsid w:val="76152964"/>
    <w:rsid w:val="7862317C"/>
    <w:rsid w:val="78A03654"/>
    <w:rsid w:val="7BA50796"/>
    <w:rsid w:val="7BEC58B9"/>
    <w:rsid w:val="7CB8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b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360" w:lineRule="auto"/>
    </w:pPr>
    <w:rPr>
      <w:kern w:val="1"/>
      <w:sz w:val="24"/>
    </w:rPr>
  </w:style>
  <w:style w:type="paragraph" w:styleId="5">
    <w:name w:val="Body Text Indent"/>
    <w:basedOn w:val="1"/>
    <w:qFormat/>
    <w:uiPriority w:val="0"/>
    <w:pPr>
      <w:ind w:firstLine="444"/>
    </w:pPr>
    <w:rPr>
      <w:b/>
      <w:kern w:val="1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qFormat/>
    <w:uiPriority w:val="0"/>
    <w:pPr>
      <w:widowControl/>
      <w:spacing w:after="120" w:line="240" w:lineRule="auto"/>
      <w:ind w:firstLine="420"/>
      <w:jc w:val="left"/>
    </w:pPr>
    <w:rPr>
      <w:rFonts w:ascii="Arial" w:hAnsi="Arial" w:cs="Arial"/>
      <w:spacing w:val="-5"/>
      <w:sz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 Text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Char"/>
    <w:basedOn w:val="1"/>
    <w:qFormat/>
    <w:uiPriority w:val="0"/>
    <w:rPr>
      <w:kern w:val="1"/>
      <w:szCs w:val="24"/>
    </w:rPr>
  </w:style>
  <w:style w:type="paragraph" w:customStyle="1" w:styleId="15">
    <w:name w:val="MM"/>
    <w:basedOn w:val="1"/>
    <w:qFormat/>
    <w:uiPriority w:val="0"/>
    <w:pPr>
      <w:spacing w:before="60" w:after="60"/>
      <w:ind w:left="1560" w:hanging="426"/>
    </w:pPr>
    <w:rPr>
      <w:rFonts w:ascii="宋体"/>
      <w:spacing w:val="5"/>
      <w:kern w:val="0"/>
      <w:szCs w:val="20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1452</Characters>
  <Lines>4</Lines>
  <Paragraphs>1</Paragraphs>
  <TotalTime>1</TotalTime>
  <ScaleCrop>false</ScaleCrop>
  <LinksUpToDate>false</LinksUpToDate>
  <CharactersWithSpaces>1504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2022-08-31T01:20:00Z</dcterms:created>
  <dc:creator>亦凡亦不凡</dc:creator>
  <cp:lastModifiedBy>QAZWSX</cp:lastModifiedBy>
  <cp:lastPrinted>2022-08-31T02:24:00Z</cp:lastPrinted>
  <dcterms:modified xsi:type="dcterms:W3CDTF">2023-05-26T01:06:39Z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CC2FA83C7A864722A0F02DE043775085</vt:lpwstr>
  </property>
</Properties>
</file>